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8"/>
        <w:gridCol w:w="4672"/>
      </w:tblGrid>
      <w:tr w:rsidR="00786051" w14:paraId="43ADE25A" w14:textId="77777777" w:rsidTr="007A14F2">
        <w:tc>
          <w:tcPr>
            <w:tcW w:w="9350" w:type="dxa"/>
            <w:gridSpan w:val="2"/>
          </w:tcPr>
          <w:p w14:paraId="31E7D52E" w14:textId="77777777" w:rsidR="00786051" w:rsidRDefault="00786051" w:rsidP="00786051">
            <w:pPr>
              <w:rPr>
                <w:b/>
              </w:rPr>
            </w:pPr>
            <w:r w:rsidRPr="00222F01">
              <w:rPr>
                <w:b/>
              </w:rPr>
              <w:t xml:space="preserve">Draft country </w:t>
            </w:r>
            <w:proofErr w:type="spellStart"/>
            <w:r w:rsidRPr="00222F01">
              <w:rPr>
                <w:b/>
              </w:rPr>
              <w:t>programme</w:t>
            </w:r>
            <w:proofErr w:type="spellEnd"/>
            <w:r w:rsidRPr="00222F01">
              <w:rPr>
                <w:b/>
              </w:rPr>
              <w:t xml:space="preserve"> document for Burundi (2019-2023) UNDP</w:t>
            </w:r>
          </w:p>
          <w:p w14:paraId="1E371F06" w14:textId="3D5DECB5" w:rsidR="00786051" w:rsidRPr="00ED4179" w:rsidRDefault="00786051" w:rsidP="00786051">
            <w:pPr>
              <w:rPr>
                <w:b/>
              </w:rPr>
            </w:pPr>
            <w:r w:rsidRPr="00273AF6">
              <w:rPr>
                <w:b/>
              </w:rPr>
              <w:t>Belgian comments and questions</w:t>
            </w:r>
            <w:r>
              <w:rPr>
                <w:b/>
              </w:rPr>
              <w:t xml:space="preserve"> </w:t>
            </w:r>
          </w:p>
        </w:tc>
      </w:tr>
      <w:tr w:rsidR="00F003AD" w14:paraId="75CD076F" w14:textId="77777777" w:rsidTr="00786051">
        <w:tc>
          <w:tcPr>
            <w:tcW w:w="4678" w:type="dxa"/>
          </w:tcPr>
          <w:p w14:paraId="7B7E4478" w14:textId="03AA4219" w:rsidR="00F003AD" w:rsidRPr="00ED4179" w:rsidRDefault="003C3CC3">
            <w:pPr>
              <w:rPr>
                <w:rFonts w:ascii="Calibri" w:hAnsi="Calibri"/>
                <w:b/>
                <w:color w:val="1F497D"/>
              </w:rPr>
            </w:pPr>
            <w:r w:rsidRPr="003B193C">
              <w:rPr>
                <w:rFonts w:ascii="Calibri" w:hAnsi="Calibri"/>
                <w:b/>
                <w:color w:val="1F497D"/>
              </w:rPr>
              <w:t xml:space="preserve">General </w:t>
            </w:r>
            <w:r w:rsidR="00D45391" w:rsidRPr="003B193C">
              <w:rPr>
                <w:rFonts w:ascii="Calibri" w:hAnsi="Calibri"/>
                <w:b/>
                <w:color w:val="1F497D"/>
              </w:rPr>
              <w:t>comment:</w:t>
            </w:r>
          </w:p>
        </w:tc>
        <w:tc>
          <w:tcPr>
            <w:tcW w:w="4672" w:type="dxa"/>
          </w:tcPr>
          <w:p w14:paraId="36159A4B" w14:textId="77777777" w:rsidR="00F003AD" w:rsidRDefault="00786051">
            <w:pPr>
              <w:rPr>
                <w:b/>
              </w:rPr>
            </w:pPr>
            <w:r>
              <w:rPr>
                <w:b/>
              </w:rPr>
              <w:t>CO Comments</w:t>
            </w:r>
          </w:p>
        </w:tc>
      </w:tr>
      <w:tr w:rsidR="00F003AD" w14:paraId="774E11B0" w14:textId="77777777" w:rsidTr="00786051">
        <w:tc>
          <w:tcPr>
            <w:tcW w:w="4678" w:type="dxa"/>
          </w:tcPr>
          <w:p w14:paraId="55A32582" w14:textId="77777777" w:rsidR="003B193C" w:rsidRPr="003B193C" w:rsidRDefault="003B193C" w:rsidP="003B193C">
            <w:pPr>
              <w:rPr>
                <w:rFonts w:ascii="Calibri" w:hAnsi="Calibri"/>
                <w:color w:val="1F497D"/>
              </w:rPr>
            </w:pPr>
            <w:r w:rsidRPr="003B193C">
              <w:rPr>
                <w:rFonts w:ascii="Calibri" w:hAnsi="Calibri"/>
                <w:color w:val="1F497D"/>
              </w:rPr>
              <w:t>wherever in the document alignment is sought (e.g. §35 regarding M&amp;E frameworks) or solicited from other actors (e.g. §20, for local governments’ planning processes) with Burundi’s National Development Plan, it needs to be borne in mind that the latter – rather a “President’s Plan” for lack of wider stakeholder consultation – has shown strong inherent weaknesses, inter alia in terms of analysis, reliability of certain statistical data and terms of forecasting realism.</w:t>
            </w:r>
          </w:p>
          <w:p w14:paraId="6EE2D38D" w14:textId="77777777" w:rsidR="00F003AD" w:rsidRDefault="00F003AD">
            <w:pPr>
              <w:rPr>
                <w:b/>
              </w:rPr>
            </w:pPr>
          </w:p>
        </w:tc>
        <w:tc>
          <w:tcPr>
            <w:tcW w:w="4672" w:type="dxa"/>
          </w:tcPr>
          <w:p w14:paraId="0EDAB493" w14:textId="1D9BDA17" w:rsidR="00CC2D89" w:rsidRPr="00A13BAA" w:rsidRDefault="00BD4402" w:rsidP="00BD4402">
            <w:pPr>
              <w:jc w:val="both"/>
            </w:pPr>
            <w:r>
              <w:t xml:space="preserve">UNDP has </w:t>
            </w:r>
            <w:r w:rsidR="00D45391">
              <w:t>analyzed</w:t>
            </w:r>
            <w:r>
              <w:t xml:space="preserve"> the National Development Plan (NDP) and agrees that it has </w:t>
            </w:r>
            <w:r w:rsidR="00B978B4">
              <w:t>mentioned</w:t>
            </w:r>
            <w:r>
              <w:t xml:space="preserve"> weakness. Despite this weakness development partners have agreed to align their </w:t>
            </w:r>
            <w:r w:rsidR="00D45391">
              <w:t>Programme</w:t>
            </w:r>
            <w:r>
              <w:t xml:space="preserve"> with the NDP (there are some entry points) while trying to address some of the weakness in its implementation. This is also the case for both UNDP CPD and UNDAF for 2019-2023. It is mandatory that CPD aligns with the National Priorities. To identify the entry points, </w:t>
            </w:r>
            <w:r w:rsidR="00A13BAA" w:rsidRPr="00A13BAA">
              <w:t xml:space="preserve">UNDP </w:t>
            </w:r>
            <w:r>
              <w:t>held</w:t>
            </w:r>
            <w:r w:rsidR="00A13BAA">
              <w:t xml:space="preserve"> a 3-day stakeholder consultation workshop to </w:t>
            </w:r>
            <w:r>
              <w:t>undertake the</w:t>
            </w:r>
            <w:r w:rsidR="00A13BAA">
              <w:t xml:space="preserve"> context analysis and develop intervention logic. As a result, data gathered</w:t>
            </w:r>
            <w:r w:rsidR="00CC2D89">
              <w:t xml:space="preserve"> and analyzed</w:t>
            </w:r>
            <w:r w:rsidR="00A13BAA">
              <w:t xml:space="preserve"> from this process </w:t>
            </w:r>
            <w:r w:rsidR="00CC2D89">
              <w:t>showed alignment</w:t>
            </w:r>
            <w:r w:rsidR="00A13BAA">
              <w:t xml:space="preserve"> </w:t>
            </w:r>
            <w:r w:rsidR="00CC2D89">
              <w:t xml:space="preserve">with </w:t>
            </w:r>
            <w:r>
              <w:t xml:space="preserve">some general </w:t>
            </w:r>
            <w:r w:rsidR="00CC2D89">
              <w:t xml:space="preserve">priority areas specified in the National Development Plan (NDP) and UNDAF. </w:t>
            </w:r>
          </w:p>
        </w:tc>
      </w:tr>
      <w:tr w:rsidR="00F003AD" w14:paraId="2820CE3B" w14:textId="77777777" w:rsidTr="00786051">
        <w:tc>
          <w:tcPr>
            <w:tcW w:w="4678" w:type="dxa"/>
          </w:tcPr>
          <w:p w14:paraId="4D6D1BED" w14:textId="16596DC9" w:rsidR="003B193C" w:rsidRPr="00ED4179" w:rsidRDefault="003B193C" w:rsidP="00786051">
            <w:pPr>
              <w:rPr>
                <w:rFonts w:ascii="Calibri" w:hAnsi="Calibri"/>
                <w:b/>
                <w:color w:val="1F497D"/>
                <w:lang w:val="en-GB"/>
              </w:rPr>
            </w:pPr>
            <w:r w:rsidRPr="00BD4402">
              <w:rPr>
                <w:rFonts w:ascii="Calibri" w:hAnsi="Calibri"/>
                <w:b/>
                <w:color w:val="1F497D"/>
                <w:lang w:val="en-GB"/>
              </w:rPr>
              <w:t>Specific observations are in order nonetheless</w:t>
            </w:r>
          </w:p>
        </w:tc>
        <w:tc>
          <w:tcPr>
            <w:tcW w:w="4672" w:type="dxa"/>
          </w:tcPr>
          <w:p w14:paraId="6DD53A0C" w14:textId="77777777" w:rsidR="00F003AD" w:rsidRDefault="00F003AD">
            <w:pPr>
              <w:rPr>
                <w:b/>
              </w:rPr>
            </w:pPr>
          </w:p>
        </w:tc>
      </w:tr>
      <w:tr w:rsidR="003B193C" w14:paraId="150ADC06" w14:textId="77777777" w:rsidTr="00786051">
        <w:tc>
          <w:tcPr>
            <w:tcW w:w="4678" w:type="dxa"/>
          </w:tcPr>
          <w:p w14:paraId="0D946841" w14:textId="77777777" w:rsidR="003B193C" w:rsidRPr="00BD4402" w:rsidRDefault="003B193C" w:rsidP="003B193C">
            <w:pPr>
              <w:rPr>
                <w:rFonts w:ascii="Calibri" w:hAnsi="Calibri"/>
                <w:color w:val="1F497D"/>
                <w:lang w:val="en-GB"/>
              </w:rPr>
            </w:pPr>
            <w:r w:rsidRPr="003B193C">
              <w:rPr>
                <w:rFonts w:ascii="Calibri" w:hAnsi="Calibri"/>
                <w:color w:val="1F497D"/>
              </w:rPr>
              <w:t xml:space="preserve">Priority 1 : Which UNDP context analysis allows the optimism in terms of impact (beyond the mere capacity building assistance component) of the economic activities described in §17 ? </w:t>
            </w:r>
          </w:p>
          <w:p w14:paraId="11704FA5" w14:textId="77777777" w:rsidR="003B193C" w:rsidRPr="00BD4402" w:rsidRDefault="003B193C">
            <w:pPr>
              <w:rPr>
                <w:rFonts w:ascii="Calibri" w:hAnsi="Calibri"/>
                <w:color w:val="1F497D"/>
                <w:lang w:val="en-GB"/>
              </w:rPr>
            </w:pPr>
          </w:p>
        </w:tc>
        <w:tc>
          <w:tcPr>
            <w:tcW w:w="4672" w:type="dxa"/>
          </w:tcPr>
          <w:p w14:paraId="1CAC321A" w14:textId="23B92C20" w:rsidR="003B193C" w:rsidRPr="00201D7D" w:rsidRDefault="00CC2D89" w:rsidP="00E16541">
            <w:pPr>
              <w:jc w:val="both"/>
            </w:pPr>
            <w:r>
              <w:t xml:space="preserve">UNDP currently has partnerships with </w:t>
            </w:r>
            <w:r w:rsidRPr="00CC2D89">
              <w:t>Federal C</w:t>
            </w:r>
            <w:r>
              <w:t xml:space="preserve">hamber of Commerce and Industry, </w:t>
            </w:r>
            <w:r w:rsidRPr="00CC2D89">
              <w:t xml:space="preserve">Rural Micro-Credit </w:t>
            </w:r>
            <w:r w:rsidRPr="00ED4179">
              <w:t>Fund and United Nations Capital Development Fund (UNCDF).</w:t>
            </w:r>
            <w:r w:rsidR="00ED4179">
              <w:t xml:space="preserve"> </w:t>
            </w:r>
            <w:r w:rsidRPr="00ED4179">
              <w:t xml:space="preserve"> </w:t>
            </w:r>
            <w:r w:rsidR="00ED4179" w:rsidRPr="00ED4179">
              <w:t xml:space="preserve">For instance, on Micro-credit – financial inclusion of 1,300 </w:t>
            </w:r>
            <w:proofErr w:type="spellStart"/>
            <w:r w:rsidR="00ED4179" w:rsidRPr="00ED4179">
              <w:t>pax</w:t>
            </w:r>
            <w:proofErr w:type="spellEnd"/>
            <w:r w:rsidR="00ED4179" w:rsidRPr="00ED4179">
              <w:t xml:space="preserve"> inclusion). </w:t>
            </w:r>
            <w:r>
              <w:t xml:space="preserve">Based on its experience and lessons from these partnerships, </w:t>
            </w:r>
            <w:r w:rsidR="00E16541">
              <w:t>UNDP sees more opportunities to scale-up economics activities (artisan, microfinance, local government economic opportunities survey).</w:t>
            </w:r>
          </w:p>
        </w:tc>
      </w:tr>
      <w:tr w:rsidR="003B193C" w14:paraId="31B750DB" w14:textId="77777777" w:rsidTr="00786051">
        <w:tc>
          <w:tcPr>
            <w:tcW w:w="4678" w:type="dxa"/>
          </w:tcPr>
          <w:p w14:paraId="5CA79E15" w14:textId="77777777" w:rsidR="00CA1F5E" w:rsidRDefault="003B193C" w:rsidP="003B193C">
            <w:pPr>
              <w:rPr>
                <w:rFonts w:ascii="Calibri" w:hAnsi="Calibri"/>
                <w:color w:val="1F497D"/>
              </w:rPr>
            </w:pPr>
            <w:r w:rsidRPr="003B193C">
              <w:rPr>
                <w:rFonts w:ascii="Calibri" w:hAnsi="Calibri"/>
                <w:color w:val="1F497D"/>
              </w:rPr>
              <w:t xml:space="preserve">Priority 2 : Sub-priorities (b) and (c) in §18 appear correct, but sub-priority </w:t>
            </w:r>
          </w:p>
          <w:p w14:paraId="2568658B" w14:textId="77777777" w:rsidR="00CA1F5E" w:rsidRDefault="00CA1F5E" w:rsidP="003B193C">
            <w:pPr>
              <w:rPr>
                <w:rFonts w:ascii="Calibri" w:hAnsi="Calibri"/>
                <w:color w:val="1F497D"/>
              </w:rPr>
            </w:pPr>
          </w:p>
          <w:p w14:paraId="310C5E23" w14:textId="77777777" w:rsidR="00672F51" w:rsidRDefault="003B193C" w:rsidP="003B193C">
            <w:pPr>
              <w:rPr>
                <w:rFonts w:ascii="Calibri" w:hAnsi="Calibri"/>
                <w:color w:val="1F497D"/>
              </w:rPr>
            </w:pPr>
            <w:r w:rsidRPr="003B193C">
              <w:rPr>
                <w:rFonts w:ascii="Calibri" w:hAnsi="Calibri"/>
                <w:color w:val="1F497D"/>
              </w:rPr>
              <w:t xml:space="preserve">(a) – support to the National Management School (ENA), </w:t>
            </w:r>
            <w:r w:rsidRPr="003B193C">
              <w:rPr>
                <w:rFonts w:ascii="Calibri" w:hAnsi="Calibri"/>
                <w:i/>
                <w:color w:val="1F497D"/>
              </w:rPr>
              <w:t xml:space="preserve">Centre de Formation </w:t>
            </w:r>
            <w:proofErr w:type="spellStart"/>
            <w:r w:rsidRPr="003B193C">
              <w:rPr>
                <w:rFonts w:ascii="Calibri" w:hAnsi="Calibri"/>
                <w:i/>
                <w:color w:val="1F497D"/>
              </w:rPr>
              <w:t>Professionnelle</w:t>
            </w:r>
            <w:proofErr w:type="spellEnd"/>
            <w:r w:rsidRPr="003B193C">
              <w:rPr>
                <w:rFonts w:ascii="Calibri" w:hAnsi="Calibri"/>
                <w:i/>
                <w:color w:val="1F497D"/>
              </w:rPr>
              <w:t xml:space="preserve"> de la Justice</w:t>
            </w:r>
            <w:r w:rsidRPr="003B193C">
              <w:rPr>
                <w:rFonts w:ascii="Calibri" w:hAnsi="Calibri"/>
                <w:color w:val="1F497D"/>
              </w:rPr>
              <w:t xml:space="preserve"> and </w:t>
            </w:r>
            <w:r w:rsidRPr="003B193C">
              <w:rPr>
                <w:rFonts w:ascii="Calibri" w:hAnsi="Calibri"/>
                <w:i/>
                <w:color w:val="1F497D"/>
              </w:rPr>
              <w:t xml:space="preserve">Centre National de Formation des </w:t>
            </w:r>
            <w:proofErr w:type="spellStart"/>
            <w:r w:rsidRPr="003B193C">
              <w:rPr>
                <w:rFonts w:ascii="Calibri" w:hAnsi="Calibri"/>
                <w:i/>
                <w:color w:val="1F497D"/>
              </w:rPr>
              <w:t>Acteurs</w:t>
            </w:r>
            <w:proofErr w:type="spellEnd"/>
            <w:r w:rsidRPr="003B193C">
              <w:rPr>
                <w:rFonts w:ascii="Calibri" w:hAnsi="Calibri"/>
                <w:i/>
                <w:color w:val="1F497D"/>
              </w:rPr>
              <w:t xml:space="preserve"> </w:t>
            </w:r>
            <w:proofErr w:type="spellStart"/>
            <w:r w:rsidRPr="003B193C">
              <w:rPr>
                <w:rFonts w:ascii="Calibri" w:hAnsi="Calibri"/>
                <w:i/>
                <w:color w:val="1F497D"/>
              </w:rPr>
              <w:t>Locaux</w:t>
            </w:r>
            <w:proofErr w:type="spellEnd"/>
            <w:r w:rsidRPr="003B193C">
              <w:rPr>
                <w:rFonts w:ascii="Calibri" w:hAnsi="Calibri"/>
                <w:color w:val="1F497D"/>
              </w:rPr>
              <w:t xml:space="preserve"> could benefit from a more thorough risk analysis, as it seems to a certain degree disconnected from Burundi’s current realities;</w:t>
            </w:r>
          </w:p>
          <w:p w14:paraId="428439FC" w14:textId="77777777" w:rsidR="00672F51" w:rsidRDefault="00672F51" w:rsidP="003B193C">
            <w:pPr>
              <w:rPr>
                <w:rFonts w:ascii="Calibri" w:hAnsi="Calibri"/>
                <w:color w:val="1F497D"/>
              </w:rPr>
            </w:pPr>
          </w:p>
          <w:p w14:paraId="65B14725" w14:textId="77777777" w:rsidR="00EC172F" w:rsidRDefault="00EC172F" w:rsidP="003B193C">
            <w:pPr>
              <w:rPr>
                <w:rFonts w:ascii="Calibri" w:hAnsi="Calibri"/>
                <w:color w:val="1F497D"/>
              </w:rPr>
            </w:pPr>
          </w:p>
          <w:p w14:paraId="5D034509" w14:textId="77777777" w:rsidR="00EC172F" w:rsidRDefault="00EC172F" w:rsidP="003B193C">
            <w:pPr>
              <w:rPr>
                <w:rFonts w:ascii="Calibri" w:hAnsi="Calibri"/>
                <w:color w:val="1F497D"/>
              </w:rPr>
            </w:pPr>
          </w:p>
          <w:p w14:paraId="617C4801" w14:textId="77777777" w:rsidR="00EC172F" w:rsidRDefault="00EC172F" w:rsidP="003B193C">
            <w:pPr>
              <w:rPr>
                <w:rFonts w:ascii="Calibri" w:hAnsi="Calibri"/>
                <w:color w:val="1F497D"/>
              </w:rPr>
            </w:pPr>
          </w:p>
          <w:p w14:paraId="77E3311E" w14:textId="77777777" w:rsidR="00EC172F" w:rsidRDefault="00EC172F" w:rsidP="003B193C">
            <w:pPr>
              <w:rPr>
                <w:rFonts w:ascii="Calibri" w:hAnsi="Calibri"/>
                <w:color w:val="1F497D"/>
              </w:rPr>
            </w:pPr>
          </w:p>
          <w:p w14:paraId="61E0352C" w14:textId="77777777" w:rsidR="00053CF5" w:rsidRDefault="00053CF5" w:rsidP="003B193C">
            <w:pPr>
              <w:rPr>
                <w:rFonts w:ascii="Calibri" w:hAnsi="Calibri"/>
                <w:color w:val="1F497D"/>
              </w:rPr>
            </w:pPr>
          </w:p>
          <w:p w14:paraId="7164BAC3" w14:textId="77777777" w:rsidR="00053CF5" w:rsidRDefault="00053CF5" w:rsidP="003B193C">
            <w:pPr>
              <w:rPr>
                <w:rFonts w:ascii="Calibri" w:hAnsi="Calibri"/>
                <w:color w:val="1F497D"/>
              </w:rPr>
            </w:pPr>
          </w:p>
          <w:p w14:paraId="405DCC9E" w14:textId="77777777" w:rsidR="00EC172F" w:rsidRDefault="00EC172F" w:rsidP="003B193C">
            <w:pPr>
              <w:rPr>
                <w:rFonts w:ascii="Calibri" w:hAnsi="Calibri"/>
                <w:color w:val="1F497D"/>
              </w:rPr>
            </w:pPr>
          </w:p>
          <w:p w14:paraId="697F93F3" w14:textId="77777777" w:rsidR="00201D7D" w:rsidRDefault="00201D7D" w:rsidP="003B193C">
            <w:pPr>
              <w:rPr>
                <w:rFonts w:ascii="Calibri" w:hAnsi="Calibri"/>
                <w:color w:val="1F497D"/>
              </w:rPr>
            </w:pPr>
          </w:p>
          <w:p w14:paraId="5E5BC737" w14:textId="77777777" w:rsidR="00EC172F" w:rsidRDefault="00EC172F" w:rsidP="003B193C">
            <w:pPr>
              <w:rPr>
                <w:rFonts w:ascii="Calibri" w:hAnsi="Calibri"/>
                <w:color w:val="1F497D"/>
              </w:rPr>
            </w:pPr>
          </w:p>
          <w:p w14:paraId="01F65F14" w14:textId="77777777" w:rsidR="006878F3" w:rsidRDefault="003B193C" w:rsidP="003B193C">
            <w:pPr>
              <w:rPr>
                <w:rFonts w:ascii="Calibri" w:hAnsi="Calibri"/>
                <w:color w:val="1F497D"/>
              </w:rPr>
            </w:pPr>
            <w:r w:rsidRPr="003B193C">
              <w:rPr>
                <w:rFonts w:ascii="Calibri" w:hAnsi="Calibri"/>
                <w:color w:val="1F497D"/>
              </w:rPr>
              <w:t xml:space="preserve"> </w:t>
            </w:r>
          </w:p>
          <w:p w14:paraId="63AA2A6D" w14:textId="77777777" w:rsidR="006878F3" w:rsidRDefault="006878F3" w:rsidP="003B193C">
            <w:pPr>
              <w:rPr>
                <w:rFonts w:ascii="Calibri" w:hAnsi="Calibri"/>
                <w:color w:val="1F497D"/>
              </w:rPr>
            </w:pPr>
          </w:p>
          <w:p w14:paraId="122A7F3B" w14:textId="77777777" w:rsidR="006878F3" w:rsidRDefault="006878F3" w:rsidP="003B193C">
            <w:pPr>
              <w:rPr>
                <w:rFonts w:ascii="Calibri" w:hAnsi="Calibri"/>
                <w:color w:val="1F497D"/>
              </w:rPr>
            </w:pPr>
          </w:p>
          <w:p w14:paraId="035FA692" w14:textId="77777777" w:rsidR="003B193C" w:rsidRPr="003B193C" w:rsidRDefault="006878F3" w:rsidP="003B193C">
            <w:pPr>
              <w:rPr>
                <w:rFonts w:ascii="Calibri" w:hAnsi="Calibri"/>
                <w:color w:val="1F497D"/>
              </w:rPr>
            </w:pPr>
            <w:r>
              <w:rPr>
                <w:rFonts w:ascii="Calibri" w:hAnsi="Calibri"/>
                <w:color w:val="1F497D"/>
              </w:rPr>
              <w:t>I</w:t>
            </w:r>
            <w:r w:rsidR="003B193C" w:rsidRPr="003B193C">
              <w:rPr>
                <w:rFonts w:ascii="Calibri" w:hAnsi="Calibri"/>
                <w:color w:val="1F497D"/>
              </w:rPr>
              <w:t xml:space="preserve">n §19, a Belgian role in terms of support to decentralization is mentioned, but it is not obvious to us which intervention is referred to. If the Belgian Food Security Fund is the one referenced, it deserves to be highlighted that its operations will not be continued past 2018;  </w:t>
            </w:r>
          </w:p>
          <w:p w14:paraId="0785E1FE" w14:textId="77777777" w:rsidR="003B193C" w:rsidRPr="00E531B2" w:rsidRDefault="003B193C" w:rsidP="003B193C">
            <w:pPr>
              <w:pStyle w:val="ListParagraph"/>
              <w:ind w:left="1440"/>
              <w:rPr>
                <w:rFonts w:ascii="Calibri" w:hAnsi="Calibri"/>
                <w:color w:val="1F497D"/>
                <w:sz w:val="22"/>
                <w:szCs w:val="22"/>
              </w:rPr>
            </w:pPr>
          </w:p>
        </w:tc>
        <w:tc>
          <w:tcPr>
            <w:tcW w:w="4672" w:type="dxa"/>
          </w:tcPr>
          <w:p w14:paraId="363B9488" w14:textId="77777777" w:rsidR="00CA1F5E" w:rsidRPr="00BD4402" w:rsidRDefault="003F17DF" w:rsidP="003F17DF">
            <w:pPr>
              <w:jc w:val="both"/>
              <w:rPr>
                <w:i/>
                <w:lang w:val="fr-FR"/>
              </w:rPr>
            </w:pPr>
            <w:r w:rsidRPr="00BD4402">
              <w:rPr>
                <w:lang w:val="fr-FR"/>
              </w:rPr>
              <w:lastRenderedPageBreak/>
              <w:t xml:space="preserve">UNDP has partnerships </w:t>
            </w:r>
            <w:proofErr w:type="spellStart"/>
            <w:r w:rsidRPr="00BD4402">
              <w:rPr>
                <w:lang w:val="fr-FR"/>
              </w:rPr>
              <w:t>with</w:t>
            </w:r>
            <w:proofErr w:type="spellEnd"/>
            <w:r w:rsidRPr="00BD4402">
              <w:rPr>
                <w:lang w:val="fr-FR"/>
              </w:rPr>
              <w:t xml:space="preserve"> ENA, </w:t>
            </w:r>
            <w:r w:rsidRPr="00BD4402">
              <w:rPr>
                <w:i/>
                <w:lang w:val="fr-FR"/>
              </w:rPr>
              <w:t xml:space="preserve">Centre de Formation Professionnelle de la Justice and Centre National de Formation des Acteurs Locaux. </w:t>
            </w:r>
          </w:p>
          <w:p w14:paraId="26BDF548" w14:textId="77777777" w:rsidR="00190F27" w:rsidRDefault="0068472D" w:rsidP="00201D7D">
            <w:pPr>
              <w:jc w:val="both"/>
            </w:pPr>
            <w:r>
              <w:t xml:space="preserve">Priority 2 is intended to improve public service delivery to local population. However, the quality of service delivery (justice, administration, police…) is low because of </w:t>
            </w:r>
            <w:r w:rsidR="00427CBF">
              <w:t>weak capacities</w:t>
            </w:r>
            <w:r>
              <w:t xml:space="preserve"> of national and local institutions.</w:t>
            </w:r>
          </w:p>
          <w:p w14:paraId="607796C2" w14:textId="77777777" w:rsidR="0068472D" w:rsidRDefault="00190F27" w:rsidP="00201D7D">
            <w:pPr>
              <w:jc w:val="both"/>
            </w:pPr>
            <w:r>
              <w:t xml:space="preserve">UNDP will leverage on partnerships with the above-mentioned institutions to improve capacities of national and local institutions responsible </w:t>
            </w:r>
            <w:r w:rsidR="006878F3">
              <w:t>for the</w:t>
            </w:r>
            <w:r>
              <w:t xml:space="preserve"> service delivery to the population.</w:t>
            </w:r>
          </w:p>
          <w:p w14:paraId="66DF74E1" w14:textId="48CA27EB" w:rsidR="00E16541" w:rsidRDefault="00190F27" w:rsidP="00E16541">
            <w:pPr>
              <w:jc w:val="both"/>
            </w:pPr>
            <w:r>
              <w:t xml:space="preserve">Also, UNDP has facilitated South-South cooperation between ENA Burundi and ENAM Cameroon, </w:t>
            </w:r>
            <w:r w:rsidRPr="003F17DF">
              <w:rPr>
                <w:i/>
              </w:rPr>
              <w:t xml:space="preserve">Centre de Formation </w:t>
            </w:r>
            <w:proofErr w:type="spellStart"/>
            <w:r w:rsidRPr="003F17DF">
              <w:rPr>
                <w:i/>
              </w:rPr>
              <w:t>Professionnelle</w:t>
            </w:r>
            <w:proofErr w:type="spellEnd"/>
            <w:r w:rsidRPr="003F17DF">
              <w:rPr>
                <w:i/>
              </w:rPr>
              <w:t xml:space="preserve"> de la Justice</w:t>
            </w:r>
            <w:r>
              <w:t xml:space="preserve"> Burundi and </w:t>
            </w:r>
            <w:r w:rsidRPr="003F17DF">
              <w:rPr>
                <w:i/>
              </w:rPr>
              <w:t xml:space="preserve">Centre de Formation </w:t>
            </w:r>
            <w:proofErr w:type="spellStart"/>
            <w:r w:rsidRPr="003F17DF">
              <w:rPr>
                <w:i/>
              </w:rPr>
              <w:lastRenderedPageBreak/>
              <w:t>Professionnelle</w:t>
            </w:r>
            <w:proofErr w:type="spellEnd"/>
            <w:r w:rsidRPr="003F17DF">
              <w:rPr>
                <w:i/>
              </w:rPr>
              <w:t xml:space="preserve"> de la Justice</w:t>
            </w:r>
            <w:r>
              <w:t xml:space="preserve"> </w:t>
            </w:r>
            <w:r w:rsidR="00D45391">
              <w:t>Cote d’Ivoire</w:t>
            </w:r>
            <w:r>
              <w:t>.</w:t>
            </w:r>
            <w:r w:rsidR="006878F3">
              <w:t xml:space="preserve"> In addition, UNDP is exploring a partnership between ENA-France and ENA Burundi. This risk</w:t>
            </w:r>
            <w:r>
              <w:t xml:space="preserve"> analysis</w:t>
            </w:r>
            <w:r w:rsidR="006878F3">
              <w:t xml:space="preserve"> will be used</w:t>
            </w:r>
            <w:r>
              <w:t xml:space="preserve"> to improve </w:t>
            </w:r>
            <w:r w:rsidR="006878F3">
              <w:t>UNDP</w:t>
            </w:r>
            <w:r>
              <w:t xml:space="preserve"> operations</w:t>
            </w:r>
            <w:r w:rsidR="006878F3">
              <w:t>/interventions</w:t>
            </w:r>
            <w:r>
              <w:t>.</w:t>
            </w:r>
          </w:p>
          <w:p w14:paraId="2593C4DD" w14:textId="77777777" w:rsidR="00E16541" w:rsidRDefault="00E16541" w:rsidP="00E16541">
            <w:pPr>
              <w:jc w:val="both"/>
            </w:pPr>
          </w:p>
          <w:p w14:paraId="30F4260E" w14:textId="77777777" w:rsidR="00E16541" w:rsidRDefault="000F2468" w:rsidP="00E16541">
            <w:pPr>
              <w:jc w:val="both"/>
            </w:pPr>
            <w:r>
              <w:t>UNDP is supporting the evaluation process of the former decentralization policy and design of the current policy. Partners mentioned in §19 were consulted and UNDP intends to establish partnerships with them.</w:t>
            </w:r>
          </w:p>
          <w:p w14:paraId="2164C3C6" w14:textId="77777777" w:rsidR="00E16541" w:rsidRPr="00E16541" w:rsidRDefault="00E16541" w:rsidP="00E16541">
            <w:pPr>
              <w:jc w:val="both"/>
            </w:pPr>
          </w:p>
        </w:tc>
      </w:tr>
      <w:tr w:rsidR="003B193C" w14:paraId="3E90CEED" w14:textId="77777777" w:rsidTr="00786051">
        <w:tc>
          <w:tcPr>
            <w:tcW w:w="4678" w:type="dxa"/>
          </w:tcPr>
          <w:p w14:paraId="60A5B7CD" w14:textId="77777777" w:rsidR="003B193C" w:rsidRPr="003B193C" w:rsidRDefault="003B193C" w:rsidP="003B193C">
            <w:pPr>
              <w:rPr>
                <w:rFonts w:ascii="Calibri" w:hAnsi="Calibri"/>
                <w:color w:val="1F497D"/>
              </w:rPr>
            </w:pPr>
            <w:r w:rsidRPr="003B193C">
              <w:rPr>
                <w:rFonts w:ascii="Calibri" w:hAnsi="Calibri"/>
                <w:color w:val="1F497D"/>
              </w:rPr>
              <w:lastRenderedPageBreak/>
              <w:t>Priority 3</w:t>
            </w:r>
            <w:r w:rsidR="006878F3">
              <w:rPr>
                <w:rFonts w:ascii="Calibri" w:hAnsi="Calibri"/>
                <w:color w:val="1F497D"/>
              </w:rPr>
              <w:t xml:space="preserve"> </w:t>
            </w:r>
            <w:r w:rsidRPr="003B193C">
              <w:rPr>
                <w:rFonts w:ascii="Calibri" w:hAnsi="Calibri"/>
                <w:color w:val="1F497D"/>
              </w:rPr>
              <w:t>: Please expand on the sustainability dimension of support to the establishment of mini-grids (etc.) in §23; UNDP proposes itself as a bridge-builder between bilateral donors and the government in §24: is that its role ?</w:t>
            </w:r>
          </w:p>
          <w:p w14:paraId="50890FEF" w14:textId="77777777" w:rsidR="003B193C" w:rsidRPr="00313DBD" w:rsidRDefault="003B193C" w:rsidP="003B193C">
            <w:pPr>
              <w:pStyle w:val="ListParagraph"/>
              <w:ind w:left="1440"/>
              <w:rPr>
                <w:rFonts w:ascii="Calibri" w:hAnsi="Calibri"/>
                <w:color w:val="1F497D"/>
                <w:sz w:val="22"/>
                <w:szCs w:val="22"/>
              </w:rPr>
            </w:pPr>
          </w:p>
        </w:tc>
        <w:tc>
          <w:tcPr>
            <w:tcW w:w="4672" w:type="dxa"/>
          </w:tcPr>
          <w:p w14:paraId="35352335" w14:textId="77777777" w:rsidR="003B193C" w:rsidRDefault="002774FD" w:rsidP="002774FD">
            <w:pPr>
              <w:jc w:val="both"/>
            </w:pPr>
            <w:r w:rsidRPr="00A85CC7">
              <w:rPr>
                <w:b/>
              </w:rPr>
              <w:t>§23</w:t>
            </w:r>
            <w:r w:rsidRPr="002774FD">
              <w:t xml:space="preserve">. </w:t>
            </w:r>
            <w:r w:rsidR="002344A0" w:rsidRPr="002344A0">
              <w:t xml:space="preserve">UNDP will develop </w:t>
            </w:r>
            <w:r w:rsidR="002344A0">
              <w:t>public-</w:t>
            </w:r>
            <w:r w:rsidR="002344A0" w:rsidRPr="002344A0">
              <w:t xml:space="preserve">private partnership to </w:t>
            </w:r>
            <w:r w:rsidR="0049459E">
              <w:t>ensure</w:t>
            </w:r>
            <w:r w:rsidR="0049459E" w:rsidRPr="0049459E">
              <w:t xml:space="preserve"> reliable operation of the mini-grid system over its expected lifetime with minimal interruption.</w:t>
            </w:r>
            <w:r w:rsidR="00850DD5">
              <w:t xml:space="preserve"> </w:t>
            </w:r>
            <w:r w:rsidR="002344A0">
              <w:t>A pay-as-</w:t>
            </w:r>
            <w:r w:rsidR="004E1F74">
              <w:t>you-</w:t>
            </w:r>
            <w:r w:rsidR="002344A0">
              <w:t>go</w:t>
            </w:r>
            <w:r w:rsidR="00850DD5">
              <w:t xml:space="preserve"> system</w:t>
            </w:r>
            <w:r w:rsidR="004E1F74">
              <w:t xml:space="preserve"> will be established </w:t>
            </w:r>
            <w:r w:rsidR="0049459E">
              <w:t>to provide</w:t>
            </w:r>
            <w:r w:rsidR="0049459E" w:rsidRPr="0049459E">
              <w:t xml:space="preserve"> affordable tariffs for consumers while ensuring financial viability over the long term with adequate revenue to cover operational expenses, liabilities, and profit</w:t>
            </w:r>
            <w:r w:rsidR="0049459E">
              <w:t xml:space="preserve">. UNDP will </w:t>
            </w:r>
            <w:r w:rsidR="0049459E" w:rsidRPr="0049459E">
              <w:t xml:space="preserve">define social sustainability </w:t>
            </w:r>
            <w:r w:rsidR="0049459E">
              <w:t xml:space="preserve">standard </w:t>
            </w:r>
            <w:r w:rsidR="0049459E" w:rsidRPr="0049459E">
              <w:t xml:space="preserve">to include the level of community involvement and ensure that the mini-grid system </w:t>
            </w:r>
            <w:r w:rsidR="0049459E">
              <w:t>is adapted</w:t>
            </w:r>
            <w:r w:rsidR="0049459E" w:rsidRPr="0049459E">
              <w:t xml:space="preserve"> to the local context</w:t>
            </w:r>
            <w:r w:rsidR="0049459E">
              <w:t>.</w:t>
            </w:r>
          </w:p>
          <w:p w14:paraId="52948ADC" w14:textId="77777777" w:rsidR="002774FD" w:rsidRPr="002774FD" w:rsidRDefault="002774FD" w:rsidP="002774FD">
            <w:pPr>
              <w:jc w:val="both"/>
            </w:pPr>
          </w:p>
          <w:p w14:paraId="279FF543" w14:textId="1B61CA0E" w:rsidR="002774FD" w:rsidRPr="002774FD" w:rsidRDefault="002774FD" w:rsidP="002774FD">
            <w:pPr>
              <w:jc w:val="both"/>
            </w:pPr>
            <w:r w:rsidRPr="00A85CC7">
              <w:rPr>
                <w:b/>
              </w:rPr>
              <w:t>§24</w:t>
            </w:r>
            <w:r w:rsidRPr="002774FD">
              <w:t xml:space="preserve">. </w:t>
            </w:r>
            <w:r w:rsidR="001A129B">
              <w:t xml:space="preserve">In partnership with Belgian cooperation, </w:t>
            </w:r>
            <w:r w:rsidR="00FC4AC4">
              <w:t xml:space="preserve">UNDP </w:t>
            </w:r>
            <w:r w:rsidR="001A129B">
              <w:t xml:space="preserve">had </w:t>
            </w:r>
            <w:r w:rsidR="00FC4AC4">
              <w:t>play</w:t>
            </w:r>
            <w:r w:rsidR="001A129B">
              <w:t>ed</w:t>
            </w:r>
            <w:r w:rsidR="00FC4AC4">
              <w:t xml:space="preserve"> an important role on the </w:t>
            </w:r>
            <w:r w:rsidR="001A129B">
              <w:t xml:space="preserve">partners’ aid </w:t>
            </w:r>
            <w:r w:rsidR="00FC4AC4">
              <w:t>coordination</w:t>
            </w:r>
            <w:r w:rsidR="00A00A3E">
              <w:t xml:space="preserve">. For instance, UNDP implemented </w:t>
            </w:r>
            <w:r w:rsidR="001A129B">
              <w:t xml:space="preserve">the </w:t>
            </w:r>
            <w:proofErr w:type="spellStart"/>
            <w:r w:rsidR="00A00A3E">
              <w:t>projet</w:t>
            </w:r>
            <w:proofErr w:type="spellEnd"/>
            <w:r w:rsidR="00A00A3E">
              <w:t xml:space="preserve"> CNCA – Conseil National de Coordination de </w:t>
            </w:r>
            <w:proofErr w:type="spellStart"/>
            <w:r w:rsidR="00A00A3E">
              <w:t>l’Aide</w:t>
            </w:r>
            <w:proofErr w:type="spellEnd"/>
            <w:r w:rsidR="00A00A3E">
              <w:t>).</w:t>
            </w:r>
            <w:r w:rsidR="001A129B">
              <w:t xml:space="preserve"> With the new CPD, UNDP will support the UN, through RC, in the implementation of the new </w:t>
            </w:r>
            <w:r w:rsidR="001A129B" w:rsidRPr="001A129B">
              <w:t xml:space="preserve">Donor / UN Coordination Platform in Burundi  </w:t>
            </w:r>
          </w:p>
        </w:tc>
      </w:tr>
      <w:tr w:rsidR="003B193C" w14:paraId="5CFB0EA9" w14:textId="77777777" w:rsidTr="00786051">
        <w:tc>
          <w:tcPr>
            <w:tcW w:w="4678" w:type="dxa"/>
          </w:tcPr>
          <w:p w14:paraId="545F2DCB" w14:textId="77777777" w:rsidR="003B193C" w:rsidRPr="003B193C" w:rsidRDefault="003B193C" w:rsidP="003B193C">
            <w:pPr>
              <w:rPr>
                <w:rFonts w:ascii="Calibri" w:hAnsi="Calibri"/>
                <w:color w:val="1F497D"/>
              </w:rPr>
            </w:pPr>
            <w:r w:rsidRPr="003B193C">
              <w:rPr>
                <w:rFonts w:ascii="Calibri" w:hAnsi="Calibri"/>
                <w:color w:val="1F497D"/>
              </w:rPr>
              <w:t>§28 – national execution:</w:t>
            </w:r>
            <w:r w:rsidR="007F6803">
              <w:rPr>
                <w:rFonts w:ascii="Calibri" w:hAnsi="Calibri"/>
                <w:color w:val="1F497D"/>
              </w:rPr>
              <w:t xml:space="preserve"> </w:t>
            </w:r>
            <w:r w:rsidRPr="003B193C">
              <w:rPr>
                <w:rFonts w:ascii="Calibri" w:hAnsi="Calibri"/>
                <w:color w:val="1F497D"/>
              </w:rPr>
              <w:t xml:space="preserve"> we perceive a possible contradiction between this point and the context analysis. Will the </w:t>
            </w:r>
            <w:proofErr w:type="spellStart"/>
            <w:r w:rsidRPr="003B193C">
              <w:rPr>
                <w:rFonts w:ascii="Calibri" w:hAnsi="Calibri"/>
                <w:color w:val="1F497D"/>
              </w:rPr>
              <w:t>programme</w:t>
            </w:r>
            <w:proofErr w:type="spellEnd"/>
            <w:r w:rsidRPr="003B193C">
              <w:rPr>
                <w:rFonts w:ascii="Calibri" w:hAnsi="Calibri"/>
                <w:color w:val="1F497D"/>
              </w:rPr>
              <w:t xml:space="preserve"> be directly implemented by UNDP, or only in exceptional circumstances? </w:t>
            </w:r>
          </w:p>
          <w:p w14:paraId="626C9A76" w14:textId="77777777" w:rsidR="003B193C" w:rsidRPr="00313DBD" w:rsidRDefault="003B193C" w:rsidP="003B193C">
            <w:pPr>
              <w:pStyle w:val="ListParagraph"/>
              <w:ind w:left="1440"/>
              <w:rPr>
                <w:rFonts w:ascii="Calibri" w:hAnsi="Calibri"/>
                <w:color w:val="1F497D"/>
                <w:sz w:val="22"/>
                <w:szCs w:val="22"/>
              </w:rPr>
            </w:pPr>
          </w:p>
        </w:tc>
        <w:tc>
          <w:tcPr>
            <w:tcW w:w="4672" w:type="dxa"/>
          </w:tcPr>
          <w:p w14:paraId="7B6E9946" w14:textId="77777777" w:rsidR="007F6803" w:rsidRPr="003C33BA" w:rsidRDefault="003C33BA" w:rsidP="006A4A10">
            <w:pPr>
              <w:jc w:val="both"/>
            </w:pPr>
            <w:r>
              <w:t>To promote national capacity building and ownership of development results, UNDP will use national implementation modality. To this effect, UNDP will do a micro-assessment of national capacities to identify strengths and weaknesses</w:t>
            </w:r>
            <w:r w:rsidR="006878F3">
              <w:t>, including risks</w:t>
            </w:r>
            <w:r>
              <w:t xml:space="preserve">. Depending on the </w:t>
            </w:r>
            <w:r w:rsidR="006878F3">
              <w:t xml:space="preserve">result </w:t>
            </w:r>
            <w:r>
              <w:t xml:space="preserve">of this assessment, </w:t>
            </w:r>
            <w:r w:rsidR="006A4A10">
              <w:t xml:space="preserve">a decision on </w:t>
            </w:r>
            <w:r>
              <w:t xml:space="preserve">the implementation modality will be </w:t>
            </w:r>
            <w:r w:rsidR="006A4A10">
              <w:t>made.</w:t>
            </w:r>
            <w:r w:rsidR="006878F3">
              <w:t xml:space="preserve"> For instance, currently most of UNDP </w:t>
            </w:r>
            <w:r w:rsidR="00823A9B">
              <w:t>projects are directly implemented (based on the above</w:t>
            </w:r>
            <w:r w:rsidR="004D51C5">
              <w:t>-</w:t>
            </w:r>
            <w:r w:rsidR="00823A9B">
              <w:t xml:space="preserve"> mentioned assessment). </w:t>
            </w:r>
          </w:p>
        </w:tc>
      </w:tr>
      <w:tr w:rsidR="003B193C" w14:paraId="2FAFE1A0" w14:textId="77777777" w:rsidTr="00786051">
        <w:tc>
          <w:tcPr>
            <w:tcW w:w="4678" w:type="dxa"/>
          </w:tcPr>
          <w:p w14:paraId="266E4988" w14:textId="77777777" w:rsidR="003B193C" w:rsidRPr="003B193C" w:rsidRDefault="003B193C" w:rsidP="003B193C">
            <w:pPr>
              <w:rPr>
                <w:rFonts w:ascii="Calibri" w:hAnsi="Calibri"/>
                <w:color w:val="1F497D"/>
              </w:rPr>
            </w:pPr>
            <w:r w:rsidRPr="003B193C">
              <w:rPr>
                <w:rFonts w:ascii="Calibri" w:hAnsi="Calibri"/>
                <w:color w:val="1F497D"/>
              </w:rPr>
              <w:t>§32 – risk analysis: Political crisis risk seems not to be included or analyzed, unless it would be more generally subsumed under (e) (“weak institutional capacity”) of course.</w:t>
            </w:r>
          </w:p>
          <w:p w14:paraId="70079B9A" w14:textId="77777777" w:rsidR="003B193C" w:rsidRPr="00313DBD" w:rsidRDefault="003B193C" w:rsidP="003B193C">
            <w:pPr>
              <w:pStyle w:val="ListParagraph"/>
              <w:rPr>
                <w:rFonts w:ascii="Calibri" w:hAnsi="Calibri"/>
                <w:color w:val="1F497D"/>
                <w:sz w:val="22"/>
                <w:szCs w:val="22"/>
              </w:rPr>
            </w:pPr>
          </w:p>
        </w:tc>
        <w:tc>
          <w:tcPr>
            <w:tcW w:w="4672" w:type="dxa"/>
          </w:tcPr>
          <w:p w14:paraId="6EE961CC" w14:textId="11913EAD" w:rsidR="00346824" w:rsidRDefault="00346824" w:rsidP="00346824">
            <w:pPr>
              <w:jc w:val="both"/>
            </w:pPr>
            <w:r>
              <w:lastRenderedPageBreak/>
              <w:t>Given the sensitivity of risk related to political crisis in Burundi, this risk is</w:t>
            </w:r>
            <w:bookmarkStart w:id="0" w:name="_GoBack"/>
            <w:bookmarkEnd w:id="0"/>
            <w:r>
              <w:t xml:space="preserve"> considered in weak institutional capacity.</w:t>
            </w:r>
            <w:r w:rsidR="00447F5C">
              <w:t xml:space="preserve"> </w:t>
            </w:r>
            <w:r w:rsidR="00823A9B">
              <w:t xml:space="preserve">Bearing in mind that the </w:t>
            </w:r>
            <w:r w:rsidR="00823A9B">
              <w:lastRenderedPageBreak/>
              <w:t>CPD has to be endorsed by the Government. Hence, the</w:t>
            </w:r>
            <w:r w:rsidR="001A129B">
              <w:t xml:space="preserve"> </w:t>
            </w:r>
            <w:r w:rsidR="001A129B" w:rsidRPr="001A129B">
              <w:t xml:space="preserve">need to strike a </w:t>
            </w:r>
            <w:r w:rsidR="00823A9B">
              <w:t>balance</w:t>
            </w:r>
            <w:r w:rsidR="00FF55B6">
              <w:t xml:space="preserve"> in the CPD</w:t>
            </w:r>
            <w:r w:rsidR="00823A9B">
              <w:t xml:space="preserve">! </w:t>
            </w:r>
          </w:p>
          <w:p w14:paraId="0A59BCE2" w14:textId="77777777" w:rsidR="00243D10" w:rsidRPr="00201D7D" w:rsidRDefault="00447F5C" w:rsidP="00823A9B">
            <w:pPr>
              <w:jc w:val="both"/>
            </w:pPr>
            <w:r>
              <w:t>However, the current Program will support peacebuilding actions to prevent or mitigate conflict at community level.</w:t>
            </w:r>
          </w:p>
        </w:tc>
      </w:tr>
    </w:tbl>
    <w:p w14:paraId="096F8175" w14:textId="77777777" w:rsidR="004D3291" w:rsidRDefault="004D3291">
      <w:pPr>
        <w:rPr>
          <w:b/>
        </w:rPr>
      </w:pPr>
    </w:p>
    <w:p w14:paraId="15C6202D" w14:textId="77777777" w:rsidR="004D3291" w:rsidRDefault="004D3291">
      <w:pPr>
        <w:rPr>
          <w:b/>
        </w:rPr>
      </w:pPr>
    </w:p>
    <w:p w14:paraId="6CCD1A70" w14:textId="77777777" w:rsidR="00273AF6" w:rsidRPr="00273AF6" w:rsidRDefault="00273AF6" w:rsidP="00273AF6">
      <w:pPr>
        <w:rPr>
          <w:b/>
        </w:rPr>
      </w:pPr>
    </w:p>
    <w:sectPr w:rsidR="00273AF6" w:rsidRPr="00273AF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A629" w14:textId="77777777" w:rsidR="00412143" w:rsidRDefault="00412143" w:rsidP="00D45391">
      <w:pPr>
        <w:spacing w:after="0" w:line="240" w:lineRule="auto"/>
      </w:pPr>
      <w:r>
        <w:separator/>
      </w:r>
    </w:p>
  </w:endnote>
  <w:endnote w:type="continuationSeparator" w:id="0">
    <w:p w14:paraId="3B078577" w14:textId="77777777" w:rsidR="00412143" w:rsidRDefault="00412143" w:rsidP="00D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339576"/>
      <w:docPartObj>
        <w:docPartGallery w:val="Page Numbers (Bottom of Page)"/>
        <w:docPartUnique/>
      </w:docPartObj>
    </w:sdtPr>
    <w:sdtEndPr>
      <w:rPr>
        <w:noProof/>
      </w:rPr>
    </w:sdtEndPr>
    <w:sdtContent>
      <w:p w14:paraId="38B68A63" w14:textId="77777777" w:rsidR="00D45391" w:rsidRDefault="00D45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7DAA5" w14:textId="77777777" w:rsidR="00D45391" w:rsidRDefault="00D4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0322" w14:textId="77777777" w:rsidR="00412143" w:rsidRDefault="00412143" w:rsidP="00D45391">
      <w:pPr>
        <w:spacing w:after="0" w:line="240" w:lineRule="auto"/>
      </w:pPr>
      <w:r>
        <w:separator/>
      </w:r>
    </w:p>
  </w:footnote>
  <w:footnote w:type="continuationSeparator" w:id="0">
    <w:p w14:paraId="6A474A25" w14:textId="77777777" w:rsidR="00412143" w:rsidRDefault="00412143" w:rsidP="00D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4A70"/>
    <w:multiLevelType w:val="hybridMultilevel"/>
    <w:tmpl w:val="CA526710"/>
    <w:lvl w:ilvl="0" w:tplc="7584A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06FBE"/>
    <w:multiLevelType w:val="hybridMultilevel"/>
    <w:tmpl w:val="3BD4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6"/>
    <w:rsid w:val="00053CF5"/>
    <w:rsid w:val="000F2468"/>
    <w:rsid w:val="00103DFA"/>
    <w:rsid w:val="00126E84"/>
    <w:rsid w:val="00190F27"/>
    <w:rsid w:val="001A129B"/>
    <w:rsid w:val="001B2E5C"/>
    <w:rsid w:val="00201D7D"/>
    <w:rsid w:val="002344A0"/>
    <w:rsid w:val="00243D10"/>
    <w:rsid w:val="00273AF6"/>
    <w:rsid w:val="002774FD"/>
    <w:rsid w:val="00313DBD"/>
    <w:rsid w:val="00346824"/>
    <w:rsid w:val="003838D0"/>
    <w:rsid w:val="003B193C"/>
    <w:rsid w:val="003C33BA"/>
    <w:rsid w:val="003C3CC3"/>
    <w:rsid w:val="003F17DF"/>
    <w:rsid w:val="00412143"/>
    <w:rsid w:val="00427CBF"/>
    <w:rsid w:val="00447F5C"/>
    <w:rsid w:val="0049459E"/>
    <w:rsid w:val="004D3291"/>
    <w:rsid w:val="004D51C5"/>
    <w:rsid w:val="004E1F74"/>
    <w:rsid w:val="00505C41"/>
    <w:rsid w:val="00672F51"/>
    <w:rsid w:val="0068472D"/>
    <w:rsid w:val="006878F3"/>
    <w:rsid w:val="006A4A10"/>
    <w:rsid w:val="006C1113"/>
    <w:rsid w:val="0071695A"/>
    <w:rsid w:val="00786051"/>
    <w:rsid w:val="007C5F0E"/>
    <w:rsid w:val="007F6803"/>
    <w:rsid w:val="00823A9B"/>
    <w:rsid w:val="00850DD5"/>
    <w:rsid w:val="00882076"/>
    <w:rsid w:val="008E7B9D"/>
    <w:rsid w:val="00950127"/>
    <w:rsid w:val="00962AFA"/>
    <w:rsid w:val="00A00A3E"/>
    <w:rsid w:val="00A103E2"/>
    <w:rsid w:val="00A13BAA"/>
    <w:rsid w:val="00A85CC7"/>
    <w:rsid w:val="00B978B4"/>
    <w:rsid w:val="00BA5E76"/>
    <w:rsid w:val="00BD4402"/>
    <w:rsid w:val="00CA1F5E"/>
    <w:rsid w:val="00CC2D89"/>
    <w:rsid w:val="00D016A7"/>
    <w:rsid w:val="00D45391"/>
    <w:rsid w:val="00DB0681"/>
    <w:rsid w:val="00E16541"/>
    <w:rsid w:val="00E531B2"/>
    <w:rsid w:val="00EC172F"/>
    <w:rsid w:val="00ED4179"/>
    <w:rsid w:val="00EF3B4B"/>
    <w:rsid w:val="00F003AD"/>
    <w:rsid w:val="00F064B2"/>
    <w:rsid w:val="00F32B78"/>
    <w:rsid w:val="00F65800"/>
    <w:rsid w:val="00FC4AC4"/>
    <w:rsid w:val="00FF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7798"/>
  <w15:docId w15:val="{568CA41A-1E2D-4B51-9600-C8A1D36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F6"/>
    <w:pPr>
      <w:spacing w:after="0" w:line="240" w:lineRule="auto"/>
      <w:ind w:left="720"/>
    </w:pPr>
    <w:rPr>
      <w:rFonts w:ascii="Times New Roman" w:hAnsi="Times New Roman" w:cs="Times New Roman"/>
      <w:sz w:val="24"/>
      <w:szCs w:val="24"/>
    </w:rPr>
  </w:style>
  <w:style w:type="table" w:styleId="TableGrid">
    <w:name w:val="Table Grid"/>
    <w:basedOn w:val="TableNormal"/>
    <w:uiPriority w:val="59"/>
    <w:unhideWhenUsed/>
    <w:rsid w:val="00F0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91"/>
  </w:style>
  <w:style w:type="paragraph" w:styleId="Footer">
    <w:name w:val="footer"/>
    <w:basedOn w:val="Normal"/>
    <w:link w:val="FooterChar"/>
    <w:uiPriority w:val="99"/>
    <w:unhideWhenUsed/>
    <w:rsid w:val="00D4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91"/>
  </w:style>
  <w:style w:type="character" w:styleId="CommentReference">
    <w:name w:val="annotation reference"/>
    <w:basedOn w:val="DefaultParagraphFont"/>
    <w:uiPriority w:val="99"/>
    <w:semiHidden/>
    <w:unhideWhenUsed/>
    <w:rsid w:val="00D45391"/>
    <w:rPr>
      <w:sz w:val="16"/>
      <w:szCs w:val="16"/>
    </w:rPr>
  </w:style>
  <w:style w:type="paragraph" w:styleId="CommentText">
    <w:name w:val="annotation text"/>
    <w:basedOn w:val="Normal"/>
    <w:link w:val="CommentTextChar"/>
    <w:uiPriority w:val="99"/>
    <w:semiHidden/>
    <w:unhideWhenUsed/>
    <w:rsid w:val="00D45391"/>
    <w:pPr>
      <w:spacing w:line="240" w:lineRule="auto"/>
    </w:pPr>
    <w:rPr>
      <w:sz w:val="20"/>
      <w:szCs w:val="20"/>
    </w:rPr>
  </w:style>
  <w:style w:type="character" w:customStyle="1" w:styleId="CommentTextChar">
    <w:name w:val="Comment Text Char"/>
    <w:basedOn w:val="DefaultParagraphFont"/>
    <w:link w:val="CommentText"/>
    <w:uiPriority w:val="99"/>
    <w:semiHidden/>
    <w:rsid w:val="00D45391"/>
    <w:rPr>
      <w:sz w:val="20"/>
      <w:szCs w:val="20"/>
    </w:rPr>
  </w:style>
  <w:style w:type="paragraph" w:styleId="CommentSubject">
    <w:name w:val="annotation subject"/>
    <w:basedOn w:val="CommentText"/>
    <w:next w:val="CommentText"/>
    <w:link w:val="CommentSubjectChar"/>
    <w:uiPriority w:val="99"/>
    <w:semiHidden/>
    <w:unhideWhenUsed/>
    <w:rsid w:val="00D45391"/>
    <w:rPr>
      <w:b/>
      <w:bCs/>
    </w:rPr>
  </w:style>
  <w:style w:type="character" w:customStyle="1" w:styleId="CommentSubjectChar">
    <w:name w:val="Comment Subject Char"/>
    <w:basedOn w:val="CommentTextChar"/>
    <w:link w:val="CommentSubject"/>
    <w:uiPriority w:val="99"/>
    <w:semiHidden/>
    <w:rsid w:val="00D45391"/>
    <w:rPr>
      <w:b/>
      <w:bCs/>
      <w:sz w:val="20"/>
      <w:szCs w:val="20"/>
    </w:rPr>
  </w:style>
  <w:style w:type="paragraph" w:styleId="BalloonText">
    <w:name w:val="Balloon Text"/>
    <w:basedOn w:val="Normal"/>
    <w:link w:val="BalloonTextChar"/>
    <w:uiPriority w:val="99"/>
    <w:semiHidden/>
    <w:unhideWhenUsed/>
    <w:rsid w:val="00D45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9A99-44D4-41B5-B4B1-00769089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5259</Characters>
  <Application>Microsoft Office Word</Application>
  <DocSecurity>0</DocSecurity>
  <Lines>73</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Leenknegt Pieter - D2.1</dc:creator>
  <cp:lastModifiedBy>Svetlana Iazykova</cp:lastModifiedBy>
  <cp:revision>2</cp:revision>
  <dcterms:created xsi:type="dcterms:W3CDTF">2018-11-13T22:30:00Z</dcterms:created>
  <dcterms:modified xsi:type="dcterms:W3CDTF">2018-11-13T22:30:00Z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e5e38b88-45f3-4b76-bd5b-ce2f0bbafeda</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