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68" w:rsidRPr="003469AB" w:rsidRDefault="00E84D19" w:rsidP="001B5B87">
      <w:pPr>
        <w:pStyle w:val="Heading3"/>
        <w:shd w:val="clear" w:color="auto" w:fill="auto"/>
        <w:jc w:val="left"/>
        <w:rPr>
          <w:rFonts w:asciiTheme="minorHAnsi" w:hAnsiTheme="minorHAnsi"/>
          <w:sz w:val="22"/>
          <w:szCs w:val="22"/>
          <w:lang w:val="fr-FR"/>
        </w:rPr>
      </w:pPr>
      <w:bookmarkStart w:id="0" w:name="_GoBack"/>
      <w:bookmarkEnd w:id="0"/>
      <w:r w:rsidRPr="003469AB">
        <w:rPr>
          <w:rFonts w:asciiTheme="minorHAnsi" w:hAnsiTheme="minorHAnsi"/>
          <w:sz w:val="22"/>
          <w:szCs w:val="22"/>
          <w:lang w:val="fr-FR"/>
        </w:rPr>
        <w:t>Pays :</w:t>
      </w:r>
      <w:r w:rsidR="005C6168" w:rsidRPr="003469AB">
        <w:rPr>
          <w:rFonts w:asciiTheme="minorHAnsi" w:hAnsiTheme="minorHAnsi"/>
          <w:sz w:val="22"/>
          <w:szCs w:val="22"/>
          <w:lang w:val="fr-FR"/>
        </w:rPr>
        <w:tab/>
      </w:r>
      <w:r w:rsidR="005C6168" w:rsidRPr="003469AB">
        <w:rPr>
          <w:rFonts w:asciiTheme="minorHAnsi" w:hAnsiTheme="minorHAnsi"/>
          <w:sz w:val="22"/>
          <w:szCs w:val="22"/>
          <w:lang w:val="fr-FR"/>
        </w:rPr>
        <w:tab/>
      </w:r>
      <w:r w:rsidR="00562183">
        <w:rPr>
          <w:rFonts w:asciiTheme="minorHAnsi" w:hAnsiTheme="minorHAnsi"/>
          <w:sz w:val="22"/>
          <w:szCs w:val="22"/>
          <w:lang w:val="fr-FR"/>
        </w:rPr>
        <w:t>Sénégal</w:t>
      </w:r>
      <w:r w:rsidR="00C82161" w:rsidRPr="003469AB">
        <w:rPr>
          <w:rFonts w:asciiTheme="minorHAnsi" w:hAnsiTheme="minorHAnsi"/>
          <w:sz w:val="22"/>
          <w:szCs w:val="22"/>
          <w:lang w:val="fr-FR"/>
        </w:rPr>
        <w:t xml:space="preserve"> </w:t>
      </w:r>
    </w:p>
    <w:p w:rsidR="005C6168" w:rsidRPr="003469AB" w:rsidRDefault="005C6168" w:rsidP="001B5B87">
      <w:pPr>
        <w:pStyle w:val="Heading3"/>
        <w:shd w:val="clear" w:color="auto" w:fill="auto"/>
        <w:rPr>
          <w:rFonts w:asciiTheme="minorHAnsi" w:hAnsiTheme="minorHAnsi"/>
          <w:sz w:val="22"/>
          <w:szCs w:val="22"/>
          <w:lang w:val="fr-FR"/>
        </w:rPr>
      </w:pPr>
    </w:p>
    <w:p w:rsidR="005C6168" w:rsidRPr="003469AB" w:rsidRDefault="00702A1F" w:rsidP="001B5B87">
      <w:pPr>
        <w:pStyle w:val="Heading3"/>
        <w:shd w:val="clear" w:color="auto" w:fill="auto"/>
        <w:jc w:val="both"/>
        <w:rPr>
          <w:rFonts w:asciiTheme="minorHAnsi" w:hAnsiTheme="minorHAnsi"/>
          <w:b/>
          <w:bCs w:val="0"/>
          <w:sz w:val="22"/>
          <w:szCs w:val="22"/>
          <w:lang w:val="fr-FR"/>
        </w:rPr>
      </w:pPr>
      <w:r w:rsidRPr="003469AB">
        <w:rPr>
          <w:rFonts w:asciiTheme="minorHAnsi" w:hAnsiTheme="minorHAnsi"/>
          <w:b/>
          <w:bCs w:val="0"/>
          <w:sz w:val="22"/>
          <w:szCs w:val="22"/>
          <w:lang w:val="fr-FR"/>
        </w:rPr>
        <w:t>RESUME DES PERFORMANCES DU P</w:t>
      </w:r>
      <w:r w:rsidR="00BC38E0" w:rsidRPr="003469AB">
        <w:rPr>
          <w:rFonts w:asciiTheme="minorHAnsi" w:hAnsiTheme="minorHAnsi"/>
          <w:b/>
          <w:bCs w:val="0"/>
          <w:sz w:val="22"/>
          <w:szCs w:val="22"/>
          <w:lang w:val="fr-FR"/>
        </w:rPr>
        <w:t>ROGRAMME</w:t>
      </w:r>
    </w:p>
    <w:p w:rsidR="005C6168" w:rsidRPr="003469AB" w:rsidRDefault="005C6168" w:rsidP="001B5B87">
      <w:pPr>
        <w:pStyle w:val="Heading3"/>
        <w:shd w:val="clear" w:color="auto" w:fill="auto"/>
        <w:rPr>
          <w:rFonts w:asciiTheme="minorHAnsi" w:hAnsiTheme="minorHAnsi"/>
          <w:b/>
          <w:sz w:val="22"/>
          <w:szCs w:val="22"/>
          <w:lang w:val="fr-FR"/>
        </w:rPr>
      </w:pPr>
    </w:p>
    <w:p w:rsidR="005C6168" w:rsidRPr="003469AB" w:rsidRDefault="00E84D19" w:rsidP="001B5B87">
      <w:pPr>
        <w:pStyle w:val="Heading3"/>
        <w:shd w:val="clear" w:color="auto" w:fill="auto"/>
        <w:jc w:val="left"/>
        <w:rPr>
          <w:rFonts w:asciiTheme="minorHAnsi" w:hAnsiTheme="minorHAnsi"/>
          <w:sz w:val="22"/>
          <w:szCs w:val="22"/>
          <w:lang w:val="fr-FR"/>
        </w:rPr>
      </w:pPr>
      <w:r w:rsidRPr="003469AB">
        <w:rPr>
          <w:rFonts w:asciiTheme="minorHAnsi" w:hAnsiTheme="minorHAnsi"/>
          <w:sz w:val="22"/>
          <w:szCs w:val="22"/>
          <w:lang w:val="fr-FR"/>
        </w:rPr>
        <w:t>Période :</w:t>
      </w:r>
      <w:r w:rsidR="005C6168" w:rsidRPr="003469AB">
        <w:rPr>
          <w:rFonts w:asciiTheme="minorHAnsi" w:hAnsiTheme="minorHAnsi"/>
          <w:sz w:val="22"/>
          <w:szCs w:val="22"/>
          <w:lang w:val="fr-FR"/>
        </w:rPr>
        <w:t xml:space="preserve"> </w:t>
      </w:r>
      <w:r w:rsidR="005C6168" w:rsidRPr="003469AB">
        <w:rPr>
          <w:rFonts w:asciiTheme="minorHAnsi" w:hAnsiTheme="minorHAnsi"/>
          <w:sz w:val="22"/>
          <w:szCs w:val="22"/>
          <w:lang w:val="fr-FR"/>
        </w:rPr>
        <w:tab/>
      </w:r>
      <w:r w:rsidR="00091451">
        <w:rPr>
          <w:rFonts w:asciiTheme="minorHAnsi" w:hAnsiTheme="minorHAnsi"/>
          <w:sz w:val="22"/>
          <w:szCs w:val="22"/>
          <w:lang w:val="fr-FR"/>
        </w:rPr>
        <w:t>2012-2018</w:t>
      </w:r>
      <w:r w:rsidR="00CC2DAA" w:rsidRPr="003469AB">
        <w:rPr>
          <w:rFonts w:asciiTheme="minorHAnsi" w:hAnsiTheme="minorHAnsi"/>
          <w:sz w:val="22"/>
          <w:szCs w:val="22"/>
          <w:lang w:val="fr-FR"/>
        </w:rPr>
        <w:t xml:space="preserve"> </w:t>
      </w:r>
    </w:p>
    <w:p w:rsidR="005C6168" w:rsidRPr="00C56284" w:rsidRDefault="005C6168" w:rsidP="001B5B87">
      <w:pPr>
        <w:pStyle w:val="Heading3"/>
        <w:shd w:val="clear" w:color="auto" w:fill="auto"/>
        <w:rPr>
          <w:rFonts w:asciiTheme="minorHAnsi" w:hAnsiTheme="minorHAnsi"/>
          <w:sz w:val="22"/>
          <w:szCs w:val="22"/>
          <w:lang w:val="fr-SN"/>
        </w:rPr>
      </w:pPr>
    </w:p>
    <w:p w:rsidR="005C6168" w:rsidRPr="003469AB" w:rsidRDefault="005C6168" w:rsidP="001B5B87">
      <w:pPr>
        <w:rPr>
          <w:rFonts w:asciiTheme="minorHAnsi" w:hAnsiTheme="minorHAnsi"/>
          <w:sz w:val="22"/>
          <w:szCs w:val="22"/>
          <w:lang w:val="fr-FR"/>
        </w:rPr>
      </w:pPr>
    </w:p>
    <w:p w:rsidR="005C6168" w:rsidRPr="003469AB" w:rsidRDefault="005C6168" w:rsidP="001B5B87">
      <w:pPr>
        <w:pStyle w:val="Heading3"/>
        <w:shd w:val="clear" w:color="auto" w:fill="auto"/>
        <w:rPr>
          <w:rFonts w:asciiTheme="minorHAnsi" w:hAnsiTheme="minorHAnsi"/>
          <w:b/>
          <w:bCs w:val="0"/>
          <w:sz w:val="22"/>
          <w:szCs w:val="22"/>
          <w:lang w:val="fr-FR"/>
        </w:rPr>
      </w:pPr>
      <w:r w:rsidRPr="003469AB">
        <w:rPr>
          <w:rFonts w:asciiTheme="minorHAnsi" w:hAnsiTheme="minorHAnsi"/>
          <w:b/>
          <w:bCs w:val="0"/>
          <w:sz w:val="22"/>
          <w:szCs w:val="22"/>
          <w:lang w:val="fr-FR"/>
        </w:rPr>
        <w:t xml:space="preserve">I.  </w:t>
      </w:r>
      <w:r w:rsidR="000C16E3" w:rsidRPr="003469AB">
        <w:rPr>
          <w:rFonts w:asciiTheme="minorHAnsi" w:hAnsiTheme="minorHAnsi"/>
          <w:b/>
          <w:bCs w:val="0"/>
          <w:sz w:val="22"/>
          <w:szCs w:val="22"/>
          <w:lang w:val="fr-FR"/>
        </w:rPr>
        <w:t xml:space="preserve">RESUME </w:t>
      </w:r>
      <w:r w:rsidR="0064746F" w:rsidRPr="003469AB">
        <w:rPr>
          <w:rFonts w:asciiTheme="minorHAnsi" w:hAnsiTheme="minorHAnsi"/>
          <w:b/>
          <w:bCs w:val="0"/>
          <w:sz w:val="22"/>
          <w:szCs w:val="22"/>
          <w:lang w:val="fr-FR"/>
        </w:rPr>
        <w:t>EXECUTI</w:t>
      </w:r>
      <w:r w:rsidR="000C16E3" w:rsidRPr="003469AB">
        <w:rPr>
          <w:rFonts w:asciiTheme="minorHAnsi" w:hAnsiTheme="minorHAnsi"/>
          <w:b/>
          <w:bCs w:val="0"/>
          <w:sz w:val="22"/>
          <w:szCs w:val="22"/>
          <w:lang w:val="fr-FR"/>
        </w:rPr>
        <w:t xml:space="preserve">F </w:t>
      </w:r>
      <w:r w:rsidR="00760E32" w:rsidRPr="003469AB">
        <w:rPr>
          <w:rFonts w:asciiTheme="minorHAnsi" w:hAnsiTheme="minorHAnsi"/>
          <w:b/>
          <w:bCs w:val="0"/>
          <w:sz w:val="22"/>
          <w:szCs w:val="22"/>
          <w:lang w:val="fr-FR"/>
        </w:rPr>
        <w:t xml:space="preserve"> </w:t>
      </w:r>
    </w:p>
    <w:p w:rsidR="00E84D19" w:rsidRDefault="00E84D19" w:rsidP="00E84D19">
      <w:pPr>
        <w:pStyle w:val="BodyText2"/>
        <w:jc w:val="both"/>
        <w:rPr>
          <w:rFonts w:asciiTheme="minorHAnsi" w:hAnsiTheme="minorHAnsi"/>
          <w:sz w:val="22"/>
          <w:szCs w:val="22"/>
          <w:lang w:val="fr-FR"/>
        </w:rPr>
      </w:pPr>
    </w:p>
    <w:p w:rsidR="009B233F" w:rsidRDefault="00C21B2E" w:rsidP="00DF1BCC">
      <w:pPr>
        <w:pStyle w:val="BodyText2"/>
        <w:contextualSpacing/>
        <w:jc w:val="both"/>
        <w:rPr>
          <w:rStyle w:val="fontstyle01"/>
          <w:lang w:val="fr-SN"/>
        </w:rPr>
      </w:pPr>
      <w:r w:rsidRPr="00DF1BCC">
        <w:rPr>
          <w:rStyle w:val="fontstyle01"/>
          <w:lang w:val="fr-SN"/>
        </w:rPr>
        <w:t>En 2014, le Sénégal a adopté un nouveau modèle de développement pour accélérer sa marche vers</w:t>
      </w:r>
      <w:r w:rsidRPr="008D7447">
        <w:rPr>
          <w:rStyle w:val="fontstyle01"/>
        </w:rPr>
        <w:br/>
      </w:r>
      <w:r w:rsidRPr="00DF1BCC">
        <w:rPr>
          <w:rStyle w:val="fontstyle01"/>
          <w:lang w:val="fr-SN"/>
        </w:rPr>
        <w:t xml:space="preserve">l’émergence à l’horizon 2035 </w:t>
      </w:r>
      <w:r w:rsidR="008662E7">
        <w:rPr>
          <w:rStyle w:val="fontstyle01"/>
          <w:lang w:val="fr-SN"/>
        </w:rPr>
        <w:t>à travers le</w:t>
      </w:r>
      <w:r w:rsidRPr="00DF1BCC">
        <w:rPr>
          <w:rStyle w:val="fontstyle01"/>
          <w:lang w:val="fr-SN"/>
        </w:rPr>
        <w:t xml:space="preserve"> Plan S</w:t>
      </w:r>
      <w:r w:rsidR="005E625E">
        <w:rPr>
          <w:rStyle w:val="fontstyle01"/>
          <w:lang w:val="fr-SN"/>
        </w:rPr>
        <w:t xml:space="preserve">énégal Émergent (PSE) qui vise </w:t>
      </w:r>
      <w:r w:rsidR="00252009">
        <w:rPr>
          <w:rStyle w:val="fontstyle01"/>
          <w:lang w:val="fr-SN"/>
        </w:rPr>
        <w:t xml:space="preserve">à </w:t>
      </w:r>
      <w:r w:rsidRPr="00DF1BCC">
        <w:rPr>
          <w:rStyle w:val="fontstyle01"/>
          <w:lang w:val="fr-SN"/>
        </w:rPr>
        <w:t>(i)</w:t>
      </w:r>
      <w:r w:rsidR="005E625E">
        <w:rPr>
          <w:rStyle w:val="fontstyle01"/>
          <w:lang w:val="fr-SN"/>
        </w:rPr>
        <w:t xml:space="preserve"> à</w:t>
      </w:r>
      <w:r w:rsidRPr="00DF1BCC">
        <w:rPr>
          <w:rStyle w:val="fontstyle01"/>
          <w:lang w:val="fr-SN"/>
        </w:rPr>
        <w:t xml:space="preserve"> </w:t>
      </w:r>
      <w:r w:rsidR="00295A13">
        <w:rPr>
          <w:rStyle w:val="fontstyle01"/>
          <w:lang w:val="fr-SN"/>
        </w:rPr>
        <w:t>impulser</w:t>
      </w:r>
      <w:r w:rsidRPr="00DF1BCC">
        <w:rPr>
          <w:rStyle w:val="fontstyle01"/>
          <w:lang w:val="fr-SN"/>
        </w:rPr>
        <w:t xml:space="preserve"> la transformation </w:t>
      </w:r>
      <w:r w:rsidR="006554DC">
        <w:rPr>
          <w:rStyle w:val="fontstyle01"/>
          <w:lang w:val="fr-SN"/>
        </w:rPr>
        <w:t>structurelle</w:t>
      </w:r>
      <w:r w:rsidRPr="00DF1BCC">
        <w:rPr>
          <w:rStyle w:val="fontstyle01"/>
          <w:lang w:val="fr-SN"/>
        </w:rPr>
        <w:t xml:space="preserve"> de l’économie pour une croissance forte et durable ; (ii) </w:t>
      </w:r>
      <w:r w:rsidR="005E625E">
        <w:rPr>
          <w:rStyle w:val="fontstyle01"/>
          <w:lang w:val="fr-SN"/>
        </w:rPr>
        <w:t xml:space="preserve">à </w:t>
      </w:r>
      <w:r w:rsidRPr="00DF1BCC">
        <w:rPr>
          <w:rStyle w:val="fontstyle01"/>
          <w:lang w:val="fr-SN"/>
        </w:rPr>
        <w:t xml:space="preserve">élargir l’accès aux services sociaux </w:t>
      </w:r>
      <w:r w:rsidR="006554DC">
        <w:rPr>
          <w:rStyle w:val="fontstyle01"/>
          <w:lang w:val="fr-SN"/>
        </w:rPr>
        <w:t>de base</w:t>
      </w:r>
      <w:r w:rsidR="005E625E">
        <w:rPr>
          <w:rStyle w:val="fontstyle01"/>
          <w:lang w:val="fr-SN"/>
        </w:rPr>
        <w:t xml:space="preserve"> et</w:t>
      </w:r>
      <w:r w:rsidR="00FA328F">
        <w:rPr>
          <w:rStyle w:val="fontstyle01"/>
          <w:lang w:val="fr-SN"/>
        </w:rPr>
        <w:t xml:space="preserve"> </w:t>
      </w:r>
      <w:r w:rsidR="006554DC">
        <w:rPr>
          <w:rStyle w:val="fontstyle01"/>
          <w:lang w:val="fr-SN"/>
        </w:rPr>
        <w:t xml:space="preserve">à une </w:t>
      </w:r>
      <w:r w:rsidRPr="00DF1BCC">
        <w:rPr>
          <w:rStyle w:val="fontstyle01"/>
          <w:lang w:val="fr-SN"/>
        </w:rPr>
        <w:t>couverture sociale</w:t>
      </w:r>
      <w:r w:rsidR="006554DC">
        <w:rPr>
          <w:rStyle w:val="fontstyle01"/>
          <w:lang w:val="fr-SN"/>
        </w:rPr>
        <w:t xml:space="preserve"> de </w:t>
      </w:r>
      <w:r w:rsidR="00B25504">
        <w:rPr>
          <w:rStyle w:val="fontstyle01"/>
          <w:lang w:val="fr-SN"/>
        </w:rPr>
        <w:t>qualité</w:t>
      </w:r>
      <w:r w:rsidR="00B25504" w:rsidRPr="00DF1BCC">
        <w:rPr>
          <w:rStyle w:val="fontstyle01"/>
          <w:lang w:val="fr-SN"/>
        </w:rPr>
        <w:t xml:space="preserve"> ;</w:t>
      </w:r>
      <w:r w:rsidRPr="00DF1BCC">
        <w:rPr>
          <w:rStyle w:val="fontstyle01"/>
          <w:lang w:val="fr-SN"/>
        </w:rPr>
        <w:t xml:space="preserve"> (iii) répondre aux exigences </w:t>
      </w:r>
      <w:r w:rsidR="00295A13">
        <w:rPr>
          <w:rStyle w:val="fontstyle01"/>
          <w:lang w:val="fr-SN"/>
        </w:rPr>
        <w:t xml:space="preserve">en </w:t>
      </w:r>
      <w:r w:rsidR="003B1F44">
        <w:rPr>
          <w:rStyle w:val="fontstyle01"/>
          <w:lang w:val="fr-SN"/>
        </w:rPr>
        <w:t xml:space="preserve">matière de Gouvernance, </w:t>
      </w:r>
      <w:r w:rsidR="00295A13">
        <w:rPr>
          <w:rStyle w:val="fontstyle01"/>
          <w:lang w:val="fr-SN"/>
        </w:rPr>
        <w:t xml:space="preserve">et à consolider la paix et la sécurité. </w:t>
      </w:r>
      <w:r w:rsidR="00245835" w:rsidRPr="008D7447">
        <w:rPr>
          <w:rStyle w:val="fontstyle01"/>
          <w:lang w:val="fr-SN"/>
        </w:rPr>
        <w:t xml:space="preserve">Le programme Pays du </w:t>
      </w:r>
      <w:r w:rsidR="00E739B2" w:rsidRPr="008D7447">
        <w:rPr>
          <w:rStyle w:val="fontstyle01"/>
          <w:lang w:val="fr-SN"/>
        </w:rPr>
        <w:t xml:space="preserve">PNUD </w:t>
      </w:r>
      <w:r w:rsidR="00245835" w:rsidRPr="008D7447">
        <w:rPr>
          <w:rStyle w:val="fontstyle01"/>
          <w:lang w:val="fr-SN"/>
        </w:rPr>
        <w:t>Sénégal</w:t>
      </w:r>
      <w:r w:rsidR="00E739B2" w:rsidRPr="008D7447">
        <w:rPr>
          <w:rStyle w:val="fontstyle01"/>
          <w:lang w:val="fr-SN"/>
        </w:rPr>
        <w:t>,</w:t>
      </w:r>
      <w:r w:rsidR="00D41300" w:rsidRPr="008D7447">
        <w:rPr>
          <w:rStyle w:val="fontstyle01"/>
          <w:lang w:val="fr-SN"/>
        </w:rPr>
        <w:t xml:space="preserve"> couvrant la période 2012-2018</w:t>
      </w:r>
      <w:r w:rsidR="00E739B2" w:rsidRPr="008D7447">
        <w:rPr>
          <w:rStyle w:val="fontstyle01"/>
          <w:lang w:val="fr-SN"/>
        </w:rPr>
        <w:t xml:space="preserve">, </w:t>
      </w:r>
      <w:r w:rsidR="00EB54F8" w:rsidRPr="008D7447">
        <w:rPr>
          <w:rStyle w:val="fontstyle01"/>
          <w:lang w:val="fr-SN"/>
        </w:rPr>
        <w:t xml:space="preserve">s’est totalement aligné sur </w:t>
      </w:r>
      <w:r w:rsidR="00E739B2" w:rsidRPr="008D7447">
        <w:rPr>
          <w:rStyle w:val="fontstyle01"/>
          <w:lang w:val="fr-SN"/>
        </w:rPr>
        <w:t xml:space="preserve">les priorités </w:t>
      </w:r>
      <w:r w:rsidR="00EB54F8" w:rsidRPr="008D7447">
        <w:rPr>
          <w:rStyle w:val="fontstyle01"/>
          <w:lang w:val="fr-SN"/>
        </w:rPr>
        <w:t xml:space="preserve">déclinées </w:t>
      </w:r>
      <w:r w:rsidR="00E739B2" w:rsidRPr="008D7447">
        <w:rPr>
          <w:rStyle w:val="fontstyle01"/>
          <w:lang w:val="fr-SN"/>
        </w:rPr>
        <w:t>de l’Etat</w:t>
      </w:r>
      <w:r w:rsidR="00EB54F8" w:rsidRPr="008D7447">
        <w:rPr>
          <w:rStyle w:val="fontstyle01"/>
          <w:lang w:val="fr-SN"/>
        </w:rPr>
        <w:t xml:space="preserve">. Il a, en effet, </w:t>
      </w:r>
      <w:r w:rsidR="00D41300" w:rsidRPr="008D7447">
        <w:rPr>
          <w:rStyle w:val="fontstyle01"/>
          <w:lang w:val="fr-SN"/>
        </w:rPr>
        <w:t xml:space="preserve">été </w:t>
      </w:r>
      <w:r w:rsidR="00245835" w:rsidRPr="008D7447">
        <w:rPr>
          <w:rStyle w:val="fontstyle01"/>
          <w:lang w:val="fr-SN"/>
        </w:rPr>
        <w:t>élaboré en étroite collaboration avec le Gouvernement du Sénégal.</w:t>
      </w:r>
      <w:r w:rsidR="00D25930" w:rsidRPr="008D7447">
        <w:rPr>
          <w:rStyle w:val="fontstyle01"/>
          <w:lang w:val="fr-SN"/>
        </w:rPr>
        <w:t xml:space="preserve"> </w:t>
      </w:r>
      <w:r w:rsidR="00163B2F" w:rsidRPr="00DF1BCC">
        <w:rPr>
          <w:rStyle w:val="fontstyle01"/>
          <w:lang w:val="fr-SN"/>
        </w:rPr>
        <w:t xml:space="preserve">La conception du CPD s’est également </w:t>
      </w:r>
      <w:r w:rsidR="00E84D19" w:rsidRPr="00DF1BCC">
        <w:rPr>
          <w:rStyle w:val="fontstyle01"/>
          <w:lang w:val="fr-SN"/>
        </w:rPr>
        <w:t>basé</w:t>
      </w:r>
      <w:r w:rsidR="00D25930">
        <w:rPr>
          <w:rStyle w:val="fontstyle01"/>
          <w:lang w:val="fr-SN"/>
        </w:rPr>
        <w:t>e</w:t>
      </w:r>
      <w:r w:rsidR="00E84D19" w:rsidRPr="00DF1BCC">
        <w:rPr>
          <w:rStyle w:val="fontstyle01"/>
          <w:lang w:val="fr-SN"/>
        </w:rPr>
        <w:t xml:space="preserve"> sur</w:t>
      </w:r>
      <w:r w:rsidR="00562183" w:rsidRPr="00DF1BCC">
        <w:rPr>
          <w:rStyle w:val="fontstyle01"/>
          <w:lang w:val="fr-SN"/>
        </w:rPr>
        <w:t xml:space="preserve"> </w:t>
      </w:r>
      <w:r w:rsidR="00C56284" w:rsidRPr="00DF1BCC">
        <w:rPr>
          <w:rStyle w:val="fontstyle01"/>
          <w:lang w:val="fr-SN"/>
        </w:rPr>
        <w:t>les leçons apprises des précédents</w:t>
      </w:r>
      <w:r w:rsidR="00562183" w:rsidRPr="00DF1BCC">
        <w:rPr>
          <w:rStyle w:val="fontstyle01"/>
          <w:lang w:val="fr-SN"/>
        </w:rPr>
        <w:t xml:space="preserve"> </w:t>
      </w:r>
      <w:r w:rsidR="00C56284" w:rsidRPr="00DF1BCC">
        <w:rPr>
          <w:rStyle w:val="fontstyle01"/>
          <w:lang w:val="fr-SN"/>
        </w:rPr>
        <w:t xml:space="preserve">programmes. </w:t>
      </w:r>
      <w:r w:rsidR="00B801FC">
        <w:rPr>
          <w:rStyle w:val="fontstyle01"/>
          <w:lang w:val="fr-SN"/>
        </w:rPr>
        <w:t>A la suite de l’</w:t>
      </w:r>
      <w:r w:rsidR="00565C9D">
        <w:rPr>
          <w:rStyle w:val="fontstyle01"/>
          <w:lang w:val="fr-SN"/>
        </w:rPr>
        <w:t>évaluations</w:t>
      </w:r>
      <w:r w:rsidR="00B801FC">
        <w:rPr>
          <w:rStyle w:val="fontstyle01"/>
          <w:lang w:val="fr-SN"/>
        </w:rPr>
        <w:t xml:space="preserve"> </w:t>
      </w:r>
      <w:r w:rsidR="006F25DB">
        <w:rPr>
          <w:rStyle w:val="fontstyle01"/>
          <w:lang w:val="fr-SN"/>
        </w:rPr>
        <w:t>de</w:t>
      </w:r>
      <w:r w:rsidR="00B801FC">
        <w:rPr>
          <w:rStyle w:val="fontstyle01"/>
          <w:lang w:val="fr-SN"/>
        </w:rPr>
        <w:t xml:space="preserve"> ce cycle</w:t>
      </w:r>
      <w:r w:rsidR="00565C9D">
        <w:rPr>
          <w:rStyle w:val="fontstyle01"/>
          <w:lang w:val="fr-SN"/>
        </w:rPr>
        <w:t>, l</w:t>
      </w:r>
      <w:r w:rsidR="00C56284" w:rsidRPr="00DF1BCC">
        <w:rPr>
          <w:rStyle w:val="fontstyle01"/>
          <w:lang w:val="fr-SN"/>
        </w:rPr>
        <w:t>es interventions soutenues par</w:t>
      </w:r>
      <w:r w:rsidR="00562183" w:rsidRPr="00DF1BCC">
        <w:rPr>
          <w:rStyle w:val="fontstyle01"/>
          <w:lang w:val="fr-SN"/>
        </w:rPr>
        <w:t xml:space="preserve"> </w:t>
      </w:r>
      <w:r w:rsidR="00C56284" w:rsidRPr="00DF1BCC">
        <w:rPr>
          <w:rStyle w:val="fontstyle01"/>
          <w:lang w:val="fr-SN"/>
        </w:rPr>
        <w:t>le PNUD ont été</w:t>
      </w:r>
      <w:r w:rsidR="00565C9D">
        <w:rPr>
          <w:rStyle w:val="fontstyle01"/>
          <w:lang w:val="fr-SN"/>
        </w:rPr>
        <w:t xml:space="preserve"> jugées </w:t>
      </w:r>
      <w:r w:rsidR="00C56284" w:rsidRPr="00DF1BCC">
        <w:rPr>
          <w:rStyle w:val="fontstyle01"/>
          <w:lang w:val="fr-SN"/>
        </w:rPr>
        <w:t>pertinentes au regard des</w:t>
      </w:r>
      <w:r w:rsidR="009A2DC5" w:rsidRPr="00DF1BCC">
        <w:rPr>
          <w:rStyle w:val="fontstyle01"/>
          <w:lang w:val="fr-SN"/>
        </w:rPr>
        <w:t xml:space="preserve"> </w:t>
      </w:r>
      <w:r w:rsidR="00C56284" w:rsidRPr="00DF1BCC">
        <w:rPr>
          <w:rStyle w:val="fontstyle01"/>
          <w:lang w:val="fr-SN"/>
        </w:rPr>
        <w:t>priorités nationales et des engagements</w:t>
      </w:r>
      <w:r w:rsidR="009A2DC5" w:rsidRPr="00DF1BCC">
        <w:rPr>
          <w:rStyle w:val="fontstyle01"/>
          <w:lang w:val="fr-SN"/>
        </w:rPr>
        <w:t xml:space="preserve"> </w:t>
      </w:r>
      <w:r w:rsidR="00C56284" w:rsidRPr="00DF1BCC">
        <w:rPr>
          <w:rStyle w:val="fontstyle01"/>
          <w:lang w:val="fr-SN"/>
        </w:rPr>
        <w:t xml:space="preserve">internationaux du pays, notamment </w:t>
      </w:r>
      <w:r w:rsidR="003A544E">
        <w:rPr>
          <w:rStyle w:val="fontstyle01"/>
          <w:lang w:val="fr-SN"/>
        </w:rPr>
        <w:t xml:space="preserve">avec </w:t>
      </w:r>
      <w:r w:rsidR="00C56284" w:rsidRPr="00DF1BCC">
        <w:rPr>
          <w:rStyle w:val="fontstyle01"/>
          <w:lang w:val="fr-SN"/>
        </w:rPr>
        <w:t>la</w:t>
      </w:r>
      <w:r w:rsidR="009A2DC5" w:rsidRPr="00DF1BCC">
        <w:rPr>
          <w:rStyle w:val="fontstyle01"/>
          <w:lang w:val="fr-SN"/>
        </w:rPr>
        <w:t xml:space="preserve"> </w:t>
      </w:r>
      <w:r w:rsidR="00C56284" w:rsidRPr="00DF1BCC">
        <w:rPr>
          <w:rStyle w:val="fontstyle01"/>
          <w:lang w:val="fr-SN"/>
        </w:rPr>
        <w:t>réalisation de</w:t>
      </w:r>
      <w:r w:rsidR="00B801FC">
        <w:rPr>
          <w:rStyle w:val="fontstyle01"/>
          <w:lang w:val="fr-SN"/>
        </w:rPr>
        <w:t xml:space="preserve"> plusieurs </w:t>
      </w:r>
      <w:r w:rsidR="00C56284" w:rsidRPr="00DF1BCC">
        <w:rPr>
          <w:rStyle w:val="fontstyle01"/>
          <w:lang w:val="fr-SN"/>
        </w:rPr>
        <w:t>OMD. De plus, un grand nombre</w:t>
      </w:r>
      <w:r w:rsidR="009A2DC5" w:rsidRPr="00DF1BCC">
        <w:rPr>
          <w:rStyle w:val="fontstyle01"/>
          <w:lang w:val="fr-SN"/>
        </w:rPr>
        <w:t xml:space="preserve"> </w:t>
      </w:r>
      <w:r w:rsidR="00C56284" w:rsidRPr="00DF1BCC">
        <w:rPr>
          <w:rStyle w:val="fontstyle01"/>
          <w:lang w:val="fr-SN"/>
        </w:rPr>
        <w:t>d’interventions s</w:t>
      </w:r>
      <w:r w:rsidR="0061510F">
        <w:rPr>
          <w:rStyle w:val="fontstyle01"/>
          <w:lang w:val="fr-SN"/>
        </w:rPr>
        <w:t xml:space="preserve">e sont </w:t>
      </w:r>
      <w:r w:rsidR="00C56284" w:rsidRPr="00DF1BCC">
        <w:rPr>
          <w:rStyle w:val="fontstyle01"/>
          <w:lang w:val="fr-SN"/>
        </w:rPr>
        <w:t>inscrit</w:t>
      </w:r>
      <w:r w:rsidR="0061510F">
        <w:rPr>
          <w:rStyle w:val="fontstyle01"/>
          <w:lang w:val="fr-SN"/>
        </w:rPr>
        <w:t>es</w:t>
      </w:r>
      <w:r w:rsidR="00C56284" w:rsidRPr="00DF1BCC">
        <w:rPr>
          <w:rStyle w:val="fontstyle01"/>
          <w:lang w:val="fr-SN"/>
        </w:rPr>
        <w:t xml:space="preserve"> dans la continuité,</w:t>
      </w:r>
      <w:r w:rsidR="009A2DC5" w:rsidRPr="00DF1BCC">
        <w:rPr>
          <w:rStyle w:val="fontstyle01"/>
          <w:lang w:val="fr-SN"/>
        </w:rPr>
        <w:t xml:space="preserve"> </w:t>
      </w:r>
      <w:r w:rsidR="00C56284" w:rsidRPr="00DF1BCC">
        <w:rPr>
          <w:rStyle w:val="fontstyle01"/>
          <w:lang w:val="fr-SN"/>
        </w:rPr>
        <w:t xml:space="preserve">montrant ainsi une cohérence dans le Programme et la pertinence stratégique des domaines d’intervention </w:t>
      </w:r>
      <w:r w:rsidR="00C2468B">
        <w:rPr>
          <w:rStyle w:val="fontstyle01"/>
          <w:lang w:val="fr-SN"/>
        </w:rPr>
        <w:t>assurée par une</w:t>
      </w:r>
      <w:r w:rsidR="00C56284" w:rsidRPr="00DF1BCC">
        <w:rPr>
          <w:rStyle w:val="fontstyle01"/>
          <w:lang w:val="fr-SN"/>
        </w:rPr>
        <w:t xml:space="preserve"> théorie du changement </w:t>
      </w:r>
      <w:r w:rsidR="00C2468B">
        <w:rPr>
          <w:rStyle w:val="fontstyle01"/>
          <w:lang w:val="fr-SN"/>
        </w:rPr>
        <w:t xml:space="preserve">évalué </w:t>
      </w:r>
      <w:r w:rsidR="00C56284" w:rsidRPr="00DF1BCC">
        <w:rPr>
          <w:rStyle w:val="fontstyle01"/>
          <w:lang w:val="fr-SN"/>
        </w:rPr>
        <w:t xml:space="preserve">appropriée du contexte national. </w:t>
      </w:r>
      <w:r w:rsidR="00645D67">
        <w:rPr>
          <w:rStyle w:val="fontstyle01"/>
          <w:lang w:val="fr-SN"/>
        </w:rPr>
        <w:t>L’évaluation a également conclu que l</w:t>
      </w:r>
      <w:r w:rsidR="00C56284" w:rsidRPr="00DF1BCC">
        <w:rPr>
          <w:rStyle w:val="fontstyle01"/>
          <w:lang w:val="fr-SN"/>
        </w:rPr>
        <w:t>e ciblage des bénéficiaires selon les trois axes</w:t>
      </w:r>
      <w:r w:rsidR="00E84D19" w:rsidRPr="00DF1BCC">
        <w:rPr>
          <w:rStyle w:val="fontstyle01"/>
          <w:lang w:val="fr-SN"/>
        </w:rPr>
        <w:t xml:space="preserve"> </w:t>
      </w:r>
      <w:r w:rsidR="00C56284" w:rsidRPr="00DF1BCC">
        <w:rPr>
          <w:rStyle w:val="fontstyle01"/>
          <w:lang w:val="fr-SN"/>
        </w:rPr>
        <w:t>du Programme a été clair et pertinent et</w:t>
      </w:r>
      <w:r w:rsidR="00E84D19" w:rsidRPr="00DF1BCC">
        <w:rPr>
          <w:rStyle w:val="fontstyle01"/>
          <w:lang w:val="fr-SN"/>
        </w:rPr>
        <w:t xml:space="preserve"> </w:t>
      </w:r>
      <w:r w:rsidR="00645D67">
        <w:rPr>
          <w:rStyle w:val="fontstyle01"/>
          <w:lang w:val="fr-SN"/>
        </w:rPr>
        <w:t>a bien précisé</w:t>
      </w:r>
      <w:r w:rsidR="00C56284" w:rsidRPr="00DF1BCC">
        <w:rPr>
          <w:rStyle w:val="fontstyle01"/>
          <w:lang w:val="fr-SN"/>
        </w:rPr>
        <w:t xml:space="preserve"> les institutions à renforcer et </w:t>
      </w:r>
      <w:r w:rsidR="00E84D19" w:rsidRPr="00DF1BCC">
        <w:rPr>
          <w:rStyle w:val="fontstyle01"/>
          <w:lang w:val="fr-SN"/>
        </w:rPr>
        <w:t>les groupes</w:t>
      </w:r>
      <w:r w:rsidR="00C56284" w:rsidRPr="00DF1BCC">
        <w:rPr>
          <w:rStyle w:val="fontstyle01"/>
          <w:lang w:val="fr-SN"/>
        </w:rPr>
        <w:t xml:space="preserve"> vulnérables, notamment les</w:t>
      </w:r>
      <w:r w:rsidR="00E84D19" w:rsidRPr="00DF1BCC">
        <w:rPr>
          <w:rStyle w:val="fontstyle01"/>
          <w:lang w:val="fr-SN"/>
        </w:rPr>
        <w:t xml:space="preserve"> </w:t>
      </w:r>
      <w:r w:rsidR="00C56284" w:rsidRPr="00DF1BCC">
        <w:rPr>
          <w:rStyle w:val="fontstyle01"/>
          <w:lang w:val="fr-SN"/>
        </w:rPr>
        <w:t xml:space="preserve">populations vivant dans la pauvreté. Il </w:t>
      </w:r>
      <w:r w:rsidR="008F2DCF">
        <w:rPr>
          <w:rStyle w:val="fontstyle01"/>
          <w:lang w:val="fr-SN"/>
        </w:rPr>
        <w:t>a également pris</w:t>
      </w:r>
      <w:r w:rsidR="00E84D19" w:rsidRPr="00DF1BCC">
        <w:rPr>
          <w:rStyle w:val="fontstyle01"/>
          <w:lang w:val="fr-SN"/>
        </w:rPr>
        <w:t xml:space="preserve"> </w:t>
      </w:r>
      <w:r w:rsidR="00C56284" w:rsidRPr="00DF1BCC">
        <w:rPr>
          <w:rStyle w:val="fontstyle01"/>
          <w:lang w:val="fr-SN"/>
        </w:rPr>
        <w:t>en compte la réduction des inégalités de</w:t>
      </w:r>
      <w:r w:rsidR="00E84D19" w:rsidRPr="00DF1BCC">
        <w:rPr>
          <w:rStyle w:val="fontstyle01"/>
          <w:lang w:val="fr-SN"/>
        </w:rPr>
        <w:t xml:space="preserve"> </w:t>
      </w:r>
      <w:r w:rsidR="008F2DCF">
        <w:rPr>
          <w:rStyle w:val="fontstyle01"/>
          <w:lang w:val="fr-SN"/>
        </w:rPr>
        <w:t>genre et spatiales et, l</w:t>
      </w:r>
      <w:r w:rsidR="00C56284" w:rsidRPr="00DF1BCC">
        <w:rPr>
          <w:rStyle w:val="fontstyle01"/>
          <w:lang w:val="fr-SN"/>
        </w:rPr>
        <w:t>e ciblage géographique</w:t>
      </w:r>
      <w:r w:rsidR="00E84D19" w:rsidRPr="00DF1BCC">
        <w:rPr>
          <w:rStyle w:val="fontstyle01"/>
          <w:lang w:val="fr-SN"/>
        </w:rPr>
        <w:t xml:space="preserve"> </w:t>
      </w:r>
      <w:r w:rsidR="00C56284" w:rsidRPr="00DF1BCC">
        <w:rPr>
          <w:rStyle w:val="fontstyle01"/>
          <w:lang w:val="fr-SN"/>
        </w:rPr>
        <w:t xml:space="preserve">a été </w:t>
      </w:r>
      <w:r w:rsidR="008F2DCF">
        <w:rPr>
          <w:rStyle w:val="fontstyle01"/>
          <w:lang w:val="fr-SN"/>
        </w:rPr>
        <w:t>basé</w:t>
      </w:r>
      <w:r w:rsidR="00C56284" w:rsidRPr="00DF1BCC">
        <w:rPr>
          <w:rStyle w:val="fontstyle01"/>
          <w:lang w:val="fr-SN"/>
        </w:rPr>
        <w:t xml:space="preserve"> sur une cartographie de la</w:t>
      </w:r>
      <w:r w:rsidR="00E84D19" w:rsidRPr="00DF1BCC">
        <w:rPr>
          <w:rStyle w:val="fontstyle01"/>
          <w:lang w:val="fr-SN"/>
        </w:rPr>
        <w:t xml:space="preserve"> </w:t>
      </w:r>
      <w:r w:rsidR="00C56284" w:rsidRPr="00DF1BCC">
        <w:rPr>
          <w:rStyle w:val="fontstyle01"/>
          <w:lang w:val="fr-SN"/>
        </w:rPr>
        <w:t>vulnérabilité.</w:t>
      </w:r>
      <w:r w:rsidR="00E84D19" w:rsidRPr="00DF1BCC">
        <w:rPr>
          <w:rStyle w:val="fontstyle01"/>
          <w:lang w:val="fr-SN"/>
        </w:rPr>
        <w:t xml:space="preserve"> </w:t>
      </w:r>
    </w:p>
    <w:p w:rsidR="0047758C" w:rsidRDefault="00C56284" w:rsidP="00DF1BCC">
      <w:pPr>
        <w:pStyle w:val="BodyText2"/>
        <w:contextualSpacing/>
        <w:jc w:val="both"/>
        <w:rPr>
          <w:rStyle w:val="fontstyle01"/>
          <w:lang w:val="fr-SN"/>
        </w:rPr>
      </w:pPr>
      <w:r w:rsidRPr="008D7447">
        <w:rPr>
          <w:rStyle w:val="fontstyle01"/>
        </w:rPr>
        <w:br/>
      </w:r>
      <w:r w:rsidR="006E1597">
        <w:rPr>
          <w:rStyle w:val="fontstyle01"/>
          <w:lang w:val="fr-SN"/>
        </w:rPr>
        <w:t xml:space="preserve">De manière globale, </w:t>
      </w:r>
      <w:r w:rsidRPr="00DF1BCC">
        <w:rPr>
          <w:rStyle w:val="fontstyle01"/>
          <w:lang w:val="fr-SN"/>
        </w:rPr>
        <w:t>les</w:t>
      </w:r>
      <w:r w:rsidR="00656499" w:rsidRPr="00DF1BCC">
        <w:rPr>
          <w:rStyle w:val="fontstyle01"/>
          <w:lang w:val="fr-SN"/>
        </w:rPr>
        <w:t xml:space="preserve"> </w:t>
      </w:r>
      <w:r w:rsidRPr="00DF1BCC">
        <w:rPr>
          <w:rStyle w:val="fontstyle01"/>
          <w:lang w:val="fr-SN"/>
        </w:rPr>
        <w:t xml:space="preserve">résultats </w:t>
      </w:r>
      <w:r w:rsidR="006E1597">
        <w:rPr>
          <w:rStyle w:val="fontstyle01"/>
          <w:lang w:val="fr-SN"/>
        </w:rPr>
        <w:t xml:space="preserve">de la mise en œuvre des activités inscrites au titre du CPD 2012-2018 </w:t>
      </w:r>
      <w:r w:rsidRPr="00DF1BCC">
        <w:rPr>
          <w:rStyle w:val="fontstyle01"/>
          <w:lang w:val="fr-SN"/>
        </w:rPr>
        <w:t xml:space="preserve">ont </w:t>
      </w:r>
      <w:r w:rsidR="008C168C">
        <w:rPr>
          <w:rStyle w:val="fontstyle01"/>
          <w:lang w:val="fr-SN"/>
        </w:rPr>
        <w:t>apporté</w:t>
      </w:r>
      <w:r w:rsidRPr="00DF1BCC">
        <w:rPr>
          <w:rStyle w:val="fontstyle01"/>
          <w:lang w:val="fr-SN"/>
        </w:rPr>
        <w:t xml:space="preserve"> une contribution</w:t>
      </w:r>
      <w:r w:rsidR="00656499" w:rsidRPr="00DF1BCC">
        <w:rPr>
          <w:rStyle w:val="fontstyle01"/>
          <w:lang w:val="fr-SN"/>
        </w:rPr>
        <w:t xml:space="preserve"> </w:t>
      </w:r>
      <w:r w:rsidRPr="00DF1BCC">
        <w:rPr>
          <w:rStyle w:val="fontstyle01"/>
          <w:lang w:val="fr-SN"/>
        </w:rPr>
        <w:t>significative au renforcement de l’état de</w:t>
      </w:r>
      <w:r w:rsidR="00656499" w:rsidRPr="00DF1BCC">
        <w:rPr>
          <w:rStyle w:val="fontstyle01"/>
          <w:lang w:val="fr-SN"/>
        </w:rPr>
        <w:t xml:space="preserve"> </w:t>
      </w:r>
      <w:r w:rsidRPr="00DF1BCC">
        <w:rPr>
          <w:rStyle w:val="fontstyle01"/>
          <w:lang w:val="fr-SN"/>
        </w:rPr>
        <w:t>droit, de la gouvernance, de la lutte contre la</w:t>
      </w:r>
      <w:r w:rsidR="00656499" w:rsidRPr="00DF1BCC">
        <w:rPr>
          <w:rStyle w:val="fontstyle01"/>
          <w:lang w:val="fr-SN"/>
        </w:rPr>
        <w:t xml:space="preserve"> </w:t>
      </w:r>
      <w:r w:rsidRPr="00DF1BCC">
        <w:rPr>
          <w:rStyle w:val="fontstyle01"/>
          <w:lang w:val="fr-SN"/>
        </w:rPr>
        <w:t>pauvreté et au niveau de l’adaptation et</w:t>
      </w:r>
      <w:r w:rsidR="00656499" w:rsidRPr="00DF1BCC">
        <w:rPr>
          <w:rStyle w:val="fontstyle01"/>
          <w:lang w:val="fr-SN"/>
        </w:rPr>
        <w:t xml:space="preserve"> </w:t>
      </w:r>
      <w:r w:rsidRPr="00DF1BCC">
        <w:rPr>
          <w:rStyle w:val="fontstyle01"/>
          <w:lang w:val="fr-SN"/>
        </w:rPr>
        <w:t>l’atténuation par rapport aux changements</w:t>
      </w:r>
      <w:r w:rsidR="003656E6" w:rsidRPr="00DF1BCC">
        <w:rPr>
          <w:rStyle w:val="fontstyle01"/>
          <w:lang w:val="fr-SN"/>
        </w:rPr>
        <w:t xml:space="preserve"> </w:t>
      </w:r>
      <w:r w:rsidRPr="00DF1BCC">
        <w:rPr>
          <w:rStyle w:val="fontstyle01"/>
          <w:lang w:val="fr-SN"/>
        </w:rPr>
        <w:t>climatiques pour le développement durable.</w:t>
      </w:r>
      <w:r w:rsidR="003656E6" w:rsidRPr="00DF1BCC">
        <w:rPr>
          <w:rStyle w:val="fontstyle01"/>
          <w:lang w:val="fr-SN"/>
        </w:rPr>
        <w:t xml:space="preserve"> </w:t>
      </w:r>
      <w:r w:rsidRPr="00DF1BCC">
        <w:rPr>
          <w:rStyle w:val="fontstyle01"/>
          <w:lang w:val="fr-SN"/>
        </w:rPr>
        <w:t>Les interventions réalisées ont</w:t>
      </w:r>
      <w:r w:rsidR="001B2252">
        <w:rPr>
          <w:rStyle w:val="fontstyle01"/>
          <w:lang w:val="fr-SN"/>
        </w:rPr>
        <w:t xml:space="preserve"> ainsi</w:t>
      </w:r>
      <w:r w:rsidRPr="00DF1BCC">
        <w:rPr>
          <w:rStyle w:val="fontstyle01"/>
          <w:lang w:val="fr-SN"/>
        </w:rPr>
        <w:t xml:space="preserve"> engendré des</w:t>
      </w:r>
      <w:r w:rsidR="003656E6" w:rsidRPr="00DF1BCC">
        <w:rPr>
          <w:rStyle w:val="fontstyle01"/>
          <w:lang w:val="fr-SN"/>
        </w:rPr>
        <w:t xml:space="preserve"> </w:t>
      </w:r>
      <w:r w:rsidRPr="00DF1BCC">
        <w:rPr>
          <w:rStyle w:val="fontstyle01"/>
          <w:lang w:val="fr-SN"/>
        </w:rPr>
        <w:t>changements significatifs au sein des groupes</w:t>
      </w:r>
      <w:r w:rsidR="00CF28C2" w:rsidRPr="00DF1BCC">
        <w:rPr>
          <w:rStyle w:val="fontstyle01"/>
          <w:lang w:val="fr-SN"/>
        </w:rPr>
        <w:t xml:space="preserve"> </w:t>
      </w:r>
      <w:r w:rsidRPr="00DF1BCC">
        <w:rPr>
          <w:rStyle w:val="fontstyle01"/>
          <w:lang w:val="fr-SN"/>
        </w:rPr>
        <w:t>cibles et ont eu des effets positifs sur les</w:t>
      </w:r>
      <w:r w:rsidR="008C168C">
        <w:rPr>
          <w:rStyle w:val="fontstyle01"/>
          <w:lang w:val="fr-SN"/>
        </w:rPr>
        <w:t xml:space="preserve"> </w:t>
      </w:r>
      <w:r w:rsidRPr="00DF1BCC">
        <w:rPr>
          <w:rStyle w:val="fontstyle01"/>
          <w:lang w:val="fr-SN"/>
        </w:rPr>
        <w:t>institutions et parties prenantes des</w:t>
      </w:r>
      <w:r w:rsidR="00CF28C2" w:rsidRPr="00DF1BCC">
        <w:rPr>
          <w:rStyle w:val="fontstyle01"/>
          <w:lang w:val="fr-SN"/>
        </w:rPr>
        <w:t xml:space="preserve"> </w:t>
      </w:r>
      <w:r w:rsidRPr="00DF1BCC">
        <w:rPr>
          <w:rStyle w:val="fontstyle01"/>
          <w:lang w:val="fr-SN"/>
        </w:rPr>
        <w:t xml:space="preserve">composantes. </w:t>
      </w:r>
      <w:r w:rsidR="005534E4">
        <w:rPr>
          <w:rStyle w:val="fontstyle01"/>
          <w:lang w:val="fr-SN"/>
        </w:rPr>
        <w:t>Toutefois, il est à noter que c</w:t>
      </w:r>
      <w:r w:rsidRPr="00DF1BCC">
        <w:rPr>
          <w:rStyle w:val="fontstyle01"/>
          <w:lang w:val="fr-SN"/>
        </w:rPr>
        <w:t>es changements auraient pu</w:t>
      </w:r>
      <w:r w:rsidR="00CF28C2" w:rsidRPr="00DF1BCC">
        <w:rPr>
          <w:rStyle w:val="fontstyle01"/>
          <w:lang w:val="fr-SN"/>
        </w:rPr>
        <w:t xml:space="preserve"> </w:t>
      </w:r>
      <w:r w:rsidRPr="00DF1BCC">
        <w:rPr>
          <w:rStyle w:val="fontstyle01"/>
          <w:lang w:val="fr-SN"/>
        </w:rPr>
        <w:t>s’inscrire dans la durée, si les restrictions</w:t>
      </w:r>
      <w:r w:rsidR="00CF28C2" w:rsidRPr="00DF1BCC">
        <w:rPr>
          <w:rStyle w:val="fontstyle01"/>
          <w:lang w:val="fr-SN"/>
        </w:rPr>
        <w:t xml:space="preserve"> </w:t>
      </w:r>
      <w:r w:rsidRPr="00DF1BCC">
        <w:rPr>
          <w:rStyle w:val="fontstyle01"/>
          <w:lang w:val="fr-SN"/>
        </w:rPr>
        <w:t xml:space="preserve">budgétaires n’avaient pas empêché certaines interventions d’être menées à termes. </w:t>
      </w:r>
    </w:p>
    <w:p w:rsidR="00786A77" w:rsidRDefault="00786A77" w:rsidP="00DF1BCC">
      <w:pPr>
        <w:pStyle w:val="BodyText2"/>
        <w:contextualSpacing/>
        <w:jc w:val="both"/>
        <w:rPr>
          <w:rStyle w:val="fontstyle01"/>
          <w:lang w:val="fr-SN"/>
        </w:rPr>
      </w:pPr>
    </w:p>
    <w:p w:rsidR="00AC2F1B" w:rsidRDefault="00786A77" w:rsidP="00DF1BCC">
      <w:pPr>
        <w:pStyle w:val="BodyText2"/>
        <w:contextualSpacing/>
        <w:jc w:val="both"/>
        <w:rPr>
          <w:rStyle w:val="fontstyle01"/>
          <w:lang w:val="fr-SN"/>
        </w:rPr>
      </w:pPr>
      <w:r>
        <w:rPr>
          <w:rStyle w:val="fontstyle01"/>
          <w:lang w:val="fr-SN"/>
        </w:rPr>
        <w:t>De manière spécifique, r</w:t>
      </w:r>
      <w:r w:rsidR="00C56284" w:rsidRPr="00DF1BCC">
        <w:rPr>
          <w:rStyle w:val="fontstyle01"/>
          <w:lang w:val="fr-SN"/>
        </w:rPr>
        <w:t>elativement à l’Axe 1 « Gouvernance pour</w:t>
      </w:r>
      <w:r w:rsidR="00CF28C2" w:rsidRPr="00DF1BCC">
        <w:rPr>
          <w:rStyle w:val="fontstyle01"/>
          <w:lang w:val="fr-SN"/>
        </w:rPr>
        <w:t xml:space="preserve"> </w:t>
      </w:r>
      <w:r w:rsidR="00C56284" w:rsidRPr="00DF1BCC">
        <w:rPr>
          <w:rStyle w:val="fontstyle01"/>
          <w:lang w:val="fr-SN"/>
        </w:rPr>
        <w:t>l’atteinte des OMD/ODD », le Programme a</w:t>
      </w:r>
      <w:r w:rsidR="00CF28C2" w:rsidRPr="00DF1BCC">
        <w:rPr>
          <w:rStyle w:val="fontstyle01"/>
          <w:lang w:val="fr-SN"/>
        </w:rPr>
        <w:t xml:space="preserve"> </w:t>
      </w:r>
      <w:r w:rsidR="00C56284" w:rsidRPr="00DF1BCC">
        <w:rPr>
          <w:rStyle w:val="fontstyle01"/>
          <w:lang w:val="fr-SN"/>
        </w:rPr>
        <w:t>permis d’apporter en amont, une contribution positive aux différentes phases</w:t>
      </w:r>
      <w:r w:rsidR="00CF28C2" w:rsidRPr="00DF1BCC">
        <w:rPr>
          <w:rStyle w:val="fontstyle01"/>
          <w:lang w:val="fr-SN"/>
        </w:rPr>
        <w:t xml:space="preserve"> </w:t>
      </w:r>
      <w:r w:rsidR="00C56284" w:rsidRPr="00DF1BCC">
        <w:rPr>
          <w:rStyle w:val="fontstyle01"/>
          <w:lang w:val="fr-SN"/>
        </w:rPr>
        <w:t>d’évolution du contexte, qu’a connu le pays</w:t>
      </w:r>
      <w:r>
        <w:rPr>
          <w:rStyle w:val="fontstyle01"/>
          <w:lang w:val="fr-SN"/>
        </w:rPr>
        <w:t xml:space="preserve"> </w:t>
      </w:r>
      <w:r w:rsidR="00C56284" w:rsidRPr="00DF1BCC">
        <w:rPr>
          <w:rStyle w:val="fontstyle01"/>
          <w:lang w:val="fr-SN"/>
        </w:rPr>
        <w:t>depuis 2012, se traduisant par le passage du</w:t>
      </w:r>
      <w:r w:rsidR="00CF28C2" w:rsidRPr="00DF1BCC">
        <w:rPr>
          <w:rStyle w:val="fontstyle01"/>
          <w:lang w:val="fr-SN"/>
        </w:rPr>
        <w:t xml:space="preserve"> </w:t>
      </w:r>
      <w:r w:rsidR="00C56284" w:rsidRPr="00DF1BCC">
        <w:rPr>
          <w:rStyle w:val="fontstyle01"/>
          <w:lang w:val="fr-SN"/>
        </w:rPr>
        <w:t>DSRP au DPES-PSE et au plan international,</w:t>
      </w:r>
      <w:r w:rsidR="00C56284" w:rsidRPr="008D7447">
        <w:rPr>
          <w:rStyle w:val="fontstyle01"/>
        </w:rPr>
        <w:br/>
      </w:r>
      <w:r w:rsidR="00C56284" w:rsidRPr="00DF1BCC">
        <w:rPr>
          <w:rStyle w:val="fontstyle01"/>
          <w:lang w:val="fr-SN"/>
        </w:rPr>
        <w:t>de celui des OMD aux ODD.</w:t>
      </w:r>
      <w:r w:rsidR="005E54DF" w:rsidRPr="00DF1BCC">
        <w:rPr>
          <w:rStyle w:val="fontstyle01"/>
          <w:lang w:val="fr-SN"/>
        </w:rPr>
        <w:t xml:space="preserve"> </w:t>
      </w:r>
      <w:r w:rsidR="00C56284" w:rsidRPr="00DF1BCC">
        <w:rPr>
          <w:rStyle w:val="fontstyle01"/>
          <w:lang w:val="fr-SN"/>
        </w:rPr>
        <w:t>Les capacités institutionnelles de suivi et</w:t>
      </w:r>
      <w:r w:rsidR="005E54DF" w:rsidRPr="00DF1BCC">
        <w:rPr>
          <w:rStyle w:val="fontstyle01"/>
          <w:lang w:val="fr-SN"/>
        </w:rPr>
        <w:t xml:space="preserve"> </w:t>
      </w:r>
      <w:r w:rsidR="00C56284" w:rsidRPr="00DF1BCC">
        <w:rPr>
          <w:rStyle w:val="fontstyle01"/>
          <w:lang w:val="fr-SN"/>
        </w:rPr>
        <w:t>d’analyse ainsi que l’accès aux données relatives aux OMD ont été renforcées, contribuant ainsi indirectement à la réduction</w:t>
      </w:r>
      <w:r w:rsidR="00DF4E30">
        <w:rPr>
          <w:rStyle w:val="fontstyle01"/>
          <w:lang w:val="fr-SN"/>
        </w:rPr>
        <w:t xml:space="preserve"> de la pauvreté, de la </w:t>
      </w:r>
      <w:r w:rsidR="00C56284" w:rsidRPr="00DF1BCC">
        <w:rPr>
          <w:rStyle w:val="fontstyle01"/>
          <w:lang w:val="fr-SN"/>
        </w:rPr>
        <w:t xml:space="preserve">vulnérabilité et des inégalités. </w:t>
      </w:r>
      <w:r w:rsidR="00D4043D" w:rsidRPr="00DF1BCC">
        <w:rPr>
          <w:rStyle w:val="fontstyle01"/>
          <w:lang w:val="fr-SN"/>
        </w:rPr>
        <w:t>Le</w:t>
      </w:r>
      <w:r w:rsidR="00C56284" w:rsidRPr="00DF1BCC">
        <w:rPr>
          <w:rStyle w:val="fontstyle01"/>
          <w:lang w:val="fr-SN"/>
        </w:rPr>
        <w:t xml:space="preserve"> PNUD </w:t>
      </w:r>
      <w:r w:rsidR="00F33DDF">
        <w:rPr>
          <w:rStyle w:val="fontstyle01"/>
          <w:lang w:val="fr-SN"/>
        </w:rPr>
        <w:t xml:space="preserve">a réalisé </w:t>
      </w:r>
      <w:r w:rsidR="00EF7963">
        <w:rPr>
          <w:rStyle w:val="fontstyle01"/>
          <w:lang w:val="fr-SN"/>
        </w:rPr>
        <w:t>des interventions</w:t>
      </w:r>
      <w:r w:rsidR="00F33DDF">
        <w:rPr>
          <w:rStyle w:val="fontstyle01"/>
          <w:lang w:val="fr-SN"/>
        </w:rPr>
        <w:t xml:space="preserve"> de haut niveau </w:t>
      </w:r>
      <w:r w:rsidR="00EF7963">
        <w:rPr>
          <w:rStyle w:val="fontstyle01"/>
          <w:lang w:val="fr-SN"/>
        </w:rPr>
        <w:t xml:space="preserve">pour la </w:t>
      </w:r>
      <w:r w:rsidR="00C56284" w:rsidRPr="00DF1BCC">
        <w:rPr>
          <w:rStyle w:val="fontstyle01"/>
          <w:lang w:val="fr-SN"/>
        </w:rPr>
        <w:t>promotion de la gouvernance économique, politique, financière</w:t>
      </w:r>
      <w:r w:rsidR="00633545" w:rsidRPr="00DF1BCC">
        <w:rPr>
          <w:rStyle w:val="fontstyle01"/>
          <w:lang w:val="fr-SN"/>
        </w:rPr>
        <w:t xml:space="preserve"> </w:t>
      </w:r>
      <w:r w:rsidR="00F33DDF">
        <w:rPr>
          <w:rStyle w:val="fontstyle01"/>
          <w:lang w:val="fr-SN"/>
        </w:rPr>
        <w:t xml:space="preserve">et institutionnelle </w:t>
      </w:r>
      <w:r w:rsidR="00EF7963">
        <w:rPr>
          <w:rStyle w:val="fontstyle01"/>
          <w:lang w:val="fr-SN"/>
        </w:rPr>
        <w:t xml:space="preserve">à travers </w:t>
      </w:r>
      <w:r w:rsidR="00C56284" w:rsidRPr="00DF1BCC">
        <w:rPr>
          <w:rStyle w:val="fontstyle01"/>
          <w:lang w:val="fr-SN"/>
        </w:rPr>
        <w:t>la l’élaboration</w:t>
      </w:r>
      <w:r w:rsidR="000D2D77" w:rsidRPr="00DF1BCC">
        <w:rPr>
          <w:rStyle w:val="fontstyle01"/>
          <w:lang w:val="fr-SN"/>
        </w:rPr>
        <w:t xml:space="preserve"> </w:t>
      </w:r>
      <w:r w:rsidR="00C56284" w:rsidRPr="00DF1BCC">
        <w:rPr>
          <w:rStyle w:val="fontstyle01"/>
          <w:lang w:val="fr-SN"/>
        </w:rPr>
        <w:t xml:space="preserve">d’instruments d’analyse, de </w:t>
      </w:r>
      <w:r w:rsidR="000D2D77" w:rsidRPr="00DF1BCC">
        <w:rPr>
          <w:rStyle w:val="fontstyle01"/>
          <w:lang w:val="fr-SN"/>
        </w:rPr>
        <w:t>p</w:t>
      </w:r>
      <w:r w:rsidR="00C56284" w:rsidRPr="00DF1BCC">
        <w:rPr>
          <w:rStyle w:val="fontstyle01"/>
          <w:lang w:val="fr-SN"/>
        </w:rPr>
        <w:t>rogrammation et</w:t>
      </w:r>
      <w:r w:rsidR="000D2D77" w:rsidRPr="00DF1BCC">
        <w:rPr>
          <w:rStyle w:val="fontstyle01"/>
          <w:lang w:val="fr-SN"/>
        </w:rPr>
        <w:t xml:space="preserve"> </w:t>
      </w:r>
      <w:r w:rsidR="00C56284" w:rsidRPr="00DF1BCC">
        <w:rPr>
          <w:rStyle w:val="fontstyle01"/>
          <w:lang w:val="fr-SN"/>
        </w:rPr>
        <w:t>de suivi. Dans le domaine de l’efficacité et de la coordination de l’Aide et du Développement, le</w:t>
      </w:r>
      <w:r w:rsidR="000D2D77" w:rsidRPr="00DF1BCC">
        <w:rPr>
          <w:rStyle w:val="fontstyle01"/>
          <w:lang w:val="fr-SN"/>
        </w:rPr>
        <w:t xml:space="preserve"> </w:t>
      </w:r>
      <w:r w:rsidR="00C56284" w:rsidRPr="00DF1BCC">
        <w:rPr>
          <w:rStyle w:val="fontstyle01"/>
          <w:lang w:val="fr-SN"/>
        </w:rPr>
        <w:t>plaidoyer et les outils développés avec l’appui</w:t>
      </w:r>
      <w:r w:rsidR="000D2D77" w:rsidRPr="00DF1BCC">
        <w:rPr>
          <w:rStyle w:val="fontstyle01"/>
          <w:lang w:val="fr-SN"/>
        </w:rPr>
        <w:t xml:space="preserve"> </w:t>
      </w:r>
      <w:r w:rsidR="00C56284" w:rsidRPr="00DF1BCC">
        <w:rPr>
          <w:rStyle w:val="fontstyle01"/>
          <w:lang w:val="fr-SN"/>
        </w:rPr>
        <w:t>du PNUD ont contribué à la réactualisation de</w:t>
      </w:r>
      <w:r w:rsidR="000D2D77" w:rsidRPr="00DF1BCC">
        <w:rPr>
          <w:rStyle w:val="fontstyle01"/>
          <w:lang w:val="fr-SN"/>
        </w:rPr>
        <w:t xml:space="preserve"> </w:t>
      </w:r>
      <w:r w:rsidR="00C56284" w:rsidRPr="00DF1BCC">
        <w:rPr>
          <w:rStyle w:val="fontstyle01"/>
          <w:lang w:val="fr-SN"/>
        </w:rPr>
        <w:t>la politique d’aide extérieure du Sénégal, avec</w:t>
      </w:r>
      <w:r w:rsidR="000D2D77" w:rsidRPr="00DF1BCC">
        <w:rPr>
          <w:rStyle w:val="fontstyle01"/>
          <w:lang w:val="fr-SN"/>
        </w:rPr>
        <w:t xml:space="preserve"> </w:t>
      </w:r>
      <w:r w:rsidR="00C56284" w:rsidRPr="00DF1BCC">
        <w:rPr>
          <w:rStyle w:val="fontstyle01"/>
          <w:lang w:val="fr-SN"/>
        </w:rPr>
        <w:t>le renforcement du dialogue entre le Gouvernement et les partenaires au développement</w:t>
      </w:r>
      <w:r w:rsidR="000D2D77" w:rsidRPr="00DF1BCC">
        <w:rPr>
          <w:rStyle w:val="fontstyle01"/>
          <w:lang w:val="fr-SN"/>
        </w:rPr>
        <w:t xml:space="preserve"> </w:t>
      </w:r>
      <w:r w:rsidR="00C56284" w:rsidRPr="00DF1BCC">
        <w:rPr>
          <w:rStyle w:val="fontstyle01"/>
          <w:lang w:val="fr-SN"/>
        </w:rPr>
        <w:t xml:space="preserve">pour le financement du PSE et le </w:t>
      </w:r>
      <w:proofErr w:type="spellStart"/>
      <w:r w:rsidR="00C56284" w:rsidRPr="00DF1BCC">
        <w:rPr>
          <w:rStyle w:val="fontstyle01"/>
          <w:lang w:val="fr-SN"/>
        </w:rPr>
        <w:t>reporting</w:t>
      </w:r>
      <w:proofErr w:type="spellEnd"/>
      <w:r w:rsidR="00C56284" w:rsidRPr="00DF1BCC">
        <w:rPr>
          <w:rStyle w:val="fontstyle01"/>
          <w:lang w:val="fr-SN"/>
        </w:rPr>
        <w:t xml:space="preserve"> sur</w:t>
      </w:r>
      <w:r w:rsidR="000D2D77" w:rsidRPr="00DF1BCC">
        <w:rPr>
          <w:rStyle w:val="fontstyle01"/>
          <w:lang w:val="fr-SN"/>
        </w:rPr>
        <w:t xml:space="preserve"> </w:t>
      </w:r>
      <w:r w:rsidR="00C56284" w:rsidRPr="00DF1BCC">
        <w:rPr>
          <w:rStyle w:val="fontstyle01"/>
          <w:lang w:val="fr-SN"/>
        </w:rPr>
        <w:t>la coopération au développement.</w:t>
      </w:r>
      <w:r w:rsidR="00AF7AB5">
        <w:rPr>
          <w:rStyle w:val="fontstyle01"/>
          <w:lang w:val="fr-SN"/>
        </w:rPr>
        <w:t xml:space="preserve"> </w:t>
      </w:r>
      <w:r w:rsidR="00C56284" w:rsidRPr="00DF1BCC">
        <w:rPr>
          <w:rStyle w:val="fontstyle01"/>
          <w:lang w:val="fr-SN"/>
        </w:rPr>
        <w:t>En matière de gouvernance démocratique et</w:t>
      </w:r>
      <w:r w:rsidR="000D2D77" w:rsidRPr="00DF1BCC">
        <w:rPr>
          <w:rStyle w:val="fontstyle01"/>
          <w:lang w:val="fr-SN"/>
        </w:rPr>
        <w:t xml:space="preserve"> </w:t>
      </w:r>
      <w:r w:rsidR="00C56284" w:rsidRPr="00DF1BCC">
        <w:rPr>
          <w:rStyle w:val="fontstyle01"/>
          <w:lang w:val="fr-SN"/>
        </w:rPr>
        <w:t>de consolidation de la transparence, le PNUD</w:t>
      </w:r>
      <w:r w:rsidR="00AF7AB5">
        <w:rPr>
          <w:rStyle w:val="fontstyle01"/>
          <w:lang w:val="fr-SN"/>
        </w:rPr>
        <w:t xml:space="preserve"> </w:t>
      </w:r>
      <w:r w:rsidR="00C56284" w:rsidRPr="00DF1BCC">
        <w:rPr>
          <w:rStyle w:val="fontstyle01"/>
          <w:lang w:val="fr-SN"/>
        </w:rPr>
        <w:t>a contribué au renforcement des capacités de</w:t>
      </w:r>
      <w:r w:rsidR="000D2D77" w:rsidRPr="00DF1BCC">
        <w:rPr>
          <w:rStyle w:val="fontstyle01"/>
          <w:lang w:val="fr-SN"/>
        </w:rPr>
        <w:t xml:space="preserve"> </w:t>
      </w:r>
      <w:r w:rsidR="00C56284" w:rsidRPr="00DF1BCC">
        <w:rPr>
          <w:rStyle w:val="fontstyle01"/>
          <w:lang w:val="fr-SN"/>
        </w:rPr>
        <w:t xml:space="preserve">certaines institutions. L’appui du PNUD a également permis de renforcer le leadership politique des femmes </w:t>
      </w:r>
      <w:r w:rsidR="00C468E4">
        <w:rPr>
          <w:rStyle w:val="fontstyle01"/>
          <w:lang w:val="fr-SN"/>
        </w:rPr>
        <w:t>et de bâtir de solides instruments</w:t>
      </w:r>
      <w:r w:rsidR="00C56284" w:rsidRPr="00DF1BCC">
        <w:rPr>
          <w:rStyle w:val="fontstyle01"/>
          <w:lang w:val="fr-SN"/>
        </w:rPr>
        <w:t xml:space="preserve"> de prévention et de lutte contre la</w:t>
      </w:r>
      <w:r w:rsidR="000D2D77" w:rsidRPr="00DF1BCC">
        <w:rPr>
          <w:rStyle w:val="fontstyle01"/>
          <w:lang w:val="fr-SN"/>
        </w:rPr>
        <w:t xml:space="preserve"> </w:t>
      </w:r>
      <w:r w:rsidR="00C56284" w:rsidRPr="00DF1BCC">
        <w:rPr>
          <w:rStyle w:val="fontstyle01"/>
          <w:lang w:val="fr-SN"/>
        </w:rPr>
        <w:t>fraude et la corruption</w:t>
      </w:r>
      <w:r w:rsidR="00C468E4">
        <w:rPr>
          <w:rStyle w:val="fontstyle01"/>
          <w:lang w:val="fr-SN"/>
        </w:rPr>
        <w:t xml:space="preserve">. </w:t>
      </w:r>
      <w:r w:rsidR="007350B9">
        <w:rPr>
          <w:rStyle w:val="fontstyle01"/>
          <w:lang w:val="fr-SN"/>
        </w:rPr>
        <w:t xml:space="preserve">Au demeurant, </w:t>
      </w:r>
      <w:r w:rsidR="00C56284" w:rsidRPr="00DF1BCC">
        <w:rPr>
          <w:rStyle w:val="fontstyle01"/>
          <w:lang w:val="fr-SN"/>
        </w:rPr>
        <w:t>les actions de renforcement des</w:t>
      </w:r>
      <w:r w:rsidR="00531AE6" w:rsidRPr="00DF1BCC">
        <w:rPr>
          <w:rStyle w:val="fontstyle01"/>
          <w:lang w:val="fr-SN"/>
        </w:rPr>
        <w:t xml:space="preserve"> </w:t>
      </w:r>
      <w:r w:rsidR="00C56284" w:rsidRPr="00DF1BCC">
        <w:rPr>
          <w:rStyle w:val="fontstyle01"/>
          <w:lang w:val="fr-SN"/>
        </w:rPr>
        <w:t>capacités de la société civile ont permis de</w:t>
      </w:r>
      <w:r w:rsidR="00C56284" w:rsidRPr="00C468E4">
        <w:rPr>
          <w:rStyle w:val="fontstyle01"/>
          <w:lang w:val="fr-SN"/>
        </w:rPr>
        <w:br/>
      </w:r>
      <w:r w:rsidR="00C56284" w:rsidRPr="00DF1BCC">
        <w:rPr>
          <w:rStyle w:val="fontstyle01"/>
          <w:lang w:val="fr-SN"/>
        </w:rPr>
        <w:t xml:space="preserve">toucher un grand </w:t>
      </w:r>
      <w:r w:rsidR="00EB01E8" w:rsidRPr="00DF1BCC">
        <w:rPr>
          <w:rStyle w:val="fontstyle01"/>
          <w:lang w:val="fr-SN"/>
        </w:rPr>
        <w:t>nombre de</w:t>
      </w:r>
      <w:r w:rsidR="00C56284" w:rsidRPr="00DF1BCC">
        <w:rPr>
          <w:rStyle w:val="fontstyle01"/>
          <w:lang w:val="fr-SN"/>
        </w:rPr>
        <w:t xml:space="preserve"> personnes.</w:t>
      </w:r>
      <w:r w:rsidR="00531AE6" w:rsidRPr="00DF1BCC">
        <w:rPr>
          <w:rStyle w:val="fontstyle01"/>
          <w:lang w:val="fr-SN"/>
        </w:rPr>
        <w:t xml:space="preserve"> </w:t>
      </w:r>
      <w:r w:rsidR="007350B9">
        <w:rPr>
          <w:rStyle w:val="fontstyle01"/>
          <w:lang w:val="fr-SN"/>
        </w:rPr>
        <w:t>A cela s’est ajouté le renforcement d</w:t>
      </w:r>
      <w:r w:rsidR="00C56284" w:rsidRPr="00DF1BCC">
        <w:rPr>
          <w:rStyle w:val="fontstyle01"/>
          <w:lang w:val="fr-SN"/>
        </w:rPr>
        <w:t>es capacités institutionnelles</w:t>
      </w:r>
      <w:r w:rsidR="00531AE6" w:rsidRPr="00DF1BCC">
        <w:rPr>
          <w:rStyle w:val="fontstyle01"/>
          <w:lang w:val="fr-SN"/>
        </w:rPr>
        <w:t xml:space="preserve"> </w:t>
      </w:r>
      <w:r w:rsidR="007350B9">
        <w:rPr>
          <w:rStyle w:val="fontstyle01"/>
          <w:lang w:val="fr-SN"/>
        </w:rPr>
        <w:t xml:space="preserve">et techniques des collectivités locales qui a été décisif dans le processus de </w:t>
      </w:r>
      <w:r w:rsidR="00C56284" w:rsidRPr="00DF1BCC">
        <w:rPr>
          <w:rStyle w:val="fontstyle01"/>
          <w:lang w:val="fr-SN"/>
        </w:rPr>
        <w:t>territorialisation des politiques publiques</w:t>
      </w:r>
      <w:r w:rsidR="007350B9">
        <w:rPr>
          <w:rStyle w:val="fontstyle01"/>
          <w:lang w:val="fr-SN"/>
        </w:rPr>
        <w:t xml:space="preserve"> et dans </w:t>
      </w:r>
      <w:r w:rsidR="00C56284" w:rsidRPr="00DF1BCC">
        <w:rPr>
          <w:rStyle w:val="fontstyle01"/>
          <w:lang w:val="fr-SN"/>
        </w:rPr>
        <w:t>la mise en place de pôle de développement</w:t>
      </w:r>
      <w:r w:rsidR="007350B9">
        <w:rPr>
          <w:rStyle w:val="fontstyle01"/>
          <w:lang w:val="fr-SN"/>
        </w:rPr>
        <w:t xml:space="preserve">. </w:t>
      </w:r>
    </w:p>
    <w:p w:rsidR="00A53974" w:rsidRPr="00DF1BCC" w:rsidRDefault="00A53974" w:rsidP="00DF1BCC">
      <w:pPr>
        <w:pStyle w:val="BodyText2"/>
        <w:contextualSpacing/>
        <w:jc w:val="both"/>
        <w:rPr>
          <w:rStyle w:val="fontstyle01"/>
          <w:lang w:val="fr-SN"/>
        </w:rPr>
      </w:pPr>
    </w:p>
    <w:p w:rsidR="0064730C" w:rsidRDefault="00C56284" w:rsidP="00DF1BCC">
      <w:pPr>
        <w:pStyle w:val="BodyText2"/>
        <w:contextualSpacing/>
        <w:jc w:val="both"/>
        <w:rPr>
          <w:rStyle w:val="fontstyle01"/>
          <w:lang w:val="fr-SN"/>
        </w:rPr>
      </w:pPr>
      <w:r w:rsidRPr="00DF1BCC">
        <w:rPr>
          <w:rStyle w:val="fontstyle01"/>
          <w:lang w:val="fr-SN"/>
        </w:rPr>
        <w:lastRenderedPageBreak/>
        <w:t>En ce qui concerne la croissance inclusive et le</w:t>
      </w:r>
      <w:r w:rsidR="00C872D4" w:rsidRPr="00DF1BCC">
        <w:rPr>
          <w:rStyle w:val="fontstyle01"/>
          <w:lang w:val="fr-SN"/>
        </w:rPr>
        <w:t xml:space="preserve"> </w:t>
      </w:r>
      <w:r w:rsidRPr="00DF1BCC">
        <w:rPr>
          <w:rStyle w:val="fontstyle01"/>
          <w:lang w:val="fr-SN"/>
        </w:rPr>
        <w:t>développement durable (Axe 2), dans le cadre</w:t>
      </w:r>
      <w:r w:rsidR="00C872D4" w:rsidRPr="00DF1BCC">
        <w:rPr>
          <w:rStyle w:val="fontstyle01"/>
          <w:lang w:val="fr-SN"/>
        </w:rPr>
        <w:t xml:space="preserve"> </w:t>
      </w:r>
      <w:r w:rsidRPr="00DF1BCC">
        <w:rPr>
          <w:rStyle w:val="fontstyle01"/>
          <w:lang w:val="fr-SN"/>
        </w:rPr>
        <w:t>du renforcement des dynamiques de dévelop</w:t>
      </w:r>
      <w:r w:rsidR="00E3365E">
        <w:rPr>
          <w:rStyle w:val="fontstyle01"/>
          <w:lang w:val="fr-SN"/>
        </w:rPr>
        <w:t xml:space="preserve">pement économique et social, les interventions du </w:t>
      </w:r>
      <w:r w:rsidRPr="00DF1BCC">
        <w:rPr>
          <w:rStyle w:val="fontstyle01"/>
          <w:lang w:val="fr-SN"/>
        </w:rPr>
        <w:t xml:space="preserve">PNUD </w:t>
      </w:r>
      <w:r w:rsidR="00E3365E">
        <w:rPr>
          <w:rStyle w:val="fontstyle01"/>
          <w:lang w:val="fr-SN"/>
        </w:rPr>
        <w:t>ont permis au Sénégal d’élaborer et d’opérationnaliser une</w:t>
      </w:r>
      <w:r w:rsidRPr="00DF1BCC">
        <w:rPr>
          <w:rStyle w:val="fontstyle01"/>
          <w:lang w:val="fr-SN"/>
        </w:rPr>
        <w:t xml:space="preserve"> stratégie</w:t>
      </w:r>
      <w:r w:rsidR="00EB01E8" w:rsidRPr="00DF1BCC">
        <w:rPr>
          <w:rStyle w:val="fontstyle01"/>
          <w:lang w:val="fr-SN"/>
        </w:rPr>
        <w:t xml:space="preserve"> </w:t>
      </w:r>
      <w:r w:rsidRPr="00DF1BCC">
        <w:rPr>
          <w:rStyle w:val="fontstyle01"/>
          <w:lang w:val="fr-SN"/>
        </w:rPr>
        <w:t>nationale de protection</w:t>
      </w:r>
      <w:r w:rsidR="00C872D4" w:rsidRPr="00DF1BCC">
        <w:rPr>
          <w:rStyle w:val="fontstyle01"/>
          <w:lang w:val="fr-SN"/>
        </w:rPr>
        <w:t xml:space="preserve"> </w:t>
      </w:r>
      <w:r w:rsidRPr="00DF1BCC">
        <w:rPr>
          <w:rStyle w:val="fontstyle01"/>
          <w:lang w:val="fr-SN"/>
        </w:rPr>
        <w:t xml:space="preserve">sociale et </w:t>
      </w:r>
      <w:r w:rsidR="00121257">
        <w:rPr>
          <w:rStyle w:val="fontstyle01"/>
          <w:lang w:val="fr-SN"/>
        </w:rPr>
        <w:t xml:space="preserve">de d’établir un </w:t>
      </w:r>
      <w:r w:rsidRPr="00DF1BCC">
        <w:rPr>
          <w:rStyle w:val="fontstyle01"/>
          <w:lang w:val="fr-SN"/>
        </w:rPr>
        <w:t>registre unique</w:t>
      </w:r>
      <w:r w:rsidR="00EB01E8" w:rsidRPr="00DF1BCC">
        <w:rPr>
          <w:rStyle w:val="fontstyle01"/>
          <w:lang w:val="fr-SN"/>
        </w:rPr>
        <w:t xml:space="preserve"> </w:t>
      </w:r>
      <w:r w:rsidRPr="00DF1BCC">
        <w:rPr>
          <w:rStyle w:val="fontstyle01"/>
          <w:lang w:val="fr-SN"/>
        </w:rPr>
        <w:t xml:space="preserve">des ménages vulnérables, </w:t>
      </w:r>
      <w:r w:rsidR="00121257">
        <w:rPr>
          <w:rStyle w:val="fontstyle01"/>
          <w:lang w:val="fr-SN"/>
        </w:rPr>
        <w:t xml:space="preserve">qui aujourd’hui constitue le </w:t>
      </w:r>
      <w:r w:rsidRPr="00DF1BCC">
        <w:rPr>
          <w:rStyle w:val="fontstyle01"/>
          <w:lang w:val="fr-SN"/>
        </w:rPr>
        <w:t>principal outil de</w:t>
      </w:r>
      <w:r w:rsidR="00D55317" w:rsidRPr="00DF1BCC">
        <w:rPr>
          <w:rStyle w:val="fontstyle01"/>
          <w:lang w:val="fr-SN"/>
        </w:rPr>
        <w:t xml:space="preserve"> </w:t>
      </w:r>
      <w:r w:rsidRPr="00DF1BCC">
        <w:rPr>
          <w:rStyle w:val="fontstyle01"/>
          <w:lang w:val="fr-SN"/>
        </w:rPr>
        <w:t>coordination des projets de filets sociaux.</w:t>
      </w:r>
      <w:r w:rsidR="00EB01E8" w:rsidRPr="00DF1BCC">
        <w:rPr>
          <w:rStyle w:val="fontstyle01"/>
          <w:lang w:val="fr-SN"/>
        </w:rPr>
        <w:t xml:space="preserve"> </w:t>
      </w:r>
      <w:r w:rsidRPr="00DF1BCC">
        <w:rPr>
          <w:rStyle w:val="fontstyle01"/>
          <w:lang w:val="fr-SN"/>
        </w:rPr>
        <w:t>En outre, l’appui à la mise en place de</w:t>
      </w:r>
      <w:r w:rsidR="00EB01E8" w:rsidRPr="00DF1BCC">
        <w:rPr>
          <w:rStyle w:val="fontstyle01"/>
          <w:lang w:val="fr-SN"/>
        </w:rPr>
        <w:t xml:space="preserve"> </w:t>
      </w:r>
      <w:r w:rsidRPr="00DF1BCC">
        <w:rPr>
          <w:rStyle w:val="fontstyle01"/>
          <w:lang w:val="fr-SN"/>
        </w:rPr>
        <w:t>l’Observatoire de la pauvreté et des conditions de vie des ménages a contribué au monitoring des interventions de lutte contre la</w:t>
      </w:r>
      <w:r w:rsidR="00403CC5" w:rsidRPr="00DF1BCC">
        <w:rPr>
          <w:rStyle w:val="fontstyle01"/>
          <w:lang w:val="fr-SN"/>
        </w:rPr>
        <w:t xml:space="preserve"> </w:t>
      </w:r>
      <w:r w:rsidRPr="00DF1BCC">
        <w:rPr>
          <w:rStyle w:val="fontstyle01"/>
          <w:lang w:val="fr-SN"/>
        </w:rPr>
        <w:t>pauvreté et des inégalités.</w:t>
      </w:r>
      <w:r w:rsidR="00403CC5" w:rsidRPr="00DF1BCC">
        <w:rPr>
          <w:rStyle w:val="fontstyle01"/>
          <w:lang w:val="fr-SN"/>
        </w:rPr>
        <w:t xml:space="preserve"> </w:t>
      </w:r>
      <w:r w:rsidRPr="00DF1BCC">
        <w:rPr>
          <w:rStyle w:val="fontstyle01"/>
          <w:lang w:val="fr-SN"/>
        </w:rPr>
        <w:t>En matière de promotion d’emplois</w:t>
      </w:r>
      <w:r w:rsidR="007428F6">
        <w:rPr>
          <w:rStyle w:val="fontstyle01"/>
          <w:lang w:val="fr-SN"/>
        </w:rPr>
        <w:t>, les</w:t>
      </w:r>
      <w:r w:rsidR="00545A92">
        <w:rPr>
          <w:rStyle w:val="fontstyle01"/>
          <w:lang w:val="fr-SN"/>
        </w:rPr>
        <w:t xml:space="preserve"> activités du PNUD ont permis au </w:t>
      </w:r>
      <w:r w:rsidR="007428F6">
        <w:rPr>
          <w:rStyle w:val="fontstyle01"/>
          <w:lang w:val="fr-SN"/>
        </w:rPr>
        <w:t xml:space="preserve">Sénégal d’enregistrer la création de </w:t>
      </w:r>
      <w:r w:rsidRPr="00DF1BCC">
        <w:rPr>
          <w:rStyle w:val="fontstyle01"/>
          <w:lang w:val="fr-SN"/>
        </w:rPr>
        <w:t>plus de 6</w:t>
      </w:r>
      <w:r w:rsidR="007428F6">
        <w:rPr>
          <w:rStyle w:val="fontstyle01"/>
          <w:lang w:val="fr-SN"/>
        </w:rPr>
        <w:t xml:space="preserve"> </w:t>
      </w:r>
      <w:r w:rsidRPr="00DF1BCC">
        <w:rPr>
          <w:rStyle w:val="fontstyle01"/>
          <w:lang w:val="fr-SN"/>
        </w:rPr>
        <w:t>265 emplois pour</w:t>
      </w:r>
      <w:r w:rsidR="0017750D">
        <w:rPr>
          <w:rStyle w:val="fontstyle01"/>
          <w:lang w:val="fr-SN"/>
        </w:rPr>
        <w:t xml:space="preserve"> </w:t>
      </w:r>
      <w:r w:rsidRPr="00DF1BCC">
        <w:rPr>
          <w:rStyle w:val="fontstyle01"/>
          <w:lang w:val="fr-SN"/>
        </w:rPr>
        <w:t>les jeunes et les femmes permettant ainsi</w:t>
      </w:r>
      <w:r w:rsidR="00403CC5" w:rsidRPr="00DF1BCC">
        <w:rPr>
          <w:rStyle w:val="fontstyle01"/>
          <w:lang w:val="fr-SN"/>
        </w:rPr>
        <w:t xml:space="preserve"> </w:t>
      </w:r>
      <w:r w:rsidRPr="00DF1BCC">
        <w:rPr>
          <w:rStyle w:val="fontstyle01"/>
          <w:lang w:val="fr-SN"/>
        </w:rPr>
        <w:t>d’améliorer leurs conditions de vie.</w:t>
      </w:r>
      <w:r w:rsidR="00403CC5" w:rsidRPr="00DF1BCC">
        <w:rPr>
          <w:rStyle w:val="fontstyle01"/>
          <w:lang w:val="fr-SN"/>
        </w:rPr>
        <w:t xml:space="preserve"> </w:t>
      </w:r>
      <w:r w:rsidRPr="00DF1BCC">
        <w:rPr>
          <w:rStyle w:val="fontstyle01"/>
          <w:lang w:val="fr-SN"/>
        </w:rPr>
        <w:t xml:space="preserve">Dans le cadre de l’accès des populations </w:t>
      </w:r>
      <w:r w:rsidR="00D55317" w:rsidRPr="00DF1BCC">
        <w:rPr>
          <w:rStyle w:val="fontstyle01"/>
          <w:lang w:val="fr-SN"/>
        </w:rPr>
        <w:t>aux infrastructures</w:t>
      </w:r>
      <w:r w:rsidRPr="00DF1BCC">
        <w:rPr>
          <w:rStyle w:val="fontstyle01"/>
          <w:lang w:val="fr-SN"/>
        </w:rPr>
        <w:t xml:space="preserve"> et services sociaux de base, le</w:t>
      </w:r>
      <w:r w:rsidR="00403CC5" w:rsidRPr="00DF1BCC">
        <w:rPr>
          <w:rStyle w:val="fontstyle01"/>
          <w:lang w:val="fr-SN"/>
        </w:rPr>
        <w:t xml:space="preserve"> </w:t>
      </w:r>
      <w:r w:rsidRPr="00DF1BCC">
        <w:rPr>
          <w:rStyle w:val="fontstyle01"/>
          <w:lang w:val="fr-SN"/>
        </w:rPr>
        <w:t>PNUD a joué un rôle capital dans la formulation et la mise en œuvre du PUDC. Ce programme vise à termes, à transformer significativement la vie des populations rurales et la</w:t>
      </w:r>
      <w:r w:rsidR="00403CC5" w:rsidRPr="00DF1BCC">
        <w:rPr>
          <w:rStyle w:val="fontstyle01"/>
          <w:lang w:val="fr-SN"/>
        </w:rPr>
        <w:t xml:space="preserve"> </w:t>
      </w:r>
      <w:r w:rsidRPr="00DF1BCC">
        <w:rPr>
          <w:rStyle w:val="fontstyle01"/>
          <w:lang w:val="fr-SN"/>
        </w:rPr>
        <w:t>réduction des inégalités entre le milieu rural</w:t>
      </w:r>
      <w:r w:rsidR="00D55317" w:rsidRPr="00DF1BCC">
        <w:rPr>
          <w:rStyle w:val="fontstyle01"/>
          <w:lang w:val="fr-SN"/>
        </w:rPr>
        <w:t xml:space="preserve"> </w:t>
      </w:r>
      <w:r w:rsidRPr="00DF1BCC">
        <w:rPr>
          <w:rStyle w:val="fontstyle01"/>
          <w:lang w:val="fr-SN"/>
        </w:rPr>
        <w:t xml:space="preserve">et urbain. </w:t>
      </w:r>
      <w:r w:rsidR="000A115E">
        <w:rPr>
          <w:rStyle w:val="fontstyle01"/>
          <w:lang w:val="fr-SN"/>
        </w:rPr>
        <w:t xml:space="preserve">Le PUDC a ainsi généré </w:t>
      </w:r>
      <w:r w:rsidRPr="00DF1BCC">
        <w:rPr>
          <w:rStyle w:val="fontstyle01"/>
          <w:lang w:val="fr-SN"/>
        </w:rPr>
        <w:t>des résultats</w:t>
      </w:r>
      <w:r w:rsidR="00403CC5" w:rsidRPr="00DF1BCC">
        <w:rPr>
          <w:rStyle w:val="fontstyle01"/>
          <w:lang w:val="fr-SN"/>
        </w:rPr>
        <w:t xml:space="preserve"> </w:t>
      </w:r>
      <w:r w:rsidRPr="00DF1BCC">
        <w:rPr>
          <w:rStyle w:val="fontstyle01"/>
          <w:lang w:val="fr-SN"/>
        </w:rPr>
        <w:t>de développement qui améliorent de façon</w:t>
      </w:r>
      <w:r w:rsidR="00403CC5" w:rsidRPr="00DF1BCC">
        <w:rPr>
          <w:rStyle w:val="fontstyle01"/>
          <w:lang w:val="fr-SN"/>
        </w:rPr>
        <w:t xml:space="preserve"> </w:t>
      </w:r>
      <w:r w:rsidRPr="00DF1BCC">
        <w:rPr>
          <w:rStyle w:val="fontstyle01"/>
          <w:lang w:val="fr-SN"/>
        </w:rPr>
        <w:t>directe les conditions de vie des populations.</w:t>
      </w:r>
      <w:r w:rsidR="00403CC5" w:rsidRPr="00DF1BCC">
        <w:rPr>
          <w:rStyle w:val="fontstyle01"/>
          <w:lang w:val="fr-SN"/>
        </w:rPr>
        <w:t xml:space="preserve"> </w:t>
      </w:r>
      <w:r w:rsidRPr="00DF1BCC">
        <w:rPr>
          <w:rStyle w:val="fontstyle01"/>
          <w:lang w:val="fr-SN"/>
        </w:rPr>
        <w:t>Elles ont contribué à alléger</w:t>
      </w:r>
      <w:r w:rsidR="00D539D8" w:rsidRPr="00DF1BCC">
        <w:rPr>
          <w:rStyle w:val="fontstyle01"/>
          <w:lang w:val="fr-SN"/>
        </w:rPr>
        <w:t xml:space="preserve"> </w:t>
      </w:r>
      <w:r w:rsidRPr="00DF1BCC">
        <w:rPr>
          <w:rStyle w:val="fontstyle01"/>
          <w:lang w:val="fr-SN"/>
        </w:rPr>
        <w:t>la charge de travail des femmes qui ont pu</w:t>
      </w:r>
      <w:r w:rsidR="00D539D8" w:rsidRPr="00DF1BCC">
        <w:rPr>
          <w:rStyle w:val="fontstyle01"/>
          <w:lang w:val="fr-SN"/>
        </w:rPr>
        <w:t xml:space="preserve"> </w:t>
      </w:r>
      <w:r w:rsidRPr="00DF1BCC">
        <w:rPr>
          <w:rStyle w:val="fontstyle01"/>
          <w:lang w:val="fr-SN"/>
        </w:rPr>
        <w:t>saisir d’autres opportunités grâce au gain de</w:t>
      </w:r>
      <w:r w:rsidR="0064730C">
        <w:rPr>
          <w:rStyle w:val="fontstyle01"/>
          <w:lang w:val="fr-SN"/>
        </w:rPr>
        <w:t xml:space="preserve"> </w:t>
      </w:r>
      <w:r w:rsidRPr="00DF1BCC">
        <w:rPr>
          <w:rStyle w:val="fontstyle01"/>
          <w:lang w:val="fr-SN"/>
        </w:rPr>
        <w:t>temps, à améliorer l’accessibilité et la qualité</w:t>
      </w:r>
      <w:r w:rsidR="001E337B" w:rsidRPr="00DF1BCC">
        <w:rPr>
          <w:rStyle w:val="fontstyle01"/>
          <w:lang w:val="fr-SN"/>
        </w:rPr>
        <w:t xml:space="preserve"> </w:t>
      </w:r>
      <w:r w:rsidRPr="00DF1BCC">
        <w:rPr>
          <w:rStyle w:val="fontstyle01"/>
          <w:lang w:val="fr-SN"/>
        </w:rPr>
        <w:t>de services sociaux de base (Santé, Education)</w:t>
      </w:r>
      <w:r w:rsidR="00D539D8" w:rsidRPr="00DF1BCC">
        <w:rPr>
          <w:rStyle w:val="fontstyle01"/>
          <w:lang w:val="fr-SN"/>
        </w:rPr>
        <w:t xml:space="preserve"> </w:t>
      </w:r>
      <w:r w:rsidRPr="001563D0">
        <w:rPr>
          <w:rStyle w:val="fontstyle01"/>
          <w:lang w:val="fr-SN"/>
        </w:rPr>
        <w:br/>
      </w:r>
      <w:r w:rsidRPr="00DF1BCC">
        <w:rPr>
          <w:rStyle w:val="fontstyle01"/>
          <w:lang w:val="fr-SN"/>
        </w:rPr>
        <w:t>et à augmenter la fréquentation scolaire des</w:t>
      </w:r>
      <w:r w:rsidR="00D539D8" w:rsidRPr="00DF1BCC">
        <w:rPr>
          <w:rStyle w:val="fontstyle01"/>
          <w:lang w:val="fr-SN"/>
        </w:rPr>
        <w:t xml:space="preserve"> </w:t>
      </w:r>
      <w:r w:rsidRPr="00DF1BCC">
        <w:rPr>
          <w:rStyle w:val="fontstyle01"/>
          <w:lang w:val="fr-SN"/>
        </w:rPr>
        <w:t>filles.</w:t>
      </w:r>
      <w:r w:rsidR="001563D0">
        <w:rPr>
          <w:rStyle w:val="fontstyle01"/>
          <w:lang w:val="fr-SN"/>
        </w:rPr>
        <w:t xml:space="preserve"> Par ailleurs, l</w:t>
      </w:r>
      <w:r w:rsidRPr="00DF1BCC">
        <w:rPr>
          <w:rStyle w:val="fontstyle01"/>
          <w:lang w:val="fr-SN"/>
        </w:rPr>
        <w:t>’approche genre a été systématique dans la</w:t>
      </w:r>
      <w:r w:rsidR="00D539D8" w:rsidRPr="00DF1BCC">
        <w:rPr>
          <w:rStyle w:val="fontstyle01"/>
          <w:lang w:val="fr-SN"/>
        </w:rPr>
        <w:t xml:space="preserve"> </w:t>
      </w:r>
      <w:r w:rsidRPr="00DF1BCC">
        <w:rPr>
          <w:rStyle w:val="fontstyle01"/>
          <w:lang w:val="fr-SN"/>
        </w:rPr>
        <w:t>mise en œuvre des différents volets de cet</w:t>
      </w:r>
      <w:r w:rsidR="00D539D8" w:rsidRPr="00DF1BCC">
        <w:rPr>
          <w:rStyle w:val="fontstyle01"/>
          <w:lang w:val="fr-SN"/>
        </w:rPr>
        <w:t xml:space="preserve"> </w:t>
      </w:r>
      <w:r w:rsidRPr="00DF1BCC">
        <w:rPr>
          <w:rStyle w:val="fontstyle01"/>
          <w:lang w:val="fr-SN"/>
        </w:rPr>
        <w:t xml:space="preserve">axe. </w:t>
      </w:r>
    </w:p>
    <w:p w:rsidR="0064730C" w:rsidRDefault="0064730C" w:rsidP="00DF1BCC">
      <w:pPr>
        <w:pStyle w:val="BodyText2"/>
        <w:contextualSpacing/>
        <w:jc w:val="both"/>
        <w:rPr>
          <w:rStyle w:val="fontstyle01"/>
          <w:lang w:val="fr-SN"/>
        </w:rPr>
      </w:pPr>
    </w:p>
    <w:p w:rsidR="00163B2F" w:rsidRPr="001563D0" w:rsidRDefault="00C56284" w:rsidP="00DF1BCC">
      <w:pPr>
        <w:pStyle w:val="BodyText2"/>
        <w:contextualSpacing/>
        <w:jc w:val="both"/>
        <w:rPr>
          <w:rStyle w:val="fontstyle01"/>
          <w:lang w:val="fr-SN"/>
        </w:rPr>
      </w:pPr>
      <w:r w:rsidRPr="00DF1BCC">
        <w:rPr>
          <w:rStyle w:val="fontstyle01"/>
          <w:lang w:val="fr-SN"/>
        </w:rPr>
        <w:t>Dans le domaine de l'adaptation et de l'atténuation aux changements climatiques (Axe 3),</w:t>
      </w:r>
      <w:r w:rsidR="007955EB" w:rsidRPr="00DF1BCC">
        <w:rPr>
          <w:rStyle w:val="fontstyle01"/>
          <w:lang w:val="fr-SN"/>
        </w:rPr>
        <w:t xml:space="preserve"> </w:t>
      </w:r>
      <w:r w:rsidRPr="00DF1BCC">
        <w:rPr>
          <w:rStyle w:val="fontstyle01"/>
          <w:lang w:val="fr-SN"/>
        </w:rPr>
        <w:t xml:space="preserve">la mise en œuvre du Programme </w:t>
      </w:r>
      <w:r w:rsidR="001563D0">
        <w:rPr>
          <w:rStyle w:val="fontstyle01"/>
          <w:lang w:val="fr-SN"/>
        </w:rPr>
        <w:t xml:space="preserve">a permis d’enregistrer </w:t>
      </w:r>
      <w:r w:rsidRPr="00DF1BCC">
        <w:rPr>
          <w:rStyle w:val="fontstyle01"/>
          <w:lang w:val="fr-SN"/>
        </w:rPr>
        <w:t>des progrès avec des effets immédiats. Les</w:t>
      </w:r>
      <w:r w:rsidR="007955EB" w:rsidRPr="00DF1BCC">
        <w:rPr>
          <w:rStyle w:val="fontstyle01"/>
          <w:lang w:val="fr-SN"/>
        </w:rPr>
        <w:t xml:space="preserve"> </w:t>
      </w:r>
      <w:r w:rsidRPr="00DF1BCC">
        <w:rPr>
          <w:rStyle w:val="fontstyle01"/>
          <w:lang w:val="fr-SN"/>
        </w:rPr>
        <w:t>actions de plaidoyer et la sensibilisation ont</w:t>
      </w:r>
      <w:r w:rsidR="001563D0">
        <w:rPr>
          <w:rStyle w:val="fontstyle01"/>
          <w:lang w:val="fr-SN"/>
        </w:rPr>
        <w:t xml:space="preserve"> </w:t>
      </w:r>
      <w:r w:rsidRPr="00DF1BCC">
        <w:rPr>
          <w:rStyle w:val="fontstyle01"/>
          <w:lang w:val="fr-SN"/>
        </w:rPr>
        <w:t>permis une meilleure maîtrise des enjeux et</w:t>
      </w:r>
      <w:r w:rsidR="007955EB" w:rsidRPr="00DF1BCC">
        <w:rPr>
          <w:rStyle w:val="fontstyle01"/>
          <w:lang w:val="fr-SN"/>
        </w:rPr>
        <w:t xml:space="preserve"> </w:t>
      </w:r>
      <w:r w:rsidRPr="00DF1BCC">
        <w:rPr>
          <w:rStyle w:val="fontstyle01"/>
          <w:lang w:val="fr-SN"/>
        </w:rPr>
        <w:t>problématiques liés à l’environnement. Des</w:t>
      </w:r>
      <w:r w:rsidRPr="001563D0">
        <w:rPr>
          <w:rStyle w:val="fontstyle01"/>
          <w:lang w:val="fr-SN"/>
        </w:rPr>
        <w:br/>
      </w:r>
      <w:r w:rsidRPr="00DF1BCC">
        <w:rPr>
          <w:rStyle w:val="fontstyle01"/>
          <w:lang w:val="fr-SN"/>
        </w:rPr>
        <w:t>débats sur certaines thématiques comme</w:t>
      </w:r>
      <w:r w:rsidR="007955EB" w:rsidRPr="00DF1BCC">
        <w:rPr>
          <w:rStyle w:val="fontstyle01"/>
          <w:lang w:val="fr-SN"/>
        </w:rPr>
        <w:t xml:space="preserve"> </w:t>
      </w:r>
      <w:r w:rsidRPr="00DF1BCC">
        <w:rPr>
          <w:rStyle w:val="fontstyle01"/>
          <w:lang w:val="fr-SN"/>
        </w:rPr>
        <w:t>l’efficacité énergétique, l’économie et emploi</w:t>
      </w:r>
      <w:r w:rsidR="001563D0">
        <w:rPr>
          <w:rStyle w:val="fontstyle01"/>
          <w:lang w:val="fr-SN"/>
        </w:rPr>
        <w:t xml:space="preserve"> </w:t>
      </w:r>
      <w:r w:rsidRPr="00DF1BCC">
        <w:rPr>
          <w:rStyle w:val="fontstyle01"/>
          <w:lang w:val="fr-SN"/>
        </w:rPr>
        <w:t>verts ont été suscités, et ont permis</w:t>
      </w:r>
      <w:r w:rsidR="007955EB" w:rsidRPr="00DF1BCC">
        <w:rPr>
          <w:rStyle w:val="fontstyle01"/>
          <w:lang w:val="fr-SN"/>
        </w:rPr>
        <w:t xml:space="preserve"> </w:t>
      </w:r>
      <w:r w:rsidRPr="00DF1BCC">
        <w:rPr>
          <w:rStyle w:val="fontstyle01"/>
          <w:lang w:val="fr-SN"/>
        </w:rPr>
        <w:t>l’intégration de ces problématiques dans les</w:t>
      </w:r>
      <w:r w:rsidR="001563D0">
        <w:rPr>
          <w:rStyle w:val="fontstyle01"/>
          <w:lang w:val="fr-SN"/>
        </w:rPr>
        <w:t xml:space="preserve"> </w:t>
      </w:r>
      <w:r w:rsidRPr="00DF1BCC">
        <w:rPr>
          <w:rStyle w:val="fontstyle01"/>
          <w:lang w:val="fr-SN"/>
        </w:rPr>
        <w:t>outils de planification nationale, sectorielle ou</w:t>
      </w:r>
      <w:r w:rsidR="007955EB" w:rsidRPr="00DF1BCC">
        <w:rPr>
          <w:rStyle w:val="fontstyle01"/>
          <w:lang w:val="fr-SN"/>
        </w:rPr>
        <w:t xml:space="preserve"> </w:t>
      </w:r>
      <w:r w:rsidRPr="00DF1BCC">
        <w:rPr>
          <w:rStyle w:val="fontstyle01"/>
          <w:lang w:val="fr-SN"/>
        </w:rPr>
        <w:t>locale. Le PNUD en collaboration avec le Ministère de l’Environnement et du Développement Durable, a également suscité</w:t>
      </w:r>
      <w:r w:rsidR="007955EB" w:rsidRPr="00DF1BCC">
        <w:rPr>
          <w:rStyle w:val="fontstyle01"/>
          <w:lang w:val="fr-SN"/>
        </w:rPr>
        <w:t xml:space="preserve"> </w:t>
      </w:r>
      <w:r w:rsidRPr="00DF1BCC">
        <w:rPr>
          <w:rStyle w:val="fontstyle01"/>
          <w:lang w:val="fr-SN"/>
        </w:rPr>
        <w:t>des consultations nationales pour la mise en</w:t>
      </w:r>
      <w:r w:rsidR="007955EB" w:rsidRPr="00DF1BCC">
        <w:rPr>
          <w:rStyle w:val="fontstyle01"/>
          <w:lang w:val="fr-SN"/>
        </w:rPr>
        <w:t xml:space="preserve"> </w:t>
      </w:r>
      <w:r w:rsidRPr="00DF1BCC">
        <w:rPr>
          <w:rStyle w:val="fontstyle01"/>
          <w:lang w:val="fr-SN"/>
        </w:rPr>
        <w:t>place d'un Fonds National Climatique qui devrait améliorer la cohérence programmatique</w:t>
      </w:r>
      <w:r w:rsidR="001563D0">
        <w:rPr>
          <w:rStyle w:val="fontstyle01"/>
          <w:lang w:val="fr-SN"/>
        </w:rPr>
        <w:t xml:space="preserve"> </w:t>
      </w:r>
      <w:r w:rsidRPr="00DF1BCC">
        <w:rPr>
          <w:rStyle w:val="fontstyle01"/>
          <w:lang w:val="fr-SN"/>
        </w:rPr>
        <w:t>au niveau national, et positionner le Sénégal</w:t>
      </w:r>
      <w:r w:rsidR="007955EB" w:rsidRPr="00DF1BCC">
        <w:rPr>
          <w:rStyle w:val="fontstyle01"/>
          <w:lang w:val="fr-SN"/>
        </w:rPr>
        <w:t xml:space="preserve"> </w:t>
      </w:r>
      <w:r w:rsidRPr="00DF1BCC">
        <w:rPr>
          <w:rStyle w:val="fontstyle01"/>
          <w:lang w:val="fr-SN"/>
        </w:rPr>
        <w:t>en perspective de la mise en place du Fonds</w:t>
      </w:r>
      <w:r w:rsidR="001563D0">
        <w:rPr>
          <w:rStyle w:val="fontstyle01"/>
          <w:lang w:val="fr-SN"/>
        </w:rPr>
        <w:t xml:space="preserve"> </w:t>
      </w:r>
      <w:r w:rsidRPr="00DF1BCC">
        <w:rPr>
          <w:rStyle w:val="fontstyle01"/>
          <w:lang w:val="fr-SN"/>
        </w:rPr>
        <w:t>vert sur le Climat.</w:t>
      </w:r>
      <w:r w:rsidR="007955EB" w:rsidRPr="00DF1BCC">
        <w:rPr>
          <w:rStyle w:val="fontstyle01"/>
          <w:lang w:val="fr-SN"/>
        </w:rPr>
        <w:t xml:space="preserve"> </w:t>
      </w:r>
      <w:r w:rsidRPr="00DF1BCC">
        <w:rPr>
          <w:rStyle w:val="fontstyle01"/>
          <w:lang w:val="fr-SN"/>
        </w:rPr>
        <w:t>En ce qui concerne les projets de démonstration, d’engendrer des</w:t>
      </w:r>
      <w:r w:rsidR="001E337B" w:rsidRPr="00DF1BCC">
        <w:rPr>
          <w:rStyle w:val="fontstyle01"/>
          <w:lang w:val="fr-SN"/>
        </w:rPr>
        <w:t xml:space="preserve"> </w:t>
      </w:r>
      <w:r w:rsidRPr="00DF1BCC">
        <w:rPr>
          <w:rStyle w:val="fontstyle01"/>
          <w:lang w:val="fr-SN"/>
        </w:rPr>
        <w:t>changements significatifs sur les modes de</w:t>
      </w:r>
      <w:r w:rsidR="001E337B" w:rsidRPr="00DF1BCC">
        <w:rPr>
          <w:rStyle w:val="fontstyle01"/>
          <w:lang w:val="fr-SN"/>
        </w:rPr>
        <w:t xml:space="preserve"> </w:t>
      </w:r>
      <w:r w:rsidRPr="00DF1BCC">
        <w:rPr>
          <w:rStyle w:val="fontstyle01"/>
          <w:lang w:val="fr-SN"/>
        </w:rPr>
        <w:t xml:space="preserve">production et de </w:t>
      </w:r>
      <w:r w:rsidR="001E337B" w:rsidRPr="00DF1BCC">
        <w:rPr>
          <w:rStyle w:val="fontstyle01"/>
          <w:lang w:val="fr-SN"/>
        </w:rPr>
        <w:t>co</w:t>
      </w:r>
      <w:r w:rsidRPr="00DF1BCC">
        <w:rPr>
          <w:rStyle w:val="fontstyle01"/>
          <w:lang w:val="fr-SN"/>
        </w:rPr>
        <w:t>nsommation des populations.</w:t>
      </w:r>
      <w:r w:rsidR="001E337B" w:rsidRPr="00DF1BCC">
        <w:rPr>
          <w:rStyle w:val="fontstyle01"/>
          <w:lang w:val="fr-SN"/>
        </w:rPr>
        <w:t xml:space="preserve"> </w:t>
      </w:r>
      <w:r w:rsidRPr="00DF1BCC">
        <w:rPr>
          <w:rStyle w:val="fontstyle01"/>
          <w:lang w:val="fr-SN"/>
        </w:rPr>
        <w:t>En outre, les actions menées, notamment</w:t>
      </w:r>
      <w:r w:rsidR="001E337B" w:rsidRPr="00DF1BCC">
        <w:rPr>
          <w:rStyle w:val="fontstyle01"/>
          <w:lang w:val="fr-SN"/>
        </w:rPr>
        <w:t xml:space="preserve"> </w:t>
      </w:r>
      <w:r w:rsidRPr="00DF1BCC">
        <w:rPr>
          <w:rStyle w:val="fontstyle01"/>
          <w:lang w:val="fr-SN"/>
        </w:rPr>
        <w:t>dans le secteur énergie ont particulièrement</w:t>
      </w:r>
      <w:r w:rsidR="001E337B" w:rsidRPr="00DF1BCC">
        <w:rPr>
          <w:rStyle w:val="fontstyle01"/>
          <w:lang w:val="fr-SN"/>
        </w:rPr>
        <w:t xml:space="preserve"> </w:t>
      </w:r>
      <w:r w:rsidR="0006273F">
        <w:rPr>
          <w:rStyle w:val="fontstyle01"/>
          <w:lang w:val="fr-SN"/>
        </w:rPr>
        <w:t xml:space="preserve">ciblé les femmes. </w:t>
      </w:r>
    </w:p>
    <w:p w:rsidR="00C56284" w:rsidRPr="008D7447" w:rsidRDefault="00C56284" w:rsidP="008D7447">
      <w:pPr>
        <w:pStyle w:val="BodyText2"/>
        <w:contextualSpacing/>
        <w:jc w:val="both"/>
        <w:rPr>
          <w:rStyle w:val="fontstyle01"/>
          <w:lang w:val="fr-SN"/>
        </w:rPr>
      </w:pPr>
    </w:p>
    <w:p w:rsidR="0037523B" w:rsidRPr="00B958D1" w:rsidRDefault="00A210F8" w:rsidP="00B958D1">
      <w:pPr>
        <w:pStyle w:val="BodyText2"/>
        <w:contextualSpacing/>
        <w:jc w:val="both"/>
        <w:rPr>
          <w:rStyle w:val="fontstyle01"/>
          <w:lang w:val="fr-SN"/>
        </w:rPr>
        <w:sectPr w:rsidR="0037523B" w:rsidRPr="00B958D1" w:rsidSect="00857C71">
          <w:footerReference w:type="default" r:id="rId13"/>
          <w:endnotePr>
            <w:numFmt w:val="decimal"/>
          </w:endnotePr>
          <w:pgSz w:w="11907" w:h="16840" w:code="9"/>
          <w:pgMar w:top="993" w:right="992" w:bottom="1440" w:left="993" w:header="720" w:footer="720" w:gutter="0"/>
          <w:cols w:space="720"/>
        </w:sectPr>
      </w:pPr>
      <w:r>
        <w:rPr>
          <w:rStyle w:val="fontstyle01"/>
          <w:lang w:val="fr-SN"/>
        </w:rPr>
        <w:t>Il f</w:t>
      </w:r>
      <w:r w:rsidR="00823462">
        <w:rPr>
          <w:rStyle w:val="fontstyle01"/>
          <w:lang w:val="fr-SN"/>
        </w:rPr>
        <w:t>aut cependant noter</w:t>
      </w:r>
      <w:r w:rsidR="008208F6">
        <w:rPr>
          <w:rStyle w:val="fontstyle01"/>
          <w:lang w:val="fr-SN"/>
        </w:rPr>
        <w:t xml:space="preserve"> </w:t>
      </w:r>
      <w:r w:rsidR="00245328">
        <w:rPr>
          <w:rStyle w:val="fontstyle01"/>
          <w:lang w:val="fr-SN"/>
        </w:rPr>
        <w:t>quelques contraintes</w:t>
      </w:r>
      <w:r w:rsidR="008208F6">
        <w:rPr>
          <w:rStyle w:val="fontstyle01"/>
          <w:lang w:val="fr-SN"/>
        </w:rPr>
        <w:t xml:space="preserve"> qui </w:t>
      </w:r>
      <w:r w:rsidR="00B13007">
        <w:rPr>
          <w:rStyle w:val="fontstyle01"/>
          <w:lang w:val="fr-SN"/>
        </w:rPr>
        <w:t xml:space="preserve">ont été contraignantes dans la </w:t>
      </w:r>
      <w:r w:rsidR="008208F6">
        <w:rPr>
          <w:rStyle w:val="fontstyle01"/>
          <w:lang w:val="fr-SN"/>
        </w:rPr>
        <w:t xml:space="preserve">mise en </w:t>
      </w:r>
      <w:r w:rsidR="00672EEB">
        <w:rPr>
          <w:rStyle w:val="fontstyle01"/>
          <w:lang w:val="fr-SN"/>
        </w:rPr>
        <w:t>œuvre du CPD</w:t>
      </w:r>
      <w:r>
        <w:rPr>
          <w:rStyle w:val="fontstyle01"/>
          <w:lang w:val="fr-SN"/>
        </w:rPr>
        <w:t xml:space="preserve"> 2012-</w:t>
      </w:r>
      <w:r w:rsidR="009C7DF5">
        <w:rPr>
          <w:rStyle w:val="fontstyle01"/>
          <w:lang w:val="fr-SN"/>
        </w:rPr>
        <w:t xml:space="preserve">2018 </w:t>
      </w:r>
      <w:r w:rsidR="009C7DF5" w:rsidRPr="00B958D1">
        <w:rPr>
          <w:rStyle w:val="fontstyle01"/>
          <w:lang w:val="fr-SN"/>
        </w:rPr>
        <w:t>vont</w:t>
      </w:r>
      <w:r w:rsidR="00672EEB">
        <w:rPr>
          <w:rStyle w:val="fontstyle01"/>
          <w:lang w:val="fr-SN"/>
        </w:rPr>
        <w:t xml:space="preserve"> servir, en tant que l</w:t>
      </w:r>
      <w:r w:rsidR="00245328">
        <w:rPr>
          <w:rStyle w:val="fontstyle01"/>
          <w:lang w:val="fr-SN"/>
        </w:rPr>
        <w:t>e</w:t>
      </w:r>
      <w:r w:rsidR="00672EEB">
        <w:rPr>
          <w:rStyle w:val="fontstyle01"/>
          <w:lang w:val="fr-SN"/>
        </w:rPr>
        <w:t xml:space="preserve">çons apprise dans le déroulement des produits du prochain cycle. En effet, </w:t>
      </w:r>
      <w:r w:rsidR="00936F82" w:rsidRPr="00B958D1">
        <w:rPr>
          <w:rStyle w:val="fontstyle01"/>
          <w:lang w:val="fr-SN"/>
        </w:rPr>
        <w:t xml:space="preserve">le processus de changement et le mécanisme de suivi des résultats </w:t>
      </w:r>
      <w:r w:rsidR="001E57B0">
        <w:rPr>
          <w:rStyle w:val="fontstyle01"/>
          <w:lang w:val="fr-SN"/>
        </w:rPr>
        <w:t>devront être</w:t>
      </w:r>
      <w:r w:rsidR="00936F82" w:rsidRPr="00B958D1">
        <w:rPr>
          <w:rStyle w:val="fontstyle01"/>
          <w:lang w:val="fr-SN"/>
        </w:rPr>
        <w:t xml:space="preserve"> renforcés, </w:t>
      </w:r>
      <w:r w:rsidR="001E57B0">
        <w:rPr>
          <w:rStyle w:val="fontstyle01"/>
          <w:lang w:val="fr-SN"/>
        </w:rPr>
        <w:t>afin de prendre</w:t>
      </w:r>
      <w:r w:rsidR="00936F82" w:rsidRPr="00B958D1">
        <w:rPr>
          <w:rStyle w:val="fontstyle01"/>
          <w:lang w:val="fr-SN"/>
        </w:rPr>
        <w:t xml:space="preserve"> en compte les paramètres de conception, thématiques et opérationnels, et les outils de gestion axée sur les résultats, </w:t>
      </w:r>
      <w:r w:rsidR="001E57B0">
        <w:rPr>
          <w:rStyle w:val="fontstyle01"/>
          <w:lang w:val="fr-SN"/>
        </w:rPr>
        <w:t>pour permettre de mieux</w:t>
      </w:r>
      <w:r w:rsidR="00936F82" w:rsidRPr="00B958D1">
        <w:rPr>
          <w:rStyle w:val="fontstyle01"/>
          <w:lang w:val="fr-SN"/>
        </w:rPr>
        <w:t xml:space="preserve"> saisir l’évolution des progrès vers l’atteinte des résultats transformationnels</w:t>
      </w:r>
      <w:r w:rsidR="009B233F" w:rsidRPr="00B958D1">
        <w:rPr>
          <w:rStyle w:val="fontstyle01"/>
          <w:lang w:val="fr-SN"/>
        </w:rPr>
        <w:t xml:space="preserve">. </w:t>
      </w:r>
      <w:r w:rsidR="001E57B0">
        <w:rPr>
          <w:rStyle w:val="fontstyle01"/>
          <w:lang w:val="fr-SN"/>
        </w:rPr>
        <w:t>Enfin, l</w:t>
      </w:r>
      <w:r w:rsidR="009B233F" w:rsidRPr="00B958D1">
        <w:rPr>
          <w:rStyle w:val="fontstyle01"/>
          <w:lang w:val="fr-SN"/>
        </w:rPr>
        <w:t xml:space="preserve">’ambition d’un passage à échelle dans la perspective de répondre à la préoccupation de « </w:t>
      </w:r>
      <w:proofErr w:type="spellStart"/>
      <w:r w:rsidR="009B233F" w:rsidRPr="00B958D1">
        <w:rPr>
          <w:rStyle w:val="fontstyle01"/>
          <w:lang w:val="fr-SN"/>
        </w:rPr>
        <w:t>Leaving</w:t>
      </w:r>
      <w:proofErr w:type="spellEnd"/>
      <w:r w:rsidR="009B233F" w:rsidRPr="00B958D1">
        <w:rPr>
          <w:rStyle w:val="fontstyle01"/>
          <w:lang w:val="fr-SN"/>
        </w:rPr>
        <w:t xml:space="preserve"> no one </w:t>
      </w:r>
      <w:proofErr w:type="spellStart"/>
      <w:r w:rsidR="009B233F" w:rsidRPr="00B958D1">
        <w:rPr>
          <w:rStyle w:val="fontstyle01"/>
          <w:lang w:val="fr-SN"/>
        </w:rPr>
        <w:t>behind</w:t>
      </w:r>
      <w:proofErr w:type="spellEnd"/>
      <w:r w:rsidR="009B233F" w:rsidRPr="00B958D1">
        <w:rPr>
          <w:rStyle w:val="fontstyle01"/>
          <w:lang w:val="fr-SN"/>
        </w:rPr>
        <w:t xml:space="preserve"> » doit être soutenue par des efforts de mobilisation de ressources conséquentes.</w:t>
      </w:r>
      <w:r w:rsidR="0006273F">
        <w:rPr>
          <w:rStyle w:val="fontstyle01"/>
          <w:lang w:val="fr-SN"/>
        </w:rPr>
        <w:t xml:space="preserve"> </w:t>
      </w:r>
    </w:p>
    <w:p w:rsidR="00975566" w:rsidRPr="0028553F" w:rsidRDefault="00CD7543" w:rsidP="001B5B87">
      <w:pPr>
        <w:pStyle w:val="Heading3"/>
        <w:shd w:val="clear" w:color="auto" w:fill="auto"/>
        <w:jc w:val="left"/>
        <w:rPr>
          <w:rFonts w:asciiTheme="minorHAnsi" w:hAnsiTheme="minorHAnsi"/>
          <w:b/>
          <w:lang w:val="fr-FR"/>
        </w:rPr>
      </w:pPr>
      <w:bookmarkStart w:id="1" w:name="_Hlk514087575"/>
      <w:r w:rsidRPr="00986505">
        <w:rPr>
          <w:rFonts w:asciiTheme="minorHAnsi" w:hAnsiTheme="minorHAnsi"/>
          <w:b/>
          <w:highlight w:val="yellow"/>
          <w:lang w:val="fr-FR"/>
        </w:rPr>
        <w:lastRenderedPageBreak/>
        <w:t>II :</w:t>
      </w:r>
      <w:r w:rsidR="0081403B" w:rsidRPr="00986505">
        <w:rPr>
          <w:rFonts w:asciiTheme="minorHAnsi" w:hAnsiTheme="minorHAnsi"/>
          <w:b/>
          <w:highlight w:val="yellow"/>
          <w:lang w:val="fr-FR"/>
        </w:rPr>
        <w:t xml:space="preserve"> </w:t>
      </w:r>
      <w:r w:rsidR="0020106A" w:rsidRPr="00986505">
        <w:rPr>
          <w:rFonts w:asciiTheme="minorHAnsi" w:hAnsiTheme="minorHAnsi"/>
          <w:b/>
          <w:highlight w:val="yellow"/>
          <w:lang w:val="fr-FR"/>
        </w:rPr>
        <w:t>Résumé des performance</w:t>
      </w:r>
      <w:r w:rsidRPr="00986505">
        <w:rPr>
          <w:rFonts w:asciiTheme="minorHAnsi" w:hAnsiTheme="minorHAnsi"/>
          <w:b/>
          <w:highlight w:val="yellow"/>
          <w:lang w:val="fr-FR"/>
        </w:rPr>
        <w:t>s</w:t>
      </w:r>
      <w:r w:rsidR="0020106A" w:rsidRPr="00986505">
        <w:rPr>
          <w:rFonts w:asciiTheme="minorHAnsi" w:hAnsiTheme="minorHAnsi"/>
          <w:b/>
          <w:highlight w:val="yellow"/>
          <w:lang w:val="fr-FR"/>
        </w:rPr>
        <w:t xml:space="preserve"> du </w:t>
      </w:r>
      <w:r w:rsidR="000C09B4" w:rsidRPr="00986505">
        <w:rPr>
          <w:rFonts w:asciiTheme="minorHAnsi" w:hAnsiTheme="minorHAnsi"/>
          <w:b/>
          <w:highlight w:val="yellow"/>
          <w:lang w:val="fr-FR"/>
        </w:rPr>
        <w:t xml:space="preserve">Programme </w:t>
      </w:r>
      <w:r w:rsidR="0020106A" w:rsidRPr="00986505">
        <w:rPr>
          <w:rFonts w:asciiTheme="minorHAnsi" w:hAnsiTheme="minorHAnsi"/>
          <w:b/>
          <w:highlight w:val="yellow"/>
          <w:lang w:val="fr-FR"/>
        </w:rPr>
        <w:t>de pays</w:t>
      </w:r>
      <w:r w:rsidR="0020106A" w:rsidRPr="0028553F">
        <w:rPr>
          <w:rFonts w:asciiTheme="minorHAnsi" w:hAnsiTheme="minorHAnsi"/>
          <w:b/>
          <w:lang w:val="fr-FR"/>
        </w:rPr>
        <w:t xml:space="preserve"> </w:t>
      </w:r>
    </w:p>
    <w:p w:rsidR="00DC7354" w:rsidRPr="0028553F" w:rsidRDefault="00DC7354" w:rsidP="001B5B87">
      <w:pPr>
        <w:pStyle w:val="BodyText2"/>
        <w:jc w:val="center"/>
        <w:rPr>
          <w:rFonts w:asciiTheme="minorHAnsi" w:hAnsiTheme="minorHAnsi"/>
          <w:b/>
          <w:sz w:val="24"/>
          <w:lang w:val="fr-FR"/>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76"/>
        <w:gridCol w:w="90"/>
        <w:gridCol w:w="1440"/>
        <w:gridCol w:w="178"/>
        <w:gridCol w:w="3782"/>
        <w:gridCol w:w="6282"/>
      </w:tblGrid>
      <w:tr w:rsidR="00F555D2" w:rsidRPr="0028553F" w:rsidTr="00AE2EC2">
        <w:tc>
          <w:tcPr>
            <w:tcW w:w="3627" w:type="dxa"/>
            <w:gridSpan w:val="3"/>
            <w:tcBorders>
              <w:right w:val="nil"/>
            </w:tcBorders>
            <w:shd w:val="clear" w:color="auto" w:fill="FFC000"/>
          </w:tcPr>
          <w:p w:rsidR="00CB647D" w:rsidRPr="0028553F" w:rsidRDefault="0024562A" w:rsidP="001B5B87">
            <w:pPr>
              <w:pStyle w:val="BodyText2"/>
              <w:rPr>
                <w:rFonts w:asciiTheme="minorHAnsi" w:hAnsiTheme="minorHAnsi"/>
                <w:b/>
                <w:sz w:val="24"/>
              </w:rPr>
            </w:pPr>
            <w:r w:rsidRPr="0028553F">
              <w:rPr>
                <w:rFonts w:asciiTheme="minorHAnsi" w:hAnsiTheme="minorHAnsi"/>
                <w:b/>
                <w:lang w:val="fr-FR"/>
              </w:rPr>
              <w:t>I</w:t>
            </w:r>
            <w:r w:rsidR="00CB647D" w:rsidRPr="0028553F">
              <w:rPr>
                <w:rFonts w:asciiTheme="minorHAnsi" w:hAnsiTheme="minorHAnsi"/>
                <w:b/>
                <w:lang w:val="fr-FR"/>
              </w:rPr>
              <w:t>nformation</w:t>
            </w:r>
            <w:r w:rsidR="00400223" w:rsidRPr="0028553F">
              <w:rPr>
                <w:rFonts w:asciiTheme="minorHAnsi" w:hAnsiTheme="minorHAnsi"/>
                <w:b/>
                <w:lang w:val="fr-FR"/>
              </w:rPr>
              <w:t>s</w:t>
            </w:r>
            <w:r w:rsidRPr="0028553F">
              <w:rPr>
                <w:rFonts w:asciiTheme="minorHAnsi" w:hAnsiTheme="minorHAnsi"/>
                <w:b/>
              </w:rPr>
              <w:t xml:space="preserve"> sur le pays </w:t>
            </w:r>
          </w:p>
        </w:tc>
        <w:tc>
          <w:tcPr>
            <w:tcW w:w="11682" w:type="dxa"/>
            <w:gridSpan w:val="4"/>
            <w:tcBorders>
              <w:left w:val="nil"/>
            </w:tcBorders>
            <w:shd w:val="clear" w:color="auto" w:fill="FFC000"/>
          </w:tcPr>
          <w:p w:rsidR="00CB647D" w:rsidRPr="0028553F" w:rsidRDefault="00CB647D" w:rsidP="001B5B87">
            <w:pPr>
              <w:pStyle w:val="BodyText2"/>
              <w:rPr>
                <w:rFonts w:asciiTheme="minorHAnsi" w:hAnsiTheme="minorHAnsi"/>
                <w:b/>
                <w:sz w:val="24"/>
              </w:rPr>
            </w:pPr>
          </w:p>
        </w:tc>
      </w:tr>
      <w:tr w:rsidR="00F555D2" w:rsidRPr="0028553F" w:rsidTr="00AE2EC2">
        <w:tc>
          <w:tcPr>
            <w:tcW w:w="15309" w:type="dxa"/>
            <w:gridSpan w:val="7"/>
          </w:tcPr>
          <w:p w:rsidR="009B76A1" w:rsidRPr="0028553F" w:rsidRDefault="0020106A" w:rsidP="001B5B87">
            <w:pPr>
              <w:pStyle w:val="BodyText2"/>
              <w:rPr>
                <w:rFonts w:asciiTheme="minorHAnsi" w:hAnsiTheme="minorHAnsi"/>
                <w:b/>
                <w:sz w:val="24"/>
              </w:rPr>
            </w:pPr>
            <w:r w:rsidRPr="0028553F">
              <w:rPr>
                <w:rFonts w:asciiTheme="minorHAnsi" w:hAnsiTheme="minorHAnsi"/>
                <w:b/>
              </w:rPr>
              <w:t>Nom du pays</w:t>
            </w:r>
            <w:r w:rsidR="009B76A1" w:rsidRPr="0028553F">
              <w:rPr>
                <w:rFonts w:asciiTheme="minorHAnsi" w:hAnsiTheme="minorHAnsi"/>
                <w:b/>
              </w:rPr>
              <w:t>:</w:t>
            </w:r>
            <w:r w:rsidRPr="0028553F">
              <w:rPr>
                <w:rFonts w:asciiTheme="minorHAnsi" w:hAnsiTheme="minorHAnsi"/>
                <w:b/>
              </w:rPr>
              <w:t xml:space="preserve"> </w:t>
            </w:r>
            <w:proofErr w:type="spellStart"/>
            <w:r w:rsidR="00986505">
              <w:rPr>
                <w:rFonts w:asciiTheme="minorHAnsi" w:hAnsiTheme="minorHAnsi"/>
                <w:b/>
              </w:rPr>
              <w:t>Sénégal</w:t>
            </w:r>
            <w:proofErr w:type="spellEnd"/>
          </w:p>
        </w:tc>
      </w:tr>
      <w:tr w:rsidR="00F555D2" w:rsidRPr="00073D71" w:rsidTr="00AE2EC2">
        <w:tc>
          <w:tcPr>
            <w:tcW w:w="15309" w:type="dxa"/>
            <w:gridSpan w:val="7"/>
          </w:tcPr>
          <w:p w:rsidR="009B76A1" w:rsidRPr="0028553F" w:rsidRDefault="00C054F3" w:rsidP="001B5B87">
            <w:pPr>
              <w:pStyle w:val="BodyText2"/>
              <w:rPr>
                <w:rFonts w:asciiTheme="minorHAnsi" w:hAnsiTheme="minorHAnsi"/>
                <w:b/>
                <w:lang w:val="fr-FR"/>
              </w:rPr>
            </w:pPr>
            <w:r w:rsidRPr="0028553F">
              <w:rPr>
                <w:rFonts w:asciiTheme="minorHAnsi" w:hAnsiTheme="minorHAnsi"/>
                <w:b/>
                <w:lang w:val="fr-FR"/>
              </w:rPr>
              <w:t xml:space="preserve">Période </w:t>
            </w:r>
            <w:r w:rsidR="00986505">
              <w:rPr>
                <w:rFonts w:asciiTheme="minorHAnsi" w:hAnsiTheme="minorHAnsi"/>
                <w:b/>
                <w:lang w:val="fr-FR"/>
              </w:rPr>
              <w:t>couverte par le programme : 2012</w:t>
            </w:r>
            <w:r w:rsidRPr="0028553F">
              <w:rPr>
                <w:rFonts w:asciiTheme="minorHAnsi" w:hAnsiTheme="minorHAnsi"/>
                <w:b/>
                <w:lang w:val="fr-FR"/>
              </w:rPr>
              <w:t xml:space="preserve"> – 2018 </w:t>
            </w:r>
          </w:p>
        </w:tc>
      </w:tr>
      <w:tr w:rsidR="00F555D2" w:rsidRPr="00073D71" w:rsidTr="00AE2EC2">
        <w:tc>
          <w:tcPr>
            <w:tcW w:w="3261" w:type="dxa"/>
          </w:tcPr>
          <w:p w:rsidR="003B037A" w:rsidRPr="0028553F" w:rsidRDefault="00B6117B" w:rsidP="001B5B87">
            <w:pPr>
              <w:pStyle w:val="BodyText2"/>
              <w:rPr>
                <w:rFonts w:asciiTheme="minorHAnsi" w:hAnsiTheme="minorHAnsi"/>
                <w:b/>
                <w:sz w:val="24"/>
              </w:rPr>
            </w:pPr>
            <w:proofErr w:type="spellStart"/>
            <w:r w:rsidRPr="0028553F">
              <w:rPr>
                <w:rFonts w:asciiTheme="minorHAnsi" w:hAnsiTheme="minorHAnsi"/>
                <w:b/>
                <w:sz w:val="24"/>
              </w:rPr>
              <w:t>Effet</w:t>
            </w:r>
            <w:r w:rsidR="00700521" w:rsidRPr="0028553F">
              <w:rPr>
                <w:rFonts w:asciiTheme="minorHAnsi" w:hAnsiTheme="minorHAnsi"/>
                <w:b/>
                <w:sz w:val="24"/>
              </w:rPr>
              <w:t>s</w:t>
            </w:r>
            <w:proofErr w:type="spellEnd"/>
          </w:p>
        </w:tc>
        <w:tc>
          <w:tcPr>
            <w:tcW w:w="1806" w:type="dxa"/>
            <w:gridSpan w:val="3"/>
            <w:shd w:val="clear" w:color="auto" w:fill="auto"/>
          </w:tcPr>
          <w:p w:rsidR="003B037A" w:rsidRPr="0028553F" w:rsidRDefault="003B037A" w:rsidP="001B5B87">
            <w:pPr>
              <w:pStyle w:val="BodyText2"/>
              <w:rPr>
                <w:rFonts w:asciiTheme="minorHAnsi" w:hAnsiTheme="minorHAnsi"/>
                <w:b/>
                <w:sz w:val="22"/>
              </w:rPr>
            </w:pPr>
            <w:r w:rsidRPr="0028553F">
              <w:rPr>
                <w:rFonts w:asciiTheme="minorHAnsi" w:hAnsiTheme="minorHAnsi"/>
                <w:b/>
                <w:sz w:val="22"/>
              </w:rPr>
              <w:t xml:space="preserve">Total </w:t>
            </w:r>
            <w:r w:rsidR="00376AE3" w:rsidRPr="0028553F">
              <w:rPr>
                <w:rFonts w:asciiTheme="minorHAnsi" w:hAnsiTheme="minorHAnsi"/>
                <w:b/>
                <w:sz w:val="22"/>
              </w:rPr>
              <w:t xml:space="preserve">des </w:t>
            </w:r>
            <w:proofErr w:type="spellStart"/>
            <w:r w:rsidR="00376AE3" w:rsidRPr="0028553F">
              <w:rPr>
                <w:rFonts w:asciiTheme="minorHAnsi" w:hAnsiTheme="minorHAnsi"/>
                <w:b/>
                <w:sz w:val="22"/>
              </w:rPr>
              <w:t>dépenses</w:t>
            </w:r>
            <w:proofErr w:type="spellEnd"/>
            <w:r w:rsidR="00376AE3" w:rsidRPr="0028553F">
              <w:rPr>
                <w:rFonts w:asciiTheme="minorHAnsi" w:hAnsiTheme="minorHAnsi"/>
                <w:b/>
                <w:sz w:val="22"/>
              </w:rPr>
              <w:t xml:space="preserve"> </w:t>
            </w:r>
          </w:p>
        </w:tc>
        <w:tc>
          <w:tcPr>
            <w:tcW w:w="3960" w:type="dxa"/>
            <w:gridSpan w:val="2"/>
            <w:tcBorders>
              <w:left w:val="single" w:sz="4" w:space="0" w:color="auto"/>
            </w:tcBorders>
          </w:tcPr>
          <w:p w:rsidR="003B037A" w:rsidRPr="0028553F" w:rsidRDefault="00A65AAA" w:rsidP="001B5B87">
            <w:pPr>
              <w:pStyle w:val="BodyText2"/>
              <w:rPr>
                <w:rFonts w:asciiTheme="minorHAnsi" w:hAnsiTheme="minorHAnsi"/>
                <w:b/>
                <w:sz w:val="22"/>
              </w:rPr>
            </w:pPr>
            <w:proofErr w:type="spellStart"/>
            <w:r w:rsidRPr="0028553F">
              <w:rPr>
                <w:rFonts w:asciiTheme="minorHAnsi" w:hAnsiTheme="minorHAnsi"/>
                <w:b/>
                <w:sz w:val="22"/>
              </w:rPr>
              <w:t>Indicateurs</w:t>
            </w:r>
            <w:proofErr w:type="spellEnd"/>
            <w:r w:rsidRPr="0028553F">
              <w:rPr>
                <w:rFonts w:asciiTheme="minorHAnsi" w:hAnsiTheme="minorHAnsi"/>
                <w:b/>
                <w:sz w:val="22"/>
              </w:rPr>
              <w:t xml:space="preserve"> </w:t>
            </w:r>
            <w:proofErr w:type="spellStart"/>
            <w:r w:rsidRPr="0028553F">
              <w:rPr>
                <w:rFonts w:asciiTheme="minorHAnsi" w:hAnsiTheme="minorHAnsi"/>
                <w:b/>
                <w:sz w:val="22"/>
              </w:rPr>
              <w:t>clés</w:t>
            </w:r>
            <w:proofErr w:type="spellEnd"/>
            <w:r w:rsidRPr="0028553F">
              <w:rPr>
                <w:rFonts w:asciiTheme="minorHAnsi" w:hAnsiTheme="minorHAnsi"/>
                <w:b/>
                <w:sz w:val="22"/>
              </w:rPr>
              <w:t xml:space="preserve"> de </w:t>
            </w:r>
            <w:proofErr w:type="spellStart"/>
            <w:r w:rsidRPr="0028553F">
              <w:rPr>
                <w:rFonts w:asciiTheme="minorHAnsi" w:hAnsiTheme="minorHAnsi"/>
                <w:b/>
                <w:sz w:val="22"/>
              </w:rPr>
              <w:t>l’effet</w:t>
            </w:r>
            <w:proofErr w:type="spellEnd"/>
            <w:r w:rsidRPr="0028553F">
              <w:rPr>
                <w:rFonts w:asciiTheme="minorHAnsi" w:hAnsiTheme="minorHAnsi"/>
                <w:b/>
                <w:sz w:val="22"/>
              </w:rPr>
              <w:t xml:space="preserve"> </w:t>
            </w:r>
          </w:p>
        </w:tc>
        <w:tc>
          <w:tcPr>
            <w:tcW w:w="6282" w:type="dxa"/>
          </w:tcPr>
          <w:p w:rsidR="003B037A" w:rsidRPr="0028553F" w:rsidRDefault="003B037A" w:rsidP="001B5B87">
            <w:pPr>
              <w:pStyle w:val="BodyText2"/>
              <w:rPr>
                <w:rFonts w:asciiTheme="minorHAnsi" w:hAnsiTheme="minorHAnsi"/>
                <w:b/>
                <w:sz w:val="22"/>
                <w:lang w:val="fr-FR"/>
              </w:rPr>
            </w:pPr>
            <w:r w:rsidRPr="0028553F">
              <w:rPr>
                <w:rFonts w:asciiTheme="minorHAnsi" w:hAnsiTheme="minorHAnsi"/>
                <w:b/>
                <w:sz w:val="22"/>
                <w:lang w:val="fr-FR"/>
              </w:rPr>
              <w:t>Progr</w:t>
            </w:r>
            <w:r w:rsidR="00A65AAA" w:rsidRPr="0028553F">
              <w:rPr>
                <w:rFonts w:asciiTheme="minorHAnsi" w:hAnsiTheme="minorHAnsi"/>
                <w:b/>
                <w:sz w:val="22"/>
                <w:lang w:val="fr-FR"/>
              </w:rPr>
              <w:t>è</w:t>
            </w:r>
            <w:r w:rsidRPr="0028553F">
              <w:rPr>
                <w:rFonts w:asciiTheme="minorHAnsi" w:hAnsiTheme="minorHAnsi"/>
                <w:b/>
                <w:sz w:val="22"/>
                <w:lang w:val="fr-FR"/>
              </w:rPr>
              <w:t xml:space="preserve">s </w:t>
            </w:r>
            <w:r w:rsidR="00A65AAA" w:rsidRPr="0028553F">
              <w:rPr>
                <w:rFonts w:asciiTheme="minorHAnsi" w:hAnsiTheme="minorHAnsi"/>
                <w:b/>
                <w:sz w:val="22"/>
                <w:lang w:val="fr-FR"/>
              </w:rPr>
              <w:t xml:space="preserve">par rapport aux indicateurs clés </w:t>
            </w:r>
          </w:p>
        </w:tc>
      </w:tr>
      <w:tr w:rsidR="00CD027C" w:rsidRPr="00FE244D" w:rsidTr="009303EB">
        <w:tc>
          <w:tcPr>
            <w:tcW w:w="3261" w:type="dxa"/>
            <w:tcBorders>
              <w:bottom w:val="single" w:sz="4" w:space="0" w:color="auto"/>
            </w:tcBorders>
            <w:shd w:val="clear" w:color="auto" w:fill="95B3D7" w:themeFill="accent1" w:themeFillTint="99"/>
          </w:tcPr>
          <w:p w:rsidR="00CD027C" w:rsidRPr="00FE244D" w:rsidRDefault="00CD027C" w:rsidP="009303EB">
            <w:pPr>
              <w:pStyle w:val="BodyText2"/>
              <w:jc w:val="both"/>
              <w:rPr>
                <w:rFonts w:asciiTheme="minorHAnsi" w:hAnsiTheme="minorHAnsi" w:cstheme="minorHAnsi"/>
                <w:b/>
                <w:sz w:val="22"/>
                <w:szCs w:val="22"/>
                <w:lang w:val="fr-FR"/>
              </w:rPr>
            </w:pPr>
            <w:r w:rsidRPr="00FE244D">
              <w:rPr>
                <w:rFonts w:asciiTheme="minorHAnsi" w:hAnsiTheme="minorHAnsi" w:cstheme="minorHAnsi"/>
                <w:color w:val="000000"/>
                <w:sz w:val="22"/>
                <w:szCs w:val="22"/>
                <w:lang w:val="fr-SN" w:eastAsia="fr-SN"/>
              </w:rPr>
              <w:t>1.D’ici 2018, les institutions centrales, territoriales et locales ont les capacités pour promouvoir la gouvernance des politiques et programmes de développement humain d’une manière</w:t>
            </w:r>
            <w:r w:rsidRPr="00FE244D">
              <w:rPr>
                <w:rFonts w:asciiTheme="minorHAnsi" w:hAnsiTheme="minorHAnsi" w:cstheme="minorHAnsi"/>
                <w:color w:val="000000"/>
                <w:sz w:val="22"/>
                <w:szCs w:val="22"/>
                <w:lang w:val="fr-SN" w:eastAsia="fr-SN"/>
              </w:rPr>
              <w:br/>
              <w:t>participative, transparente, équitable et en conformité avec les engagements internationaux</w:t>
            </w:r>
          </w:p>
        </w:tc>
        <w:tc>
          <w:tcPr>
            <w:tcW w:w="1806" w:type="dxa"/>
            <w:gridSpan w:val="3"/>
            <w:tcBorders>
              <w:bottom w:val="single" w:sz="4" w:space="0" w:color="auto"/>
            </w:tcBorders>
            <w:shd w:val="clear" w:color="auto" w:fill="auto"/>
          </w:tcPr>
          <w:p w:rsidR="00CD027C" w:rsidRPr="00FE244D" w:rsidRDefault="00CD027C" w:rsidP="009303EB">
            <w:pPr>
              <w:pStyle w:val="BodyText2"/>
              <w:rPr>
                <w:rFonts w:asciiTheme="minorHAnsi" w:hAnsiTheme="minorHAnsi" w:cstheme="minorHAnsi"/>
                <w:b/>
                <w:sz w:val="22"/>
                <w:szCs w:val="22"/>
                <w:lang w:val="fr-FR"/>
              </w:rPr>
            </w:pPr>
            <w:r w:rsidRPr="00FE244D">
              <w:rPr>
                <w:rFonts w:asciiTheme="minorHAnsi" w:hAnsiTheme="minorHAnsi" w:cstheme="minorHAnsi"/>
                <w:b/>
                <w:sz w:val="22"/>
                <w:szCs w:val="22"/>
                <w:lang w:val="fr-FR"/>
              </w:rPr>
              <w:t>$$</w:t>
            </w:r>
            <w:r w:rsidRPr="00FE244D">
              <w:rPr>
                <w:rFonts w:asciiTheme="minorHAnsi" w:hAnsiTheme="minorHAnsi" w:cstheme="minorHAnsi"/>
                <w:sz w:val="22"/>
                <w:szCs w:val="22"/>
                <w:lang w:val="fr-FR" w:eastAsia="fr-FR"/>
              </w:rPr>
              <w:t>26 784 000</w:t>
            </w:r>
          </w:p>
          <w:p w:rsidR="00CD027C" w:rsidRPr="00FE244D" w:rsidRDefault="00CD027C" w:rsidP="009303EB">
            <w:pPr>
              <w:pStyle w:val="BodyText2"/>
              <w:rPr>
                <w:rFonts w:asciiTheme="minorHAnsi" w:hAnsiTheme="minorHAnsi" w:cstheme="minorHAnsi"/>
                <w:sz w:val="22"/>
                <w:szCs w:val="22"/>
                <w:lang w:val="fr-FR"/>
              </w:rPr>
            </w:pPr>
            <w:r w:rsidRPr="00FE244D">
              <w:rPr>
                <w:rFonts w:asciiTheme="minorHAnsi" w:hAnsiTheme="minorHAnsi" w:cstheme="minorHAnsi"/>
                <w:sz w:val="22"/>
                <w:szCs w:val="22"/>
                <w:lang w:val="fr-FR"/>
              </w:rPr>
              <w:t>(</w:t>
            </w:r>
            <w:r w:rsidRPr="00FE244D">
              <w:rPr>
                <w:rFonts w:asciiTheme="minorHAnsi" w:hAnsiTheme="minorHAnsi" w:cstheme="minorHAnsi"/>
                <w:sz w:val="22"/>
                <w:szCs w:val="22"/>
              </w:rPr>
              <w:t>Core</w:t>
            </w:r>
            <w:r w:rsidRPr="00FE244D">
              <w:rPr>
                <w:rFonts w:asciiTheme="minorHAnsi" w:hAnsiTheme="minorHAnsi" w:cstheme="minorHAnsi"/>
                <w:sz w:val="22"/>
                <w:szCs w:val="22"/>
                <w:lang w:val="fr-FR"/>
              </w:rPr>
              <w:t> : $</w:t>
            </w:r>
            <w:r w:rsidRPr="00FE244D">
              <w:rPr>
                <w:rFonts w:asciiTheme="minorHAnsi" w:hAnsiTheme="minorHAnsi" w:cstheme="minorHAnsi"/>
                <w:b/>
                <w:sz w:val="22"/>
                <w:szCs w:val="22"/>
                <w:lang w:val="fr-FR" w:eastAsia="fr-FR"/>
              </w:rPr>
              <w:t>6 318 700</w:t>
            </w:r>
            <w:r w:rsidRPr="00FE244D">
              <w:rPr>
                <w:rFonts w:asciiTheme="minorHAnsi" w:hAnsiTheme="minorHAnsi" w:cstheme="minorHAnsi"/>
                <w:b/>
                <w:sz w:val="22"/>
                <w:szCs w:val="22"/>
                <w:lang w:val="fr-FR"/>
              </w:rPr>
              <w:t xml:space="preserve"> </w:t>
            </w:r>
          </w:p>
          <w:p w:rsidR="00CD027C" w:rsidRPr="00FE244D" w:rsidRDefault="00CD027C" w:rsidP="009303EB">
            <w:pPr>
              <w:pStyle w:val="BodyText2"/>
              <w:rPr>
                <w:rFonts w:asciiTheme="minorHAnsi" w:hAnsiTheme="minorHAnsi" w:cstheme="minorHAnsi"/>
                <w:sz w:val="22"/>
                <w:szCs w:val="22"/>
                <w:lang w:val="fr-FR"/>
              </w:rPr>
            </w:pPr>
            <w:r w:rsidRPr="00FE244D">
              <w:rPr>
                <w:rFonts w:asciiTheme="minorHAnsi" w:hAnsiTheme="minorHAnsi" w:cstheme="minorHAnsi"/>
                <w:sz w:val="22"/>
                <w:szCs w:val="22"/>
                <w:lang w:val="fr-FR"/>
              </w:rPr>
              <w:t>Non-</w:t>
            </w:r>
            <w:proofErr w:type="spellStart"/>
            <w:r w:rsidRPr="00FE244D">
              <w:rPr>
                <w:rFonts w:asciiTheme="minorHAnsi" w:hAnsiTheme="minorHAnsi" w:cstheme="minorHAnsi"/>
                <w:sz w:val="22"/>
                <w:szCs w:val="22"/>
                <w:lang w:val="fr-FR"/>
              </w:rPr>
              <w:t>core</w:t>
            </w:r>
            <w:proofErr w:type="spellEnd"/>
            <w:r w:rsidRPr="00FE244D">
              <w:rPr>
                <w:rFonts w:asciiTheme="minorHAnsi" w:hAnsiTheme="minorHAnsi" w:cstheme="minorHAnsi"/>
                <w:sz w:val="22"/>
                <w:szCs w:val="22"/>
                <w:lang w:val="fr-FR"/>
              </w:rPr>
              <w:t> : $</w:t>
            </w:r>
            <w:r w:rsidRPr="00FE244D">
              <w:rPr>
                <w:rFonts w:asciiTheme="minorHAnsi" w:hAnsiTheme="minorHAnsi" w:cstheme="minorHAnsi"/>
                <w:sz w:val="22"/>
                <w:szCs w:val="22"/>
                <w:lang w:val="fr-FR" w:eastAsia="fr-FR"/>
              </w:rPr>
              <w:t>20 465 300</w:t>
            </w:r>
          </w:p>
          <w:p w:rsidR="00CD027C" w:rsidRPr="00FE244D" w:rsidRDefault="00CD027C" w:rsidP="009303EB">
            <w:pPr>
              <w:pStyle w:val="BodyText2"/>
              <w:rPr>
                <w:rFonts w:asciiTheme="minorHAnsi" w:hAnsiTheme="minorHAnsi" w:cstheme="minorHAnsi"/>
                <w:sz w:val="22"/>
                <w:szCs w:val="22"/>
                <w:lang w:val="fr-FR"/>
              </w:rPr>
            </w:pPr>
          </w:p>
          <w:p w:rsidR="00CD027C" w:rsidRPr="00FE244D" w:rsidRDefault="00CD027C" w:rsidP="009303EB">
            <w:pPr>
              <w:pStyle w:val="BodyText2"/>
              <w:rPr>
                <w:rFonts w:asciiTheme="minorHAnsi" w:hAnsiTheme="minorHAnsi" w:cstheme="minorHAnsi"/>
                <w:sz w:val="22"/>
                <w:szCs w:val="22"/>
                <w:lang w:val="fr-FR"/>
              </w:rPr>
            </w:pPr>
            <w:r w:rsidRPr="00FE244D">
              <w:rPr>
                <w:rFonts w:asciiTheme="minorHAnsi" w:hAnsiTheme="minorHAnsi" w:cstheme="minorHAnsi"/>
                <w:sz w:val="22"/>
                <w:szCs w:val="22"/>
                <w:lang w:val="fr-FR"/>
              </w:rPr>
              <w:t xml:space="preserve"> </w:t>
            </w:r>
          </w:p>
        </w:tc>
        <w:tc>
          <w:tcPr>
            <w:tcW w:w="3960" w:type="dxa"/>
            <w:gridSpan w:val="2"/>
            <w:tcBorders>
              <w:left w:val="single" w:sz="4" w:space="0" w:color="auto"/>
              <w:bottom w:val="single" w:sz="4" w:space="0" w:color="auto"/>
            </w:tcBorders>
          </w:tcPr>
          <w:p w:rsidR="00CD027C" w:rsidRPr="00FE244D" w:rsidRDefault="00CD027C" w:rsidP="00150771">
            <w:pPr>
              <w:pStyle w:val="BodyText2"/>
              <w:ind w:left="360"/>
              <w:jc w:val="both"/>
              <w:rPr>
                <w:rFonts w:asciiTheme="minorHAnsi" w:hAnsiTheme="minorHAnsi" w:cstheme="minorHAnsi"/>
                <w:sz w:val="22"/>
                <w:szCs w:val="22"/>
                <w:lang w:val="fr-FR"/>
              </w:rPr>
            </w:pPr>
            <w:r w:rsidRPr="00FE244D">
              <w:rPr>
                <w:rFonts w:asciiTheme="minorHAnsi" w:hAnsiTheme="minorHAnsi" w:cstheme="minorHAnsi"/>
                <w:b/>
                <w:bCs/>
                <w:color w:val="000000"/>
                <w:sz w:val="22"/>
                <w:szCs w:val="22"/>
                <w:lang w:val="fr-SN" w:eastAsia="fr-SN"/>
              </w:rPr>
              <w:t xml:space="preserve">P1 </w:t>
            </w:r>
            <w:r w:rsidRPr="00FE244D">
              <w:rPr>
                <w:rFonts w:asciiTheme="minorHAnsi" w:hAnsiTheme="minorHAnsi" w:cstheme="minorHAnsi"/>
                <w:color w:val="000000"/>
                <w:sz w:val="22"/>
                <w:szCs w:val="22"/>
                <w:lang w:val="fr-SN" w:eastAsia="fr-SN"/>
              </w:rPr>
              <w:t>: Ministères dotés de cadres de</w:t>
            </w:r>
            <w:r w:rsidRPr="00FE244D">
              <w:rPr>
                <w:rFonts w:asciiTheme="minorHAnsi" w:hAnsiTheme="minorHAnsi" w:cstheme="minorHAnsi"/>
                <w:color w:val="000000"/>
                <w:sz w:val="22"/>
                <w:szCs w:val="22"/>
                <w:lang w:val="fr-SN" w:eastAsia="fr-SN"/>
              </w:rPr>
              <w:br/>
              <w:t>dépenses sectorielles à moyen terme (CDSMT)</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Ligne de base : </w:t>
            </w:r>
            <w:r w:rsidRPr="00FE244D">
              <w:rPr>
                <w:rFonts w:asciiTheme="minorHAnsi" w:hAnsiTheme="minorHAnsi" w:cstheme="minorHAnsi"/>
                <w:color w:val="000000"/>
                <w:sz w:val="22"/>
                <w:szCs w:val="22"/>
                <w:lang w:val="fr-SN" w:eastAsia="fr-SN"/>
              </w:rPr>
              <w:t>5 (2011)</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Cible : </w:t>
            </w:r>
            <w:r w:rsidRPr="00FE244D">
              <w:rPr>
                <w:rFonts w:asciiTheme="minorHAnsi" w:hAnsiTheme="minorHAnsi" w:cstheme="minorHAnsi"/>
                <w:color w:val="000000"/>
                <w:sz w:val="22"/>
                <w:szCs w:val="22"/>
                <w:lang w:val="fr-SN" w:eastAsia="fr-SN"/>
              </w:rPr>
              <w:t>12 (2015)</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Indicateur P2 </w:t>
            </w:r>
            <w:r w:rsidRPr="00FE244D">
              <w:rPr>
                <w:rFonts w:asciiTheme="minorHAnsi" w:hAnsiTheme="minorHAnsi" w:cstheme="minorHAnsi"/>
                <w:color w:val="000000"/>
                <w:sz w:val="22"/>
                <w:szCs w:val="22"/>
                <w:lang w:val="fr-SN" w:eastAsia="fr-SN"/>
              </w:rPr>
              <w:t>: Bilan des activités du réseau</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Ligne de base : </w:t>
            </w:r>
            <w:r w:rsidRPr="00FE244D">
              <w:rPr>
                <w:rFonts w:asciiTheme="minorHAnsi" w:hAnsiTheme="minorHAnsi" w:cstheme="minorHAnsi"/>
                <w:color w:val="000000"/>
                <w:sz w:val="22"/>
                <w:szCs w:val="22"/>
                <w:lang w:val="fr-SN" w:eastAsia="fr-SN"/>
              </w:rPr>
              <w:t>Réseau inexistant</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Cible : </w:t>
            </w:r>
            <w:r w:rsidRPr="00FE244D">
              <w:rPr>
                <w:rFonts w:asciiTheme="minorHAnsi" w:hAnsiTheme="minorHAnsi" w:cstheme="minorHAnsi"/>
                <w:color w:val="000000"/>
                <w:sz w:val="22"/>
                <w:szCs w:val="22"/>
                <w:lang w:val="fr-SN" w:eastAsia="fr-SN"/>
              </w:rPr>
              <w:t>Réseau fonctionnel</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Indicateur P3 </w:t>
            </w:r>
            <w:r w:rsidRPr="00FE244D">
              <w:rPr>
                <w:rFonts w:asciiTheme="minorHAnsi" w:hAnsiTheme="minorHAnsi" w:cstheme="minorHAnsi"/>
                <w:color w:val="000000"/>
                <w:sz w:val="22"/>
                <w:szCs w:val="22"/>
                <w:lang w:val="fr-SN" w:eastAsia="fr-SN"/>
              </w:rPr>
              <w:t>: Nombre de maisons de</w:t>
            </w:r>
            <w:r w:rsidRPr="00FE244D">
              <w:rPr>
                <w:rFonts w:asciiTheme="minorHAnsi" w:hAnsiTheme="minorHAnsi" w:cstheme="minorHAnsi"/>
                <w:color w:val="000000"/>
                <w:sz w:val="22"/>
                <w:szCs w:val="22"/>
                <w:lang w:val="fr-SN" w:eastAsia="fr-SN"/>
              </w:rPr>
              <w:br/>
              <w:t>développement local fonctionnelles</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Ligne de base : </w:t>
            </w:r>
            <w:r w:rsidRPr="00FE244D">
              <w:rPr>
                <w:rFonts w:asciiTheme="minorHAnsi" w:hAnsiTheme="minorHAnsi" w:cstheme="minorHAnsi"/>
                <w:color w:val="000000"/>
                <w:sz w:val="22"/>
                <w:szCs w:val="22"/>
                <w:lang w:val="fr-SN" w:eastAsia="fr-SN"/>
              </w:rPr>
              <w:t>2</w:t>
            </w:r>
            <w:r w:rsidRPr="00FE244D">
              <w:rPr>
                <w:rFonts w:asciiTheme="minorHAnsi" w:hAnsiTheme="minorHAnsi" w:cstheme="minorHAnsi"/>
                <w:color w:val="000000"/>
                <w:sz w:val="22"/>
                <w:szCs w:val="22"/>
                <w:lang w:val="fr-SN" w:eastAsia="fr-SN"/>
              </w:rPr>
              <w:br/>
            </w:r>
            <w:r w:rsidRPr="00FE244D">
              <w:rPr>
                <w:rFonts w:asciiTheme="minorHAnsi" w:hAnsiTheme="minorHAnsi" w:cstheme="minorHAnsi"/>
                <w:b/>
                <w:bCs/>
                <w:color w:val="000000"/>
                <w:sz w:val="22"/>
                <w:szCs w:val="22"/>
                <w:lang w:val="fr-SN" w:eastAsia="fr-SN"/>
              </w:rPr>
              <w:t xml:space="preserve">Cible : </w:t>
            </w:r>
            <w:r w:rsidRPr="00FE244D">
              <w:rPr>
                <w:rFonts w:asciiTheme="minorHAnsi" w:hAnsiTheme="minorHAnsi" w:cstheme="minorHAnsi"/>
                <w:color w:val="000000"/>
                <w:sz w:val="22"/>
                <w:szCs w:val="22"/>
                <w:lang w:val="fr-SN" w:eastAsia="fr-SN"/>
              </w:rPr>
              <w:t>Chaque communauté rurale est dotée</w:t>
            </w:r>
            <w:r w:rsidRPr="00FE244D">
              <w:rPr>
                <w:rFonts w:asciiTheme="minorHAnsi" w:hAnsiTheme="minorHAnsi" w:cstheme="minorHAnsi"/>
                <w:color w:val="000000"/>
                <w:sz w:val="22"/>
                <w:szCs w:val="22"/>
                <w:lang w:val="fr-SN" w:eastAsia="fr-SN"/>
              </w:rPr>
              <w:br/>
              <w:t>d’une MDL dans les zones d’intervention du</w:t>
            </w:r>
            <w:r w:rsidRPr="00FE244D">
              <w:rPr>
                <w:rFonts w:asciiTheme="minorHAnsi" w:hAnsiTheme="minorHAnsi" w:cstheme="minorHAnsi"/>
                <w:color w:val="000000"/>
                <w:sz w:val="22"/>
                <w:szCs w:val="22"/>
                <w:lang w:val="fr-SN" w:eastAsia="fr-SN"/>
              </w:rPr>
              <w:br/>
              <w:t>PNUD/FENU</w:t>
            </w:r>
            <w:r w:rsidRPr="00FE244D">
              <w:rPr>
                <w:rFonts w:asciiTheme="minorHAnsi" w:hAnsiTheme="minorHAnsi" w:cstheme="minorHAnsi"/>
                <w:sz w:val="22"/>
                <w:szCs w:val="22"/>
                <w:lang w:val="fr-SN" w:eastAsia="fr-SN"/>
              </w:rPr>
              <w:br/>
            </w:r>
          </w:p>
          <w:p w:rsidR="00CD027C" w:rsidRPr="00FE244D" w:rsidRDefault="00CD027C" w:rsidP="009303EB">
            <w:pPr>
              <w:pStyle w:val="BodyText2"/>
              <w:ind w:left="360"/>
              <w:jc w:val="both"/>
              <w:rPr>
                <w:rFonts w:asciiTheme="minorHAnsi" w:hAnsiTheme="minorHAnsi" w:cstheme="minorHAnsi"/>
                <w:sz w:val="22"/>
                <w:szCs w:val="22"/>
                <w:lang w:val="fr-FR"/>
              </w:rPr>
            </w:pPr>
            <w:r w:rsidRPr="00FE244D">
              <w:rPr>
                <w:rFonts w:asciiTheme="minorHAnsi" w:hAnsiTheme="minorHAnsi" w:cstheme="minorHAnsi"/>
                <w:sz w:val="22"/>
                <w:szCs w:val="22"/>
                <w:lang w:val="fr-SN" w:eastAsia="fr-SN"/>
              </w:rPr>
              <w:br/>
            </w:r>
          </w:p>
        </w:tc>
        <w:tc>
          <w:tcPr>
            <w:tcW w:w="6282" w:type="dxa"/>
            <w:tcBorders>
              <w:bottom w:val="single" w:sz="4" w:space="0" w:color="auto"/>
            </w:tcBorders>
            <w:shd w:val="clear" w:color="auto" w:fill="auto"/>
          </w:tcPr>
          <w:p w:rsidR="00CD027C" w:rsidRPr="00FE244D" w:rsidRDefault="00CD027C" w:rsidP="009303EB">
            <w:pPr>
              <w:pStyle w:val="BodyText2"/>
              <w:ind w:left="720"/>
              <w:jc w:val="both"/>
              <w:rPr>
                <w:rStyle w:val="fontstyle21"/>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t>Les efforts du PNUD ont permis de :</w:t>
            </w:r>
          </w:p>
          <w:p w:rsidR="00CD027C" w:rsidRPr="00FE244D" w:rsidRDefault="00CD027C" w:rsidP="00CD027C">
            <w:pPr>
              <w:pStyle w:val="BodyText2"/>
              <w:numPr>
                <w:ilvl w:val="0"/>
                <w:numId w:val="37"/>
              </w:numPr>
              <w:jc w:val="both"/>
              <w:rPr>
                <w:rStyle w:val="fontstyle21"/>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t>Doter plusieurs institutions en outils de planification stratégique, de production de données statistiques</w:t>
            </w:r>
            <w:r w:rsidRPr="00FE244D">
              <w:rPr>
                <w:rFonts w:asciiTheme="minorHAnsi" w:hAnsiTheme="minorHAnsi" w:cstheme="minorHAnsi"/>
                <w:color w:val="000000"/>
                <w:sz w:val="22"/>
                <w:szCs w:val="22"/>
                <w:lang w:val="fr-SN"/>
              </w:rPr>
              <w:br/>
            </w:r>
            <w:r w:rsidRPr="00FE244D">
              <w:rPr>
                <w:rStyle w:val="fontstyle21"/>
                <w:rFonts w:asciiTheme="minorHAnsi" w:hAnsiTheme="minorHAnsi" w:cstheme="minorHAnsi"/>
                <w:sz w:val="22"/>
                <w:szCs w:val="22"/>
                <w:lang w:val="fr-SN"/>
              </w:rPr>
              <w:t>pour l’élaboration et la mise en œuvre des politiques publiques ;</w:t>
            </w:r>
          </w:p>
          <w:p w:rsidR="00CD027C" w:rsidRPr="00FE244D" w:rsidRDefault="00CD027C" w:rsidP="00CD027C">
            <w:pPr>
              <w:pStyle w:val="BodyText2"/>
              <w:numPr>
                <w:ilvl w:val="0"/>
                <w:numId w:val="37"/>
              </w:numPr>
              <w:jc w:val="both"/>
              <w:rPr>
                <w:rStyle w:val="fontstyle21"/>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t>Contribuer au renforcement de l’Etat de droit par la mise en place d’un centre régional d’état de droit grâce à l’amélioration de 1,2%</w:t>
            </w:r>
            <w:r w:rsidRPr="00FE244D">
              <w:rPr>
                <w:rFonts w:asciiTheme="minorHAnsi" w:hAnsiTheme="minorHAnsi" w:cstheme="minorHAnsi"/>
                <w:color w:val="000000"/>
                <w:sz w:val="22"/>
                <w:szCs w:val="22"/>
                <w:lang w:val="fr-SN"/>
              </w:rPr>
              <w:br/>
            </w:r>
            <w:r w:rsidRPr="00FE244D">
              <w:rPr>
                <w:rStyle w:val="fontstyle21"/>
                <w:rFonts w:asciiTheme="minorHAnsi" w:hAnsiTheme="minorHAnsi" w:cstheme="minorHAnsi"/>
                <w:sz w:val="22"/>
                <w:szCs w:val="22"/>
                <w:lang w:val="fr-SN"/>
              </w:rPr>
              <w:t>de l’indice Mo Ibrahim IIAG 2015 ;</w:t>
            </w:r>
          </w:p>
          <w:p w:rsidR="00CD027C" w:rsidRPr="00FE244D" w:rsidRDefault="00CD027C" w:rsidP="00CD027C">
            <w:pPr>
              <w:pStyle w:val="BodyText2"/>
              <w:numPr>
                <w:ilvl w:val="0"/>
                <w:numId w:val="37"/>
              </w:numPr>
              <w:jc w:val="both"/>
              <w:rPr>
                <w:rStyle w:val="fontstyle21"/>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t xml:space="preserve">Contribuer à améliorer la place du Sénégal au niveau de l’indice de </w:t>
            </w:r>
            <w:proofErr w:type="spellStart"/>
            <w:r w:rsidRPr="00FE244D">
              <w:rPr>
                <w:rStyle w:val="fontstyle21"/>
                <w:rFonts w:asciiTheme="minorHAnsi" w:hAnsiTheme="minorHAnsi" w:cstheme="minorHAnsi"/>
                <w:sz w:val="22"/>
                <w:szCs w:val="22"/>
                <w:lang w:val="fr-SN"/>
              </w:rPr>
              <w:t>transparency</w:t>
            </w:r>
            <w:proofErr w:type="spellEnd"/>
            <w:r w:rsidRPr="00FE244D">
              <w:rPr>
                <w:rStyle w:val="fontstyle21"/>
                <w:rFonts w:asciiTheme="minorHAnsi" w:hAnsiTheme="minorHAnsi" w:cstheme="minorHAnsi"/>
                <w:sz w:val="22"/>
                <w:szCs w:val="22"/>
                <w:lang w:val="fr-SN"/>
              </w:rPr>
              <w:t xml:space="preserve"> international (gain de 3 points depuis 2014) grâce aux efforts d’opérationnalisation de l’OFNAC, de l’organisation de missions d’enquête et d’investigation, de réalisation d’une étude de perception de la corruption ;</w:t>
            </w:r>
          </w:p>
          <w:p w:rsidR="00CD027C" w:rsidRPr="00FE244D" w:rsidRDefault="00CD027C" w:rsidP="00CD027C">
            <w:pPr>
              <w:pStyle w:val="BodyText2"/>
              <w:numPr>
                <w:ilvl w:val="0"/>
                <w:numId w:val="37"/>
              </w:numPr>
              <w:jc w:val="both"/>
              <w:rPr>
                <w:rStyle w:val="fontstyle21"/>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t xml:space="preserve"> Des avancées sont enregistrées concernant les réformes et la gestion des finances publiques, de modernisation de l’administration et d’institutionnalisation du dialogue</w:t>
            </w:r>
            <w:r w:rsidRPr="00FE244D">
              <w:rPr>
                <w:rFonts w:asciiTheme="minorHAnsi" w:hAnsiTheme="minorHAnsi" w:cstheme="minorHAnsi"/>
                <w:color w:val="000000"/>
                <w:sz w:val="22"/>
                <w:szCs w:val="22"/>
                <w:lang w:val="fr-SN"/>
              </w:rPr>
              <w:br/>
            </w:r>
            <w:r w:rsidRPr="00FE244D">
              <w:rPr>
                <w:rStyle w:val="fontstyle21"/>
                <w:rFonts w:asciiTheme="minorHAnsi" w:hAnsiTheme="minorHAnsi" w:cstheme="minorHAnsi"/>
                <w:sz w:val="22"/>
                <w:szCs w:val="22"/>
                <w:lang w:val="fr-SN"/>
              </w:rPr>
              <w:t>social. Le pays a pu être mis à jour</w:t>
            </w:r>
            <w:r w:rsidRPr="00FE244D">
              <w:rPr>
                <w:rFonts w:asciiTheme="minorHAnsi" w:hAnsiTheme="minorHAnsi" w:cstheme="minorHAnsi"/>
                <w:color w:val="000000"/>
                <w:sz w:val="22"/>
                <w:szCs w:val="22"/>
                <w:lang w:val="fr-SN"/>
              </w:rPr>
              <w:br/>
            </w:r>
            <w:r w:rsidRPr="00FE244D">
              <w:rPr>
                <w:rStyle w:val="fontstyle21"/>
                <w:rFonts w:asciiTheme="minorHAnsi" w:hAnsiTheme="minorHAnsi" w:cstheme="minorHAnsi"/>
                <w:sz w:val="22"/>
                <w:szCs w:val="22"/>
                <w:lang w:val="fr-SN"/>
              </w:rPr>
              <w:t>les textes nationaux et révisé le système de passation des marchés publics jugés conformes aux procédures et politiques des standards internationaux, notamment avec l’adoption d’un nouveau</w:t>
            </w:r>
            <w:r w:rsidRPr="00FE244D">
              <w:rPr>
                <w:rFonts w:asciiTheme="minorHAnsi" w:hAnsiTheme="minorHAnsi" w:cstheme="minorHAnsi"/>
                <w:color w:val="000000"/>
                <w:sz w:val="22"/>
                <w:szCs w:val="22"/>
                <w:lang w:val="fr-SN"/>
              </w:rPr>
              <w:t xml:space="preserve"> </w:t>
            </w:r>
            <w:r w:rsidRPr="00FE244D">
              <w:rPr>
                <w:rStyle w:val="fontstyle21"/>
                <w:rFonts w:asciiTheme="minorHAnsi" w:hAnsiTheme="minorHAnsi" w:cstheme="minorHAnsi"/>
                <w:sz w:val="22"/>
                <w:szCs w:val="22"/>
                <w:lang w:val="fr-SN"/>
              </w:rPr>
              <w:t>code des marchés publics ;</w:t>
            </w:r>
          </w:p>
          <w:p w:rsidR="00CD027C" w:rsidRPr="00FE244D" w:rsidRDefault="00CD027C" w:rsidP="00CD027C">
            <w:pPr>
              <w:pStyle w:val="BodyText2"/>
              <w:numPr>
                <w:ilvl w:val="0"/>
                <w:numId w:val="37"/>
              </w:numPr>
              <w:jc w:val="both"/>
              <w:rPr>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t xml:space="preserve">Des avancées sont notées en matière de renforcement du leadership où plus de 3000 femmes ont bénéficié de formations sur l’argumentaire politique pour participer aux élections locales. Il s’y ajoute la formation donnée à plus de 1500 femmes </w:t>
            </w:r>
            <w:r w:rsidRPr="00FE244D">
              <w:rPr>
                <w:rStyle w:val="fontstyle21"/>
                <w:rFonts w:asciiTheme="minorHAnsi" w:hAnsiTheme="minorHAnsi" w:cstheme="minorHAnsi"/>
                <w:sz w:val="22"/>
                <w:szCs w:val="22"/>
                <w:lang w:val="fr-SN"/>
              </w:rPr>
              <w:lastRenderedPageBreak/>
              <w:t>élues locales en renforcement du leadership et des principes de gouvernance.</w:t>
            </w:r>
          </w:p>
        </w:tc>
      </w:tr>
      <w:tr w:rsidR="00CD027C" w:rsidRPr="00CD027C" w:rsidTr="009303EB">
        <w:tc>
          <w:tcPr>
            <w:tcW w:w="15309" w:type="dxa"/>
            <w:gridSpan w:val="7"/>
          </w:tcPr>
          <w:p w:rsidR="00CD027C" w:rsidRPr="0028553F" w:rsidRDefault="00CD027C" w:rsidP="009303EB">
            <w:pPr>
              <w:pStyle w:val="BodyText2"/>
              <w:spacing w:after="120"/>
              <w:jc w:val="both"/>
              <w:rPr>
                <w:rFonts w:asciiTheme="minorHAnsi" w:hAnsiTheme="minorHAnsi"/>
                <w:b/>
                <w:lang w:val="fr-FR"/>
              </w:rPr>
            </w:pPr>
            <w:r w:rsidRPr="0028553F">
              <w:rPr>
                <w:rFonts w:asciiTheme="minorHAnsi" w:hAnsiTheme="minorHAnsi"/>
                <w:b/>
                <w:lang w:val="fr-FR"/>
              </w:rPr>
              <w:lastRenderedPageBreak/>
              <w:t>Contribution du PNUD :</w:t>
            </w: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C1159C">
              <w:rPr>
                <w:rFonts w:ascii="Calibri" w:hAnsi="Calibri" w:cs="Calibri"/>
                <w:color w:val="000000"/>
                <w:sz w:val="22"/>
                <w:szCs w:val="22"/>
                <w:lang w:val="fr-SN"/>
              </w:rPr>
              <w:t>Le PNUD a renforcé les capacités de la Commission Electorale Nationale Autonome (CENA), à travers la formation des membres de la Commission Electorale Départementale Autonome (CEDA) des 45 départements du</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pays dont 135 agents formateurs, à améliorer leur connaissance des nouveaux textes en matière électorale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Plus de 20 000 superviseurs et contrôleurs ont été</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formés pour </w:t>
            </w:r>
            <w:r>
              <w:rPr>
                <w:rFonts w:ascii="Calibri" w:hAnsi="Calibri" w:cs="Calibri"/>
                <w:color w:val="000000"/>
                <w:sz w:val="22"/>
                <w:szCs w:val="22"/>
                <w:lang w:val="fr-SN"/>
              </w:rPr>
              <w:t>assurer</w:t>
            </w:r>
            <w:r w:rsidRPr="00C1159C">
              <w:rPr>
                <w:rFonts w:ascii="Calibri" w:hAnsi="Calibri" w:cs="Calibri"/>
                <w:color w:val="000000"/>
                <w:sz w:val="22"/>
                <w:szCs w:val="22"/>
                <w:lang w:val="fr-SN"/>
              </w:rPr>
              <w:t xml:space="preserve"> le monitoring du processus électoral. Les membres de la société</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civile</w:t>
            </w:r>
            <w:r>
              <w:rPr>
                <w:rFonts w:ascii="Calibri" w:hAnsi="Calibri" w:cs="Calibri"/>
                <w:color w:val="000000"/>
                <w:sz w:val="22"/>
                <w:szCs w:val="22"/>
                <w:lang w:val="fr-SN"/>
              </w:rPr>
              <w:t>, notamment les femmes leaders</w:t>
            </w:r>
            <w:r w:rsidRPr="00C1159C">
              <w:rPr>
                <w:rFonts w:ascii="Calibri" w:hAnsi="Calibri" w:cs="Calibri"/>
                <w:color w:val="000000"/>
                <w:sz w:val="22"/>
                <w:szCs w:val="22"/>
                <w:lang w:val="fr-SN"/>
              </w:rPr>
              <w:t xml:space="preserve"> ont également été sensibilisé</w:t>
            </w:r>
            <w:r>
              <w:rPr>
                <w:rFonts w:ascii="Calibri" w:hAnsi="Calibri" w:cs="Calibri"/>
                <w:color w:val="000000"/>
                <w:sz w:val="22"/>
                <w:szCs w:val="22"/>
                <w:lang w:val="fr-SN"/>
              </w:rPr>
              <w:t>es pour des élections apaisées. G</w:t>
            </w:r>
            <w:r w:rsidRPr="00C1159C">
              <w:rPr>
                <w:rFonts w:ascii="Calibri" w:hAnsi="Calibri" w:cs="Calibri"/>
                <w:color w:val="000000"/>
                <w:sz w:val="22"/>
                <w:szCs w:val="22"/>
                <w:lang w:val="fr-SN"/>
              </w:rPr>
              <w:t>râce à l’appui du PNUD à travers le Caucus des femmes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leaders, plus de 3000 femmes ont été touchées et appuyées dans le développement de leur argumentaire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politique pour accéder aux listes électorales en 2014. Au total, plus de 8000 femmes candidates inscrites sur</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les listes électorales ont été sensibilisées. Ce qui a contribué à rehausser la représentativité des femmes au</w:t>
            </w:r>
            <w:r>
              <w:rPr>
                <w:rFonts w:ascii="Calibri" w:hAnsi="Calibri" w:cs="Calibri"/>
                <w:color w:val="000000"/>
                <w:sz w:val="22"/>
                <w:szCs w:val="22"/>
                <w:lang w:val="fr-SN"/>
              </w:rPr>
              <w:t xml:space="preserve"> sein des conseils locaux (47</w:t>
            </w:r>
            <w:r w:rsidRPr="00C1159C">
              <w:rPr>
                <w:rFonts w:ascii="Calibri" w:hAnsi="Calibri" w:cs="Calibri"/>
                <w:color w:val="000000"/>
                <w:sz w:val="22"/>
                <w:szCs w:val="22"/>
                <w:lang w:val="fr-SN"/>
              </w:rPr>
              <w:t>% des élus). Aujourd’hui, 13 collectivités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locales sont dirigées par des femmes. </w:t>
            </w:r>
          </w:p>
          <w:p w:rsidR="00485189" w:rsidRPr="00145E27" w:rsidRDefault="00485189" w:rsidP="00485189">
            <w:pPr>
              <w:pStyle w:val="ListParagraph"/>
              <w:widowControl/>
              <w:ind w:right="57"/>
              <w:jc w:val="both"/>
              <w:rPr>
                <w:rFonts w:ascii="Calibri" w:hAnsi="Calibri" w:cs="Calibri"/>
                <w:color w:val="000000"/>
                <w:sz w:val="16"/>
                <w:szCs w:val="16"/>
                <w:lang w:val="fr-SN"/>
              </w:rPr>
            </w:pP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C1159C">
              <w:rPr>
                <w:rFonts w:ascii="Calibri" w:hAnsi="Calibri" w:cs="Calibri"/>
                <w:color w:val="000000"/>
                <w:sz w:val="22"/>
                <w:szCs w:val="22"/>
                <w:lang w:val="fr-SN"/>
              </w:rPr>
              <w:t>Les Résultats attendus sont : (i) la stratégie nationale de lutte contre la corruption élaborée ; (ii) pourcentage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 cas traités par l’OFNAC sur nombre de dossiers reçus ; (iii) plans d’actions prioritaires de la CC et de l’IGE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appuyés.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En matière de lutte contre la corruption, l’appui du PNUD a permis d’apporter </w:t>
            </w:r>
            <w:r>
              <w:rPr>
                <w:rFonts w:ascii="Calibri" w:hAnsi="Calibri" w:cs="Calibri"/>
                <w:color w:val="000000"/>
                <w:sz w:val="22"/>
                <w:szCs w:val="22"/>
                <w:lang w:val="fr-SN"/>
              </w:rPr>
              <w:t xml:space="preserve">un appui important à la mise en </w:t>
            </w:r>
            <w:r w:rsidRPr="00C1159C">
              <w:rPr>
                <w:rFonts w:ascii="Calibri" w:hAnsi="Calibri" w:cs="Calibri"/>
                <w:color w:val="000000"/>
                <w:sz w:val="22"/>
                <w:szCs w:val="22"/>
                <w:lang w:val="fr-SN"/>
              </w:rPr>
              <w:t>place et à l’opérationnalisation de l’Office National de Lutte Contre la Fraude et la Corruption (OFNAC) au</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terme de sa phase d'installation. Le PNUD a aidé l'institution à faire un diagnostic interne de capacités et appuyé l'élaboration d’un plan stratégique 2015 – 2017 avec la participation de plusieurs forces vives de la nation.</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Par ailleurs, </w:t>
            </w:r>
            <w:r>
              <w:rPr>
                <w:rFonts w:ascii="Calibri" w:hAnsi="Calibri" w:cs="Calibri"/>
                <w:color w:val="000000"/>
                <w:sz w:val="22"/>
                <w:szCs w:val="22"/>
                <w:lang w:val="fr-SN"/>
              </w:rPr>
              <w:t xml:space="preserve">grâce à l’action de </w:t>
            </w:r>
            <w:r w:rsidR="00150771" w:rsidRPr="00C1159C">
              <w:rPr>
                <w:rFonts w:ascii="Calibri" w:hAnsi="Calibri" w:cs="Calibri"/>
                <w:color w:val="000000"/>
                <w:sz w:val="22"/>
                <w:szCs w:val="22"/>
                <w:lang w:val="fr-SN"/>
              </w:rPr>
              <w:t>l’OFNAC, plus</w:t>
            </w:r>
            <w:r w:rsidRPr="00C1159C">
              <w:rPr>
                <w:rFonts w:ascii="Calibri" w:hAnsi="Calibri" w:cs="Calibri"/>
                <w:color w:val="000000"/>
                <w:sz w:val="22"/>
                <w:szCs w:val="22"/>
                <w:lang w:val="fr-SN"/>
              </w:rPr>
              <w:t xml:space="preserve"> de 37</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000 personnes </w:t>
            </w:r>
            <w:r>
              <w:rPr>
                <w:rFonts w:ascii="Calibri" w:hAnsi="Calibri" w:cs="Calibri"/>
                <w:color w:val="000000"/>
                <w:sz w:val="22"/>
                <w:szCs w:val="22"/>
                <w:lang w:val="fr-SN"/>
              </w:rPr>
              <w:t xml:space="preserve">ont pu bénéficier des </w:t>
            </w:r>
            <w:r w:rsidRPr="00C1159C">
              <w:rPr>
                <w:rFonts w:ascii="Calibri" w:hAnsi="Calibri" w:cs="Calibri"/>
                <w:color w:val="000000"/>
                <w:sz w:val="22"/>
                <w:szCs w:val="22"/>
                <w:lang w:val="fr-SN"/>
              </w:rPr>
              <w:t>actions de prévention et de sensibilisation sur la corruption au profit de plusieurs cibles telles que les autorités religieuses et coutumières, les écoliers, les étudiants, les media, le secteur privé</w:t>
            </w:r>
            <w:r>
              <w:rPr>
                <w:rFonts w:ascii="Calibri" w:hAnsi="Calibri" w:cs="Calibri"/>
                <w:color w:val="000000"/>
                <w:sz w:val="22"/>
                <w:szCs w:val="22"/>
                <w:lang w:val="fr-SN"/>
              </w:rPr>
              <w:t>.</w:t>
            </w:r>
            <w:r w:rsidRPr="00C1159C">
              <w:rPr>
                <w:rFonts w:ascii="Calibri" w:hAnsi="Calibri" w:cs="Calibri"/>
                <w:color w:val="000000"/>
                <w:sz w:val="22"/>
                <w:szCs w:val="22"/>
                <w:lang w:val="fr-SN"/>
              </w:rPr>
              <w:t xml:space="preserve"> Parmi les résultats les plus significatifs, on peut noter la réflexion menée par 169 jeunes candidats (écoliers et étudiants) sur leur perception de la corruption matérialisée par des œuvres artistiques produites par eux-mêmes. Ce travail a été primé par un jury et des prix offerts grâce à l'appui du PNUD. La mobilisation dans le secteur de l’éducation a créé une bonne dynamique au sein des établissements scolaires avec la</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mise en place des clubs d’intégrité dont l’objectif visé est de disposer de cadres pour mener une animation et</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une sensibilisation pour la promotion de l'intégrité et de la probité</w:t>
            </w:r>
            <w:r>
              <w:rPr>
                <w:rFonts w:ascii="Calibri" w:hAnsi="Calibri" w:cs="Calibri"/>
                <w:color w:val="000000"/>
                <w:sz w:val="22"/>
                <w:szCs w:val="22"/>
                <w:lang w:val="fr-SN"/>
              </w:rPr>
              <w:t>. Parmi les progrès réalisés, on peut noter la production et l’édition de</w:t>
            </w:r>
            <w:r w:rsidRPr="00C1159C">
              <w:rPr>
                <w:rFonts w:ascii="Calibri" w:hAnsi="Calibri" w:cs="Calibri"/>
                <w:color w:val="000000"/>
                <w:sz w:val="22"/>
                <w:szCs w:val="22"/>
                <w:lang w:val="fr-SN"/>
              </w:rPr>
              <w:t xml:space="preserve"> l’étude sur la perception et le coût de la corruption au Sénégal</w:t>
            </w:r>
            <w:r>
              <w:rPr>
                <w:rFonts w:ascii="Calibri" w:hAnsi="Calibri" w:cs="Calibri"/>
                <w:color w:val="000000"/>
                <w:sz w:val="22"/>
                <w:szCs w:val="22"/>
                <w:lang w:val="fr-SN"/>
              </w:rPr>
              <w:t xml:space="preserve">, la mise en place d’un comité de pilotage assurant le suivi de la stratégie nationale de lutte contre la corruption en cours d’élaboration. De plus, </w:t>
            </w:r>
            <w:r w:rsidRPr="00C1159C">
              <w:rPr>
                <w:rFonts w:ascii="Calibri" w:hAnsi="Calibri" w:cs="Calibri"/>
                <w:color w:val="000000"/>
                <w:sz w:val="22"/>
                <w:szCs w:val="22"/>
                <w:lang w:val="fr-SN"/>
              </w:rPr>
              <w:t>des conférences débats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l’organisation d’ateliers avec le secteur privé, les jeunes étudiants, le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monde scolaire y compris l’école militaire dans le cadre de la quinzaine sur la lutte contre la corruption</w:t>
            </w:r>
            <w:r>
              <w:rPr>
                <w:rFonts w:ascii="Calibri" w:hAnsi="Calibri" w:cs="Calibri"/>
                <w:color w:val="000000"/>
                <w:sz w:val="22"/>
                <w:szCs w:val="22"/>
                <w:lang w:val="fr-SN"/>
              </w:rPr>
              <w:t xml:space="preserve"> ont permis de mobiliser plus de 300 acteurs autour de l’identification des risques de corruption dans quelques secteurs </w:t>
            </w:r>
            <w:proofErr w:type="spellStart"/>
            <w:r>
              <w:rPr>
                <w:rFonts w:ascii="Calibri" w:hAnsi="Calibri" w:cs="Calibri"/>
                <w:color w:val="000000"/>
                <w:sz w:val="22"/>
                <w:szCs w:val="22"/>
                <w:lang w:val="fr-SN"/>
              </w:rPr>
              <w:t>corruptogènes</w:t>
            </w:r>
            <w:proofErr w:type="spellEnd"/>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L’appui au renforcement</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des capacités de l’OFNAC a permis de mettre en application la Loi sur la déclaration de patrimoine et a abouti</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à la production du premier Rapport Public d’Activités. Au niveau des collectivités locales, le Programme a permis de renforcer le leadership transformationnel des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femmes et leur a permis de constituer divers réseaux et collectifs de femmes résolument engagées dans la</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promotion de la gouvernance et la lutte contre la corruption. Plus de 300 femmes ont été des bénéficiaires des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diverses formations dispensées dans ce domaine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Grace à l’appui du Qatar, le PNUD a effectué un état des lieux du renforcement de l’état de droit dans </w:t>
            </w:r>
            <w:r>
              <w:rPr>
                <w:rFonts w:ascii="Calibri" w:hAnsi="Calibri" w:cs="Calibri"/>
                <w:color w:val="000000"/>
                <w:sz w:val="22"/>
                <w:szCs w:val="22"/>
                <w:lang w:val="fr-SN"/>
              </w:rPr>
              <w:t>15</w:t>
            </w:r>
            <w:r w:rsidRPr="00C1159C">
              <w:rPr>
                <w:rFonts w:ascii="Calibri" w:hAnsi="Calibri" w:cs="Calibri"/>
                <w:color w:val="000000"/>
                <w:sz w:val="22"/>
                <w:szCs w:val="22"/>
                <w:lang w:val="fr-SN"/>
              </w:rPr>
              <w:t xml:space="preserve"> pays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africains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(Afrique de l’Ouest Maghreb</w:t>
            </w:r>
            <w:r>
              <w:rPr>
                <w:rFonts w:ascii="Calibri" w:hAnsi="Calibri" w:cs="Calibri"/>
                <w:color w:val="000000"/>
                <w:sz w:val="22"/>
                <w:szCs w:val="22"/>
                <w:lang w:val="fr-SN"/>
              </w:rPr>
              <w:t>, Mauritanie, Tchad</w:t>
            </w:r>
            <w:r w:rsidRPr="00C1159C">
              <w:rPr>
                <w:rFonts w:ascii="Calibri" w:hAnsi="Calibri" w:cs="Calibri"/>
                <w:color w:val="000000"/>
                <w:sz w:val="22"/>
                <w:szCs w:val="22"/>
                <w:lang w:val="fr-SN"/>
              </w:rPr>
              <w:t xml:space="preserve">) </w:t>
            </w:r>
            <w:r>
              <w:rPr>
                <w:rFonts w:ascii="Calibri" w:hAnsi="Calibri" w:cs="Calibri"/>
                <w:color w:val="000000"/>
                <w:sz w:val="22"/>
                <w:szCs w:val="22"/>
                <w:lang w:val="fr-SN"/>
              </w:rPr>
              <w:t>matérialisé par un recueil d’expériences</w:t>
            </w:r>
            <w:r w:rsidRPr="00C1159C">
              <w:rPr>
                <w:rFonts w:ascii="Calibri" w:hAnsi="Calibri" w:cs="Calibri"/>
                <w:color w:val="000000"/>
                <w:sz w:val="22"/>
                <w:szCs w:val="22"/>
                <w:lang w:val="fr-SN"/>
              </w:rPr>
              <w:t xml:space="preserve"> </w:t>
            </w:r>
            <w:r>
              <w:rPr>
                <w:rFonts w:ascii="Calibri" w:hAnsi="Calibri" w:cs="Calibri"/>
                <w:color w:val="000000"/>
                <w:sz w:val="22"/>
                <w:szCs w:val="22"/>
                <w:lang w:val="fr-SN"/>
              </w:rPr>
              <w:t>afin de s’engager dans la lutte</w:t>
            </w:r>
            <w:r w:rsidRPr="00C1159C">
              <w:rPr>
                <w:rFonts w:ascii="Calibri" w:hAnsi="Calibri" w:cs="Calibri"/>
                <w:color w:val="000000"/>
                <w:sz w:val="22"/>
                <w:szCs w:val="22"/>
                <w:lang w:val="fr-SN"/>
              </w:rPr>
              <w:t xml:space="preserve"> contre la corruption</w:t>
            </w:r>
            <w:r>
              <w:rPr>
                <w:rFonts w:ascii="Calibri" w:hAnsi="Calibri" w:cs="Calibri"/>
                <w:color w:val="000000"/>
                <w:sz w:val="22"/>
                <w:szCs w:val="22"/>
                <w:lang w:val="fr-SN"/>
              </w:rPr>
              <w:t>.</w:t>
            </w:r>
            <w:r w:rsidRPr="00C1159C">
              <w:rPr>
                <w:rFonts w:ascii="Calibri" w:hAnsi="Calibri" w:cs="Calibri"/>
                <w:color w:val="000000"/>
                <w:sz w:val="22"/>
                <w:szCs w:val="22"/>
                <w:lang w:val="fr-SN"/>
              </w:rPr>
              <w:t xml:space="preserve"> Le partenariat avec le Qatar a également permis la mise en place d’un centre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régional d’état de droit et de renforcement des institutions judiciaires dont le lead est assuré par le Ministère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 la Justice</w:t>
            </w:r>
            <w:r>
              <w:rPr>
                <w:rFonts w:ascii="Calibri" w:hAnsi="Calibri" w:cs="Calibri"/>
                <w:color w:val="000000"/>
                <w:sz w:val="22"/>
                <w:szCs w:val="22"/>
                <w:lang w:val="fr-SN"/>
              </w:rPr>
              <w:t xml:space="preserve"> </w:t>
            </w:r>
          </w:p>
          <w:p w:rsidR="00485189" w:rsidRDefault="00485189" w:rsidP="00485189">
            <w:pPr>
              <w:pStyle w:val="ListParagraph"/>
              <w:widowControl/>
              <w:ind w:right="57"/>
              <w:jc w:val="both"/>
              <w:rPr>
                <w:rFonts w:ascii="Calibri" w:hAnsi="Calibri" w:cs="Calibri"/>
                <w:color w:val="000000"/>
                <w:sz w:val="22"/>
                <w:szCs w:val="22"/>
                <w:lang w:val="fr-SN"/>
              </w:rPr>
            </w:pP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C1159C">
              <w:rPr>
                <w:rFonts w:ascii="Calibri" w:hAnsi="Calibri" w:cs="Calibri"/>
                <w:color w:val="000000"/>
                <w:sz w:val="22"/>
                <w:szCs w:val="22"/>
                <w:lang w:val="fr-SN"/>
              </w:rPr>
              <w:lastRenderedPageBreak/>
              <w:t>Les résultats attendus sont : (i) stratégie nationale de bonne gouvernance appuyée ; (ii) les rapports produits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par le MAEP ; (iii) les sessions de partage et de formations destinées aux membres des institutions nationales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et des OSC</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Dans le cadre du Mécanisme Africain d’Evaluation par les Pairs (MAEP), l’appui du PNUD a permis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l’organisation de foras dans 14 régions afin d’amener les 2000 citoyens consultés à exprimer librement leurs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opinions sur l’état de la gouvernance. Dans cette perspective, l’implication des autorités coutumières et religieuses a été déterminante dans la facilitation du dialogue entre l’Etat et les citoyens. Le rapport</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d’autoévaluation du Sénégal a été produit, édité et présenté par le Chef de l’Etat lors du Sommet de l’Union</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africaine de janvier 2017.</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Ce document a pu fournir des informations sur les grandes avancées et les défis </w:t>
            </w:r>
            <w:r>
              <w:rPr>
                <w:rFonts w:ascii="Calibri" w:hAnsi="Calibri" w:cs="Calibri"/>
                <w:color w:val="000000"/>
                <w:sz w:val="22"/>
                <w:szCs w:val="22"/>
                <w:lang w:val="fr-SN"/>
              </w:rPr>
              <w:t>en matière de</w:t>
            </w:r>
            <w:r w:rsidRPr="00C1159C">
              <w:rPr>
                <w:rFonts w:ascii="Calibri" w:hAnsi="Calibri" w:cs="Calibri"/>
                <w:color w:val="000000"/>
                <w:sz w:val="22"/>
                <w:szCs w:val="22"/>
                <w:lang w:val="fr-SN"/>
              </w:rPr>
              <w:t xml:space="preserve"> bonne gouvernance. </w:t>
            </w:r>
            <w:r>
              <w:rPr>
                <w:rFonts w:ascii="Calibri" w:hAnsi="Calibri" w:cs="Calibri"/>
                <w:color w:val="000000"/>
                <w:sz w:val="22"/>
                <w:szCs w:val="22"/>
                <w:lang w:val="fr-SN"/>
              </w:rPr>
              <w:t xml:space="preserve">Dans le cadre de la coopération sud </w:t>
            </w:r>
            <w:proofErr w:type="spellStart"/>
            <w:r>
              <w:rPr>
                <w:rFonts w:ascii="Calibri" w:hAnsi="Calibri" w:cs="Calibri"/>
                <w:color w:val="000000"/>
                <w:sz w:val="22"/>
                <w:szCs w:val="22"/>
                <w:lang w:val="fr-SN"/>
              </w:rPr>
              <w:t>sud</w:t>
            </w:r>
            <w:proofErr w:type="spellEnd"/>
            <w:r>
              <w:rPr>
                <w:rFonts w:ascii="Calibri" w:hAnsi="Calibri" w:cs="Calibri"/>
                <w:color w:val="000000"/>
                <w:sz w:val="22"/>
                <w:szCs w:val="22"/>
                <w:lang w:val="fr-SN"/>
              </w:rPr>
              <w:t>, d</w:t>
            </w:r>
            <w:r w:rsidRPr="00C1159C">
              <w:rPr>
                <w:rFonts w:ascii="Calibri" w:hAnsi="Calibri" w:cs="Calibri"/>
                <w:color w:val="000000"/>
                <w:sz w:val="22"/>
                <w:szCs w:val="22"/>
                <w:lang w:val="fr-SN"/>
              </w:rPr>
              <w:t>es visites d’études et d’échanges au Benin et au Mali ont permis à l’équipe MAEP Sénégal de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mieux aborder la formulation du plan d’action opérationnel pour l’évaluation de la gouvernance. Le Programme a appuyé la relecture et l’édition de la stratégie nationale de bonne gouvernance qui a pu inscrire les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principales initiatives en matière de bonne gouvernance à mener. La plateforme des acteurs non étatiques a</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pu, par ailleurs, bénéficier d’un appui pour la réalisation d’un guide de capitalisation de leurs expériences.</w:t>
            </w:r>
          </w:p>
          <w:p w:rsidR="00485189" w:rsidRPr="00145E27" w:rsidRDefault="00485189" w:rsidP="00485189">
            <w:pPr>
              <w:pStyle w:val="ListParagraph"/>
              <w:widowControl/>
              <w:ind w:right="57"/>
              <w:jc w:val="both"/>
              <w:rPr>
                <w:rFonts w:ascii="Calibri" w:hAnsi="Calibri" w:cs="Calibri"/>
                <w:color w:val="000000"/>
                <w:sz w:val="16"/>
                <w:szCs w:val="16"/>
                <w:lang w:val="fr-SN"/>
              </w:rPr>
            </w:pP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C1159C">
              <w:rPr>
                <w:rFonts w:ascii="Calibri" w:hAnsi="Calibri" w:cs="Calibri"/>
                <w:color w:val="000000"/>
                <w:sz w:val="22"/>
                <w:szCs w:val="22"/>
                <w:lang w:val="fr-SN"/>
              </w:rPr>
              <w:t>En vue d’encadrer et d’uniformiser les méthodes et pratiques du diagnostic organisationnel dans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l’Administration publique, un guide de l’audit organisationnel des organismes publics a été produit pour enrichir la pratique du diagnostic organisationnel. L’étude sur l’audit des compétences a permis d’élaborer des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fiches de postes qui commencent à être renseignées</w:t>
            </w:r>
            <w:r>
              <w:rPr>
                <w:rFonts w:ascii="Calibri" w:hAnsi="Calibri" w:cs="Calibri"/>
                <w:color w:val="000000"/>
                <w:sz w:val="22"/>
                <w:szCs w:val="22"/>
                <w:lang w:val="fr-SN"/>
              </w:rPr>
              <w:t xml:space="preserve"> au niveau des ministères</w:t>
            </w:r>
            <w:r w:rsidRPr="00C1159C">
              <w:rPr>
                <w:rFonts w:ascii="Calibri" w:hAnsi="Calibri" w:cs="Calibri"/>
                <w:color w:val="000000"/>
                <w:sz w:val="22"/>
                <w:szCs w:val="22"/>
                <w:lang w:val="fr-SN"/>
              </w:rPr>
              <w:t xml:space="preserve">. </w:t>
            </w:r>
            <w:r>
              <w:rPr>
                <w:rFonts w:ascii="Calibri" w:hAnsi="Calibri" w:cs="Calibri"/>
                <w:color w:val="000000"/>
                <w:sz w:val="22"/>
                <w:szCs w:val="22"/>
                <w:lang w:val="fr-SN"/>
              </w:rPr>
              <w:t xml:space="preserve">L’expérience </w:t>
            </w:r>
            <w:r w:rsidRPr="00C1159C">
              <w:rPr>
                <w:rFonts w:ascii="Calibri" w:hAnsi="Calibri" w:cs="Calibri"/>
                <w:color w:val="000000"/>
                <w:sz w:val="22"/>
                <w:szCs w:val="22"/>
                <w:lang w:val="fr-SN"/>
              </w:rPr>
              <w:t>a permis de constituer un réseau des gestionnaires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des ressources humaines au niveau des départements ministériels</w:t>
            </w:r>
            <w:r>
              <w:rPr>
                <w:rFonts w:ascii="Calibri" w:hAnsi="Calibri" w:cs="Calibri"/>
                <w:color w:val="000000"/>
                <w:sz w:val="22"/>
                <w:szCs w:val="22"/>
                <w:lang w:val="fr-SN"/>
              </w:rPr>
              <w:t xml:space="preserve"> et </w:t>
            </w:r>
            <w:r w:rsidRPr="00C1159C">
              <w:rPr>
                <w:rFonts w:ascii="Calibri" w:hAnsi="Calibri" w:cs="Calibri"/>
                <w:color w:val="000000"/>
                <w:sz w:val="22"/>
                <w:szCs w:val="22"/>
                <w:lang w:val="fr-SN"/>
              </w:rPr>
              <w:t>a surtout permis de lancer la réflexion</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pour la mise en place d’un référentiel des compétences dont l’élaboration est en cours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En outre, une collaboration fructueuse avec l’Inspection Générale d’Etat a permis d’outiller et de former environ 60 personnes (Inspecteurs et Assistants vérificateurs) en matière d’identification des risques de fraude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dans la passation des marchés publics</w:t>
            </w:r>
            <w:r>
              <w:rPr>
                <w:rFonts w:ascii="Calibri" w:hAnsi="Calibri" w:cs="Calibri"/>
                <w:color w:val="000000"/>
                <w:sz w:val="22"/>
                <w:szCs w:val="22"/>
                <w:lang w:val="fr-SN"/>
              </w:rPr>
              <w:t xml:space="preserve"> </w:t>
            </w:r>
          </w:p>
          <w:p w:rsidR="00485189" w:rsidRPr="00145E27" w:rsidRDefault="00485189" w:rsidP="00485189">
            <w:pPr>
              <w:pStyle w:val="ListParagraph"/>
              <w:rPr>
                <w:rFonts w:ascii="Calibri" w:hAnsi="Calibri" w:cs="Calibri"/>
                <w:color w:val="000000"/>
                <w:sz w:val="16"/>
                <w:szCs w:val="16"/>
                <w:lang w:val="fr-SN"/>
              </w:rPr>
            </w:pP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C1159C">
              <w:rPr>
                <w:rFonts w:ascii="Calibri" w:hAnsi="Calibri" w:cs="Calibri"/>
                <w:color w:val="000000"/>
                <w:sz w:val="22"/>
                <w:szCs w:val="22"/>
                <w:lang w:val="fr-SN"/>
              </w:rPr>
              <w:t>Des outils importants ont été produits avec l’appui du PNUD, notamment les 5 lettres de politique sectorielle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pour les Ministères chargés de la Gouvernance et de la Fonction Publique sont loin de la cible prévue (10) mais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ont déjà permis de s’aligner sur le PSE. </w:t>
            </w:r>
            <w:r>
              <w:rPr>
                <w:rFonts w:ascii="Calibri" w:hAnsi="Calibri" w:cs="Calibri"/>
                <w:color w:val="000000"/>
                <w:sz w:val="22"/>
                <w:szCs w:val="22"/>
                <w:lang w:val="fr-SN"/>
              </w:rPr>
              <w:t xml:space="preserve">Le Schéma de modernisation de l’Etat appuyé par le PNUD </w:t>
            </w:r>
            <w:r w:rsidRPr="00C1159C">
              <w:rPr>
                <w:rFonts w:ascii="Calibri" w:hAnsi="Calibri" w:cs="Calibri"/>
                <w:color w:val="000000"/>
                <w:sz w:val="22"/>
                <w:szCs w:val="22"/>
                <w:lang w:val="fr-SN"/>
              </w:rPr>
              <w:t>a facilité au niveau national, la transposition des nouvelles directives de l’UEMOA sur la mise en place des budgets programmes, ainsi que la phase pilote de l’audit</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des compétences des agents de l’Etat. Deux Documents de Programmation Pluriannuelle de Dépenses (DPPD)</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dans le cadre de la réforme des finances publiques pour les Ministères chargés de la Gouvernance et de la</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Fonction Publique ont été élaborés. Le Programme a aussi appuyé l’élaboration d’un guide d’audit organisationnel des organismes publics pour le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compte du Bureau Organisation et Méthodes (BOM) ainsi qu’un modèle macroéconomique pour la construction du cadre théorique de la structuration de l’économie sénégalaise.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Dans le cadre</w:t>
            </w:r>
            <w:r>
              <w:rPr>
                <w:rFonts w:ascii="Calibri" w:hAnsi="Calibri" w:cs="Calibri"/>
                <w:color w:val="000000"/>
                <w:sz w:val="22"/>
                <w:szCs w:val="22"/>
                <w:lang w:val="fr-SN"/>
              </w:rPr>
              <w:t xml:space="preserve"> de</w:t>
            </w:r>
            <w:r w:rsidRPr="00C1159C">
              <w:rPr>
                <w:rFonts w:ascii="Calibri" w:hAnsi="Calibri" w:cs="Calibri"/>
                <w:color w:val="000000"/>
                <w:sz w:val="22"/>
                <w:szCs w:val="22"/>
                <w:lang w:val="fr-SN"/>
              </w:rPr>
              <w:t xml:space="preserve"> l'intégration des OMD puis des ODD dans les politiques publiques, le PNUD a appuyé</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l’élaboration des rapports OMD et le bilan global 2000-2015 de l’état des progrès vers l’atteinte des OMD ainsi</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que la stratégie d'intégration des ODD dans le PSE. Il a également appuyé l'Ecole de Dakar (</w:t>
            </w:r>
            <w:proofErr w:type="spellStart"/>
            <w:r w:rsidRPr="00C1159C">
              <w:rPr>
                <w:rFonts w:ascii="Calibri" w:hAnsi="Calibri" w:cs="Calibri"/>
                <w:color w:val="000000"/>
                <w:sz w:val="22"/>
                <w:szCs w:val="22"/>
                <w:lang w:val="fr-SN"/>
              </w:rPr>
              <w:t>Think</w:t>
            </w:r>
            <w:proofErr w:type="spellEnd"/>
            <w:r w:rsidRPr="00C1159C">
              <w:rPr>
                <w:rFonts w:ascii="Calibri" w:hAnsi="Calibri" w:cs="Calibri"/>
                <w:color w:val="000000"/>
                <w:sz w:val="22"/>
                <w:szCs w:val="22"/>
                <w:lang w:val="fr-SN"/>
              </w:rPr>
              <w:t xml:space="preserve"> </w:t>
            </w:r>
            <w:proofErr w:type="spellStart"/>
            <w:r w:rsidRPr="00C1159C">
              <w:rPr>
                <w:rFonts w:ascii="Calibri" w:hAnsi="Calibri" w:cs="Calibri"/>
                <w:color w:val="000000"/>
                <w:sz w:val="22"/>
                <w:szCs w:val="22"/>
                <w:lang w:val="fr-SN"/>
              </w:rPr>
              <w:t>Thank</w:t>
            </w:r>
            <w:proofErr w:type="spellEnd"/>
            <w:r w:rsidRPr="00C1159C">
              <w:rPr>
                <w:rFonts w:ascii="Calibri" w:hAnsi="Calibri" w:cs="Calibri"/>
                <w:color w:val="000000"/>
                <w:sz w:val="22"/>
                <w:szCs w:val="22"/>
                <w:lang w:val="fr-SN"/>
              </w:rPr>
              <w:t>) et les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OSC dans la conduite des réflexions sur la mise en œuvre des ODD, la réalisation d’une évaluation des capacités nationales et de l'écosystème des données pour la mise en œuvre des ODD ainsi que le premier rappor</w:t>
            </w:r>
            <w:r>
              <w:rPr>
                <w:rFonts w:ascii="Calibri" w:hAnsi="Calibri" w:cs="Calibri"/>
                <w:color w:val="000000"/>
                <w:sz w:val="22"/>
                <w:szCs w:val="22"/>
                <w:lang w:val="fr-SN"/>
              </w:rPr>
              <w:t xml:space="preserve">t </w:t>
            </w:r>
            <w:r w:rsidRPr="00C1159C">
              <w:rPr>
                <w:rFonts w:ascii="Calibri" w:hAnsi="Calibri" w:cs="Calibri"/>
                <w:color w:val="000000"/>
                <w:sz w:val="22"/>
                <w:szCs w:val="22"/>
                <w:lang w:val="fr-SN"/>
              </w:rPr>
              <w:t>annuel de mise en œuvre.</w:t>
            </w:r>
            <w:r>
              <w:rPr>
                <w:rFonts w:ascii="Calibri" w:hAnsi="Calibri" w:cs="Calibri"/>
                <w:color w:val="000000"/>
                <w:sz w:val="22"/>
                <w:szCs w:val="22"/>
                <w:lang w:val="fr-SN"/>
              </w:rPr>
              <w:t xml:space="preserve"> </w:t>
            </w:r>
          </w:p>
          <w:p w:rsidR="00485189" w:rsidRPr="00145E27" w:rsidRDefault="00485189" w:rsidP="00485189">
            <w:pPr>
              <w:pStyle w:val="ListParagraph"/>
              <w:widowControl/>
              <w:ind w:right="57"/>
              <w:jc w:val="both"/>
              <w:rPr>
                <w:rFonts w:ascii="Calibri" w:hAnsi="Calibri" w:cs="Calibri"/>
                <w:color w:val="000000"/>
                <w:sz w:val="16"/>
                <w:szCs w:val="16"/>
                <w:lang w:val="fr-SN"/>
              </w:rPr>
            </w:pP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485189">
              <w:rPr>
                <w:rFonts w:ascii="Calibri" w:hAnsi="Calibri" w:cs="Calibri"/>
                <w:color w:val="000000"/>
                <w:sz w:val="22"/>
                <w:szCs w:val="22"/>
                <w:lang w:val="fr-SN"/>
              </w:rPr>
              <w:t>Le</w:t>
            </w:r>
            <w:r w:rsidRPr="00C1159C">
              <w:rPr>
                <w:rFonts w:ascii="Calibri" w:hAnsi="Calibri" w:cs="Calibri"/>
                <w:color w:val="000000"/>
                <w:sz w:val="22"/>
                <w:szCs w:val="22"/>
                <w:lang w:val="fr-SN"/>
              </w:rPr>
              <w:t xml:space="preserve"> renforcement de capacités de la DGPPE et du BOS a contribué à une meilleure planification économique</w:t>
            </w:r>
            <w:r>
              <w:rPr>
                <w:rFonts w:ascii="Calibri" w:hAnsi="Calibri" w:cs="Calibri"/>
                <w:color w:val="000000"/>
                <w:sz w:val="22"/>
                <w:szCs w:val="22"/>
                <w:lang w:val="fr-SN"/>
              </w:rPr>
              <w:t xml:space="preserve"> et</w:t>
            </w:r>
            <w:r w:rsidRPr="00C1159C">
              <w:rPr>
                <w:rFonts w:ascii="Calibri" w:hAnsi="Calibri" w:cs="Calibri"/>
                <w:color w:val="000000"/>
                <w:sz w:val="22"/>
                <w:szCs w:val="22"/>
                <w:lang w:val="fr-SN"/>
              </w:rPr>
              <w:t xml:space="preserve"> une consolidation de la croissance économique </w:t>
            </w:r>
            <w:r>
              <w:rPr>
                <w:rFonts w:ascii="Calibri" w:hAnsi="Calibri" w:cs="Calibri"/>
                <w:color w:val="000000"/>
                <w:sz w:val="22"/>
                <w:szCs w:val="22"/>
                <w:lang w:val="fr-SN"/>
              </w:rPr>
              <w:t>ainsi que le</w:t>
            </w:r>
            <w:r w:rsidRPr="00C1159C">
              <w:rPr>
                <w:rFonts w:ascii="Calibri" w:hAnsi="Calibri" w:cs="Calibri"/>
                <w:color w:val="000000"/>
                <w:sz w:val="22"/>
                <w:szCs w:val="22"/>
                <w:lang w:val="fr-SN"/>
              </w:rPr>
              <w:t xml:space="preserve"> suivi des projets et réformes phares du</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PSE dont l’état d’exécution est très satisfaisant avec un taux de démarrage de 61% pour les projets phares et</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 44% pour les réformes en novembre 2016</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Dans le domaine d’appui et conseil, le PNUD a joué un rôle clé à travers notamment l’appui à la formulation de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politiques et stratégies sectorielles, la conduite de réflexions stratégiques, ainsi que le renforcement des outils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 planification, de mise en œuvre et de suivi-évaluation de la politique économique. Ces appuis ont concerné</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 xml:space="preserve">le renforcement des capacités de la DGPPE en matière de planification (y inclus au niveau </w:t>
            </w:r>
            <w:r w:rsidRPr="00C1159C">
              <w:rPr>
                <w:rFonts w:ascii="Calibri" w:hAnsi="Calibri" w:cs="Calibri"/>
                <w:color w:val="000000"/>
                <w:sz w:val="22"/>
                <w:szCs w:val="22"/>
                <w:lang w:val="fr-SN"/>
              </w:rPr>
              <w:lastRenderedPageBreak/>
              <w:t>régional), d'analyse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sur le développement humain et la revue des politiques publiques, et du BOS pour le suivi des projets et ré</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formes phares du PSE avec un accent particulier sur l'identification des projets et le partenariat sud-sud (Malaisie). Par ailleurs le PNUD a appuyé la réalisation d'une étude sur des enjeux institutionnels, organisationnels</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t opérationnels du PSE et joué un rôle de premier plan dans la mise en œuvre du CASE avec notamment l'appui aux conférences d'harmonisation régionales dans le cadre de la RAC et la conduite de l'étude sur l'analyse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des systèmes existants de suivi-évaluation</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Ces différents appuis ont incontestablement amélioré la coordination, le suivi et l’évaluation des actions de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développement et renforcé les méthodes de travail des différentes structures impliquées dans la formulation</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des politiques et stratégies nationales au Sénégal.</w:t>
            </w:r>
          </w:p>
          <w:p w:rsidR="00485189" w:rsidRPr="00145E27" w:rsidRDefault="00485189" w:rsidP="00485189">
            <w:pPr>
              <w:pStyle w:val="ListParagraph"/>
              <w:widowControl/>
              <w:ind w:right="57"/>
              <w:jc w:val="both"/>
              <w:rPr>
                <w:rFonts w:ascii="Calibri" w:hAnsi="Calibri" w:cs="Calibri"/>
                <w:color w:val="000000"/>
                <w:sz w:val="16"/>
                <w:szCs w:val="16"/>
                <w:lang w:val="fr-SN"/>
              </w:rPr>
            </w:pPr>
          </w:p>
          <w:p w:rsidR="00CD027C" w:rsidRDefault="00CD027C" w:rsidP="00485189">
            <w:pPr>
              <w:pStyle w:val="ListParagraph"/>
              <w:widowControl/>
              <w:numPr>
                <w:ilvl w:val="0"/>
                <w:numId w:val="35"/>
              </w:numPr>
              <w:ind w:right="57"/>
              <w:jc w:val="both"/>
              <w:rPr>
                <w:rFonts w:ascii="Calibri" w:hAnsi="Calibri" w:cs="Calibri"/>
                <w:color w:val="000000"/>
                <w:sz w:val="22"/>
                <w:szCs w:val="22"/>
                <w:lang w:val="fr-SN"/>
              </w:rPr>
            </w:pPr>
            <w:r w:rsidRPr="00C1159C">
              <w:rPr>
                <w:rFonts w:ascii="Calibri" w:hAnsi="Calibri" w:cs="Calibri"/>
                <w:color w:val="000000"/>
                <w:sz w:val="22"/>
                <w:szCs w:val="22"/>
                <w:lang w:val="fr-SN"/>
              </w:rPr>
              <w:t>En rapport avec la territorialisation des politiques publiques et la mise en place de pôle de développement qui</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occupent une place centrale dans le Plan Sénégal Emergent et l’ACTE 3 de la décentralisation, le Programme a</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appuyé le Ministère en charge de la Promotion de la Bonne Gouvernance pour</w:t>
            </w:r>
            <w:r>
              <w:rPr>
                <w:rFonts w:ascii="Calibri" w:hAnsi="Calibri" w:cs="Calibri"/>
                <w:color w:val="000000"/>
                <w:sz w:val="22"/>
                <w:szCs w:val="22"/>
                <w:lang w:val="fr-SN"/>
              </w:rPr>
              <w:t xml:space="preserve"> l’institutionnalisation des mé</w:t>
            </w:r>
            <w:r w:rsidRPr="00C1159C">
              <w:rPr>
                <w:rFonts w:ascii="Calibri" w:hAnsi="Calibri" w:cs="Calibri"/>
                <w:color w:val="000000"/>
                <w:sz w:val="22"/>
                <w:szCs w:val="22"/>
                <w:lang w:val="fr-SN"/>
              </w:rPr>
              <w:t>canismes et outils de performance des Collectivités Locales et la définition d’un Cadre standardisé de participation citoyenne qui a permis de faire une analyse croisée des diffé</w:t>
            </w:r>
            <w:r>
              <w:rPr>
                <w:rFonts w:ascii="Calibri" w:hAnsi="Calibri" w:cs="Calibri"/>
                <w:color w:val="000000"/>
                <w:sz w:val="22"/>
                <w:szCs w:val="22"/>
                <w:lang w:val="fr-SN"/>
              </w:rPr>
              <w:t>rents outils de participation (</w:t>
            </w:r>
            <w:r w:rsidRPr="00C1159C">
              <w:rPr>
                <w:rFonts w:ascii="Calibri" w:hAnsi="Calibri" w:cs="Calibri"/>
                <w:color w:val="000000"/>
                <w:sz w:val="22"/>
                <w:szCs w:val="22"/>
                <w:lang w:val="fr-SN"/>
              </w:rPr>
              <w:t>budget participatif, cadres de concertation locale, baromètre de bonne gouvernance, conventions locales, certification</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citoyenne, auditions conseils de quartiers…). 2 monographies économiques ont été réalisées.</w:t>
            </w:r>
          </w:p>
          <w:p w:rsidR="00485189" w:rsidRPr="00145E27" w:rsidRDefault="00485189" w:rsidP="00485189">
            <w:pPr>
              <w:pStyle w:val="ListParagraph"/>
              <w:rPr>
                <w:rFonts w:ascii="Calibri" w:hAnsi="Calibri" w:cs="Calibri"/>
                <w:color w:val="000000"/>
                <w:sz w:val="16"/>
                <w:szCs w:val="16"/>
                <w:lang w:val="fr-SN"/>
              </w:rPr>
            </w:pPr>
          </w:p>
          <w:p w:rsidR="00CD027C" w:rsidRPr="0028553F" w:rsidRDefault="00CD027C" w:rsidP="00485189">
            <w:pPr>
              <w:pStyle w:val="ListParagraph"/>
              <w:widowControl/>
              <w:numPr>
                <w:ilvl w:val="0"/>
                <w:numId w:val="35"/>
              </w:numPr>
              <w:ind w:right="57"/>
              <w:jc w:val="both"/>
              <w:rPr>
                <w:rFonts w:asciiTheme="minorHAnsi" w:hAnsiTheme="minorHAnsi"/>
                <w:lang w:val="fr-FR"/>
              </w:rPr>
            </w:pPr>
            <w:r w:rsidRPr="00C1159C">
              <w:rPr>
                <w:rFonts w:ascii="Calibri" w:hAnsi="Calibri" w:cs="Calibri"/>
                <w:color w:val="000000"/>
                <w:sz w:val="22"/>
                <w:szCs w:val="22"/>
                <w:lang w:val="fr-SN"/>
              </w:rPr>
              <w:t>Cinq (5) cellules régionales de gouvernance ont été mises en place</w:t>
            </w:r>
            <w:r>
              <w:rPr>
                <w:rFonts w:ascii="Calibri" w:hAnsi="Calibri" w:cs="Calibri"/>
                <w:color w:val="000000"/>
                <w:sz w:val="22"/>
                <w:szCs w:val="22"/>
                <w:lang w:val="fr-SN"/>
              </w:rPr>
              <w:t xml:space="preserve"> afin de </w:t>
            </w:r>
            <w:r w:rsidRPr="00C1159C">
              <w:rPr>
                <w:rFonts w:ascii="Calibri" w:hAnsi="Calibri" w:cs="Calibri"/>
                <w:color w:val="000000"/>
                <w:sz w:val="22"/>
                <w:szCs w:val="22"/>
                <w:lang w:val="fr-SN"/>
              </w:rPr>
              <w:t>porter les actions territoriales de promotion de la bonne gouvernance dans les régions à</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travers notamment le contrôle d</w:t>
            </w:r>
            <w:r>
              <w:rPr>
                <w:rFonts w:ascii="Calibri" w:hAnsi="Calibri" w:cs="Calibri"/>
                <w:color w:val="000000"/>
                <w:sz w:val="22"/>
                <w:szCs w:val="22"/>
                <w:lang w:val="fr-SN"/>
              </w:rPr>
              <w:t>e l’action publique locale,</w:t>
            </w:r>
            <w:r w:rsidRPr="00C1159C">
              <w:rPr>
                <w:rFonts w:ascii="Calibri" w:hAnsi="Calibri" w:cs="Calibri"/>
                <w:color w:val="000000"/>
                <w:sz w:val="22"/>
                <w:szCs w:val="22"/>
                <w:lang w:val="fr-SN"/>
              </w:rPr>
              <w:t xml:space="preserve"> la saisine par les citoyens, pour conduire leur mission de représentation de la Fonction Publique locale en matière de</w:t>
            </w:r>
            <w:r>
              <w:rPr>
                <w:rFonts w:ascii="Calibri" w:hAnsi="Calibri" w:cs="Calibri"/>
                <w:color w:val="000000"/>
                <w:sz w:val="22"/>
                <w:szCs w:val="22"/>
                <w:lang w:val="fr-SN"/>
              </w:rPr>
              <w:t xml:space="preserve"> </w:t>
            </w:r>
            <w:r w:rsidRPr="00C1159C">
              <w:rPr>
                <w:rFonts w:ascii="Calibri" w:hAnsi="Calibri" w:cs="Calibri"/>
                <w:color w:val="000000"/>
                <w:sz w:val="22"/>
                <w:szCs w:val="22"/>
                <w:lang w:val="fr-SN"/>
              </w:rPr>
              <w:t>gouvernance.</w:t>
            </w:r>
            <w:r>
              <w:rPr>
                <w:rFonts w:asciiTheme="minorHAnsi" w:hAnsiTheme="minorHAnsi"/>
                <w:lang w:val="fr-FR"/>
              </w:rPr>
              <w:t xml:space="preserve"> </w:t>
            </w:r>
          </w:p>
        </w:tc>
      </w:tr>
      <w:tr w:rsidR="00F555D2" w:rsidRPr="00073D71" w:rsidTr="00AE2EC2">
        <w:tc>
          <w:tcPr>
            <w:tcW w:w="15309" w:type="dxa"/>
            <w:gridSpan w:val="7"/>
          </w:tcPr>
          <w:p w:rsidR="005678D8" w:rsidRPr="00CD027C" w:rsidRDefault="005678D8" w:rsidP="00504032">
            <w:pPr>
              <w:pStyle w:val="BodyText2"/>
              <w:spacing w:after="120"/>
              <w:jc w:val="both"/>
              <w:rPr>
                <w:rFonts w:asciiTheme="minorHAnsi" w:hAnsiTheme="minorHAnsi"/>
                <w:lang w:val="fr-SN"/>
              </w:rPr>
            </w:pPr>
          </w:p>
        </w:tc>
      </w:tr>
      <w:tr w:rsidR="00F555D2" w:rsidRPr="00334892" w:rsidTr="00AE2EC2">
        <w:tc>
          <w:tcPr>
            <w:tcW w:w="3537" w:type="dxa"/>
            <w:gridSpan w:val="2"/>
            <w:shd w:val="clear" w:color="auto" w:fill="95B3D7" w:themeFill="accent1" w:themeFillTint="99"/>
          </w:tcPr>
          <w:p w:rsidR="004908E9" w:rsidRPr="00334892" w:rsidRDefault="005F5D80" w:rsidP="001B5B87">
            <w:pPr>
              <w:widowControl/>
              <w:autoSpaceDE w:val="0"/>
              <w:autoSpaceDN w:val="0"/>
              <w:adjustRightInd w:val="0"/>
              <w:rPr>
                <w:rFonts w:ascii="Times-Roman" w:hAnsi="Times-Roman"/>
                <w:color w:val="000000"/>
                <w:sz w:val="22"/>
                <w:szCs w:val="22"/>
                <w:lang w:val="fr-SN" w:eastAsia="fr-SN"/>
              </w:rPr>
            </w:pPr>
            <w:r w:rsidRPr="00334892">
              <w:rPr>
                <w:rFonts w:asciiTheme="minorHAnsi" w:hAnsiTheme="minorHAnsi"/>
                <w:b/>
                <w:sz w:val="22"/>
                <w:szCs w:val="22"/>
                <w:lang w:val="fr-FR"/>
              </w:rPr>
              <w:t xml:space="preserve">2. </w:t>
            </w:r>
            <w:r w:rsidR="004908E9" w:rsidRPr="00334892">
              <w:rPr>
                <w:rFonts w:ascii="Calibri" w:hAnsi="Calibri" w:cs="Calibri"/>
                <w:color w:val="000000"/>
                <w:sz w:val="22"/>
                <w:szCs w:val="22"/>
                <w:lang w:val="fr-SN" w:eastAsia="fr-SN"/>
              </w:rPr>
              <w:t>D’ici 2018, des initiatives de croissance inclusive génératrices d’emplois durables et décents sont renforcées et procurent des revenus aux populations</w:t>
            </w:r>
            <w:r w:rsidR="004908E9" w:rsidRPr="00334892">
              <w:rPr>
                <w:rFonts w:ascii="Calibri" w:hAnsi="Calibri" w:cs="Calibri"/>
                <w:color w:val="000000"/>
                <w:sz w:val="22"/>
                <w:szCs w:val="22"/>
                <w:lang w:val="fr-SN" w:eastAsia="fr-SN"/>
              </w:rPr>
              <w:br/>
              <w:t>(hommes, femmes) » et « D’ici 2018, les populations (hommes et femmes), en particulier les groupes vulnérables, bénéficient d’un système de protection sociale adéquat et durable</w:t>
            </w:r>
          </w:p>
          <w:p w:rsidR="005F5D80" w:rsidRPr="00334892" w:rsidRDefault="004908E9" w:rsidP="001B5B87">
            <w:pPr>
              <w:widowControl/>
              <w:autoSpaceDE w:val="0"/>
              <w:autoSpaceDN w:val="0"/>
              <w:adjustRightInd w:val="0"/>
              <w:rPr>
                <w:rFonts w:asciiTheme="minorHAnsi" w:hAnsiTheme="minorHAnsi"/>
                <w:sz w:val="22"/>
                <w:szCs w:val="22"/>
                <w:lang w:val="fr-SN"/>
              </w:rPr>
            </w:pPr>
            <w:r w:rsidRPr="00334892">
              <w:rPr>
                <w:sz w:val="22"/>
                <w:szCs w:val="22"/>
                <w:lang w:val="fr-SN" w:eastAsia="fr-SN"/>
              </w:rPr>
              <w:br/>
            </w:r>
          </w:p>
        </w:tc>
        <w:tc>
          <w:tcPr>
            <w:tcW w:w="1708" w:type="dxa"/>
            <w:gridSpan w:val="3"/>
            <w:shd w:val="clear" w:color="auto" w:fill="auto"/>
          </w:tcPr>
          <w:p w:rsidR="006F14E3" w:rsidRPr="00334892" w:rsidRDefault="006F14E3" w:rsidP="006F14E3">
            <w:pPr>
              <w:pStyle w:val="BodyText2"/>
              <w:rPr>
                <w:rFonts w:asciiTheme="minorHAnsi" w:hAnsiTheme="minorHAnsi"/>
                <w:b/>
                <w:sz w:val="22"/>
                <w:szCs w:val="22"/>
                <w:lang w:val="fr-FR"/>
              </w:rPr>
            </w:pPr>
            <w:r w:rsidRPr="00334892">
              <w:rPr>
                <w:rFonts w:asciiTheme="minorHAnsi" w:hAnsiTheme="minorHAnsi"/>
                <w:b/>
                <w:sz w:val="22"/>
                <w:szCs w:val="22"/>
                <w:lang w:val="fr-FR"/>
              </w:rPr>
              <w:t>$</w:t>
            </w:r>
            <w:r w:rsidRPr="00334892">
              <w:rPr>
                <w:rFonts w:ascii="Calibri" w:hAnsi="Calibri"/>
                <w:sz w:val="22"/>
                <w:szCs w:val="22"/>
                <w:lang w:val="fr-FR" w:eastAsia="fr-FR"/>
              </w:rPr>
              <w:t xml:space="preserve">156 903 000 </w:t>
            </w:r>
          </w:p>
          <w:p w:rsidR="006F14E3" w:rsidRPr="00334892" w:rsidRDefault="006F14E3" w:rsidP="006F14E3">
            <w:pPr>
              <w:pStyle w:val="BodyText2"/>
              <w:rPr>
                <w:rFonts w:asciiTheme="minorHAnsi" w:hAnsiTheme="minorHAnsi"/>
                <w:sz w:val="22"/>
                <w:szCs w:val="22"/>
                <w:lang w:val="fr-FR"/>
              </w:rPr>
            </w:pPr>
            <w:r w:rsidRPr="00334892">
              <w:rPr>
                <w:rFonts w:asciiTheme="minorHAnsi" w:hAnsiTheme="minorHAnsi"/>
                <w:sz w:val="22"/>
                <w:szCs w:val="22"/>
                <w:lang w:val="fr-FR"/>
              </w:rPr>
              <w:t>(</w:t>
            </w:r>
            <w:r w:rsidRPr="00334892">
              <w:rPr>
                <w:rFonts w:asciiTheme="minorHAnsi" w:hAnsiTheme="minorHAnsi"/>
                <w:sz w:val="22"/>
                <w:szCs w:val="22"/>
              </w:rPr>
              <w:t>Core</w:t>
            </w:r>
            <w:r w:rsidRPr="00334892">
              <w:rPr>
                <w:rFonts w:asciiTheme="minorHAnsi" w:hAnsiTheme="minorHAnsi"/>
                <w:sz w:val="22"/>
                <w:szCs w:val="22"/>
                <w:lang w:val="fr-FR"/>
              </w:rPr>
              <w:t> : $</w:t>
            </w:r>
            <w:r w:rsidRPr="00334892">
              <w:rPr>
                <w:rFonts w:ascii="Calibri" w:hAnsi="Calibri"/>
                <w:sz w:val="22"/>
                <w:szCs w:val="22"/>
                <w:lang w:val="fr-FR" w:eastAsia="fr-FR"/>
              </w:rPr>
              <w:t>6 439 400</w:t>
            </w:r>
            <w:r w:rsidRPr="00334892">
              <w:rPr>
                <w:rFonts w:asciiTheme="minorHAnsi" w:hAnsiTheme="minorHAnsi"/>
                <w:b/>
                <w:sz w:val="22"/>
                <w:szCs w:val="22"/>
                <w:lang w:val="fr-FR"/>
              </w:rPr>
              <w:t xml:space="preserve"> </w:t>
            </w:r>
          </w:p>
          <w:p w:rsidR="006F14E3" w:rsidRPr="00334892" w:rsidRDefault="006F14E3" w:rsidP="006F14E3">
            <w:pPr>
              <w:pStyle w:val="BodyText2"/>
              <w:rPr>
                <w:rFonts w:asciiTheme="minorHAnsi" w:hAnsiTheme="minorHAnsi"/>
                <w:sz w:val="22"/>
                <w:szCs w:val="22"/>
                <w:lang w:val="fr-FR"/>
              </w:rPr>
            </w:pPr>
            <w:r w:rsidRPr="00334892">
              <w:rPr>
                <w:rFonts w:asciiTheme="minorHAnsi" w:hAnsiTheme="minorHAnsi"/>
                <w:sz w:val="22"/>
                <w:szCs w:val="22"/>
                <w:lang w:val="fr-FR"/>
              </w:rPr>
              <w:t>Non-</w:t>
            </w:r>
            <w:proofErr w:type="spellStart"/>
            <w:r w:rsidRPr="00334892">
              <w:rPr>
                <w:rFonts w:asciiTheme="minorHAnsi" w:hAnsiTheme="minorHAnsi"/>
                <w:sz w:val="22"/>
                <w:szCs w:val="22"/>
                <w:lang w:val="fr-FR"/>
              </w:rPr>
              <w:t>core</w:t>
            </w:r>
            <w:proofErr w:type="spellEnd"/>
            <w:r w:rsidRPr="00334892">
              <w:rPr>
                <w:rFonts w:asciiTheme="minorHAnsi" w:hAnsiTheme="minorHAnsi"/>
                <w:sz w:val="22"/>
                <w:szCs w:val="22"/>
                <w:lang w:val="fr-FR"/>
              </w:rPr>
              <w:t> : $</w:t>
            </w:r>
            <w:r w:rsidRPr="00334892">
              <w:rPr>
                <w:rFonts w:ascii="Calibri" w:hAnsi="Calibri"/>
                <w:sz w:val="22"/>
                <w:szCs w:val="22"/>
                <w:lang w:val="fr-FR" w:eastAsia="fr-FR"/>
              </w:rPr>
              <w:t>150 463 600</w:t>
            </w:r>
          </w:p>
          <w:p w:rsidR="005F5D80" w:rsidRPr="00334892" w:rsidRDefault="005F5D80">
            <w:pPr>
              <w:pStyle w:val="BodyText2"/>
              <w:rPr>
                <w:rFonts w:asciiTheme="minorHAnsi" w:hAnsiTheme="minorHAnsi"/>
                <w:b/>
                <w:sz w:val="22"/>
                <w:szCs w:val="22"/>
                <w:lang w:val="fr-SN"/>
              </w:rPr>
            </w:pPr>
          </w:p>
        </w:tc>
        <w:tc>
          <w:tcPr>
            <w:tcW w:w="3782" w:type="dxa"/>
            <w:tcBorders>
              <w:left w:val="single" w:sz="4" w:space="0" w:color="auto"/>
            </w:tcBorders>
          </w:tcPr>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b/>
                <w:bCs/>
                <w:sz w:val="22"/>
                <w:szCs w:val="22"/>
              </w:rPr>
              <w:t xml:space="preserve">Indicateur 1.1: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L’observatoire fonctionnel </w:t>
            </w:r>
          </w:p>
          <w:p w:rsidR="005F5D80" w:rsidRPr="00451981" w:rsidRDefault="004A7E45" w:rsidP="004A7E45">
            <w:pPr>
              <w:pStyle w:val="BodyText2"/>
              <w:rPr>
                <w:rFonts w:asciiTheme="minorHAnsi" w:hAnsiTheme="minorHAnsi" w:cstheme="minorHAnsi"/>
                <w:sz w:val="22"/>
                <w:szCs w:val="22"/>
                <w:lang w:val="fr-SN"/>
              </w:rPr>
            </w:pPr>
            <w:r w:rsidRPr="00451981">
              <w:rPr>
                <w:rFonts w:asciiTheme="minorHAnsi" w:hAnsiTheme="minorHAnsi" w:cstheme="minorHAnsi"/>
                <w:sz w:val="22"/>
                <w:szCs w:val="22"/>
                <w:lang w:val="fr-SN"/>
              </w:rPr>
              <w:t>Cible : organes d’</w:t>
            </w:r>
            <w:r w:rsidR="00D57ADA" w:rsidRPr="00451981">
              <w:rPr>
                <w:rFonts w:asciiTheme="minorHAnsi" w:hAnsiTheme="minorHAnsi" w:cstheme="minorHAnsi"/>
                <w:sz w:val="22"/>
                <w:szCs w:val="22"/>
                <w:lang w:val="fr-SN"/>
              </w:rPr>
              <w:t>administration</w:t>
            </w:r>
            <w:r w:rsidRPr="00451981">
              <w:rPr>
                <w:rFonts w:asciiTheme="minorHAnsi" w:hAnsiTheme="minorHAnsi" w:cstheme="minorHAnsi"/>
                <w:sz w:val="22"/>
                <w:szCs w:val="22"/>
                <w:lang w:val="fr-SN"/>
              </w:rPr>
              <w:t xml:space="preserve"> et équipements mis-en place en 2018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b/>
                <w:bCs/>
                <w:sz w:val="22"/>
                <w:szCs w:val="22"/>
              </w:rPr>
              <w:t xml:space="preserve">Indicateur 2.3 :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Plan stratégique de la DGPSN formulé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Cible : PS/DGPSN disponible en 2017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Indicateur 2.4 :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Nombre de ménages </w:t>
            </w:r>
            <w:proofErr w:type="spellStart"/>
            <w:r w:rsidRPr="00451981">
              <w:rPr>
                <w:rFonts w:asciiTheme="minorHAnsi" w:hAnsiTheme="minorHAnsi" w:cstheme="minorHAnsi"/>
                <w:sz w:val="22"/>
                <w:szCs w:val="22"/>
              </w:rPr>
              <w:t>vulné-rables</w:t>
            </w:r>
            <w:proofErr w:type="spellEnd"/>
            <w:r w:rsidRPr="00451981">
              <w:rPr>
                <w:rFonts w:asciiTheme="minorHAnsi" w:hAnsiTheme="minorHAnsi" w:cstheme="minorHAnsi"/>
                <w:sz w:val="22"/>
                <w:szCs w:val="22"/>
              </w:rPr>
              <w:t xml:space="preserve"> bénéficiant de </w:t>
            </w:r>
            <w:proofErr w:type="spellStart"/>
            <w:r w:rsidRPr="00451981">
              <w:rPr>
                <w:rFonts w:asciiTheme="minorHAnsi" w:hAnsiTheme="minorHAnsi" w:cstheme="minorHAnsi"/>
                <w:sz w:val="22"/>
                <w:szCs w:val="22"/>
              </w:rPr>
              <w:t>finance-ment</w:t>
            </w:r>
            <w:proofErr w:type="spellEnd"/>
            <w:r w:rsidRPr="00451981">
              <w:rPr>
                <w:rFonts w:asciiTheme="minorHAnsi" w:hAnsiTheme="minorHAnsi" w:cstheme="minorHAnsi"/>
                <w:sz w:val="22"/>
                <w:szCs w:val="22"/>
              </w:rPr>
              <w:t xml:space="preserve"> d’actifs économique </w:t>
            </w:r>
          </w:p>
          <w:p w:rsidR="004A7E45" w:rsidRPr="00451981" w:rsidRDefault="004A7E45" w:rsidP="004A7E45">
            <w:pPr>
              <w:pStyle w:val="BodyText2"/>
              <w:rPr>
                <w:rFonts w:asciiTheme="minorHAnsi" w:hAnsiTheme="minorHAnsi" w:cstheme="minorHAnsi"/>
                <w:sz w:val="22"/>
                <w:szCs w:val="22"/>
              </w:rPr>
            </w:pPr>
            <w:proofErr w:type="spellStart"/>
            <w:proofErr w:type="gramStart"/>
            <w:r w:rsidRPr="00451981">
              <w:rPr>
                <w:rFonts w:asciiTheme="minorHAnsi" w:hAnsiTheme="minorHAnsi" w:cstheme="minorHAnsi"/>
                <w:sz w:val="22"/>
                <w:szCs w:val="22"/>
              </w:rPr>
              <w:t>Cible</w:t>
            </w:r>
            <w:proofErr w:type="spellEnd"/>
            <w:r w:rsidRPr="00451981">
              <w:rPr>
                <w:rFonts w:asciiTheme="minorHAnsi" w:hAnsiTheme="minorHAnsi" w:cstheme="minorHAnsi"/>
                <w:sz w:val="22"/>
                <w:szCs w:val="22"/>
              </w:rPr>
              <w:t xml:space="preserve"> :</w:t>
            </w:r>
            <w:proofErr w:type="gramEnd"/>
            <w:r w:rsidRPr="00451981">
              <w:rPr>
                <w:rFonts w:asciiTheme="minorHAnsi" w:hAnsiTheme="minorHAnsi" w:cstheme="minorHAnsi"/>
                <w:sz w:val="22"/>
                <w:szCs w:val="22"/>
              </w:rPr>
              <w:t xml:space="preserve"> 1 500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b/>
                <w:bCs/>
                <w:sz w:val="22"/>
                <w:szCs w:val="22"/>
              </w:rPr>
              <w:t xml:space="preserve">Indicateur 3.1 :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Taux d’accès des populations et ménages cibles à l’eau </w:t>
            </w:r>
            <w:r w:rsidR="00D57ADA" w:rsidRPr="00451981">
              <w:rPr>
                <w:rFonts w:asciiTheme="minorHAnsi" w:hAnsiTheme="minorHAnsi" w:cstheme="minorHAnsi"/>
                <w:sz w:val="22"/>
                <w:szCs w:val="22"/>
              </w:rPr>
              <w:t>potable</w:t>
            </w:r>
            <w:r w:rsidRPr="00451981">
              <w:rPr>
                <w:rFonts w:asciiTheme="minorHAnsi" w:hAnsiTheme="minorHAnsi" w:cstheme="minorHAnsi"/>
                <w:sz w:val="22"/>
                <w:szCs w:val="22"/>
              </w:rPr>
              <w:t xml:space="preserve">, à l'électricité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lastRenderedPageBreak/>
              <w:t xml:space="preserve">Cible : 100% en 2018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b/>
                <w:bCs/>
                <w:sz w:val="22"/>
                <w:szCs w:val="22"/>
              </w:rPr>
              <w:t xml:space="preserve">Indicateur 3.2 : </w:t>
            </w:r>
          </w:p>
          <w:p w:rsidR="004A7E45" w:rsidRPr="00451981" w:rsidRDefault="004A7E45" w:rsidP="004A7E45">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Linéaire de pistes rurales construites et/ou </w:t>
            </w:r>
            <w:proofErr w:type="spellStart"/>
            <w:r w:rsidRPr="00451981">
              <w:rPr>
                <w:rFonts w:asciiTheme="minorHAnsi" w:hAnsiTheme="minorHAnsi" w:cstheme="minorHAnsi"/>
                <w:sz w:val="22"/>
                <w:szCs w:val="22"/>
              </w:rPr>
              <w:t>réhabili-tées</w:t>
            </w:r>
            <w:proofErr w:type="spellEnd"/>
            <w:r w:rsidRPr="00451981">
              <w:rPr>
                <w:rFonts w:asciiTheme="minorHAnsi" w:hAnsiTheme="minorHAnsi" w:cstheme="minorHAnsi"/>
                <w:sz w:val="22"/>
                <w:szCs w:val="22"/>
              </w:rPr>
              <w:t xml:space="preserve">. </w:t>
            </w:r>
          </w:p>
          <w:p w:rsidR="00451981" w:rsidRPr="00451981" w:rsidRDefault="004A7E45" w:rsidP="00D57ADA">
            <w:pPr>
              <w:pStyle w:val="Default"/>
              <w:rPr>
                <w:rFonts w:asciiTheme="minorHAnsi" w:hAnsiTheme="minorHAnsi" w:cstheme="minorHAnsi"/>
                <w:sz w:val="22"/>
                <w:szCs w:val="22"/>
              </w:rPr>
            </w:pPr>
            <w:r w:rsidRPr="00451981">
              <w:rPr>
                <w:rFonts w:asciiTheme="minorHAnsi" w:hAnsiTheme="minorHAnsi" w:cstheme="minorHAnsi"/>
                <w:sz w:val="22"/>
                <w:szCs w:val="22"/>
              </w:rPr>
              <w:t xml:space="preserve">Cible : 3 029 km </w:t>
            </w:r>
            <w:r w:rsidR="00451981" w:rsidRPr="00451981">
              <w:rPr>
                <w:rFonts w:asciiTheme="minorHAnsi" w:hAnsiTheme="minorHAnsi" w:cstheme="minorHAnsi"/>
                <w:sz w:val="22"/>
                <w:szCs w:val="22"/>
              </w:rPr>
              <w:t xml:space="preserve"> </w:t>
            </w:r>
          </w:p>
        </w:tc>
        <w:tc>
          <w:tcPr>
            <w:tcW w:w="6282" w:type="dxa"/>
            <w:shd w:val="clear" w:color="auto" w:fill="auto"/>
          </w:tcPr>
          <w:p w:rsidR="00FE244D" w:rsidRPr="00FE244D" w:rsidRDefault="00FE244D" w:rsidP="00FE244D">
            <w:pPr>
              <w:pStyle w:val="BodyText2"/>
              <w:jc w:val="both"/>
              <w:rPr>
                <w:rStyle w:val="fontstyle21"/>
                <w:rFonts w:asciiTheme="minorHAnsi" w:hAnsiTheme="minorHAnsi" w:cstheme="minorHAnsi"/>
                <w:sz w:val="22"/>
                <w:szCs w:val="22"/>
                <w:lang w:val="fr-SN"/>
              </w:rPr>
            </w:pPr>
            <w:r w:rsidRPr="00FE244D">
              <w:rPr>
                <w:rStyle w:val="fontstyle21"/>
                <w:rFonts w:asciiTheme="minorHAnsi" w:hAnsiTheme="minorHAnsi" w:cstheme="minorHAnsi"/>
                <w:sz w:val="22"/>
                <w:szCs w:val="22"/>
                <w:lang w:val="fr-SN"/>
              </w:rPr>
              <w:lastRenderedPageBreak/>
              <w:t>Les ef</w:t>
            </w:r>
            <w:r>
              <w:rPr>
                <w:rStyle w:val="fontstyle21"/>
                <w:rFonts w:asciiTheme="minorHAnsi" w:hAnsiTheme="minorHAnsi" w:cstheme="minorHAnsi"/>
                <w:sz w:val="22"/>
                <w:szCs w:val="22"/>
                <w:lang w:val="fr-SN"/>
              </w:rPr>
              <w:t xml:space="preserve">forts du PNUD ont permis d’obtenir les effets ci-après </w:t>
            </w:r>
            <w:r w:rsidRPr="00FE244D">
              <w:rPr>
                <w:rStyle w:val="fontstyle21"/>
                <w:rFonts w:asciiTheme="minorHAnsi" w:hAnsiTheme="minorHAnsi" w:cstheme="minorHAnsi"/>
                <w:sz w:val="22"/>
                <w:szCs w:val="22"/>
                <w:lang w:val="fr-SN"/>
              </w:rPr>
              <w:t>:</w:t>
            </w:r>
          </w:p>
          <w:p w:rsidR="00A244FC" w:rsidRPr="00796521" w:rsidRDefault="00A244FC" w:rsidP="00FE244D">
            <w:pPr>
              <w:pStyle w:val="BodyText2"/>
              <w:numPr>
                <w:ilvl w:val="0"/>
                <w:numId w:val="38"/>
              </w:numPr>
              <w:jc w:val="both"/>
              <w:rPr>
                <w:rStyle w:val="fontstyle01"/>
                <w:rFonts w:asciiTheme="minorHAnsi" w:hAnsiTheme="minorHAnsi" w:cstheme="minorHAnsi"/>
                <w:lang w:val="fr-SN"/>
              </w:rPr>
            </w:pPr>
            <w:r>
              <w:rPr>
                <w:sz w:val="18"/>
                <w:szCs w:val="18"/>
              </w:rPr>
              <w:t xml:space="preserve">1 </w:t>
            </w:r>
            <w:r w:rsidRPr="00796521">
              <w:rPr>
                <w:rStyle w:val="fontstyle01"/>
                <w:rFonts w:asciiTheme="minorHAnsi" w:hAnsiTheme="minorHAnsi" w:cstheme="minorHAnsi"/>
                <w:lang w:val="fr-SN"/>
              </w:rPr>
              <w:t xml:space="preserve">observatoire </w:t>
            </w:r>
            <w:r w:rsidR="00FE244D" w:rsidRPr="00796521">
              <w:rPr>
                <w:rStyle w:val="fontstyle01"/>
                <w:rFonts w:asciiTheme="minorHAnsi" w:hAnsiTheme="minorHAnsi" w:cstheme="minorHAnsi"/>
                <w:lang w:val="fr-SN"/>
              </w:rPr>
              <w:t>fonctionnel</w:t>
            </w:r>
            <w:r w:rsidRPr="00796521">
              <w:rPr>
                <w:rStyle w:val="fontstyle01"/>
                <w:rFonts w:asciiTheme="minorHAnsi" w:hAnsiTheme="minorHAnsi" w:cstheme="minorHAnsi"/>
                <w:lang w:val="fr-SN"/>
              </w:rPr>
              <w:t xml:space="preserve"> </w:t>
            </w:r>
          </w:p>
          <w:p w:rsidR="00A244FC" w:rsidRPr="0062712D" w:rsidRDefault="00A244FC" w:rsidP="009D57E6">
            <w:pPr>
              <w:pStyle w:val="BodyText2"/>
              <w:numPr>
                <w:ilvl w:val="0"/>
                <w:numId w:val="38"/>
              </w:numPr>
              <w:jc w:val="both"/>
              <w:rPr>
                <w:rStyle w:val="fontstyle01"/>
                <w:rFonts w:asciiTheme="minorHAnsi" w:hAnsiTheme="minorHAnsi" w:cstheme="minorHAnsi"/>
                <w:lang w:val="fr-SN"/>
              </w:rPr>
            </w:pPr>
            <w:r w:rsidRPr="0062712D">
              <w:rPr>
                <w:rStyle w:val="fontstyle01"/>
                <w:rFonts w:asciiTheme="minorHAnsi" w:hAnsiTheme="minorHAnsi" w:cstheme="minorHAnsi"/>
                <w:lang w:val="fr-SN"/>
              </w:rPr>
              <w:t xml:space="preserve">SNPS révisée disponible </w:t>
            </w:r>
            <w:r w:rsidR="0062712D" w:rsidRPr="0062712D">
              <w:rPr>
                <w:rStyle w:val="fontstyle01"/>
                <w:rFonts w:asciiTheme="minorHAnsi" w:hAnsiTheme="minorHAnsi" w:cstheme="minorHAnsi"/>
                <w:lang w:val="fr-SN"/>
              </w:rPr>
              <w:t xml:space="preserve">et </w:t>
            </w:r>
            <w:r w:rsidRPr="0062712D">
              <w:rPr>
                <w:rStyle w:val="fontstyle01"/>
                <w:rFonts w:asciiTheme="minorHAnsi" w:hAnsiTheme="minorHAnsi" w:cstheme="minorHAnsi"/>
                <w:lang w:val="fr-SN"/>
              </w:rPr>
              <w:t xml:space="preserve">Plan stratégique de la DGPSN disponible </w:t>
            </w:r>
          </w:p>
          <w:p w:rsidR="00A244FC" w:rsidRPr="00796521" w:rsidRDefault="0062712D" w:rsidP="00FE244D">
            <w:pPr>
              <w:pStyle w:val="BodyText2"/>
              <w:numPr>
                <w:ilvl w:val="0"/>
                <w:numId w:val="38"/>
              </w:numPr>
              <w:jc w:val="both"/>
              <w:rPr>
                <w:rStyle w:val="fontstyle01"/>
                <w:rFonts w:asciiTheme="minorHAnsi" w:hAnsiTheme="minorHAnsi" w:cstheme="minorHAnsi"/>
                <w:lang w:val="fr-SN"/>
              </w:rPr>
            </w:pPr>
            <w:r>
              <w:rPr>
                <w:rStyle w:val="fontstyle01"/>
                <w:rFonts w:asciiTheme="minorHAnsi" w:hAnsiTheme="minorHAnsi" w:cstheme="minorHAnsi"/>
                <w:lang w:val="fr-SN"/>
              </w:rPr>
              <w:t xml:space="preserve">Taux d’accès des populations à </w:t>
            </w:r>
            <w:r w:rsidR="00A244FC" w:rsidRPr="00796521">
              <w:rPr>
                <w:rStyle w:val="fontstyle01"/>
                <w:rFonts w:asciiTheme="minorHAnsi" w:hAnsiTheme="minorHAnsi" w:cstheme="minorHAnsi"/>
                <w:lang w:val="fr-SN"/>
              </w:rPr>
              <w:t xml:space="preserve">l’eau : 62% </w:t>
            </w:r>
          </w:p>
          <w:p w:rsidR="00A244FC" w:rsidRPr="00796521" w:rsidRDefault="00A244FC" w:rsidP="00FE244D">
            <w:pPr>
              <w:pStyle w:val="BodyText2"/>
              <w:numPr>
                <w:ilvl w:val="0"/>
                <w:numId w:val="38"/>
              </w:numPr>
              <w:jc w:val="both"/>
              <w:rPr>
                <w:rStyle w:val="fontstyle01"/>
                <w:rFonts w:asciiTheme="minorHAnsi" w:hAnsiTheme="minorHAnsi" w:cstheme="minorHAnsi"/>
                <w:lang w:val="fr-SN"/>
              </w:rPr>
            </w:pPr>
            <w:r w:rsidRPr="00796521">
              <w:rPr>
                <w:rStyle w:val="fontstyle01"/>
                <w:rFonts w:asciiTheme="minorHAnsi" w:hAnsiTheme="minorHAnsi" w:cstheme="minorHAnsi"/>
                <w:lang w:val="fr-SN"/>
              </w:rPr>
              <w:t xml:space="preserve">496 km de pistes rurales construites et/ou réhabilitées. </w:t>
            </w:r>
          </w:p>
          <w:p w:rsidR="00A244FC" w:rsidRPr="00796521" w:rsidRDefault="00A244FC" w:rsidP="00FE244D">
            <w:pPr>
              <w:pStyle w:val="BodyText2"/>
              <w:numPr>
                <w:ilvl w:val="0"/>
                <w:numId w:val="38"/>
              </w:numPr>
              <w:jc w:val="both"/>
              <w:rPr>
                <w:rStyle w:val="fontstyle01"/>
                <w:rFonts w:asciiTheme="minorHAnsi" w:hAnsiTheme="minorHAnsi" w:cstheme="minorHAnsi"/>
                <w:lang w:val="fr-SN"/>
              </w:rPr>
            </w:pPr>
            <w:r w:rsidRPr="00796521">
              <w:rPr>
                <w:rStyle w:val="fontstyle01"/>
                <w:rFonts w:asciiTheme="minorHAnsi" w:hAnsiTheme="minorHAnsi" w:cstheme="minorHAnsi"/>
                <w:lang w:val="fr-SN"/>
              </w:rPr>
              <w:t xml:space="preserve">229 forages réalisés et 145 châteaux d’eaux construits et/ou réhabilités. </w:t>
            </w:r>
          </w:p>
          <w:p w:rsidR="00A244FC" w:rsidRPr="00796521" w:rsidRDefault="00A244FC" w:rsidP="00FE244D">
            <w:pPr>
              <w:pStyle w:val="BodyText2"/>
              <w:numPr>
                <w:ilvl w:val="0"/>
                <w:numId w:val="38"/>
              </w:numPr>
              <w:jc w:val="both"/>
              <w:rPr>
                <w:rStyle w:val="fontstyle01"/>
                <w:rFonts w:asciiTheme="minorHAnsi" w:hAnsiTheme="minorHAnsi" w:cstheme="minorHAnsi"/>
                <w:lang w:val="fr-SN"/>
              </w:rPr>
            </w:pPr>
            <w:r w:rsidRPr="00796521">
              <w:rPr>
                <w:rStyle w:val="fontstyle01"/>
                <w:rFonts w:asciiTheme="minorHAnsi" w:hAnsiTheme="minorHAnsi" w:cstheme="minorHAnsi"/>
                <w:lang w:val="fr-SN"/>
              </w:rPr>
              <w:t xml:space="preserve">140 Villages électrifiés (dont 89 </w:t>
            </w:r>
            <w:r w:rsidR="0062712D" w:rsidRPr="00796521">
              <w:rPr>
                <w:rStyle w:val="fontstyle01"/>
                <w:rFonts w:asciiTheme="minorHAnsi" w:hAnsiTheme="minorHAnsi" w:cstheme="minorHAnsi"/>
                <w:lang w:val="fr-SN"/>
              </w:rPr>
              <w:t>villages</w:t>
            </w:r>
            <w:r w:rsidRPr="00796521">
              <w:rPr>
                <w:rStyle w:val="fontstyle01"/>
                <w:rFonts w:asciiTheme="minorHAnsi" w:hAnsiTheme="minorHAnsi" w:cstheme="minorHAnsi"/>
                <w:lang w:val="fr-SN"/>
              </w:rPr>
              <w:t xml:space="preserve"> raccordés sur le réseau et 51 centrales photovoltaïques) sur 420 </w:t>
            </w:r>
          </w:p>
          <w:p w:rsidR="00272C8C" w:rsidRPr="0062712D" w:rsidRDefault="00A244FC" w:rsidP="00671DFA">
            <w:pPr>
              <w:pStyle w:val="BodyText2"/>
              <w:numPr>
                <w:ilvl w:val="0"/>
                <w:numId w:val="38"/>
              </w:numPr>
              <w:jc w:val="both"/>
              <w:rPr>
                <w:rStyle w:val="fontstyle01"/>
                <w:rFonts w:asciiTheme="minorHAnsi" w:hAnsiTheme="minorHAnsi" w:cstheme="minorHAnsi"/>
              </w:rPr>
            </w:pPr>
            <w:r w:rsidRPr="0062712D">
              <w:rPr>
                <w:rStyle w:val="fontstyle01"/>
                <w:rFonts w:asciiTheme="minorHAnsi" w:hAnsiTheme="minorHAnsi" w:cstheme="minorHAnsi"/>
                <w:lang w:val="fr-SN"/>
              </w:rPr>
              <w:t xml:space="preserve">3154 Equipements de </w:t>
            </w:r>
            <w:r w:rsidR="0062712D" w:rsidRPr="0062712D">
              <w:rPr>
                <w:rStyle w:val="fontstyle01"/>
                <w:rFonts w:asciiTheme="minorHAnsi" w:hAnsiTheme="minorHAnsi" w:cstheme="minorHAnsi"/>
                <w:lang w:val="fr-SN"/>
              </w:rPr>
              <w:t>transformation</w:t>
            </w:r>
            <w:r w:rsidRPr="0062712D">
              <w:rPr>
                <w:rStyle w:val="fontstyle01"/>
                <w:rFonts w:asciiTheme="minorHAnsi" w:hAnsiTheme="minorHAnsi" w:cstheme="minorHAnsi"/>
                <w:lang w:val="fr-SN"/>
              </w:rPr>
              <w:t xml:space="preserve"> mis-en place </w:t>
            </w:r>
          </w:p>
          <w:p w:rsidR="00272C8C" w:rsidRPr="00796521" w:rsidRDefault="00272C8C" w:rsidP="00FE244D">
            <w:pPr>
              <w:pStyle w:val="BodyText2"/>
              <w:numPr>
                <w:ilvl w:val="0"/>
                <w:numId w:val="38"/>
              </w:numPr>
              <w:jc w:val="both"/>
              <w:rPr>
                <w:rStyle w:val="fontstyle01"/>
                <w:rFonts w:asciiTheme="minorHAnsi" w:hAnsiTheme="minorHAnsi" w:cstheme="minorHAnsi"/>
                <w:lang w:val="fr-SN"/>
              </w:rPr>
            </w:pPr>
            <w:r w:rsidRPr="00796521">
              <w:rPr>
                <w:rStyle w:val="fontstyle01"/>
                <w:rFonts w:asciiTheme="minorHAnsi" w:hAnsiTheme="minorHAnsi" w:cstheme="minorHAnsi"/>
                <w:lang w:val="fr-SN"/>
              </w:rPr>
              <w:t xml:space="preserve">2594 Comités villageois de gestion des infrastructures de base </w:t>
            </w:r>
            <w:r w:rsidR="0062712D" w:rsidRPr="00796521">
              <w:rPr>
                <w:rStyle w:val="fontstyle01"/>
                <w:rFonts w:asciiTheme="minorHAnsi" w:hAnsiTheme="minorHAnsi" w:cstheme="minorHAnsi"/>
                <w:lang w:val="fr-SN"/>
              </w:rPr>
              <w:t>fonctionnels</w:t>
            </w:r>
            <w:r w:rsidRPr="00796521">
              <w:rPr>
                <w:rStyle w:val="fontstyle01"/>
                <w:rFonts w:asciiTheme="minorHAnsi" w:hAnsiTheme="minorHAnsi" w:cstheme="minorHAnsi"/>
                <w:lang w:val="fr-SN"/>
              </w:rPr>
              <w:t xml:space="preserve">. </w:t>
            </w:r>
          </w:p>
          <w:p w:rsidR="00272C8C" w:rsidRPr="0062712D" w:rsidRDefault="00272C8C" w:rsidP="00A25509">
            <w:pPr>
              <w:pStyle w:val="BodyText2"/>
              <w:numPr>
                <w:ilvl w:val="0"/>
                <w:numId w:val="38"/>
              </w:numPr>
              <w:jc w:val="both"/>
              <w:rPr>
                <w:rStyle w:val="fontstyle01"/>
                <w:rFonts w:asciiTheme="minorHAnsi" w:hAnsiTheme="minorHAnsi" w:cstheme="minorHAnsi"/>
                <w:lang w:val="fr-SN"/>
              </w:rPr>
            </w:pPr>
            <w:r w:rsidRPr="0062712D">
              <w:rPr>
                <w:rStyle w:val="fontstyle01"/>
                <w:rFonts w:asciiTheme="minorHAnsi" w:hAnsiTheme="minorHAnsi" w:cstheme="minorHAnsi"/>
                <w:lang w:val="fr-SN"/>
              </w:rPr>
              <w:t>Nombre de jeunes diplômés insérés dans le marché de l’emploi</w:t>
            </w:r>
            <w:r w:rsidR="0062712D">
              <w:rPr>
                <w:rStyle w:val="fontstyle01"/>
                <w:rFonts w:asciiTheme="minorHAnsi" w:hAnsiTheme="minorHAnsi" w:cstheme="minorHAnsi"/>
                <w:lang w:val="fr-SN"/>
              </w:rPr>
              <w:t> :</w:t>
            </w:r>
            <w:r w:rsidRPr="0062712D">
              <w:rPr>
                <w:rStyle w:val="fontstyle01"/>
                <w:rFonts w:asciiTheme="minorHAnsi" w:hAnsiTheme="minorHAnsi" w:cstheme="minorHAnsi"/>
                <w:lang w:val="fr-SN"/>
              </w:rPr>
              <w:t xml:space="preserve"> 1559 </w:t>
            </w:r>
          </w:p>
          <w:p w:rsidR="005F5D80" w:rsidRPr="00A244FC" w:rsidRDefault="00A244FC" w:rsidP="0062712D">
            <w:pPr>
              <w:pStyle w:val="BodyText2"/>
              <w:jc w:val="both"/>
              <w:rPr>
                <w:rFonts w:asciiTheme="minorHAnsi" w:hAnsiTheme="minorHAnsi" w:cstheme="minorHAnsi"/>
                <w:sz w:val="22"/>
                <w:szCs w:val="22"/>
                <w:lang w:val="fr-SN"/>
              </w:rPr>
            </w:pPr>
            <w:r w:rsidRPr="00A244FC">
              <w:rPr>
                <w:sz w:val="18"/>
                <w:szCs w:val="18"/>
                <w:lang w:val="fr-SN"/>
              </w:rPr>
              <w:t xml:space="preserve"> </w:t>
            </w:r>
          </w:p>
        </w:tc>
      </w:tr>
      <w:tr w:rsidR="00F555D2" w:rsidRPr="00073D71" w:rsidTr="00AE2EC2">
        <w:tc>
          <w:tcPr>
            <w:tcW w:w="15309" w:type="dxa"/>
            <w:gridSpan w:val="7"/>
            <w:shd w:val="clear" w:color="auto" w:fill="FFFFFF" w:themeFill="background1"/>
          </w:tcPr>
          <w:p w:rsidR="00293B56" w:rsidRPr="00A42D9B" w:rsidRDefault="00293B56" w:rsidP="0054000A">
            <w:pPr>
              <w:pStyle w:val="BodyText2"/>
              <w:spacing w:after="120"/>
              <w:ind w:left="7"/>
              <w:rPr>
                <w:rFonts w:asciiTheme="minorHAnsi" w:hAnsiTheme="minorHAnsi"/>
                <w:b/>
                <w:lang w:val="fr-FR"/>
              </w:rPr>
            </w:pPr>
            <w:r w:rsidRPr="00A42D9B">
              <w:rPr>
                <w:rFonts w:asciiTheme="minorHAnsi" w:hAnsiTheme="minorHAnsi"/>
                <w:b/>
                <w:lang w:val="fr-FR"/>
              </w:rPr>
              <w:t>Contribution du PNUD :</w:t>
            </w:r>
          </w:p>
          <w:p w:rsidR="00AB05A2" w:rsidRDefault="00AB05A2" w:rsidP="00B85357">
            <w:pPr>
              <w:ind w:left="57" w:right="57"/>
              <w:contextualSpacing/>
              <w:jc w:val="both"/>
              <w:rPr>
                <w:rStyle w:val="fontstyle01"/>
              </w:rPr>
            </w:pPr>
            <w:r w:rsidRPr="00AB05A2">
              <w:rPr>
                <w:rStyle w:val="fontstyle01"/>
                <w:lang w:val="fr-SN"/>
              </w:rPr>
              <w:t xml:space="preserve">Dans le cadre de l’axe 2, les appuis du PNUD initiés en 2012 se sont matérialisés par la mise en œuvre du Plan Sénégal Emergent (PSE) adopté en 2014. A cet effet, les capacités nationales d’intervention en matière de programme de lutte contre la pauvreté se sont améliorées. </w:t>
            </w:r>
            <w:proofErr w:type="spellStart"/>
            <w:r w:rsidRPr="00AB05A2">
              <w:rPr>
                <w:rStyle w:val="fontstyle01"/>
              </w:rPr>
              <w:t>En</w:t>
            </w:r>
            <w:proofErr w:type="spellEnd"/>
            <w:r w:rsidRPr="00AB05A2">
              <w:rPr>
                <w:rStyle w:val="fontstyle01"/>
              </w:rPr>
              <w:t xml:space="preserve"> </w:t>
            </w:r>
            <w:proofErr w:type="spellStart"/>
            <w:r w:rsidRPr="00AB05A2">
              <w:rPr>
                <w:rStyle w:val="fontstyle01"/>
              </w:rPr>
              <w:t>effet</w:t>
            </w:r>
            <w:proofErr w:type="spellEnd"/>
            <w:r w:rsidRPr="00AB05A2">
              <w:rPr>
                <w:rStyle w:val="fontstyle01"/>
              </w:rPr>
              <w:t xml:space="preserve">, </w:t>
            </w:r>
            <w:proofErr w:type="spellStart"/>
            <w:r w:rsidRPr="00AB05A2">
              <w:rPr>
                <w:rStyle w:val="fontstyle01"/>
              </w:rPr>
              <w:t>différents</w:t>
            </w:r>
            <w:proofErr w:type="spellEnd"/>
            <w:r w:rsidRPr="00AB05A2">
              <w:rPr>
                <w:rStyle w:val="fontstyle01"/>
              </w:rPr>
              <w:t xml:space="preserve"> </w:t>
            </w:r>
            <w:proofErr w:type="spellStart"/>
            <w:r w:rsidRPr="00AB05A2">
              <w:rPr>
                <w:rStyle w:val="fontstyle01"/>
              </w:rPr>
              <w:t>domaines</w:t>
            </w:r>
            <w:proofErr w:type="spellEnd"/>
            <w:r w:rsidRPr="00AB05A2">
              <w:rPr>
                <w:rStyle w:val="fontstyle01"/>
              </w:rPr>
              <w:t xml:space="preserve"> </w:t>
            </w:r>
            <w:proofErr w:type="spellStart"/>
            <w:r w:rsidRPr="00AB05A2">
              <w:rPr>
                <w:rStyle w:val="fontstyle01"/>
              </w:rPr>
              <w:t>ont</w:t>
            </w:r>
            <w:proofErr w:type="spellEnd"/>
            <w:r w:rsidRPr="00AB05A2">
              <w:rPr>
                <w:rStyle w:val="fontstyle01"/>
              </w:rPr>
              <w:t xml:space="preserve"> </w:t>
            </w:r>
            <w:proofErr w:type="spellStart"/>
            <w:r w:rsidRPr="00AB05A2">
              <w:rPr>
                <w:rStyle w:val="fontstyle01"/>
              </w:rPr>
              <w:t>été</w:t>
            </w:r>
            <w:proofErr w:type="spellEnd"/>
            <w:r w:rsidRPr="00AB05A2">
              <w:rPr>
                <w:rStyle w:val="fontstyle01"/>
              </w:rPr>
              <w:t xml:space="preserve"> </w:t>
            </w:r>
            <w:proofErr w:type="spellStart"/>
            <w:r w:rsidR="00B85357" w:rsidRPr="00AB05A2">
              <w:rPr>
                <w:rStyle w:val="fontstyle01"/>
              </w:rPr>
              <w:t>couverts</w:t>
            </w:r>
            <w:proofErr w:type="spellEnd"/>
            <w:r w:rsidR="00B85357" w:rsidRPr="00AB05A2">
              <w:rPr>
                <w:rStyle w:val="fontstyle01"/>
              </w:rPr>
              <w:t>:</w:t>
            </w:r>
          </w:p>
          <w:p w:rsidR="00B85357" w:rsidRPr="00145E27" w:rsidRDefault="00B85357" w:rsidP="00B85357">
            <w:pPr>
              <w:ind w:left="57" w:right="57"/>
              <w:contextualSpacing/>
              <w:jc w:val="both"/>
              <w:rPr>
                <w:rStyle w:val="fontstyle01"/>
                <w:sz w:val="16"/>
                <w:szCs w:val="16"/>
              </w:rPr>
            </w:pPr>
          </w:p>
          <w:p w:rsidR="00AB05A2" w:rsidRPr="00C63E1D" w:rsidRDefault="00AB05A2" w:rsidP="00B85357">
            <w:pPr>
              <w:pStyle w:val="ListParagraph"/>
              <w:widowControl/>
              <w:numPr>
                <w:ilvl w:val="0"/>
                <w:numId w:val="35"/>
              </w:numPr>
              <w:ind w:right="57"/>
              <w:jc w:val="both"/>
              <w:rPr>
                <w:rStyle w:val="fontstyle01"/>
                <w:rFonts w:asciiTheme="minorHAnsi" w:hAnsiTheme="minorHAnsi"/>
                <w:lang w:val="fr-SN"/>
              </w:rPr>
            </w:pPr>
            <w:r w:rsidRPr="00AB05A2">
              <w:rPr>
                <w:rStyle w:val="fontstyle01"/>
                <w:lang w:val="fr-SN"/>
              </w:rPr>
              <w:t>Dans le domaine de la protection sociale, le PNUD à travers le PRODES, a accompagné la Délégation Générale de la Protection Sociale et de la Solidarité Nationale (DGPSN) dans l’élaboration de la Stratégie Nationale de Protection</w:t>
            </w:r>
            <w:r w:rsidRPr="00AB05A2">
              <w:rPr>
                <w:rFonts w:ascii="Calibri" w:hAnsi="Calibri"/>
                <w:color w:val="000000"/>
                <w:sz w:val="22"/>
                <w:szCs w:val="22"/>
                <w:lang w:val="fr-SN"/>
              </w:rPr>
              <w:t xml:space="preserve"> </w:t>
            </w:r>
            <w:r w:rsidRPr="00AB05A2">
              <w:rPr>
                <w:rStyle w:val="fontstyle01"/>
                <w:lang w:val="fr-SN"/>
              </w:rPr>
              <w:t>Sociale et l’établissement du Registre Unique</w:t>
            </w:r>
            <w:r w:rsidRPr="00AB05A2">
              <w:rPr>
                <w:sz w:val="22"/>
                <w:szCs w:val="22"/>
                <w:lang w:val="fr-SN"/>
              </w:rPr>
              <w:t xml:space="preserve"> </w:t>
            </w:r>
            <w:r w:rsidRPr="00AB05A2">
              <w:rPr>
                <w:rStyle w:val="fontstyle01"/>
                <w:lang w:val="fr-SN"/>
              </w:rPr>
              <w:t>des ménages vulnérables, principal outil de</w:t>
            </w:r>
            <w:r w:rsidRPr="00AB05A2">
              <w:rPr>
                <w:rFonts w:ascii="Calibri" w:hAnsi="Calibri"/>
                <w:color w:val="000000"/>
                <w:sz w:val="22"/>
                <w:szCs w:val="22"/>
                <w:lang w:val="fr-SN"/>
              </w:rPr>
              <w:t xml:space="preserve"> </w:t>
            </w:r>
            <w:r w:rsidRPr="00AB05A2">
              <w:rPr>
                <w:rStyle w:val="fontstyle01"/>
                <w:lang w:val="fr-SN"/>
              </w:rPr>
              <w:t>coordination des projets de filets sociaux. Ces</w:t>
            </w:r>
            <w:r w:rsidRPr="00AB05A2">
              <w:rPr>
                <w:rFonts w:ascii="Calibri" w:hAnsi="Calibri"/>
                <w:color w:val="000000"/>
                <w:sz w:val="22"/>
                <w:szCs w:val="22"/>
                <w:lang w:val="fr-SN"/>
              </w:rPr>
              <w:t xml:space="preserve"> </w:t>
            </w:r>
            <w:r w:rsidRPr="00AB05A2">
              <w:rPr>
                <w:rStyle w:val="fontstyle01"/>
                <w:lang w:val="fr-SN"/>
              </w:rPr>
              <w:t>résultats ont été rendus possibles grâce à</w:t>
            </w:r>
            <w:r w:rsidRPr="00AB05A2">
              <w:rPr>
                <w:rFonts w:ascii="Calibri" w:hAnsi="Calibri"/>
                <w:color w:val="000000"/>
                <w:sz w:val="22"/>
                <w:szCs w:val="22"/>
                <w:lang w:val="fr-SN"/>
              </w:rPr>
              <w:t xml:space="preserve"> </w:t>
            </w:r>
            <w:r w:rsidRPr="00AB05A2">
              <w:rPr>
                <w:rStyle w:val="fontstyle01"/>
                <w:lang w:val="fr-SN"/>
              </w:rPr>
              <w:t>l’existence de l’Initiative Nationale de Protection Sociale des Groupes vulnérables modélisée par la PRODES et dotée d’un système de</w:t>
            </w:r>
            <w:r w:rsidRPr="00AB05A2">
              <w:rPr>
                <w:rFonts w:ascii="Calibri" w:hAnsi="Calibri"/>
                <w:color w:val="000000"/>
                <w:sz w:val="22"/>
                <w:szCs w:val="22"/>
                <w:lang w:val="fr-SN"/>
              </w:rPr>
              <w:t xml:space="preserve"> </w:t>
            </w:r>
            <w:r w:rsidRPr="00AB05A2">
              <w:rPr>
                <w:rStyle w:val="fontstyle01"/>
                <w:lang w:val="fr-SN"/>
              </w:rPr>
              <w:t>Ciblage géographique, communautaire et catégoriel et d’un dispositif institutionnel et</w:t>
            </w:r>
            <w:r w:rsidRPr="00AB05A2">
              <w:rPr>
                <w:rFonts w:ascii="Calibri" w:hAnsi="Calibri"/>
                <w:color w:val="000000"/>
                <w:sz w:val="22"/>
                <w:szCs w:val="22"/>
                <w:lang w:val="fr-SN"/>
              </w:rPr>
              <w:t xml:space="preserve"> </w:t>
            </w:r>
            <w:r w:rsidRPr="00AB05A2">
              <w:rPr>
                <w:rStyle w:val="fontstyle01"/>
                <w:lang w:val="fr-SN"/>
              </w:rPr>
              <w:t>communautaire de proximité qui ont permis</w:t>
            </w:r>
            <w:r w:rsidRPr="00AB05A2">
              <w:rPr>
                <w:rFonts w:ascii="Calibri" w:hAnsi="Calibri"/>
                <w:color w:val="000000"/>
                <w:sz w:val="22"/>
                <w:szCs w:val="22"/>
                <w:lang w:val="fr-SN"/>
              </w:rPr>
              <w:t xml:space="preserve"> </w:t>
            </w:r>
            <w:r w:rsidRPr="00AB05A2">
              <w:rPr>
                <w:rStyle w:val="fontstyle01"/>
                <w:lang w:val="fr-SN"/>
              </w:rPr>
              <w:t>d’accélérer le processus de sélection des ménages pauvres.</w:t>
            </w:r>
            <w:r w:rsidRPr="00AB05A2">
              <w:rPr>
                <w:rFonts w:ascii="Calibri" w:hAnsi="Calibri"/>
                <w:color w:val="000000"/>
                <w:sz w:val="22"/>
                <w:szCs w:val="22"/>
                <w:lang w:val="fr-SN"/>
              </w:rPr>
              <w:t xml:space="preserve"> </w:t>
            </w:r>
            <w:r w:rsidRPr="00AB05A2">
              <w:rPr>
                <w:rStyle w:val="fontstyle01"/>
                <w:lang w:val="fr-SN"/>
              </w:rPr>
              <w:t>En outre, l’appui à la mise en place de</w:t>
            </w:r>
            <w:r w:rsidRPr="00AB05A2">
              <w:rPr>
                <w:rFonts w:ascii="Calibri" w:hAnsi="Calibri"/>
                <w:color w:val="000000"/>
                <w:sz w:val="22"/>
                <w:szCs w:val="22"/>
                <w:lang w:val="fr-SN"/>
              </w:rPr>
              <w:t xml:space="preserve"> </w:t>
            </w:r>
            <w:r w:rsidRPr="00AB05A2">
              <w:rPr>
                <w:rStyle w:val="fontstyle01"/>
                <w:lang w:val="fr-SN"/>
              </w:rPr>
              <w:t>l’Observatoire de la pauvreté et des conditions de vie des ménages a contribué au monitoring des interventions de lutte contre la</w:t>
            </w:r>
            <w:r w:rsidRPr="00AB05A2">
              <w:rPr>
                <w:rFonts w:ascii="Calibri" w:hAnsi="Calibri"/>
                <w:color w:val="000000"/>
                <w:sz w:val="22"/>
                <w:szCs w:val="22"/>
                <w:lang w:val="fr-SN"/>
              </w:rPr>
              <w:t xml:space="preserve"> </w:t>
            </w:r>
            <w:r w:rsidRPr="00AB05A2">
              <w:rPr>
                <w:rStyle w:val="fontstyle01"/>
                <w:lang w:val="fr-SN"/>
              </w:rPr>
              <w:t>pauvreté et des inégalités.</w:t>
            </w:r>
          </w:p>
          <w:p w:rsidR="00C63E1D" w:rsidRPr="00145E27" w:rsidRDefault="00C63E1D" w:rsidP="00C63E1D">
            <w:pPr>
              <w:pStyle w:val="ListParagraph"/>
              <w:widowControl/>
              <w:ind w:right="57"/>
              <w:jc w:val="both"/>
              <w:rPr>
                <w:rStyle w:val="fontstyle01"/>
                <w:rFonts w:asciiTheme="minorHAnsi" w:hAnsiTheme="minorHAnsi"/>
                <w:sz w:val="16"/>
                <w:szCs w:val="16"/>
                <w:lang w:val="fr-SN"/>
              </w:rPr>
            </w:pPr>
          </w:p>
          <w:p w:rsidR="00AB05A2" w:rsidRPr="00C63E1D" w:rsidRDefault="00AB05A2" w:rsidP="00B85357">
            <w:pPr>
              <w:pStyle w:val="ListParagraph"/>
              <w:widowControl/>
              <w:numPr>
                <w:ilvl w:val="0"/>
                <w:numId w:val="35"/>
              </w:numPr>
              <w:ind w:right="57"/>
              <w:jc w:val="both"/>
              <w:rPr>
                <w:rStyle w:val="fontstyle01"/>
                <w:rFonts w:asciiTheme="minorHAnsi" w:hAnsiTheme="minorHAnsi"/>
                <w:lang w:val="fr-SN"/>
              </w:rPr>
            </w:pPr>
            <w:r w:rsidRPr="00AB05A2">
              <w:rPr>
                <w:rStyle w:val="fontstyle01"/>
                <w:lang w:val="fr-SN"/>
              </w:rPr>
              <w:t>En matière de promotion d’emplois pour les</w:t>
            </w:r>
            <w:r w:rsidRPr="00AB05A2">
              <w:rPr>
                <w:rFonts w:ascii="Calibri" w:hAnsi="Calibri"/>
                <w:color w:val="000000"/>
                <w:sz w:val="22"/>
                <w:szCs w:val="22"/>
                <w:lang w:val="fr-SN"/>
              </w:rPr>
              <w:t xml:space="preserve"> </w:t>
            </w:r>
            <w:r w:rsidRPr="00AB05A2">
              <w:rPr>
                <w:rStyle w:val="fontstyle01"/>
                <w:lang w:val="fr-SN"/>
              </w:rPr>
              <w:t>jeunes en partenariat avec le Grand-Duché de</w:t>
            </w:r>
            <w:r w:rsidRPr="00AB05A2">
              <w:rPr>
                <w:rFonts w:ascii="Calibri" w:hAnsi="Calibri"/>
                <w:color w:val="000000"/>
                <w:sz w:val="22"/>
                <w:szCs w:val="22"/>
                <w:lang w:val="fr-SN"/>
              </w:rPr>
              <w:t xml:space="preserve"> </w:t>
            </w:r>
            <w:r w:rsidRPr="00AB05A2">
              <w:rPr>
                <w:rStyle w:val="fontstyle01"/>
                <w:lang w:val="fr-SN"/>
              </w:rPr>
              <w:t xml:space="preserve">Luxembourg dans le cadre du PIC 3, une synergie avec les agences sœurs des nations unies a permis d’assurer l’insertion des jeunes sortants des écoles de formation dans des secteurs d’activités économiques. </w:t>
            </w:r>
          </w:p>
          <w:p w:rsidR="00C63E1D" w:rsidRPr="00145E27" w:rsidRDefault="00C63E1D" w:rsidP="00C63E1D">
            <w:pPr>
              <w:pStyle w:val="ListParagraph"/>
              <w:rPr>
                <w:rStyle w:val="fontstyle01"/>
                <w:rFonts w:asciiTheme="minorHAnsi" w:hAnsiTheme="minorHAnsi"/>
                <w:sz w:val="16"/>
                <w:szCs w:val="16"/>
                <w:lang w:val="fr-SN"/>
              </w:rPr>
            </w:pPr>
          </w:p>
          <w:p w:rsidR="00B85357" w:rsidRPr="00B85357" w:rsidRDefault="00AB05A2" w:rsidP="00B85357">
            <w:pPr>
              <w:pStyle w:val="ListParagraph"/>
              <w:widowControl/>
              <w:numPr>
                <w:ilvl w:val="0"/>
                <w:numId w:val="35"/>
              </w:numPr>
              <w:ind w:right="57"/>
              <w:jc w:val="both"/>
              <w:rPr>
                <w:rStyle w:val="fontstyle01"/>
                <w:rFonts w:asciiTheme="minorHAnsi" w:hAnsiTheme="minorHAnsi"/>
                <w:lang w:val="fr-SN"/>
              </w:rPr>
            </w:pPr>
            <w:r w:rsidRPr="00AB05A2">
              <w:rPr>
                <w:rStyle w:val="fontstyle01"/>
                <w:lang w:val="fr-SN"/>
              </w:rPr>
              <w:t>Dans le cadre de l’accès des populations aux</w:t>
            </w:r>
            <w:r w:rsidRPr="00AB05A2">
              <w:rPr>
                <w:rFonts w:ascii="Calibri" w:hAnsi="Calibri"/>
                <w:color w:val="000000"/>
                <w:sz w:val="22"/>
                <w:szCs w:val="22"/>
                <w:lang w:val="fr-SN"/>
              </w:rPr>
              <w:t xml:space="preserve"> </w:t>
            </w:r>
            <w:r w:rsidRPr="00AB05A2">
              <w:rPr>
                <w:rStyle w:val="fontstyle01"/>
                <w:lang w:val="fr-SN"/>
              </w:rPr>
              <w:t xml:space="preserve">infrastructures et services sociaux de base, </w:t>
            </w:r>
            <w:proofErr w:type="spellStart"/>
            <w:r w:rsidRPr="00AB05A2">
              <w:rPr>
                <w:rStyle w:val="fontstyle01"/>
                <w:lang w:val="fr-SN"/>
              </w:rPr>
              <w:t>le</w:t>
            </w:r>
            <w:r w:rsidRPr="00B85357">
              <w:rPr>
                <w:rStyle w:val="fontstyle01"/>
                <w:lang w:val="fr-SN"/>
              </w:rPr>
              <w:t>PNUD</w:t>
            </w:r>
            <w:proofErr w:type="spellEnd"/>
            <w:r w:rsidRPr="00B85357">
              <w:rPr>
                <w:rStyle w:val="fontstyle01"/>
                <w:lang w:val="fr-SN"/>
              </w:rPr>
              <w:t xml:space="preserve"> a joué un rôle capital dans la formulation et la mise en œuvre du PUDC. Ce programme a transformé significativement la vie des populations rurales et la</w:t>
            </w:r>
            <w:r w:rsidRPr="00B85357">
              <w:rPr>
                <w:rFonts w:ascii="Calibri" w:hAnsi="Calibri"/>
                <w:color w:val="000000"/>
                <w:sz w:val="22"/>
                <w:szCs w:val="22"/>
                <w:lang w:val="fr-SN"/>
              </w:rPr>
              <w:t xml:space="preserve"> </w:t>
            </w:r>
            <w:r w:rsidRPr="00B85357">
              <w:rPr>
                <w:rStyle w:val="fontstyle01"/>
                <w:lang w:val="fr-SN"/>
              </w:rPr>
              <w:t>réduction des inégalités entre le milieu rural</w:t>
            </w:r>
            <w:r w:rsidRPr="00B85357">
              <w:rPr>
                <w:rFonts w:ascii="Calibri" w:hAnsi="Calibri"/>
                <w:color w:val="000000"/>
                <w:sz w:val="22"/>
                <w:szCs w:val="22"/>
                <w:lang w:val="fr-SN"/>
              </w:rPr>
              <w:t xml:space="preserve"> </w:t>
            </w:r>
            <w:r w:rsidRPr="00B85357">
              <w:rPr>
                <w:rStyle w:val="fontstyle01"/>
                <w:lang w:val="fr-SN"/>
              </w:rPr>
              <w:t>et urbain.</w:t>
            </w:r>
            <w:r w:rsidRPr="00B85357">
              <w:rPr>
                <w:rFonts w:ascii="Calibri" w:hAnsi="Calibri"/>
                <w:color w:val="000000"/>
                <w:sz w:val="22"/>
                <w:szCs w:val="22"/>
                <w:lang w:val="fr-SN"/>
              </w:rPr>
              <w:t xml:space="preserve"> </w:t>
            </w:r>
            <w:r w:rsidRPr="00B85357">
              <w:rPr>
                <w:rStyle w:val="fontstyle01"/>
                <w:lang w:val="fr-SN"/>
              </w:rPr>
              <w:t>Les effets de ce programme sont perceptibles</w:t>
            </w:r>
            <w:r w:rsidR="00B85357">
              <w:rPr>
                <w:rStyle w:val="fontstyle01"/>
                <w:lang w:val="fr-SN"/>
              </w:rPr>
              <w:t xml:space="preserve"> </w:t>
            </w:r>
            <w:r w:rsidRPr="00B85357">
              <w:rPr>
                <w:rStyle w:val="fontstyle01"/>
                <w:lang w:val="fr-SN"/>
              </w:rPr>
              <w:t>dans le désenclavement des populations par la</w:t>
            </w:r>
            <w:r w:rsidRPr="00B85357">
              <w:rPr>
                <w:rFonts w:ascii="Calibri" w:hAnsi="Calibri"/>
                <w:color w:val="000000"/>
                <w:sz w:val="22"/>
                <w:szCs w:val="22"/>
                <w:lang w:val="fr-SN"/>
              </w:rPr>
              <w:t xml:space="preserve"> </w:t>
            </w:r>
            <w:r w:rsidRPr="00B85357">
              <w:rPr>
                <w:rStyle w:val="fontstyle01"/>
                <w:lang w:val="fr-SN"/>
              </w:rPr>
              <w:t>construction de pistes, l’électrification, l’accès</w:t>
            </w:r>
            <w:r w:rsidR="00B85357">
              <w:rPr>
                <w:rStyle w:val="fontstyle01"/>
                <w:lang w:val="fr-SN"/>
              </w:rPr>
              <w:t xml:space="preserve"> </w:t>
            </w:r>
            <w:r w:rsidRPr="00B85357">
              <w:rPr>
                <w:rStyle w:val="fontstyle01"/>
                <w:lang w:val="fr-SN"/>
              </w:rPr>
              <w:t>à l’eau, équipement en matériels de transformation agricole, etc. Ainsi, 790 km de pistes</w:t>
            </w:r>
            <w:r w:rsidRPr="00B85357">
              <w:rPr>
                <w:rFonts w:ascii="Calibri" w:hAnsi="Calibri"/>
                <w:color w:val="000000"/>
                <w:sz w:val="22"/>
                <w:szCs w:val="22"/>
                <w:lang w:val="fr-SN"/>
              </w:rPr>
              <w:t xml:space="preserve"> </w:t>
            </w:r>
            <w:r w:rsidRPr="00B85357">
              <w:rPr>
                <w:rStyle w:val="fontstyle01"/>
                <w:lang w:val="fr-SN"/>
              </w:rPr>
              <w:t>rurales sont en cours de travaux dont 255 km</w:t>
            </w:r>
            <w:r w:rsidRPr="00B85357">
              <w:rPr>
                <w:rFonts w:ascii="Calibri" w:hAnsi="Calibri"/>
                <w:color w:val="000000"/>
                <w:sz w:val="22"/>
                <w:szCs w:val="22"/>
                <w:lang w:val="fr-SN"/>
              </w:rPr>
              <w:t xml:space="preserve"> </w:t>
            </w:r>
            <w:r w:rsidRPr="00B85357">
              <w:rPr>
                <w:rStyle w:val="fontstyle01"/>
                <w:lang w:val="fr-SN"/>
              </w:rPr>
              <w:t>ouvertes à la circulation contre 30 km initialement prévues et 20 km réhabilitées ; 178</w:t>
            </w:r>
            <w:r w:rsidRPr="00B85357">
              <w:rPr>
                <w:rFonts w:ascii="Calibri" w:hAnsi="Calibri"/>
                <w:color w:val="000000"/>
                <w:sz w:val="22"/>
                <w:szCs w:val="22"/>
                <w:lang w:val="fr-SN"/>
              </w:rPr>
              <w:t xml:space="preserve"> </w:t>
            </w:r>
            <w:r w:rsidRPr="00B85357">
              <w:rPr>
                <w:rStyle w:val="fontstyle01"/>
                <w:lang w:val="fr-SN"/>
              </w:rPr>
              <w:t>forages et 68 châteaux d’eau réalisés couvrant</w:t>
            </w:r>
            <w:r w:rsidRPr="00B85357">
              <w:rPr>
                <w:rFonts w:ascii="Calibri" w:hAnsi="Calibri"/>
                <w:color w:val="000000"/>
                <w:sz w:val="22"/>
                <w:szCs w:val="22"/>
                <w:lang w:val="fr-SN"/>
              </w:rPr>
              <w:t xml:space="preserve"> </w:t>
            </w:r>
            <w:r w:rsidRPr="00B85357">
              <w:rPr>
                <w:rStyle w:val="fontstyle01"/>
                <w:lang w:val="fr-SN"/>
              </w:rPr>
              <w:t>337 villages ; 420 villages en cours</w:t>
            </w:r>
            <w:r w:rsidRPr="00B85357">
              <w:rPr>
                <w:rFonts w:ascii="Calibri" w:hAnsi="Calibri"/>
                <w:color w:val="000000"/>
                <w:sz w:val="22"/>
                <w:szCs w:val="22"/>
                <w:lang w:val="fr-SN"/>
              </w:rPr>
              <w:t xml:space="preserve"> </w:t>
            </w:r>
            <w:r w:rsidRPr="00B85357">
              <w:rPr>
                <w:rStyle w:val="fontstyle01"/>
                <w:lang w:val="fr-SN"/>
              </w:rPr>
              <w:t>d’électrification soit 20 800 ménages raccordées ; un SIG, système de suivi-évaluation</w:t>
            </w:r>
            <w:r w:rsidRPr="00B85357">
              <w:rPr>
                <w:rFonts w:ascii="Calibri" w:hAnsi="Calibri"/>
                <w:color w:val="000000"/>
                <w:sz w:val="22"/>
                <w:szCs w:val="22"/>
                <w:lang w:val="fr-SN"/>
              </w:rPr>
              <w:t xml:space="preserve"> g</w:t>
            </w:r>
            <w:r w:rsidRPr="00B85357">
              <w:rPr>
                <w:rStyle w:val="fontstyle01"/>
                <w:lang w:val="fr-SN"/>
              </w:rPr>
              <w:t>éoréférencé avec pour enjeu de doter les</w:t>
            </w:r>
            <w:r w:rsidRPr="00B85357">
              <w:rPr>
                <w:rFonts w:ascii="Calibri" w:hAnsi="Calibri"/>
                <w:color w:val="000000"/>
                <w:sz w:val="22"/>
                <w:szCs w:val="22"/>
                <w:lang w:val="fr-SN"/>
              </w:rPr>
              <w:t xml:space="preserve"> </w:t>
            </w:r>
            <w:r w:rsidRPr="00B85357">
              <w:rPr>
                <w:rStyle w:val="fontstyle01"/>
                <w:lang w:val="fr-SN"/>
              </w:rPr>
              <w:t>administrations locales et centrales de capacités en suivi et évaluation de programmes et</w:t>
            </w:r>
            <w:r w:rsidRPr="00B85357">
              <w:rPr>
                <w:rFonts w:ascii="Calibri" w:hAnsi="Calibri"/>
                <w:color w:val="000000"/>
                <w:sz w:val="22"/>
                <w:szCs w:val="22"/>
                <w:lang w:val="fr-SN"/>
              </w:rPr>
              <w:t xml:space="preserve"> </w:t>
            </w:r>
            <w:r w:rsidRPr="00B85357">
              <w:rPr>
                <w:rStyle w:val="fontstyle01"/>
                <w:lang w:val="fr-SN"/>
              </w:rPr>
              <w:t>projets de développement est en cours de</w:t>
            </w:r>
            <w:r w:rsidRPr="00B85357">
              <w:rPr>
                <w:rFonts w:ascii="Calibri" w:hAnsi="Calibri"/>
                <w:color w:val="000000"/>
                <w:sz w:val="22"/>
                <w:szCs w:val="22"/>
                <w:lang w:val="fr-SN"/>
              </w:rPr>
              <w:t xml:space="preserve"> </w:t>
            </w:r>
            <w:r w:rsidRPr="00B85357">
              <w:rPr>
                <w:rStyle w:val="fontstyle01"/>
                <w:lang w:val="fr-SN"/>
              </w:rPr>
              <w:t>réalisation. Par ailleurs 396 Plateformes Multifonctionnelles pour la lutte contre la Pauvreté (PTFM)</w:t>
            </w:r>
            <w:r w:rsidRPr="00B85357">
              <w:rPr>
                <w:rFonts w:ascii="Calibri" w:hAnsi="Calibri"/>
                <w:color w:val="000000"/>
                <w:sz w:val="22"/>
                <w:szCs w:val="22"/>
                <w:lang w:val="fr-SN"/>
              </w:rPr>
              <w:t xml:space="preserve"> </w:t>
            </w:r>
            <w:r w:rsidRPr="00B85357">
              <w:rPr>
                <w:rStyle w:val="fontstyle01"/>
                <w:lang w:val="fr-SN"/>
              </w:rPr>
              <w:t>ont été installées. Elles ont contribué à alléger</w:t>
            </w:r>
            <w:r w:rsidRPr="00B85357">
              <w:rPr>
                <w:rFonts w:ascii="Calibri" w:hAnsi="Calibri"/>
                <w:color w:val="000000"/>
                <w:sz w:val="22"/>
                <w:szCs w:val="22"/>
                <w:lang w:val="fr-SN"/>
              </w:rPr>
              <w:t xml:space="preserve"> </w:t>
            </w:r>
            <w:r w:rsidRPr="00B85357">
              <w:rPr>
                <w:rStyle w:val="fontstyle01"/>
                <w:lang w:val="fr-SN"/>
              </w:rPr>
              <w:t>la charge de travail des femmes qui ont pu</w:t>
            </w:r>
            <w:r w:rsidRPr="00B85357">
              <w:rPr>
                <w:rFonts w:ascii="Calibri" w:hAnsi="Calibri"/>
                <w:color w:val="000000"/>
                <w:sz w:val="22"/>
                <w:szCs w:val="22"/>
                <w:lang w:val="fr-SN"/>
              </w:rPr>
              <w:t xml:space="preserve"> </w:t>
            </w:r>
            <w:r w:rsidRPr="00B85357">
              <w:rPr>
                <w:rStyle w:val="fontstyle01"/>
                <w:lang w:val="fr-SN"/>
              </w:rPr>
              <w:t>saisir d’autres opportunités grâce au gain de</w:t>
            </w:r>
            <w:r w:rsidRPr="00B85357">
              <w:rPr>
                <w:rFonts w:ascii="Calibri" w:hAnsi="Calibri"/>
                <w:color w:val="000000"/>
                <w:sz w:val="22"/>
                <w:szCs w:val="22"/>
                <w:lang w:val="fr-SN"/>
              </w:rPr>
              <w:t xml:space="preserve"> </w:t>
            </w:r>
            <w:r w:rsidRPr="00B85357">
              <w:rPr>
                <w:rStyle w:val="fontstyle01"/>
                <w:lang w:val="fr-SN"/>
              </w:rPr>
              <w:t>temps, à améliorer l’accessibilité et la qualité</w:t>
            </w:r>
            <w:r w:rsidRPr="00B85357">
              <w:rPr>
                <w:rFonts w:ascii="Calibri" w:hAnsi="Calibri"/>
                <w:color w:val="000000"/>
                <w:sz w:val="22"/>
                <w:szCs w:val="22"/>
                <w:lang w:val="fr-SN"/>
              </w:rPr>
              <w:t xml:space="preserve"> </w:t>
            </w:r>
            <w:r w:rsidRPr="00B85357">
              <w:rPr>
                <w:rStyle w:val="fontstyle01"/>
                <w:lang w:val="fr-SN"/>
              </w:rPr>
              <w:t>de services sociaux de base (Santé, Education)</w:t>
            </w:r>
            <w:r w:rsidRPr="00B85357">
              <w:rPr>
                <w:rFonts w:ascii="Calibri" w:hAnsi="Calibri"/>
                <w:color w:val="000000"/>
                <w:sz w:val="22"/>
                <w:szCs w:val="22"/>
                <w:lang w:val="fr-SN"/>
              </w:rPr>
              <w:t xml:space="preserve"> </w:t>
            </w:r>
            <w:r w:rsidRPr="00B85357">
              <w:rPr>
                <w:rStyle w:val="fontstyle01"/>
                <w:lang w:val="fr-SN"/>
              </w:rPr>
              <w:t>et à augmenter la fréquentation scolaire des</w:t>
            </w:r>
            <w:r w:rsidRPr="00B85357">
              <w:rPr>
                <w:rFonts w:ascii="Calibri" w:hAnsi="Calibri"/>
                <w:color w:val="000000"/>
                <w:sz w:val="22"/>
                <w:szCs w:val="22"/>
                <w:lang w:val="fr-SN"/>
              </w:rPr>
              <w:t xml:space="preserve"> </w:t>
            </w:r>
            <w:r w:rsidRPr="00B85357">
              <w:rPr>
                <w:rStyle w:val="fontstyle01"/>
                <w:lang w:val="fr-SN"/>
              </w:rPr>
              <w:t>filles.</w:t>
            </w:r>
          </w:p>
          <w:p w:rsidR="00AB05A2" w:rsidRPr="00145E27" w:rsidRDefault="00AB05A2" w:rsidP="00B85357">
            <w:pPr>
              <w:pStyle w:val="ListParagraph"/>
              <w:widowControl/>
              <w:ind w:right="57"/>
              <w:jc w:val="both"/>
              <w:rPr>
                <w:rStyle w:val="fontstyle01"/>
                <w:rFonts w:asciiTheme="minorHAnsi" w:hAnsiTheme="minorHAnsi"/>
                <w:sz w:val="16"/>
                <w:szCs w:val="16"/>
                <w:lang w:val="fr-SN"/>
              </w:rPr>
            </w:pPr>
          </w:p>
          <w:p w:rsidR="00AB05A2" w:rsidRPr="00C63E1D" w:rsidRDefault="00AB05A2" w:rsidP="00C63E1D">
            <w:pPr>
              <w:pStyle w:val="ListParagraph"/>
              <w:widowControl/>
              <w:numPr>
                <w:ilvl w:val="0"/>
                <w:numId w:val="35"/>
              </w:numPr>
              <w:ind w:right="57"/>
              <w:jc w:val="both"/>
              <w:rPr>
                <w:rStyle w:val="fontstyle01"/>
                <w:lang w:val="fr-SN"/>
              </w:rPr>
            </w:pPr>
            <w:r w:rsidRPr="00AB05A2">
              <w:rPr>
                <w:rStyle w:val="fontstyle01"/>
                <w:lang w:val="fr-SN"/>
              </w:rPr>
              <w:t>En rapport avec la création d’opportunités</w:t>
            </w:r>
            <w:r w:rsidRPr="00AB05A2">
              <w:rPr>
                <w:rFonts w:ascii="Calibri" w:hAnsi="Calibri"/>
                <w:color w:val="000000"/>
                <w:sz w:val="22"/>
                <w:szCs w:val="22"/>
                <w:lang w:val="fr-SN"/>
              </w:rPr>
              <w:t xml:space="preserve"> </w:t>
            </w:r>
            <w:r w:rsidRPr="00AB05A2">
              <w:rPr>
                <w:rStyle w:val="fontstyle01"/>
                <w:lang w:val="fr-SN"/>
              </w:rPr>
              <w:t>économiques et d’emplois pour les jeunes et</w:t>
            </w:r>
            <w:r w:rsidR="00C63E1D">
              <w:rPr>
                <w:rStyle w:val="fontstyle01"/>
                <w:lang w:val="fr-SN"/>
              </w:rPr>
              <w:t xml:space="preserve"> </w:t>
            </w:r>
            <w:r w:rsidRPr="00C63E1D">
              <w:rPr>
                <w:rStyle w:val="fontstyle01"/>
                <w:lang w:val="fr-SN"/>
              </w:rPr>
              <w:t>les femmes en milieu rural et périurbain, plusieurs projets d’emploi ont été mis en œuvre</w:t>
            </w:r>
            <w:r w:rsidRPr="00C63E1D">
              <w:rPr>
                <w:rFonts w:ascii="Calibri" w:hAnsi="Calibri"/>
                <w:color w:val="000000"/>
                <w:sz w:val="22"/>
                <w:szCs w:val="22"/>
                <w:lang w:val="fr-SN"/>
              </w:rPr>
              <w:t xml:space="preserve"> </w:t>
            </w:r>
            <w:r w:rsidRPr="00C63E1D">
              <w:rPr>
                <w:rStyle w:val="fontstyle01"/>
                <w:lang w:val="fr-SN"/>
              </w:rPr>
              <w:t>notamment, le programme de réduction de la</w:t>
            </w:r>
            <w:r w:rsidRPr="00C63E1D">
              <w:rPr>
                <w:rFonts w:ascii="Calibri" w:hAnsi="Calibri"/>
                <w:color w:val="000000"/>
                <w:sz w:val="22"/>
                <w:szCs w:val="22"/>
                <w:lang w:val="fr-SN"/>
              </w:rPr>
              <w:t xml:space="preserve"> </w:t>
            </w:r>
            <w:r w:rsidRPr="00C63E1D">
              <w:rPr>
                <w:rStyle w:val="fontstyle01"/>
                <w:lang w:val="fr-SN"/>
              </w:rPr>
              <w:t xml:space="preserve">pauvreté et de renforcement des </w:t>
            </w:r>
            <w:proofErr w:type="spellStart"/>
            <w:r w:rsidRPr="00C63E1D">
              <w:rPr>
                <w:rStyle w:val="fontstyle01"/>
                <w:lang w:val="fr-SN"/>
              </w:rPr>
              <w:t>dynamiquesde</w:t>
            </w:r>
            <w:proofErr w:type="spellEnd"/>
            <w:r w:rsidRPr="00C63E1D">
              <w:rPr>
                <w:rStyle w:val="fontstyle01"/>
                <w:lang w:val="fr-SN"/>
              </w:rPr>
              <w:t xml:space="preserve"> développement économique et social, la</w:t>
            </w:r>
            <w:r w:rsidRPr="00C63E1D">
              <w:rPr>
                <w:rFonts w:ascii="Calibri" w:hAnsi="Calibri"/>
                <w:color w:val="000000"/>
                <w:sz w:val="22"/>
                <w:szCs w:val="22"/>
                <w:lang w:val="fr-SN"/>
              </w:rPr>
              <w:t xml:space="preserve"> </w:t>
            </w:r>
            <w:r w:rsidRPr="00C63E1D">
              <w:rPr>
                <w:rStyle w:val="fontstyle01"/>
                <w:lang w:val="fr-SN"/>
              </w:rPr>
              <w:t>promotion de l’emploi des jeunes intégrant la</w:t>
            </w:r>
            <w:r w:rsidRPr="00C63E1D">
              <w:rPr>
                <w:rFonts w:ascii="Calibri" w:hAnsi="Calibri"/>
                <w:color w:val="000000"/>
                <w:sz w:val="22"/>
                <w:szCs w:val="22"/>
                <w:lang w:val="fr-SN"/>
              </w:rPr>
              <w:t xml:space="preserve"> </w:t>
            </w:r>
            <w:r w:rsidRPr="00C63E1D">
              <w:rPr>
                <w:rStyle w:val="fontstyle01"/>
                <w:lang w:val="fr-SN"/>
              </w:rPr>
              <w:t>variable migratoire. A cet effet, l’assistance a été fournie à</w:t>
            </w:r>
            <w:r w:rsidRPr="00C63E1D">
              <w:rPr>
                <w:rFonts w:ascii="Calibri" w:hAnsi="Calibri"/>
                <w:color w:val="000000"/>
                <w:sz w:val="22"/>
                <w:szCs w:val="22"/>
                <w:lang w:val="fr-SN"/>
              </w:rPr>
              <w:t xml:space="preserve"> </w:t>
            </w:r>
            <w:r w:rsidRPr="00C63E1D">
              <w:rPr>
                <w:rStyle w:val="fontstyle01"/>
                <w:lang w:val="fr-SN"/>
              </w:rPr>
              <w:t>l’ANPEJ pour la réalisation de la cartographie</w:t>
            </w:r>
            <w:r w:rsidRPr="00C63E1D">
              <w:rPr>
                <w:rFonts w:ascii="Calibri" w:hAnsi="Calibri"/>
                <w:color w:val="000000"/>
                <w:sz w:val="22"/>
                <w:szCs w:val="22"/>
                <w:lang w:val="fr-SN"/>
              </w:rPr>
              <w:t xml:space="preserve"> </w:t>
            </w:r>
            <w:r w:rsidRPr="00C63E1D">
              <w:rPr>
                <w:rStyle w:val="fontstyle01"/>
                <w:lang w:val="fr-SN"/>
              </w:rPr>
              <w:t>des métiers utiles au PSE, dans le cadre d’un</w:t>
            </w:r>
            <w:r w:rsidRPr="00C63E1D">
              <w:rPr>
                <w:rFonts w:ascii="Calibri" w:hAnsi="Calibri"/>
                <w:color w:val="000000"/>
                <w:sz w:val="22"/>
                <w:szCs w:val="22"/>
                <w:lang w:val="fr-SN"/>
              </w:rPr>
              <w:t xml:space="preserve"> </w:t>
            </w:r>
            <w:r w:rsidRPr="00C63E1D">
              <w:rPr>
                <w:rStyle w:val="fontstyle01"/>
                <w:lang w:val="fr-SN"/>
              </w:rPr>
              <w:t>programme conjoint, qui regroupe plus de 7</w:t>
            </w:r>
            <w:r w:rsidRPr="00C63E1D">
              <w:rPr>
                <w:rFonts w:ascii="Calibri" w:hAnsi="Calibri"/>
                <w:color w:val="000000"/>
                <w:sz w:val="22"/>
                <w:szCs w:val="22"/>
                <w:lang w:val="fr-SN"/>
              </w:rPr>
              <w:t xml:space="preserve"> </w:t>
            </w:r>
            <w:r w:rsidRPr="00C63E1D">
              <w:rPr>
                <w:rStyle w:val="fontstyle01"/>
                <w:lang w:val="fr-SN"/>
              </w:rPr>
              <w:t>Agences du SNU, dont le BIT qui assure le</w:t>
            </w:r>
            <w:r w:rsidRPr="00C63E1D">
              <w:rPr>
                <w:rFonts w:ascii="Calibri" w:hAnsi="Calibri"/>
                <w:color w:val="000000"/>
                <w:sz w:val="22"/>
                <w:szCs w:val="22"/>
                <w:lang w:val="fr-SN"/>
              </w:rPr>
              <w:t xml:space="preserve"> </w:t>
            </w:r>
            <w:r w:rsidRPr="00C63E1D">
              <w:rPr>
                <w:rStyle w:val="fontstyle01"/>
                <w:lang w:val="fr-SN"/>
              </w:rPr>
              <w:t>lead, la réalisation de l’étude employabilité</w:t>
            </w:r>
            <w:r w:rsidRPr="00C63E1D">
              <w:rPr>
                <w:rFonts w:ascii="Calibri" w:hAnsi="Calibri"/>
                <w:color w:val="000000"/>
                <w:sz w:val="22"/>
                <w:szCs w:val="22"/>
                <w:lang w:val="fr-SN"/>
              </w:rPr>
              <w:t xml:space="preserve"> </w:t>
            </w:r>
            <w:r w:rsidRPr="00C63E1D">
              <w:rPr>
                <w:rStyle w:val="fontstyle01"/>
                <w:lang w:val="fr-SN"/>
              </w:rPr>
              <w:lastRenderedPageBreak/>
              <w:t>des jeunes, ainsi que celle portant sur la viabilité financière de l’Agence. Au cours de la période plus de 6265 emplois ont été créés pour</w:t>
            </w:r>
            <w:r w:rsidRPr="00C63E1D">
              <w:rPr>
                <w:rFonts w:ascii="Calibri" w:hAnsi="Calibri"/>
                <w:color w:val="000000"/>
                <w:sz w:val="22"/>
                <w:szCs w:val="22"/>
                <w:lang w:val="fr-SN"/>
              </w:rPr>
              <w:t xml:space="preserve"> </w:t>
            </w:r>
            <w:r w:rsidRPr="00C63E1D">
              <w:rPr>
                <w:rStyle w:val="fontstyle01"/>
                <w:lang w:val="fr-SN"/>
              </w:rPr>
              <w:t>les jeunes et les femmes permettant ainsi</w:t>
            </w:r>
            <w:r w:rsidRPr="00C63E1D">
              <w:rPr>
                <w:rFonts w:ascii="Calibri" w:hAnsi="Calibri"/>
                <w:color w:val="000000"/>
                <w:sz w:val="22"/>
                <w:szCs w:val="22"/>
                <w:lang w:val="fr-SN"/>
              </w:rPr>
              <w:t xml:space="preserve"> </w:t>
            </w:r>
            <w:r w:rsidRPr="00C63E1D">
              <w:rPr>
                <w:rStyle w:val="fontstyle01"/>
                <w:lang w:val="fr-SN"/>
              </w:rPr>
              <w:t>d’améliorer leurs conditions de vie.</w:t>
            </w:r>
          </w:p>
          <w:p w:rsidR="00AB05A2" w:rsidRPr="00145E27" w:rsidRDefault="00AB05A2" w:rsidP="00B85357">
            <w:pPr>
              <w:pStyle w:val="ListParagraph"/>
              <w:ind w:left="57" w:right="57"/>
              <w:jc w:val="both"/>
              <w:rPr>
                <w:rStyle w:val="fontstyle01"/>
                <w:rFonts w:asciiTheme="minorHAnsi" w:hAnsiTheme="minorHAnsi"/>
                <w:sz w:val="16"/>
                <w:szCs w:val="16"/>
                <w:lang w:val="fr-SN"/>
              </w:rPr>
            </w:pPr>
          </w:p>
          <w:p w:rsidR="00C537B0" w:rsidRPr="00A42D9B" w:rsidRDefault="00AB05A2" w:rsidP="00C63E1D">
            <w:pPr>
              <w:pStyle w:val="ListParagraph"/>
              <w:widowControl/>
              <w:numPr>
                <w:ilvl w:val="0"/>
                <w:numId w:val="35"/>
              </w:numPr>
              <w:spacing w:after="120"/>
              <w:ind w:right="57"/>
              <w:jc w:val="both"/>
              <w:rPr>
                <w:rFonts w:asciiTheme="minorHAnsi" w:hAnsiTheme="minorHAnsi"/>
                <w:lang w:val="fr-FR"/>
              </w:rPr>
            </w:pPr>
            <w:r w:rsidRPr="00AB05A2">
              <w:rPr>
                <w:rFonts w:ascii="Calibri" w:hAnsi="Calibri"/>
                <w:color w:val="000000"/>
                <w:sz w:val="22"/>
                <w:szCs w:val="22"/>
                <w:lang w:val="fr-SN"/>
              </w:rPr>
              <w:t xml:space="preserve"> </w:t>
            </w:r>
            <w:r w:rsidRPr="00AB05A2">
              <w:rPr>
                <w:rStyle w:val="fontstyle01"/>
                <w:lang w:val="fr-SN"/>
              </w:rPr>
              <w:t>L’approche genre a été systématique dans la</w:t>
            </w:r>
            <w:r w:rsidRPr="00AB05A2">
              <w:rPr>
                <w:rFonts w:ascii="Calibri" w:hAnsi="Calibri"/>
                <w:color w:val="000000"/>
                <w:sz w:val="22"/>
                <w:szCs w:val="22"/>
                <w:lang w:val="fr-SN"/>
              </w:rPr>
              <w:t xml:space="preserve"> </w:t>
            </w:r>
            <w:r w:rsidRPr="00AB05A2">
              <w:rPr>
                <w:rStyle w:val="fontstyle01"/>
                <w:lang w:val="fr-SN"/>
              </w:rPr>
              <w:t>mise en œuvre des différents volets de cet</w:t>
            </w:r>
            <w:r w:rsidRPr="00AB05A2">
              <w:rPr>
                <w:rFonts w:ascii="Calibri" w:hAnsi="Calibri"/>
                <w:color w:val="000000"/>
                <w:sz w:val="22"/>
                <w:szCs w:val="22"/>
                <w:lang w:val="fr-SN"/>
              </w:rPr>
              <w:t xml:space="preserve"> </w:t>
            </w:r>
            <w:r w:rsidRPr="00AB05A2">
              <w:rPr>
                <w:rStyle w:val="fontstyle01"/>
                <w:lang w:val="fr-SN"/>
              </w:rPr>
              <w:t xml:space="preserve">axe. </w:t>
            </w:r>
          </w:p>
        </w:tc>
      </w:tr>
      <w:tr w:rsidR="00F555D2" w:rsidRPr="00073D71" w:rsidTr="00AE2EC2">
        <w:tc>
          <w:tcPr>
            <w:tcW w:w="3537" w:type="dxa"/>
            <w:gridSpan w:val="2"/>
            <w:shd w:val="clear" w:color="auto" w:fill="95B3D7" w:themeFill="accent1" w:themeFillTint="99"/>
          </w:tcPr>
          <w:p w:rsidR="004908E9" w:rsidRPr="00C63E1D" w:rsidRDefault="005F5D80" w:rsidP="001B5B87">
            <w:pPr>
              <w:widowControl/>
              <w:autoSpaceDE w:val="0"/>
              <w:autoSpaceDN w:val="0"/>
              <w:adjustRightInd w:val="0"/>
              <w:rPr>
                <w:rFonts w:asciiTheme="minorHAnsi" w:hAnsiTheme="minorHAnsi" w:cstheme="minorHAnsi"/>
                <w:b/>
                <w:sz w:val="22"/>
                <w:szCs w:val="22"/>
                <w:lang w:val="fr-FR"/>
              </w:rPr>
            </w:pPr>
            <w:r w:rsidRPr="00C63E1D">
              <w:rPr>
                <w:rFonts w:asciiTheme="minorHAnsi" w:hAnsiTheme="minorHAnsi" w:cstheme="minorHAnsi"/>
                <w:b/>
                <w:sz w:val="22"/>
                <w:szCs w:val="22"/>
                <w:lang w:val="fr-FR"/>
              </w:rPr>
              <w:lastRenderedPageBreak/>
              <w:t>3</w:t>
            </w:r>
            <w:r w:rsidR="004908E9" w:rsidRPr="00C63E1D">
              <w:rPr>
                <w:rFonts w:asciiTheme="minorHAnsi" w:hAnsiTheme="minorHAnsi" w:cstheme="minorHAnsi"/>
                <w:b/>
                <w:bCs/>
                <w:color w:val="000000"/>
                <w:sz w:val="22"/>
                <w:szCs w:val="22"/>
                <w:lang w:val="fr-SN" w:eastAsia="fr-SN"/>
              </w:rPr>
              <w:t xml:space="preserve"> D’ici 2018, les initiatives d’adaptation et d’atténuation aux changements climatiques sont renforcées</w:t>
            </w:r>
          </w:p>
          <w:p w:rsidR="005F5D80" w:rsidRPr="00C63E1D" w:rsidRDefault="004908E9" w:rsidP="001B5B87">
            <w:pPr>
              <w:widowControl/>
              <w:autoSpaceDE w:val="0"/>
              <w:autoSpaceDN w:val="0"/>
              <w:adjustRightInd w:val="0"/>
              <w:rPr>
                <w:rFonts w:asciiTheme="minorHAnsi" w:hAnsiTheme="minorHAnsi" w:cstheme="minorHAnsi"/>
                <w:b/>
                <w:sz w:val="22"/>
                <w:szCs w:val="22"/>
                <w:lang w:val="fr-SN"/>
              </w:rPr>
            </w:pPr>
            <w:r w:rsidRPr="00C63E1D">
              <w:rPr>
                <w:rFonts w:asciiTheme="minorHAnsi" w:hAnsiTheme="minorHAnsi" w:cstheme="minorHAnsi"/>
                <w:sz w:val="22"/>
                <w:szCs w:val="22"/>
                <w:lang w:val="fr-SN" w:eastAsia="fr-SN"/>
              </w:rPr>
              <w:br/>
            </w:r>
            <w:r w:rsidR="00257D25" w:rsidRPr="00C63E1D">
              <w:rPr>
                <w:rFonts w:asciiTheme="minorHAnsi" w:hAnsiTheme="minorHAnsi" w:cstheme="minorHAnsi"/>
                <w:sz w:val="22"/>
                <w:szCs w:val="22"/>
                <w:lang w:val="fr-SN" w:eastAsia="fr-SN"/>
              </w:rPr>
              <w:br/>
            </w:r>
          </w:p>
        </w:tc>
        <w:tc>
          <w:tcPr>
            <w:tcW w:w="1708" w:type="dxa"/>
            <w:gridSpan w:val="3"/>
            <w:shd w:val="clear" w:color="auto" w:fill="auto"/>
          </w:tcPr>
          <w:p w:rsidR="006F14E3" w:rsidRPr="00C63E1D" w:rsidRDefault="006F14E3" w:rsidP="006F14E3">
            <w:pPr>
              <w:pStyle w:val="BodyText2"/>
              <w:rPr>
                <w:rFonts w:asciiTheme="minorHAnsi" w:hAnsiTheme="minorHAnsi" w:cstheme="minorHAnsi"/>
                <w:b/>
                <w:sz w:val="22"/>
                <w:szCs w:val="22"/>
                <w:lang w:val="fr-FR"/>
              </w:rPr>
            </w:pPr>
            <w:r w:rsidRPr="00C63E1D">
              <w:rPr>
                <w:rFonts w:asciiTheme="minorHAnsi" w:hAnsiTheme="minorHAnsi" w:cstheme="minorHAnsi"/>
                <w:b/>
                <w:sz w:val="22"/>
                <w:szCs w:val="22"/>
                <w:lang w:val="fr-FR"/>
              </w:rPr>
              <w:t>$</w:t>
            </w:r>
            <w:r w:rsidRPr="00C63E1D">
              <w:rPr>
                <w:rFonts w:asciiTheme="minorHAnsi" w:hAnsiTheme="minorHAnsi" w:cstheme="minorHAnsi"/>
                <w:sz w:val="22"/>
                <w:szCs w:val="22"/>
                <w:lang w:val="fr-FR" w:eastAsia="fr-FR"/>
              </w:rPr>
              <w:t xml:space="preserve"> 52 325 500</w:t>
            </w:r>
          </w:p>
          <w:p w:rsidR="006F14E3" w:rsidRPr="00C63E1D" w:rsidRDefault="006F14E3" w:rsidP="006F14E3">
            <w:pPr>
              <w:pStyle w:val="BodyText2"/>
              <w:rPr>
                <w:rFonts w:asciiTheme="minorHAnsi" w:hAnsiTheme="minorHAnsi" w:cstheme="minorHAnsi"/>
                <w:sz w:val="22"/>
                <w:szCs w:val="22"/>
                <w:lang w:val="fr-FR"/>
              </w:rPr>
            </w:pPr>
            <w:r w:rsidRPr="00C63E1D">
              <w:rPr>
                <w:rFonts w:asciiTheme="minorHAnsi" w:hAnsiTheme="minorHAnsi" w:cstheme="minorHAnsi"/>
                <w:sz w:val="22"/>
                <w:szCs w:val="22"/>
                <w:lang w:val="fr-FR"/>
              </w:rPr>
              <w:t>(</w:t>
            </w:r>
            <w:r w:rsidRPr="00C63E1D">
              <w:rPr>
                <w:rFonts w:asciiTheme="minorHAnsi" w:hAnsiTheme="minorHAnsi" w:cstheme="minorHAnsi"/>
                <w:sz w:val="22"/>
                <w:szCs w:val="22"/>
              </w:rPr>
              <w:t>Core</w:t>
            </w:r>
            <w:r w:rsidRPr="00C63E1D">
              <w:rPr>
                <w:rFonts w:asciiTheme="minorHAnsi" w:hAnsiTheme="minorHAnsi" w:cstheme="minorHAnsi"/>
                <w:sz w:val="22"/>
                <w:szCs w:val="22"/>
                <w:lang w:val="fr-FR"/>
              </w:rPr>
              <w:t> : $</w:t>
            </w:r>
            <w:r w:rsidRPr="00C63E1D">
              <w:rPr>
                <w:rFonts w:asciiTheme="minorHAnsi" w:hAnsiTheme="minorHAnsi" w:cstheme="minorHAnsi"/>
                <w:b/>
                <w:sz w:val="22"/>
                <w:szCs w:val="22"/>
                <w:lang w:val="fr-FR" w:eastAsia="fr-FR"/>
              </w:rPr>
              <w:t>4 508 700</w:t>
            </w:r>
            <w:r w:rsidRPr="00C63E1D">
              <w:rPr>
                <w:rFonts w:asciiTheme="minorHAnsi" w:hAnsiTheme="minorHAnsi" w:cstheme="minorHAnsi"/>
                <w:b/>
                <w:sz w:val="22"/>
                <w:szCs w:val="22"/>
                <w:lang w:val="fr-FR"/>
              </w:rPr>
              <w:t xml:space="preserve"> </w:t>
            </w:r>
          </w:p>
          <w:p w:rsidR="007231BE" w:rsidRPr="00C63E1D" w:rsidRDefault="006F14E3" w:rsidP="001B5B87">
            <w:pPr>
              <w:pStyle w:val="BodyText2"/>
              <w:rPr>
                <w:rFonts w:asciiTheme="minorHAnsi" w:hAnsiTheme="minorHAnsi" w:cstheme="minorHAnsi"/>
                <w:sz w:val="22"/>
                <w:szCs w:val="22"/>
                <w:lang w:val="fr-FR"/>
              </w:rPr>
            </w:pPr>
            <w:r w:rsidRPr="00C63E1D">
              <w:rPr>
                <w:rFonts w:asciiTheme="minorHAnsi" w:hAnsiTheme="minorHAnsi" w:cstheme="minorHAnsi"/>
                <w:sz w:val="22"/>
                <w:szCs w:val="22"/>
                <w:lang w:val="fr-FR"/>
              </w:rPr>
              <w:t>Non-</w:t>
            </w:r>
            <w:proofErr w:type="spellStart"/>
            <w:r w:rsidRPr="00C63E1D">
              <w:rPr>
                <w:rFonts w:asciiTheme="minorHAnsi" w:hAnsiTheme="minorHAnsi" w:cstheme="minorHAnsi"/>
                <w:sz w:val="22"/>
                <w:szCs w:val="22"/>
                <w:lang w:val="fr-FR"/>
              </w:rPr>
              <w:t>core</w:t>
            </w:r>
            <w:proofErr w:type="spellEnd"/>
            <w:r w:rsidRPr="00C63E1D">
              <w:rPr>
                <w:rFonts w:asciiTheme="minorHAnsi" w:hAnsiTheme="minorHAnsi" w:cstheme="minorHAnsi"/>
                <w:sz w:val="22"/>
                <w:szCs w:val="22"/>
                <w:lang w:val="fr-FR"/>
              </w:rPr>
              <w:t> : 47 816 800</w:t>
            </w:r>
          </w:p>
          <w:p w:rsidR="007231BE" w:rsidRPr="00C63E1D" w:rsidRDefault="007231BE" w:rsidP="001B5B87">
            <w:pPr>
              <w:pStyle w:val="BodyText2"/>
              <w:rPr>
                <w:rFonts w:asciiTheme="minorHAnsi" w:hAnsiTheme="minorHAnsi" w:cstheme="minorHAnsi"/>
                <w:sz w:val="22"/>
                <w:szCs w:val="22"/>
                <w:lang w:val="fr-SN"/>
              </w:rPr>
            </w:pPr>
          </w:p>
          <w:p w:rsidR="007231BE" w:rsidRPr="00C63E1D" w:rsidRDefault="007231BE">
            <w:pPr>
              <w:pStyle w:val="BodyText2"/>
              <w:rPr>
                <w:rFonts w:asciiTheme="minorHAnsi" w:hAnsiTheme="minorHAnsi" w:cstheme="minorHAnsi"/>
                <w:sz w:val="22"/>
                <w:szCs w:val="22"/>
                <w:lang w:val="fr-SN"/>
              </w:rPr>
            </w:pPr>
          </w:p>
        </w:tc>
        <w:tc>
          <w:tcPr>
            <w:tcW w:w="3782" w:type="dxa"/>
            <w:tcBorders>
              <w:left w:val="single" w:sz="4" w:space="0" w:color="auto"/>
            </w:tcBorders>
          </w:tcPr>
          <w:p w:rsidR="005F5D80" w:rsidRPr="00C63E1D" w:rsidRDefault="0074643E" w:rsidP="0074643E">
            <w:pPr>
              <w:pStyle w:val="BodyText2"/>
              <w:rPr>
                <w:rFonts w:asciiTheme="minorHAnsi" w:hAnsiTheme="minorHAnsi" w:cstheme="minorHAnsi"/>
                <w:sz w:val="22"/>
                <w:szCs w:val="22"/>
                <w:lang w:val="fr-SN"/>
              </w:rPr>
            </w:pPr>
            <w:r w:rsidRPr="00C63E1D">
              <w:rPr>
                <w:rFonts w:asciiTheme="minorHAnsi" w:hAnsiTheme="minorHAnsi" w:cstheme="minorHAnsi"/>
                <w:b/>
                <w:bCs/>
                <w:color w:val="000000"/>
                <w:sz w:val="22"/>
                <w:szCs w:val="22"/>
                <w:lang w:val="fr-SN" w:eastAsia="fr-SN"/>
              </w:rPr>
              <w:t xml:space="preserve">P1 </w:t>
            </w:r>
            <w:r w:rsidRPr="00C63E1D">
              <w:rPr>
                <w:rFonts w:asciiTheme="minorHAnsi" w:hAnsiTheme="minorHAnsi" w:cstheme="minorHAnsi"/>
                <w:color w:val="000000"/>
                <w:sz w:val="22"/>
                <w:szCs w:val="22"/>
                <w:lang w:val="fr-SN" w:eastAsia="fr-SN"/>
              </w:rPr>
              <w:t>: Pourcentage de collectivités</w:t>
            </w:r>
            <w:r w:rsidRPr="00C63E1D">
              <w:rPr>
                <w:rFonts w:asciiTheme="minorHAnsi" w:hAnsiTheme="minorHAnsi" w:cstheme="minorHAnsi"/>
                <w:color w:val="000000"/>
                <w:sz w:val="22"/>
                <w:szCs w:val="22"/>
                <w:lang w:val="fr-SN" w:eastAsia="fr-SN"/>
              </w:rPr>
              <w:br/>
              <w:t>disposant d’outils de planification prenant en</w:t>
            </w:r>
            <w:r w:rsidRPr="00C63E1D">
              <w:rPr>
                <w:rFonts w:asciiTheme="minorHAnsi" w:hAnsiTheme="minorHAnsi" w:cstheme="minorHAnsi"/>
                <w:color w:val="000000"/>
                <w:sz w:val="22"/>
                <w:szCs w:val="22"/>
                <w:lang w:val="fr-SN" w:eastAsia="fr-SN"/>
              </w:rPr>
              <w:br/>
              <w:t>compte l’adaptation aux changements climatiques</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Ligne de base : </w:t>
            </w:r>
            <w:r w:rsidRPr="00C63E1D">
              <w:rPr>
                <w:rFonts w:asciiTheme="minorHAnsi" w:hAnsiTheme="minorHAnsi" w:cstheme="minorHAnsi"/>
                <w:color w:val="000000"/>
                <w:sz w:val="22"/>
                <w:szCs w:val="22"/>
                <w:lang w:val="fr-SN" w:eastAsia="fr-SN"/>
              </w:rPr>
              <w:t>Adaptation aux changements</w:t>
            </w:r>
            <w:r w:rsidRPr="00C63E1D">
              <w:rPr>
                <w:rFonts w:asciiTheme="minorHAnsi" w:hAnsiTheme="minorHAnsi" w:cstheme="minorHAnsi"/>
                <w:color w:val="000000"/>
                <w:sz w:val="22"/>
                <w:szCs w:val="22"/>
                <w:lang w:val="fr-SN" w:eastAsia="fr-SN"/>
              </w:rPr>
              <w:br/>
              <w:t>climatiques non pris en compte dans les outils de</w:t>
            </w:r>
            <w:r w:rsidRPr="00C63E1D">
              <w:rPr>
                <w:rFonts w:asciiTheme="minorHAnsi" w:hAnsiTheme="minorHAnsi" w:cstheme="minorHAnsi"/>
                <w:color w:val="000000"/>
                <w:sz w:val="22"/>
                <w:szCs w:val="22"/>
                <w:lang w:val="fr-SN" w:eastAsia="fr-SN"/>
              </w:rPr>
              <w:br/>
              <w:t>planification</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Cible : </w:t>
            </w:r>
            <w:r w:rsidRPr="00C63E1D">
              <w:rPr>
                <w:rFonts w:asciiTheme="minorHAnsi" w:hAnsiTheme="minorHAnsi" w:cstheme="minorHAnsi"/>
                <w:color w:val="000000"/>
                <w:sz w:val="22"/>
                <w:szCs w:val="22"/>
                <w:lang w:val="fr-SN" w:eastAsia="fr-SN"/>
              </w:rPr>
              <w:t>Dans les zones, les plans climatiques</w:t>
            </w:r>
            <w:r w:rsidRPr="00C63E1D">
              <w:rPr>
                <w:rFonts w:asciiTheme="minorHAnsi" w:hAnsiTheme="minorHAnsi" w:cstheme="minorHAnsi"/>
                <w:color w:val="000000"/>
                <w:sz w:val="22"/>
                <w:szCs w:val="22"/>
                <w:lang w:val="fr-SN" w:eastAsia="fr-SN"/>
              </w:rPr>
              <w:br/>
              <w:t>territoriaux sont définis en année 3</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Indicateur P2 </w:t>
            </w:r>
            <w:r w:rsidRPr="00C63E1D">
              <w:rPr>
                <w:rFonts w:asciiTheme="minorHAnsi" w:hAnsiTheme="minorHAnsi" w:cstheme="minorHAnsi"/>
                <w:color w:val="000000"/>
                <w:sz w:val="22"/>
                <w:szCs w:val="22"/>
                <w:lang w:val="fr-SN" w:eastAsia="fr-SN"/>
              </w:rPr>
              <w:t>: Concept d’</w:t>
            </w:r>
            <w:proofErr w:type="spellStart"/>
            <w:r w:rsidRPr="00C63E1D">
              <w:rPr>
                <w:rFonts w:asciiTheme="minorHAnsi" w:hAnsiTheme="minorHAnsi" w:cstheme="minorHAnsi"/>
                <w:color w:val="000000"/>
                <w:sz w:val="22"/>
                <w:szCs w:val="22"/>
                <w:lang w:val="fr-SN" w:eastAsia="fr-SN"/>
              </w:rPr>
              <w:t>éco-village</w:t>
            </w:r>
            <w:proofErr w:type="spellEnd"/>
            <w:r w:rsidRPr="00C63E1D">
              <w:rPr>
                <w:rFonts w:asciiTheme="minorHAnsi" w:hAnsiTheme="minorHAnsi" w:cstheme="minorHAnsi"/>
                <w:color w:val="000000"/>
                <w:sz w:val="22"/>
                <w:szCs w:val="22"/>
                <w:lang w:val="fr-SN" w:eastAsia="fr-SN"/>
              </w:rPr>
              <w:t xml:space="preserve"> durable et</w:t>
            </w:r>
            <w:r w:rsidRPr="00C63E1D">
              <w:rPr>
                <w:rFonts w:asciiTheme="minorHAnsi" w:hAnsiTheme="minorHAnsi" w:cstheme="minorHAnsi"/>
                <w:color w:val="000000"/>
                <w:sz w:val="22"/>
                <w:szCs w:val="22"/>
                <w:lang w:val="fr-SN" w:eastAsia="fr-SN"/>
              </w:rPr>
              <w:br/>
              <w:t>opérationnalisé</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Ligne de base : </w:t>
            </w:r>
            <w:r w:rsidRPr="00C63E1D">
              <w:rPr>
                <w:rFonts w:asciiTheme="minorHAnsi" w:hAnsiTheme="minorHAnsi" w:cstheme="minorHAnsi"/>
                <w:color w:val="000000"/>
                <w:sz w:val="22"/>
                <w:szCs w:val="22"/>
                <w:lang w:val="fr-SN" w:eastAsia="fr-SN"/>
              </w:rPr>
              <w:t>Nouveau concept</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Cible : </w:t>
            </w:r>
            <w:r w:rsidRPr="00C63E1D">
              <w:rPr>
                <w:rFonts w:asciiTheme="minorHAnsi" w:hAnsiTheme="minorHAnsi" w:cstheme="minorHAnsi"/>
                <w:color w:val="000000"/>
                <w:sz w:val="22"/>
                <w:szCs w:val="22"/>
                <w:lang w:val="fr-SN" w:eastAsia="fr-SN"/>
              </w:rPr>
              <w:t>Au moins huit sites transformés en éco</w:t>
            </w:r>
            <w:r w:rsidRPr="00C63E1D">
              <w:rPr>
                <w:rFonts w:asciiTheme="minorHAnsi" w:hAnsiTheme="minorHAnsi" w:cstheme="minorHAnsi"/>
                <w:color w:val="000000"/>
                <w:sz w:val="22"/>
                <w:szCs w:val="22"/>
                <w:lang w:val="fr-SN" w:eastAsia="fr-SN"/>
              </w:rPr>
              <w:br/>
              <w:t>villages en année 4</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Indicateur P3 : </w:t>
            </w:r>
            <w:r w:rsidRPr="00C63E1D">
              <w:rPr>
                <w:rFonts w:asciiTheme="minorHAnsi" w:hAnsiTheme="minorHAnsi" w:cstheme="minorHAnsi"/>
                <w:color w:val="000000"/>
                <w:sz w:val="22"/>
                <w:szCs w:val="22"/>
                <w:lang w:val="fr-SN" w:eastAsia="fr-SN"/>
              </w:rPr>
              <w:t>Nombre de sites aménagés</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Ligne de base : </w:t>
            </w:r>
            <w:r w:rsidRPr="00C63E1D">
              <w:rPr>
                <w:rFonts w:asciiTheme="minorHAnsi" w:hAnsiTheme="minorHAnsi" w:cstheme="minorHAnsi"/>
                <w:color w:val="000000"/>
                <w:sz w:val="22"/>
                <w:szCs w:val="22"/>
                <w:lang w:val="fr-SN" w:eastAsia="fr-SN"/>
              </w:rPr>
              <w:t>Expérience en cours sur quatre</w:t>
            </w:r>
            <w:r w:rsidRPr="00C63E1D">
              <w:rPr>
                <w:rFonts w:asciiTheme="minorHAnsi" w:hAnsiTheme="minorHAnsi" w:cstheme="minorHAnsi"/>
                <w:color w:val="000000"/>
                <w:sz w:val="22"/>
                <w:szCs w:val="22"/>
                <w:lang w:val="fr-SN" w:eastAsia="fr-SN"/>
              </w:rPr>
              <w:br/>
              <w:t>sites</w:t>
            </w:r>
            <w:r w:rsidRPr="00C63E1D">
              <w:rPr>
                <w:rFonts w:asciiTheme="minorHAnsi" w:hAnsiTheme="minorHAnsi" w:cstheme="minorHAnsi"/>
                <w:color w:val="000000"/>
                <w:sz w:val="22"/>
                <w:szCs w:val="22"/>
                <w:lang w:val="fr-SN" w:eastAsia="fr-SN"/>
              </w:rPr>
              <w:br/>
            </w:r>
            <w:r w:rsidRPr="00C63E1D">
              <w:rPr>
                <w:rFonts w:asciiTheme="minorHAnsi" w:hAnsiTheme="minorHAnsi" w:cstheme="minorHAnsi"/>
                <w:b/>
                <w:bCs/>
                <w:color w:val="000000"/>
                <w:sz w:val="22"/>
                <w:szCs w:val="22"/>
                <w:lang w:val="fr-SN" w:eastAsia="fr-SN"/>
              </w:rPr>
              <w:t xml:space="preserve">Cible : </w:t>
            </w:r>
            <w:r w:rsidRPr="00C63E1D">
              <w:rPr>
                <w:rFonts w:asciiTheme="minorHAnsi" w:hAnsiTheme="minorHAnsi" w:cstheme="minorHAnsi"/>
                <w:color w:val="000000"/>
                <w:sz w:val="22"/>
                <w:szCs w:val="22"/>
                <w:lang w:val="fr-SN" w:eastAsia="fr-SN"/>
              </w:rPr>
              <w:t>Au moins trois sites en année 3</w:t>
            </w:r>
          </w:p>
        </w:tc>
        <w:tc>
          <w:tcPr>
            <w:tcW w:w="6282" w:type="dxa"/>
            <w:shd w:val="clear" w:color="auto" w:fill="auto"/>
          </w:tcPr>
          <w:p w:rsidR="005F5D80" w:rsidRPr="00C63E1D" w:rsidRDefault="005609A4" w:rsidP="005609A4">
            <w:pPr>
              <w:pStyle w:val="BodyText2"/>
              <w:jc w:val="both"/>
              <w:rPr>
                <w:rFonts w:asciiTheme="minorHAnsi" w:hAnsiTheme="minorHAnsi" w:cstheme="minorHAnsi"/>
                <w:color w:val="000000"/>
                <w:sz w:val="22"/>
                <w:szCs w:val="22"/>
                <w:lang w:val="fr-SN"/>
              </w:rPr>
            </w:pPr>
            <w:r w:rsidRPr="00C63E1D">
              <w:rPr>
                <w:rStyle w:val="fontstyle01"/>
                <w:rFonts w:asciiTheme="minorHAnsi" w:hAnsiTheme="minorHAnsi" w:cstheme="minorHAnsi"/>
                <w:lang w:val="fr-SN"/>
              </w:rPr>
              <w:t>Le Programme a d’avantage pris en compte les changements climatiques. Sa pertinence par rapport à l’effet</w:t>
            </w:r>
            <w:r w:rsidRPr="00C63E1D">
              <w:rPr>
                <w:rFonts w:asciiTheme="minorHAnsi" w:hAnsiTheme="minorHAnsi" w:cstheme="minorHAnsi"/>
                <w:color w:val="000000"/>
                <w:sz w:val="22"/>
                <w:szCs w:val="22"/>
                <w:lang w:val="fr-SN"/>
              </w:rPr>
              <w:br/>
            </w:r>
            <w:r w:rsidRPr="00C63E1D">
              <w:rPr>
                <w:rStyle w:val="fontstyle01"/>
                <w:rFonts w:asciiTheme="minorHAnsi" w:hAnsiTheme="minorHAnsi" w:cstheme="minorHAnsi"/>
                <w:lang w:val="fr-SN"/>
              </w:rPr>
              <w:t xml:space="preserve">UNDAF 7 est avérée, notamment avec les résultats obtenus à travers les différents projets mis en œuvre. </w:t>
            </w:r>
            <w:r w:rsidR="00752045" w:rsidRPr="00C63E1D">
              <w:rPr>
                <w:rStyle w:val="fontstyle01"/>
                <w:rFonts w:asciiTheme="minorHAnsi" w:hAnsiTheme="minorHAnsi" w:cstheme="minorHAnsi"/>
                <w:lang w:val="fr-SN"/>
              </w:rPr>
              <w:t>Au-delà</w:t>
            </w:r>
            <w:r w:rsidRPr="00C63E1D">
              <w:rPr>
                <w:rStyle w:val="fontstyle01"/>
                <w:rFonts w:asciiTheme="minorHAnsi" w:hAnsiTheme="minorHAnsi" w:cstheme="minorHAnsi"/>
                <w:lang w:val="fr-SN"/>
              </w:rPr>
              <w:t xml:space="preserve"> de la gestion des risques et des catastrophes, l’adaptation aux changements climatiques s’est étendue</w:t>
            </w:r>
            <w:r w:rsidR="002C491B">
              <w:rPr>
                <w:rStyle w:val="fontstyle01"/>
                <w:rFonts w:asciiTheme="minorHAnsi" w:hAnsiTheme="minorHAnsi" w:cstheme="minorHAnsi"/>
                <w:lang w:val="fr-SN"/>
              </w:rPr>
              <w:t xml:space="preserve"> </w:t>
            </w:r>
            <w:r w:rsidRPr="00C63E1D">
              <w:rPr>
                <w:rStyle w:val="fontstyle01"/>
                <w:rFonts w:asciiTheme="minorHAnsi" w:hAnsiTheme="minorHAnsi" w:cstheme="minorHAnsi"/>
                <w:lang w:val="fr-SN"/>
              </w:rPr>
              <w:t>aux thématiques liées à la formulation et mise en œuvre de politiques nationales et locales résilientes aux</w:t>
            </w:r>
            <w:r w:rsidRPr="00C63E1D">
              <w:rPr>
                <w:rFonts w:asciiTheme="minorHAnsi" w:hAnsiTheme="minorHAnsi" w:cstheme="minorHAnsi"/>
                <w:color w:val="000000"/>
                <w:sz w:val="22"/>
                <w:szCs w:val="22"/>
                <w:lang w:val="fr-SN"/>
              </w:rPr>
              <w:br/>
            </w:r>
            <w:r w:rsidRPr="00C63E1D">
              <w:rPr>
                <w:rStyle w:val="fontstyle01"/>
                <w:rFonts w:asciiTheme="minorHAnsi" w:hAnsiTheme="minorHAnsi" w:cstheme="minorHAnsi"/>
                <w:lang w:val="fr-SN"/>
              </w:rPr>
              <w:t>changements climatiques, notamment avec l’intégration des changements climatiques dans la planification</w:t>
            </w:r>
            <w:r w:rsidRPr="00C63E1D">
              <w:rPr>
                <w:rFonts w:asciiTheme="minorHAnsi" w:hAnsiTheme="minorHAnsi" w:cstheme="minorHAnsi"/>
                <w:color w:val="000000"/>
                <w:sz w:val="22"/>
                <w:szCs w:val="22"/>
                <w:lang w:val="fr-SN"/>
              </w:rPr>
              <w:br/>
            </w:r>
            <w:r w:rsidRPr="00C63E1D">
              <w:rPr>
                <w:rStyle w:val="fontstyle01"/>
                <w:rFonts w:asciiTheme="minorHAnsi" w:hAnsiTheme="minorHAnsi" w:cstheme="minorHAnsi"/>
                <w:lang w:val="fr-SN"/>
              </w:rPr>
              <w:t>aux niveaux national (Lettre de Politiques Sectorielle) et local (Plans de développement communaux) ; à</w:t>
            </w:r>
            <w:r w:rsidRPr="00C63E1D">
              <w:rPr>
                <w:rFonts w:asciiTheme="minorHAnsi" w:hAnsiTheme="minorHAnsi" w:cstheme="minorHAnsi"/>
                <w:color w:val="000000"/>
                <w:sz w:val="22"/>
                <w:szCs w:val="22"/>
                <w:lang w:val="fr-SN"/>
              </w:rPr>
              <w:br/>
            </w:r>
            <w:r w:rsidRPr="00C63E1D">
              <w:rPr>
                <w:rStyle w:val="fontstyle01"/>
                <w:rFonts w:asciiTheme="minorHAnsi" w:hAnsiTheme="minorHAnsi" w:cstheme="minorHAnsi"/>
                <w:lang w:val="fr-SN"/>
              </w:rPr>
              <w:t>l’amélioration de l’accès aux mécanismes financiers ; à la définition et vulgarisation d’un modèle d’</w:t>
            </w:r>
            <w:r w:rsidR="002C491B" w:rsidRPr="00C63E1D">
              <w:rPr>
                <w:rStyle w:val="fontstyle01"/>
                <w:rFonts w:asciiTheme="minorHAnsi" w:hAnsiTheme="minorHAnsi" w:cstheme="minorHAnsi"/>
                <w:lang w:val="fr-SN"/>
              </w:rPr>
              <w:t>écovillage</w:t>
            </w:r>
            <w:r w:rsidRPr="00C63E1D">
              <w:rPr>
                <w:rStyle w:val="fontstyle01"/>
                <w:rFonts w:asciiTheme="minorHAnsi" w:hAnsiTheme="minorHAnsi" w:cstheme="minorHAnsi"/>
                <w:lang w:val="fr-SN"/>
              </w:rPr>
              <w:t xml:space="preserve"> ;</w:t>
            </w:r>
            <w:r w:rsidRPr="00C63E1D">
              <w:rPr>
                <w:rFonts w:asciiTheme="minorHAnsi" w:hAnsiTheme="minorHAnsi" w:cstheme="minorHAnsi"/>
                <w:color w:val="000000"/>
                <w:sz w:val="22"/>
                <w:szCs w:val="22"/>
                <w:lang w:val="fr-SN"/>
              </w:rPr>
              <w:br/>
            </w:r>
            <w:r w:rsidRPr="00C63E1D">
              <w:rPr>
                <w:rStyle w:val="fontstyle01"/>
                <w:rFonts w:asciiTheme="minorHAnsi" w:hAnsiTheme="minorHAnsi" w:cstheme="minorHAnsi"/>
                <w:lang w:val="fr-SN"/>
              </w:rPr>
              <w:t>à la promotion de systèmes alternatifs énergétiques moins émetteurs et à la gestion durable des terres et des</w:t>
            </w:r>
            <w:r w:rsidRPr="00C63E1D">
              <w:rPr>
                <w:rFonts w:asciiTheme="minorHAnsi" w:hAnsiTheme="minorHAnsi" w:cstheme="minorHAnsi"/>
                <w:color w:val="000000"/>
                <w:sz w:val="22"/>
                <w:szCs w:val="22"/>
                <w:lang w:val="fr-SN"/>
              </w:rPr>
              <w:br/>
            </w:r>
            <w:r w:rsidRPr="00C63E1D">
              <w:rPr>
                <w:rStyle w:val="fontstyle01"/>
                <w:rFonts w:asciiTheme="minorHAnsi" w:hAnsiTheme="minorHAnsi" w:cstheme="minorHAnsi"/>
                <w:lang w:val="fr-SN"/>
              </w:rPr>
              <w:t>eaux pour combattre la désertification</w:t>
            </w:r>
          </w:p>
        </w:tc>
      </w:tr>
      <w:tr w:rsidR="00F555D2" w:rsidRPr="00073D71" w:rsidTr="00AE2EC2">
        <w:tc>
          <w:tcPr>
            <w:tcW w:w="15309" w:type="dxa"/>
            <w:gridSpan w:val="7"/>
          </w:tcPr>
          <w:p w:rsidR="005F5D80" w:rsidRPr="00866D55" w:rsidRDefault="005F5D80" w:rsidP="00E87BBA">
            <w:pPr>
              <w:pStyle w:val="BodyText2"/>
              <w:spacing w:after="120"/>
              <w:rPr>
                <w:rFonts w:asciiTheme="minorHAnsi" w:hAnsiTheme="minorHAnsi"/>
                <w:b/>
                <w:lang w:val="fr-FR"/>
              </w:rPr>
            </w:pPr>
            <w:r w:rsidRPr="00866D55">
              <w:rPr>
                <w:rFonts w:asciiTheme="minorHAnsi" w:hAnsiTheme="minorHAnsi"/>
                <w:b/>
                <w:lang w:val="fr-FR"/>
              </w:rPr>
              <w:t>Contribution du PNUD :</w:t>
            </w:r>
          </w:p>
          <w:p w:rsidR="00E34161" w:rsidRDefault="00E34161" w:rsidP="00E34161">
            <w:pPr>
              <w:contextualSpacing/>
              <w:rPr>
                <w:rFonts w:asciiTheme="minorHAnsi" w:hAnsiTheme="minorHAnsi" w:cstheme="minorHAnsi"/>
                <w:color w:val="000000"/>
                <w:sz w:val="22"/>
                <w:szCs w:val="22"/>
                <w:lang w:val="fr-SN"/>
              </w:rPr>
            </w:pPr>
            <w:r w:rsidRPr="00E34161">
              <w:rPr>
                <w:rFonts w:asciiTheme="minorHAnsi" w:hAnsiTheme="minorHAnsi" w:cstheme="minorHAnsi"/>
                <w:color w:val="000000"/>
                <w:sz w:val="22"/>
                <w:szCs w:val="22"/>
                <w:lang w:val="fr-SN"/>
              </w:rPr>
              <w:t xml:space="preserve">Le PNUD a apporté sa contribution dans la mise en œuvre des stratégies d’adaptation et d’atténuation des effets des changements climatiques. </w:t>
            </w:r>
          </w:p>
          <w:p w:rsidR="00E34161" w:rsidRPr="00145E27" w:rsidRDefault="00E34161" w:rsidP="00E34161">
            <w:pPr>
              <w:contextualSpacing/>
              <w:rPr>
                <w:rFonts w:asciiTheme="minorHAnsi" w:hAnsiTheme="minorHAnsi" w:cstheme="minorHAnsi"/>
                <w:color w:val="000000"/>
                <w:sz w:val="16"/>
                <w:szCs w:val="16"/>
                <w:lang w:val="fr-SN"/>
              </w:rPr>
            </w:pPr>
          </w:p>
          <w:p w:rsidR="00E34161" w:rsidRPr="00E34161" w:rsidRDefault="00E34161" w:rsidP="00E34161">
            <w:pPr>
              <w:pStyle w:val="ListParagraph"/>
              <w:widowControl/>
              <w:numPr>
                <w:ilvl w:val="0"/>
                <w:numId w:val="35"/>
              </w:numPr>
              <w:ind w:right="57"/>
              <w:jc w:val="both"/>
              <w:rPr>
                <w:rStyle w:val="fontstyle01"/>
                <w:lang w:val="fr-SN"/>
              </w:rPr>
            </w:pPr>
            <w:r w:rsidRPr="00E34161">
              <w:rPr>
                <w:rStyle w:val="fontstyle01"/>
                <w:lang w:val="fr-SN"/>
              </w:rPr>
              <w:lastRenderedPageBreak/>
              <w:t>En termes d’appui à l’élaboration et la mobilisation des ressources trois projets ont été approuvés dans le cadre du FEM et sont en cours de développement. Sous le FEM 6, « le Projet d’Appui à la Création des opportunités d’Emplois Verts (PACEV) » est en cours de mise en œuvre dans le cadre de l’Initiative pour le Renforcement des Ecosystèmes d'Affaires Inclusive (IBEIB) et le projet ou programme national de réduction des émissions de gaz à effet de serre à travers l’efficacité énergétique dans le secteur du bâtiment au Sénégal.</w:t>
            </w:r>
            <w:r w:rsidR="00401B8E">
              <w:rPr>
                <w:rStyle w:val="fontstyle01"/>
                <w:lang w:val="fr-SN"/>
              </w:rPr>
              <w:t xml:space="preserve"> </w:t>
            </w:r>
            <w:r w:rsidRPr="00E34161">
              <w:rPr>
                <w:rStyle w:val="fontstyle01"/>
                <w:lang w:val="fr-SN"/>
              </w:rPr>
              <w:t>Ces actions combinées à celles de promotion des énergies renouvelables (solaire et bio gaz) ont permis au PNUD de soutenir le processus de transition en cours au Sénégal vers un développement résilient aux changements climatiques et sobre en carbone à travers la promotion des bâtiments bioclimatique et l’appui aux énergies renouvelables.</w:t>
            </w:r>
          </w:p>
          <w:p w:rsidR="00E34161" w:rsidRPr="00145E27" w:rsidRDefault="00E34161" w:rsidP="00E34161">
            <w:pPr>
              <w:pStyle w:val="ListParagraph"/>
              <w:widowControl/>
              <w:ind w:right="57"/>
              <w:jc w:val="both"/>
              <w:rPr>
                <w:rStyle w:val="fontstyle01"/>
                <w:sz w:val="16"/>
                <w:szCs w:val="16"/>
                <w:lang w:val="fr-SN"/>
              </w:rPr>
            </w:pPr>
          </w:p>
          <w:p w:rsidR="00401B8E" w:rsidRPr="00401B8E" w:rsidRDefault="00E34161" w:rsidP="00FB0C0F">
            <w:pPr>
              <w:pStyle w:val="ListParagraph"/>
              <w:widowControl/>
              <w:numPr>
                <w:ilvl w:val="0"/>
                <w:numId w:val="35"/>
              </w:numPr>
              <w:ind w:right="57"/>
              <w:jc w:val="both"/>
              <w:rPr>
                <w:rStyle w:val="fontstyle01"/>
                <w:lang w:val="fr-SN"/>
              </w:rPr>
            </w:pPr>
            <w:r w:rsidRPr="00401B8E">
              <w:rPr>
                <w:rStyle w:val="fontstyle01"/>
                <w:b/>
                <w:lang w:val="fr-SN"/>
              </w:rPr>
              <w:t>Au titre de l’appui à la planification intégrant l’adaptation et l’atténuation aux changements climatiques, le PNUD a joué un rôle déterminant dans la prise en compte des changements climatiques dans la planification territoriale</w:t>
            </w:r>
            <w:r w:rsidRPr="00401B8E">
              <w:rPr>
                <w:rStyle w:val="fontstyle01"/>
                <w:lang w:val="fr-SN"/>
              </w:rPr>
              <w:t>. Dans ce cadre, les consultations menées au niveau national ont facilité l’adoption et la validation d’un modèle de Fonds National Climat ainsi que la formulation des Plans Climats Territoriaux Intégrés</w:t>
            </w:r>
            <w:r w:rsidRPr="00401B8E">
              <w:rPr>
                <w:rStyle w:val="fontstyle01"/>
                <w:lang w:val="fr-SN"/>
              </w:rPr>
              <w:br/>
              <w:t>(PCTI, PGES, Plan de Gestion Aires Marines Protégées, développement d'un logiciel de simulation thermique et de contrôle de l’efficacité énergétique dans les bâtiments), le Projet PNEEB, TYPHA et le PFNAC.</w:t>
            </w:r>
            <w:r w:rsidR="00401B8E">
              <w:rPr>
                <w:rStyle w:val="fontstyle01"/>
                <w:lang w:val="fr-SN"/>
              </w:rPr>
              <w:t xml:space="preserve"> </w:t>
            </w:r>
            <w:r w:rsidRPr="00401B8E">
              <w:rPr>
                <w:rStyle w:val="fontstyle01"/>
                <w:lang w:val="fr-SN"/>
              </w:rPr>
              <w:t>dans le cadre de l’appui à la mise en place d’outils  Un Fonds National Climat (FNC) et des micros crédit verts sont mis en place. A cet effet, La formulation du Fonds National Climat a été réalisée. Un projet de décret pour l’opérationnalisation du FNC est en attente d’être adopté par le gouvernement depuis 2015. Il y a lieu de mener un plaidoyer auprès des autorités pour une mise en place effective de ce fonds.</w:t>
            </w:r>
            <w:r w:rsidRPr="00401B8E">
              <w:rPr>
                <w:rStyle w:val="fontstyle01"/>
                <w:lang w:val="fr-SN"/>
              </w:rPr>
              <w:br/>
            </w:r>
          </w:p>
          <w:p w:rsidR="00E34161" w:rsidRDefault="00E34161" w:rsidP="00401B8E">
            <w:pPr>
              <w:pStyle w:val="ListParagraph"/>
              <w:widowControl/>
              <w:numPr>
                <w:ilvl w:val="0"/>
                <w:numId w:val="35"/>
              </w:numPr>
              <w:ind w:right="57"/>
              <w:jc w:val="both"/>
              <w:rPr>
                <w:rStyle w:val="fontstyle01"/>
                <w:lang w:val="fr-SN"/>
              </w:rPr>
            </w:pPr>
            <w:r w:rsidRPr="00401B8E">
              <w:rPr>
                <w:rStyle w:val="fontstyle01"/>
                <w:b/>
                <w:lang w:val="fr-SN"/>
              </w:rPr>
              <w:t>En matière d’aménagement de sites pilotes résistants aux changements climatiques</w:t>
            </w:r>
            <w:r w:rsidR="00401B8E">
              <w:rPr>
                <w:rStyle w:val="fontstyle01"/>
                <w:lang w:val="fr-SN"/>
              </w:rPr>
              <w:t xml:space="preserve"> </w:t>
            </w:r>
            <w:r w:rsidRPr="00401B8E">
              <w:rPr>
                <w:rStyle w:val="fontstyle01"/>
                <w:lang w:val="fr-SN"/>
              </w:rPr>
              <w:t xml:space="preserve">10 </w:t>
            </w:r>
            <w:proofErr w:type="spellStart"/>
            <w:r w:rsidRPr="00401B8E">
              <w:rPr>
                <w:rStyle w:val="fontstyle01"/>
                <w:lang w:val="fr-SN"/>
              </w:rPr>
              <w:t>éco-villages</w:t>
            </w:r>
            <w:proofErr w:type="spellEnd"/>
            <w:r w:rsidRPr="00401B8E">
              <w:rPr>
                <w:rStyle w:val="fontstyle01"/>
                <w:lang w:val="fr-SN"/>
              </w:rPr>
              <w:t xml:space="preserve"> polarisant au total 84 villages ont été réalisés permettant à 40000 habitants d’avoir accès à l’énergie solaire mais aussi d’être autonomes en terme économique à travers les activités intégrées de production et de commercialisation de produits issus de l’agriculture et autres. Par ailleurs, le Programme a permis la mise en place de 10 kiosques solaires et de tricycle pour la création d’emplois verts et l’adoption de 10 </w:t>
            </w:r>
            <w:proofErr w:type="spellStart"/>
            <w:r w:rsidRPr="00401B8E">
              <w:rPr>
                <w:rStyle w:val="fontstyle01"/>
                <w:lang w:val="fr-SN"/>
              </w:rPr>
              <w:t>normessur</w:t>
            </w:r>
            <w:proofErr w:type="spellEnd"/>
            <w:r w:rsidRPr="00401B8E">
              <w:rPr>
                <w:rStyle w:val="fontstyle01"/>
                <w:lang w:val="fr-SN"/>
              </w:rPr>
              <w:t xml:space="preserve"> l'efficacité énergétique dans le bâtiment et la construction de quatre bâtiments pilote. Par ailleurs, afin de promouvoir l’énergie une unité de production d’équipements solaires est installée à </w:t>
            </w:r>
            <w:proofErr w:type="spellStart"/>
            <w:r w:rsidRPr="00401B8E">
              <w:rPr>
                <w:rStyle w:val="fontstyle01"/>
                <w:lang w:val="fr-SN"/>
              </w:rPr>
              <w:t>Mékhé</w:t>
            </w:r>
            <w:proofErr w:type="spellEnd"/>
            <w:r w:rsidRPr="00401B8E">
              <w:rPr>
                <w:rStyle w:val="fontstyle01"/>
                <w:lang w:val="fr-SN"/>
              </w:rPr>
              <w:t>.</w:t>
            </w:r>
          </w:p>
          <w:p w:rsidR="00401B8E" w:rsidRPr="00145E27" w:rsidRDefault="00401B8E" w:rsidP="00401B8E">
            <w:pPr>
              <w:pStyle w:val="ListParagraph"/>
              <w:widowControl/>
              <w:ind w:right="57"/>
              <w:jc w:val="both"/>
              <w:rPr>
                <w:rStyle w:val="fontstyle01"/>
                <w:sz w:val="16"/>
                <w:szCs w:val="16"/>
                <w:lang w:val="fr-SN"/>
              </w:rPr>
            </w:pPr>
          </w:p>
          <w:p w:rsidR="00E34161" w:rsidRDefault="00E34161" w:rsidP="00401B8E">
            <w:pPr>
              <w:pStyle w:val="ListParagraph"/>
              <w:widowControl/>
              <w:numPr>
                <w:ilvl w:val="0"/>
                <w:numId w:val="35"/>
              </w:numPr>
              <w:ind w:right="57"/>
              <w:jc w:val="both"/>
              <w:rPr>
                <w:rStyle w:val="fontstyle01"/>
                <w:lang w:val="fr-SN"/>
              </w:rPr>
            </w:pPr>
            <w:r w:rsidRPr="00401B8E">
              <w:rPr>
                <w:rStyle w:val="fontstyle01"/>
                <w:b/>
                <w:lang w:val="fr-SN"/>
              </w:rPr>
              <w:t>En matière de politique environnementale</w:t>
            </w:r>
            <w:r w:rsidRPr="00E34161">
              <w:rPr>
                <w:rStyle w:val="fontstyle01"/>
                <w:lang w:val="fr-SN"/>
              </w:rPr>
              <w:t>, Normes et standards élaborés et appliqués en matière d’efficacité énergétique</w:t>
            </w:r>
            <w:r w:rsidRPr="00E34161">
              <w:rPr>
                <w:rStyle w:val="fontstyle01"/>
                <w:lang w:val="fr-SN"/>
              </w:rPr>
              <w:br/>
              <w:t>L’efficacité énergétique soutenue par le PNUD est désormais considérée comme un des principaux leviers de la transition énergétique et de la création d’opportunités d’emplois verts. Huit prototypes d’isolants thermiques à base de biomasse (ciment-Typha et terre-Typha) ont été produits pour la première fois au Sénégal, afin d’améliorer l’efficacité énergétique des bâtiments.</w:t>
            </w:r>
            <w:r w:rsidR="00401B8E">
              <w:rPr>
                <w:rStyle w:val="fontstyle01"/>
                <w:lang w:val="fr-SN"/>
              </w:rPr>
              <w:t xml:space="preserve"> </w:t>
            </w:r>
            <w:r w:rsidRPr="00401B8E">
              <w:rPr>
                <w:rStyle w:val="fontstyle01"/>
                <w:lang w:val="fr-SN"/>
              </w:rPr>
              <w:t>Dans le domaine de l’intégration des mesures d’efficacité énergétique dans les normes de construction, le PNUD et ONU Habitat, à travers le Programme de Réduction des émissions de Gaz à effet de serre, ont appuyé l’élaboration d’un projet de normes en matière d’efficacité énergétique dans les bâtiments. Ces différents appuis ont permis au Sénégal de répondre à ses engagements multilatéraux sur l’environnement.</w:t>
            </w:r>
            <w:r w:rsidR="00401B8E">
              <w:rPr>
                <w:rStyle w:val="fontstyle01"/>
                <w:lang w:val="fr-SN"/>
              </w:rPr>
              <w:t xml:space="preserve"> </w:t>
            </w:r>
            <w:r w:rsidRPr="00401B8E">
              <w:rPr>
                <w:rStyle w:val="fontstyle01"/>
                <w:lang w:val="fr-SN"/>
              </w:rPr>
              <w:t>L’installation d’un pavillon démonstratif à l’EPT de Thiès et un éco pavillon en construction à Diamniadio et l’élaboration de 30 normes d’Efficacité Energétique (EE) sont aussi au nombre des acquis du Programme. Le processus pour leur intégration dans le code de la construction est en cours.</w:t>
            </w:r>
          </w:p>
          <w:p w:rsidR="00401B8E" w:rsidRPr="00145E27" w:rsidRDefault="00401B8E" w:rsidP="00401B8E">
            <w:pPr>
              <w:pStyle w:val="ListParagraph"/>
              <w:widowControl/>
              <w:ind w:right="57"/>
              <w:jc w:val="both"/>
              <w:rPr>
                <w:rStyle w:val="fontstyle01"/>
                <w:sz w:val="16"/>
                <w:szCs w:val="16"/>
                <w:lang w:val="fr-SN"/>
              </w:rPr>
            </w:pPr>
          </w:p>
          <w:p w:rsidR="00953660" w:rsidRPr="00E34161" w:rsidRDefault="00E34161" w:rsidP="00E34161">
            <w:pPr>
              <w:pStyle w:val="ListParagraph"/>
              <w:widowControl/>
              <w:numPr>
                <w:ilvl w:val="0"/>
                <w:numId w:val="35"/>
              </w:numPr>
              <w:ind w:right="57"/>
              <w:jc w:val="both"/>
              <w:rPr>
                <w:lang w:val="fr-SN"/>
              </w:rPr>
            </w:pPr>
            <w:r w:rsidRPr="00E34161">
              <w:rPr>
                <w:rStyle w:val="fontstyle01"/>
                <w:lang w:val="fr-SN"/>
              </w:rPr>
              <w:t>E</w:t>
            </w:r>
            <w:r w:rsidRPr="00401B8E">
              <w:rPr>
                <w:rStyle w:val="fontstyle01"/>
                <w:b/>
                <w:lang w:val="fr-SN"/>
              </w:rPr>
              <w:t>n matière de restauration des terres</w:t>
            </w:r>
            <w:r w:rsidRPr="00E34161">
              <w:rPr>
                <w:rStyle w:val="fontstyle01"/>
                <w:lang w:val="fr-SN"/>
              </w:rPr>
              <w:t>, les actions appuyées par le Programme Pays du PNUD en collaboration avec le Fonds pour l’Environnement Mondial (FEM) ont permis de restaurer plus de 300 ha de terre et de mangrove à travers le reboisement, les CES/DRS. 7 115,6 T CO2 eq ont été séquestrés suite à l’aménagement de 3 forêts (régions de Kolda, Sédhiou et Ziguinchor)</w:t>
            </w:r>
          </w:p>
        </w:tc>
      </w:tr>
      <w:tr w:rsidR="00F555D2" w:rsidRPr="00073D71" w:rsidTr="00AE2EC2">
        <w:tc>
          <w:tcPr>
            <w:tcW w:w="15309" w:type="dxa"/>
            <w:gridSpan w:val="7"/>
          </w:tcPr>
          <w:p w:rsidR="005F5D80" w:rsidRPr="0028553F" w:rsidRDefault="005F5D80" w:rsidP="001B5B87">
            <w:pPr>
              <w:pStyle w:val="BodyText2"/>
              <w:jc w:val="both"/>
              <w:rPr>
                <w:rFonts w:asciiTheme="minorHAnsi" w:hAnsiTheme="minorHAnsi"/>
                <w:b/>
                <w:lang w:val="fr-FR"/>
              </w:rPr>
            </w:pPr>
          </w:p>
        </w:tc>
      </w:tr>
      <w:tr w:rsidR="00F555D2" w:rsidRPr="00073D71" w:rsidTr="00AE2EC2">
        <w:tc>
          <w:tcPr>
            <w:tcW w:w="15309" w:type="dxa"/>
            <w:gridSpan w:val="7"/>
          </w:tcPr>
          <w:p w:rsidR="00AC7DAF" w:rsidRPr="00A035A9" w:rsidRDefault="00AC7DAF" w:rsidP="00A035A9">
            <w:pPr>
              <w:jc w:val="both"/>
              <w:rPr>
                <w:rFonts w:asciiTheme="minorHAnsi" w:hAnsiTheme="minorHAnsi"/>
                <w:b/>
                <w:sz w:val="20"/>
                <w:u w:val="single"/>
              </w:rPr>
            </w:pPr>
            <w:r w:rsidRPr="00A035A9">
              <w:rPr>
                <w:rFonts w:asciiTheme="minorHAnsi" w:hAnsiTheme="minorHAnsi"/>
                <w:b/>
                <w:sz w:val="20"/>
                <w:u w:val="single"/>
              </w:rPr>
              <w:lastRenderedPageBreak/>
              <w:t>Résumé des conclusions des evaluations (e.g. from outcome and project evaluations, UNDAF reviews, and other assessments)</w:t>
            </w:r>
          </w:p>
          <w:p w:rsidR="00AC7DAF" w:rsidRPr="00A035A9" w:rsidRDefault="00AC7DAF" w:rsidP="00A035A9">
            <w:pPr>
              <w:jc w:val="both"/>
              <w:rPr>
                <w:rFonts w:asciiTheme="minorHAnsi" w:hAnsiTheme="minorHAnsi"/>
                <w:sz w:val="20"/>
              </w:rPr>
            </w:pPr>
          </w:p>
          <w:p w:rsidR="00AC7DAF" w:rsidRPr="00AC7DAF" w:rsidRDefault="00AC7DAF" w:rsidP="00AC7DAF">
            <w:pPr>
              <w:pStyle w:val="BodyText2"/>
              <w:spacing w:after="120"/>
              <w:jc w:val="both"/>
              <w:rPr>
                <w:lang w:val="fr-SN"/>
              </w:rPr>
            </w:pPr>
            <w:r w:rsidRPr="00AC7DAF">
              <w:rPr>
                <w:rFonts w:ascii="Calibri" w:hAnsi="Calibri" w:cs="Calibri"/>
                <w:color w:val="000000"/>
                <w:sz w:val="22"/>
                <w:szCs w:val="22"/>
                <w:lang w:val="fr-SN"/>
              </w:rPr>
              <w:t>De 2012 à 2017, le</w:t>
            </w:r>
            <w:r w:rsidR="00A00825">
              <w:rPr>
                <w:rFonts w:ascii="Calibri" w:hAnsi="Calibri" w:cs="Calibri"/>
                <w:color w:val="000000"/>
                <w:sz w:val="22"/>
                <w:szCs w:val="22"/>
                <w:lang w:val="fr-SN"/>
              </w:rPr>
              <w:t xml:space="preserve"> Bureau Pays (BP) a mené huit (8)</w:t>
            </w:r>
            <w:r w:rsidRPr="00AC7DAF">
              <w:rPr>
                <w:rFonts w:ascii="Calibri" w:hAnsi="Calibri" w:cs="Calibri"/>
                <w:color w:val="000000"/>
                <w:sz w:val="22"/>
                <w:szCs w:val="22"/>
                <w:lang w:val="fr-SN"/>
              </w:rPr>
              <w:t xml:space="preserve"> évaluations dont une évaluation d’effet et une évaluation du CPD. Les évaluati</w:t>
            </w:r>
            <w:r w:rsidR="00401B8E">
              <w:rPr>
                <w:rFonts w:ascii="Calibri" w:hAnsi="Calibri" w:cs="Calibri"/>
                <w:color w:val="000000"/>
                <w:sz w:val="22"/>
                <w:szCs w:val="22"/>
                <w:lang w:val="fr-SN"/>
              </w:rPr>
              <w:t>ons de projets ont concerné :</w:t>
            </w:r>
            <w:r w:rsidRPr="00AC7DAF">
              <w:rPr>
                <w:rFonts w:ascii="Calibri" w:hAnsi="Calibri" w:cs="Calibri"/>
                <w:color w:val="000000"/>
                <w:sz w:val="22"/>
                <w:szCs w:val="22"/>
                <w:lang w:val="fr-SN"/>
              </w:rPr>
              <w:t xml:space="preserve"> Le programme de Bonne Gouvernance, les projets Ecovillage, Go </w:t>
            </w:r>
            <w:proofErr w:type="spellStart"/>
            <w:r w:rsidRPr="00AC7DAF">
              <w:rPr>
                <w:rFonts w:ascii="Calibri" w:hAnsi="Calibri" w:cs="Calibri"/>
                <w:color w:val="000000"/>
                <w:sz w:val="22"/>
                <w:szCs w:val="22"/>
                <w:lang w:val="fr-SN"/>
              </w:rPr>
              <w:t>wamer</w:t>
            </w:r>
            <w:proofErr w:type="spellEnd"/>
            <w:r w:rsidRPr="00AC7DAF">
              <w:rPr>
                <w:rFonts w:ascii="Calibri" w:hAnsi="Calibri" w:cs="Calibri"/>
                <w:color w:val="000000"/>
                <w:sz w:val="22"/>
                <w:szCs w:val="22"/>
                <w:lang w:val="fr-SN"/>
              </w:rPr>
              <w:t xml:space="preserve"> PADEL Typha et Efficacité énergétique dans le Bâtiment.</w:t>
            </w:r>
            <w:r>
              <w:rPr>
                <w:rFonts w:ascii="Calibri" w:hAnsi="Calibri" w:cs="Calibri"/>
                <w:color w:val="000000"/>
                <w:sz w:val="22"/>
                <w:szCs w:val="22"/>
                <w:lang w:val="fr-SN"/>
              </w:rPr>
              <w:t xml:space="preserve"> </w:t>
            </w:r>
            <w:r w:rsidRPr="00AC7DAF">
              <w:rPr>
                <w:rFonts w:ascii="Calibri" w:hAnsi="Calibri" w:cs="Calibri"/>
                <w:color w:val="000000"/>
                <w:sz w:val="22"/>
                <w:szCs w:val="22"/>
                <w:lang w:val="fr-SN"/>
              </w:rPr>
              <w:t>L’évaluation de l’effet portait sur l’effet 1 intitulé « </w:t>
            </w:r>
            <w:r w:rsidRPr="00AC7DAF">
              <w:rPr>
                <w:lang w:val="fr-SN"/>
              </w:rPr>
              <w:t>Les producteurs augmentent leurs revenus en utilisant de nouvelles connaissances, technologies et</w:t>
            </w:r>
            <w:r>
              <w:rPr>
                <w:lang w:val="fr-SN"/>
              </w:rPr>
              <w:t xml:space="preserve"> </w:t>
            </w:r>
            <w:r w:rsidRPr="00AC7DAF">
              <w:rPr>
                <w:lang w:val="fr-SN"/>
              </w:rPr>
              <w:t>investissements à haute valeur ajoutée</w:t>
            </w:r>
            <w:r w:rsidRPr="00AC7DAF">
              <w:rPr>
                <w:rFonts w:ascii="Calibri" w:hAnsi="Calibri" w:cs="Calibri"/>
                <w:color w:val="000000"/>
                <w:sz w:val="22"/>
                <w:szCs w:val="22"/>
                <w:lang w:val="fr-SN"/>
              </w:rPr>
              <w:t> » et a fait ressortir : une pertinence très forte du fait de son alignement aux priorités de développement du Sénégal L’efficacité et l’efficience ont été également démontrées au regard des résultats atteints par rapport aux ressources mises à dispositions et à l’atteinte des objectifs fixés au départ Toutefois, il est recommandé de bâtir des partenariats solides pour financier les gaps de financements des projets et programmes.</w:t>
            </w:r>
          </w:p>
          <w:p w:rsidR="001B6262" w:rsidRPr="00871E37" w:rsidRDefault="00AC7DAF" w:rsidP="00AC7DAF">
            <w:pPr>
              <w:pStyle w:val="BodyText2"/>
              <w:spacing w:after="120"/>
              <w:jc w:val="both"/>
              <w:rPr>
                <w:rFonts w:asciiTheme="minorHAnsi" w:hAnsiTheme="minorHAnsi"/>
                <w:highlight w:val="yellow"/>
                <w:lang w:val="fr-FR"/>
              </w:rPr>
            </w:pPr>
            <w:r w:rsidRPr="00AC7DAF">
              <w:rPr>
                <w:rFonts w:ascii="Calibri" w:hAnsi="Calibri" w:cs="Calibri"/>
                <w:color w:val="000000"/>
                <w:sz w:val="22"/>
                <w:szCs w:val="22"/>
                <w:lang w:val="fr-SN"/>
              </w:rPr>
              <w:t xml:space="preserve">De même l’évaluation du CPD ressort l’alignement du programme aux priorités de l’Etat et au PS du PNUD ainsi qu’au PNUAD., sa pertinence son efficacité, son efficience sont également soulignées. En termes de leçons apprises, la mobilisation des ressources notamment celles du Gouvernement avec le PUDC est un cas d’école, toutes fois le Bureau éviter que le PUDC inhibe les autres programmes et </w:t>
            </w:r>
            <w:r w:rsidR="00401B8E" w:rsidRPr="00AC7DAF">
              <w:rPr>
                <w:rFonts w:ascii="Calibri" w:hAnsi="Calibri" w:cs="Calibri"/>
                <w:color w:val="000000"/>
                <w:sz w:val="22"/>
                <w:szCs w:val="22"/>
                <w:lang w:val="fr-SN"/>
              </w:rPr>
              <w:t>projets.</w:t>
            </w:r>
            <w:r w:rsidRPr="00AC7DAF">
              <w:rPr>
                <w:rFonts w:ascii="Calibri" w:hAnsi="Calibri" w:cs="Calibri"/>
                <w:color w:val="000000"/>
                <w:sz w:val="22"/>
                <w:szCs w:val="22"/>
                <w:lang w:val="fr-SN"/>
              </w:rPr>
              <w:t xml:space="preserve"> Quant à la durabilité, L’ancrage institutionnel des unités de gestion au sein des structures nationales, l’existence de nombreux mécanismes et outils développés, couplés aux actions de renforcement de capacités des experts dans les institutions</w:t>
            </w:r>
            <w:r w:rsidRPr="00AC7DAF">
              <w:rPr>
                <w:rFonts w:ascii="Calibri" w:hAnsi="Calibri" w:cs="Calibri"/>
                <w:color w:val="000000"/>
                <w:sz w:val="22"/>
                <w:szCs w:val="22"/>
                <w:lang w:val="fr-SN"/>
              </w:rPr>
              <w:br/>
              <w:t>concernées constitue un gage pour la durabilité des résultats acquis.</w:t>
            </w:r>
            <w:r>
              <w:rPr>
                <w:rFonts w:ascii="Calibri" w:hAnsi="Calibri" w:cs="Calibri"/>
                <w:color w:val="000000"/>
                <w:sz w:val="22"/>
                <w:szCs w:val="22"/>
                <w:lang w:val="fr-SN"/>
              </w:rPr>
              <w:t xml:space="preserve"> </w:t>
            </w:r>
            <w:r w:rsidRPr="00AC7DAF">
              <w:rPr>
                <w:rFonts w:ascii="Calibri" w:hAnsi="Calibri" w:cs="Calibri"/>
                <w:color w:val="000000"/>
                <w:sz w:val="22"/>
                <w:szCs w:val="22"/>
                <w:lang w:val="fr-SN"/>
              </w:rPr>
              <w:t>La durabilité/pérennité du Programme est considérée comme appréciable</w:t>
            </w:r>
            <w:r>
              <w:rPr>
                <w:rFonts w:ascii="Calibri" w:hAnsi="Calibri" w:cs="Calibri"/>
                <w:color w:val="000000"/>
                <w:sz w:val="22"/>
                <w:szCs w:val="22"/>
                <w:lang w:val="fr-SN"/>
              </w:rPr>
              <w:t xml:space="preserve"> </w:t>
            </w:r>
            <w:r w:rsidRPr="00AC7DAF">
              <w:rPr>
                <w:rFonts w:ascii="Calibri" w:hAnsi="Calibri" w:cs="Calibri"/>
                <w:color w:val="000000"/>
                <w:sz w:val="22"/>
                <w:szCs w:val="22"/>
                <w:lang w:val="fr-SN"/>
              </w:rPr>
              <w:t>Le genre est également pris en compte dans le plaidoyer, les stratégies et les activités du programme ;</w:t>
            </w:r>
            <w:r>
              <w:rPr>
                <w:rFonts w:ascii="Calibri" w:hAnsi="Calibri" w:cs="Calibri"/>
                <w:color w:val="000000"/>
                <w:sz w:val="22"/>
                <w:szCs w:val="22"/>
                <w:lang w:val="fr-SN"/>
              </w:rPr>
              <w:t xml:space="preserve"> </w:t>
            </w:r>
          </w:p>
        </w:tc>
      </w:tr>
    </w:tbl>
    <w:p w:rsidR="00E37E7A" w:rsidRPr="006E72DF" w:rsidRDefault="00EA7740" w:rsidP="001B5B87">
      <w:pPr>
        <w:pStyle w:val="BodyText2"/>
        <w:jc w:val="center"/>
        <w:rPr>
          <w:rFonts w:asciiTheme="minorHAnsi" w:hAnsiTheme="minorHAnsi"/>
          <w:b/>
          <w:sz w:val="24"/>
          <w:lang w:val="fr-FR"/>
        </w:rPr>
      </w:pPr>
      <w:r w:rsidRPr="006E72DF">
        <w:rPr>
          <w:rFonts w:asciiTheme="minorHAnsi" w:hAnsiTheme="minorHAnsi"/>
          <w:b/>
          <w:sz w:val="24"/>
          <w:lang w:val="fr-FR"/>
        </w:rPr>
        <w:t xml:space="preserve">III. </w:t>
      </w:r>
      <w:r w:rsidR="00E37E7A" w:rsidRPr="006E72DF">
        <w:rPr>
          <w:rFonts w:asciiTheme="minorHAnsi" w:hAnsiTheme="minorHAnsi"/>
          <w:b/>
          <w:sz w:val="24"/>
          <w:lang w:val="fr-FR"/>
        </w:rPr>
        <w:t>Res</w:t>
      </w:r>
      <w:r w:rsidR="003F7542" w:rsidRPr="006E72DF">
        <w:rPr>
          <w:rFonts w:asciiTheme="minorHAnsi" w:hAnsiTheme="minorHAnsi"/>
          <w:b/>
          <w:sz w:val="24"/>
          <w:lang w:val="fr-FR"/>
        </w:rPr>
        <w:t>s</w:t>
      </w:r>
      <w:r w:rsidR="00E37E7A" w:rsidRPr="006E72DF">
        <w:rPr>
          <w:rFonts w:asciiTheme="minorHAnsi" w:hAnsiTheme="minorHAnsi"/>
          <w:b/>
          <w:sz w:val="24"/>
          <w:lang w:val="fr-FR"/>
        </w:rPr>
        <w:t>ources</w:t>
      </w:r>
      <w:r w:rsidR="003F7542" w:rsidRPr="006E72DF">
        <w:rPr>
          <w:rFonts w:asciiTheme="minorHAnsi" w:hAnsiTheme="minorHAnsi"/>
          <w:b/>
          <w:sz w:val="24"/>
          <w:lang w:val="fr-FR"/>
        </w:rPr>
        <w:t xml:space="preserve"> du programme pays </w:t>
      </w:r>
    </w:p>
    <w:tbl>
      <w:tblPr>
        <w:tblStyle w:val="TableGrid"/>
        <w:tblW w:w="0" w:type="auto"/>
        <w:tblLook w:val="04A0" w:firstRow="1" w:lastRow="0" w:firstColumn="1" w:lastColumn="0" w:noHBand="0" w:noVBand="1"/>
      </w:tblPr>
      <w:tblGrid>
        <w:gridCol w:w="6600"/>
        <w:gridCol w:w="2049"/>
        <w:gridCol w:w="2064"/>
        <w:gridCol w:w="1974"/>
        <w:gridCol w:w="1263"/>
      </w:tblGrid>
      <w:tr w:rsidR="00F555D2" w:rsidRPr="0028553F" w:rsidTr="00E83D21">
        <w:tc>
          <w:tcPr>
            <w:tcW w:w="6629" w:type="dxa"/>
            <w:shd w:val="clear" w:color="auto" w:fill="000000" w:themeFill="text1"/>
          </w:tcPr>
          <w:p w:rsidR="0015409F" w:rsidRPr="006E72DF" w:rsidRDefault="0015409F" w:rsidP="001B5B87">
            <w:pPr>
              <w:pStyle w:val="BodyText2"/>
              <w:jc w:val="center"/>
              <w:rPr>
                <w:rFonts w:asciiTheme="minorHAnsi" w:hAnsiTheme="minorHAnsi"/>
                <w:b/>
                <w:sz w:val="24"/>
              </w:rPr>
            </w:pPr>
            <w:r w:rsidRPr="006E72DF">
              <w:rPr>
                <w:rFonts w:asciiTheme="minorHAnsi" w:hAnsiTheme="minorHAnsi"/>
                <w:b/>
                <w:sz w:val="24"/>
              </w:rPr>
              <w:t>Focus Area</w:t>
            </w:r>
          </w:p>
        </w:tc>
        <w:tc>
          <w:tcPr>
            <w:tcW w:w="6106" w:type="dxa"/>
            <w:gridSpan w:val="3"/>
            <w:shd w:val="clear" w:color="auto" w:fill="000000" w:themeFill="text1"/>
          </w:tcPr>
          <w:p w:rsidR="0015409F" w:rsidRPr="006E72DF" w:rsidRDefault="000D6DE5" w:rsidP="001B5B87">
            <w:pPr>
              <w:pStyle w:val="BodyText2"/>
              <w:jc w:val="center"/>
              <w:rPr>
                <w:rFonts w:asciiTheme="minorHAnsi" w:hAnsiTheme="minorHAnsi"/>
                <w:b/>
                <w:sz w:val="24"/>
              </w:rPr>
            </w:pPr>
            <w:proofErr w:type="spellStart"/>
            <w:r w:rsidRPr="006E72DF">
              <w:rPr>
                <w:rFonts w:asciiTheme="minorHAnsi" w:hAnsiTheme="minorHAnsi"/>
                <w:b/>
                <w:sz w:val="24"/>
              </w:rPr>
              <w:t>Programme</w:t>
            </w:r>
            <w:proofErr w:type="spellEnd"/>
            <w:r w:rsidRPr="006E72DF">
              <w:rPr>
                <w:rFonts w:asciiTheme="minorHAnsi" w:hAnsiTheme="minorHAnsi"/>
                <w:b/>
                <w:sz w:val="24"/>
              </w:rPr>
              <w:t xml:space="preserve"> </w:t>
            </w:r>
            <w:r w:rsidR="0015409F" w:rsidRPr="006E72DF">
              <w:rPr>
                <w:rFonts w:asciiTheme="minorHAnsi" w:hAnsiTheme="minorHAnsi"/>
                <w:b/>
                <w:sz w:val="24"/>
              </w:rPr>
              <w:t>Expenditure ($)</w:t>
            </w:r>
          </w:p>
        </w:tc>
        <w:tc>
          <w:tcPr>
            <w:tcW w:w="1265" w:type="dxa"/>
            <w:shd w:val="clear" w:color="auto" w:fill="000000" w:themeFill="text1"/>
          </w:tcPr>
          <w:p w:rsidR="0015409F" w:rsidRPr="006E72DF" w:rsidRDefault="0015409F" w:rsidP="001B5B87">
            <w:pPr>
              <w:pStyle w:val="BodyText2"/>
              <w:jc w:val="center"/>
              <w:rPr>
                <w:rFonts w:asciiTheme="minorHAnsi" w:hAnsiTheme="minorHAnsi"/>
                <w:b/>
                <w:sz w:val="24"/>
              </w:rPr>
            </w:pPr>
            <w:r w:rsidRPr="006E72DF">
              <w:rPr>
                <w:rFonts w:asciiTheme="minorHAnsi" w:hAnsiTheme="minorHAnsi"/>
                <w:b/>
                <w:sz w:val="24"/>
              </w:rPr>
              <w:t>% of Total</w:t>
            </w:r>
          </w:p>
        </w:tc>
      </w:tr>
      <w:tr w:rsidR="00F555D2" w:rsidRPr="0028553F" w:rsidTr="00BF2F2C">
        <w:tc>
          <w:tcPr>
            <w:tcW w:w="6629" w:type="dxa"/>
          </w:tcPr>
          <w:p w:rsidR="000D6DE5" w:rsidRPr="0028553F" w:rsidRDefault="000D6DE5" w:rsidP="001B5B87">
            <w:pPr>
              <w:pStyle w:val="BodyText2"/>
              <w:rPr>
                <w:rFonts w:asciiTheme="minorHAnsi" w:hAnsiTheme="minorHAnsi"/>
              </w:rPr>
            </w:pPr>
          </w:p>
        </w:tc>
        <w:tc>
          <w:tcPr>
            <w:tcW w:w="2056" w:type="dxa"/>
            <w:shd w:val="clear" w:color="auto" w:fill="DDD9C3" w:themeFill="background2" w:themeFillShade="E6"/>
          </w:tcPr>
          <w:p w:rsidR="000D6DE5" w:rsidRPr="0028553F" w:rsidRDefault="000D6DE5" w:rsidP="001B5B87">
            <w:pPr>
              <w:pStyle w:val="BodyText2"/>
              <w:jc w:val="center"/>
              <w:rPr>
                <w:rFonts w:asciiTheme="minorHAnsi" w:hAnsiTheme="minorHAnsi"/>
                <w:b/>
              </w:rPr>
            </w:pPr>
            <w:r w:rsidRPr="0028553F">
              <w:rPr>
                <w:rFonts w:asciiTheme="minorHAnsi" w:hAnsiTheme="minorHAnsi"/>
                <w:b/>
              </w:rPr>
              <w:t>Regular (TRAC)</w:t>
            </w:r>
          </w:p>
        </w:tc>
        <w:tc>
          <w:tcPr>
            <w:tcW w:w="2070" w:type="dxa"/>
            <w:shd w:val="clear" w:color="auto" w:fill="DDD9C3" w:themeFill="background2" w:themeFillShade="E6"/>
          </w:tcPr>
          <w:p w:rsidR="000D6DE5" w:rsidRPr="0028553F" w:rsidRDefault="000D6DE5" w:rsidP="001B5B87">
            <w:pPr>
              <w:pStyle w:val="BodyText2"/>
              <w:jc w:val="center"/>
              <w:rPr>
                <w:rFonts w:asciiTheme="minorHAnsi" w:hAnsiTheme="minorHAnsi"/>
                <w:b/>
              </w:rPr>
            </w:pPr>
            <w:r w:rsidRPr="0028553F">
              <w:rPr>
                <w:rFonts w:asciiTheme="minorHAnsi" w:hAnsiTheme="minorHAnsi"/>
                <w:b/>
              </w:rPr>
              <w:t>Other</w:t>
            </w:r>
          </w:p>
        </w:tc>
        <w:tc>
          <w:tcPr>
            <w:tcW w:w="1980" w:type="dxa"/>
            <w:shd w:val="clear" w:color="auto" w:fill="DDD9C3" w:themeFill="background2" w:themeFillShade="E6"/>
          </w:tcPr>
          <w:p w:rsidR="000D6DE5" w:rsidRPr="0028553F" w:rsidRDefault="000D6DE5" w:rsidP="001B5B87">
            <w:pPr>
              <w:pStyle w:val="BodyText2"/>
              <w:jc w:val="center"/>
              <w:rPr>
                <w:rFonts w:asciiTheme="minorHAnsi" w:hAnsiTheme="minorHAnsi"/>
                <w:b/>
              </w:rPr>
            </w:pPr>
            <w:r w:rsidRPr="0028553F">
              <w:rPr>
                <w:rFonts w:asciiTheme="minorHAnsi" w:hAnsiTheme="minorHAnsi"/>
                <w:b/>
              </w:rPr>
              <w:t>Total</w:t>
            </w:r>
          </w:p>
        </w:tc>
        <w:tc>
          <w:tcPr>
            <w:tcW w:w="1265" w:type="dxa"/>
            <w:shd w:val="clear" w:color="auto" w:fill="DDD9C3" w:themeFill="background2" w:themeFillShade="E6"/>
          </w:tcPr>
          <w:p w:rsidR="000D6DE5" w:rsidRPr="0028553F" w:rsidRDefault="000D6DE5" w:rsidP="001B5B87">
            <w:pPr>
              <w:pStyle w:val="BodyText2"/>
              <w:jc w:val="center"/>
              <w:rPr>
                <w:rFonts w:asciiTheme="minorHAnsi" w:hAnsiTheme="minorHAnsi"/>
              </w:rPr>
            </w:pPr>
          </w:p>
        </w:tc>
      </w:tr>
      <w:tr w:rsidR="00253853" w:rsidRPr="0028553F" w:rsidTr="00C1487A">
        <w:tc>
          <w:tcPr>
            <w:tcW w:w="6629" w:type="dxa"/>
          </w:tcPr>
          <w:p w:rsidR="00253853" w:rsidRPr="0028553F" w:rsidRDefault="00253853" w:rsidP="00C1487A">
            <w:pPr>
              <w:pStyle w:val="BodyText2"/>
              <w:rPr>
                <w:rFonts w:asciiTheme="minorHAnsi" w:hAnsiTheme="minorHAnsi"/>
              </w:rPr>
            </w:pPr>
            <w:r w:rsidRPr="0028553F">
              <w:rPr>
                <w:rFonts w:asciiTheme="minorHAnsi" w:hAnsiTheme="minorHAnsi"/>
              </w:rPr>
              <w:t>Democratic Governance</w:t>
            </w:r>
          </w:p>
        </w:tc>
        <w:tc>
          <w:tcPr>
            <w:tcW w:w="2056" w:type="dxa"/>
            <w:vAlign w:val="center"/>
          </w:tcPr>
          <w:p w:rsidR="00253853" w:rsidRPr="0028553F" w:rsidRDefault="00FA78EE" w:rsidP="00C1487A">
            <w:pPr>
              <w:pStyle w:val="BodyText2"/>
              <w:jc w:val="center"/>
              <w:rPr>
                <w:rFonts w:asciiTheme="minorHAnsi" w:hAnsiTheme="minorHAnsi"/>
              </w:rPr>
            </w:pPr>
            <w:r>
              <w:rPr>
                <w:rFonts w:ascii="Calibri" w:hAnsi="Calibri"/>
                <w:lang w:val="fr-FR" w:eastAsia="fr-FR"/>
              </w:rPr>
              <w:t>6 318 700</w:t>
            </w:r>
            <w:r w:rsidR="00253853" w:rsidRPr="006E72DF">
              <w:rPr>
                <w:rFonts w:ascii="Calibri" w:hAnsi="Calibri"/>
                <w:lang w:val="fr-FR" w:eastAsia="fr-FR"/>
              </w:rPr>
              <w:t xml:space="preserve">   </w:t>
            </w:r>
          </w:p>
        </w:tc>
        <w:tc>
          <w:tcPr>
            <w:tcW w:w="2070" w:type="dxa"/>
            <w:vAlign w:val="center"/>
          </w:tcPr>
          <w:p w:rsidR="00253853" w:rsidRPr="0028553F" w:rsidRDefault="00253853" w:rsidP="00C1487A">
            <w:pPr>
              <w:pStyle w:val="BodyText2"/>
              <w:jc w:val="center"/>
              <w:rPr>
                <w:rFonts w:asciiTheme="minorHAnsi" w:hAnsiTheme="minorHAnsi"/>
              </w:rPr>
            </w:pPr>
            <w:r w:rsidRPr="006E72DF">
              <w:rPr>
                <w:rFonts w:ascii="Calibri" w:hAnsi="Calibri"/>
                <w:lang w:val="fr-FR" w:eastAsia="fr-FR"/>
              </w:rPr>
              <w:t xml:space="preserve">          </w:t>
            </w:r>
            <w:r w:rsidR="00FA78EE">
              <w:rPr>
                <w:rFonts w:ascii="Calibri" w:hAnsi="Calibri"/>
                <w:lang w:val="fr-FR" w:eastAsia="fr-FR"/>
              </w:rPr>
              <w:t>20 465 300</w:t>
            </w:r>
            <w:r w:rsidRPr="006E72DF">
              <w:rPr>
                <w:rFonts w:ascii="Calibri" w:hAnsi="Calibri"/>
                <w:lang w:val="fr-FR" w:eastAsia="fr-FR"/>
              </w:rPr>
              <w:t xml:space="preserve">   </w:t>
            </w:r>
          </w:p>
        </w:tc>
        <w:tc>
          <w:tcPr>
            <w:tcW w:w="1980" w:type="dxa"/>
            <w:vAlign w:val="center"/>
          </w:tcPr>
          <w:p w:rsidR="00253853" w:rsidRPr="0028553F" w:rsidRDefault="00253853" w:rsidP="00C1487A">
            <w:pPr>
              <w:pStyle w:val="BodyText2"/>
              <w:jc w:val="center"/>
              <w:rPr>
                <w:rFonts w:asciiTheme="minorHAnsi" w:hAnsiTheme="minorHAnsi"/>
              </w:rPr>
            </w:pPr>
            <w:r w:rsidRPr="0028553F">
              <w:rPr>
                <w:rFonts w:ascii="Calibri" w:hAnsi="Calibri"/>
                <w:lang w:val="fr-FR" w:eastAsia="fr-FR"/>
              </w:rPr>
              <w:t xml:space="preserve">   </w:t>
            </w:r>
            <w:r w:rsidR="00FA78EE">
              <w:rPr>
                <w:rFonts w:ascii="Calibri" w:hAnsi="Calibri"/>
                <w:lang w:val="fr-FR" w:eastAsia="fr-FR"/>
              </w:rPr>
              <w:t>26 784 000</w:t>
            </w:r>
            <w:r w:rsidRPr="006E72DF">
              <w:rPr>
                <w:rFonts w:ascii="Calibri" w:hAnsi="Calibri"/>
                <w:lang w:val="fr-FR" w:eastAsia="fr-FR"/>
              </w:rPr>
              <w:t xml:space="preserve">   </w:t>
            </w:r>
          </w:p>
        </w:tc>
        <w:tc>
          <w:tcPr>
            <w:tcW w:w="1265" w:type="dxa"/>
            <w:vAlign w:val="center"/>
          </w:tcPr>
          <w:p w:rsidR="00253853" w:rsidRPr="0028553F" w:rsidRDefault="00FA78EE" w:rsidP="00C1487A">
            <w:pPr>
              <w:pStyle w:val="BodyText2"/>
              <w:jc w:val="center"/>
              <w:rPr>
                <w:rFonts w:asciiTheme="minorHAnsi" w:hAnsiTheme="minorHAnsi"/>
              </w:rPr>
            </w:pPr>
            <w:r>
              <w:rPr>
                <w:rFonts w:ascii="Calibri" w:hAnsi="Calibri"/>
                <w:lang w:val="fr-FR" w:eastAsia="fr-FR"/>
              </w:rPr>
              <w:t>11,36</w:t>
            </w:r>
            <w:r w:rsidR="00253853" w:rsidRPr="006E72DF">
              <w:rPr>
                <w:rFonts w:ascii="Calibri" w:hAnsi="Calibri"/>
                <w:lang w:val="fr-FR" w:eastAsia="fr-FR"/>
              </w:rPr>
              <w:t>%</w:t>
            </w:r>
          </w:p>
        </w:tc>
      </w:tr>
      <w:tr w:rsidR="00F555D2" w:rsidRPr="0028553F" w:rsidTr="00E83D21">
        <w:tc>
          <w:tcPr>
            <w:tcW w:w="6629" w:type="dxa"/>
          </w:tcPr>
          <w:p w:rsidR="00FE74A3" w:rsidRPr="0028553F" w:rsidRDefault="00FE74A3" w:rsidP="001B5B87">
            <w:pPr>
              <w:pStyle w:val="BodyText2"/>
              <w:rPr>
                <w:rFonts w:asciiTheme="minorHAnsi" w:hAnsiTheme="minorHAnsi"/>
              </w:rPr>
            </w:pPr>
            <w:r w:rsidRPr="0028553F">
              <w:rPr>
                <w:rFonts w:asciiTheme="minorHAnsi" w:hAnsiTheme="minorHAnsi"/>
              </w:rPr>
              <w:t>Poverty and MDGs</w:t>
            </w:r>
          </w:p>
        </w:tc>
        <w:tc>
          <w:tcPr>
            <w:tcW w:w="2056" w:type="dxa"/>
            <w:vAlign w:val="center"/>
          </w:tcPr>
          <w:p w:rsidR="00FE74A3" w:rsidRPr="0028553F" w:rsidRDefault="00FA78EE" w:rsidP="001B5B87">
            <w:pPr>
              <w:pStyle w:val="BodyText2"/>
              <w:jc w:val="center"/>
              <w:rPr>
                <w:rFonts w:asciiTheme="minorHAnsi" w:hAnsiTheme="minorHAnsi"/>
              </w:rPr>
            </w:pPr>
            <w:r>
              <w:rPr>
                <w:rFonts w:ascii="Calibri" w:hAnsi="Calibri"/>
                <w:lang w:val="fr-FR" w:eastAsia="fr-FR"/>
              </w:rPr>
              <w:t>6 439 400</w:t>
            </w:r>
            <w:r w:rsidR="00FE74A3" w:rsidRPr="006E72DF">
              <w:rPr>
                <w:rFonts w:ascii="Calibri" w:hAnsi="Calibri"/>
                <w:lang w:val="fr-FR" w:eastAsia="fr-FR"/>
              </w:rPr>
              <w:t xml:space="preserve">   </w:t>
            </w:r>
          </w:p>
        </w:tc>
        <w:tc>
          <w:tcPr>
            <w:tcW w:w="2070" w:type="dxa"/>
            <w:vAlign w:val="center"/>
          </w:tcPr>
          <w:p w:rsidR="00FE74A3" w:rsidRPr="0028553F" w:rsidRDefault="00FE74A3">
            <w:pPr>
              <w:pStyle w:val="BodyText2"/>
              <w:jc w:val="center"/>
              <w:rPr>
                <w:rFonts w:asciiTheme="minorHAnsi" w:hAnsiTheme="minorHAnsi"/>
              </w:rPr>
            </w:pPr>
            <w:r w:rsidRPr="006E72DF">
              <w:rPr>
                <w:rFonts w:ascii="Calibri" w:hAnsi="Calibri"/>
                <w:lang w:val="fr-FR" w:eastAsia="fr-FR"/>
              </w:rPr>
              <w:t xml:space="preserve">  </w:t>
            </w:r>
            <w:r w:rsidR="00FA78EE">
              <w:rPr>
                <w:rFonts w:ascii="Calibri" w:hAnsi="Calibri"/>
                <w:sz w:val="22"/>
                <w:szCs w:val="22"/>
              </w:rPr>
              <w:t>150 463 600</w:t>
            </w:r>
            <w:r w:rsidRPr="006E72DF">
              <w:rPr>
                <w:rFonts w:ascii="Calibri" w:hAnsi="Calibri"/>
                <w:lang w:val="fr-FR" w:eastAsia="fr-FR"/>
              </w:rPr>
              <w:t xml:space="preserve">   </w:t>
            </w:r>
          </w:p>
        </w:tc>
        <w:tc>
          <w:tcPr>
            <w:tcW w:w="1980" w:type="dxa"/>
            <w:vAlign w:val="center"/>
          </w:tcPr>
          <w:p w:rsidR="00FE74A3" w:rsidRPr="0028553F" w:rsidRDefault="0005193C" w:rsidP="001B5B87">
            <w:pPr>
              <w:pStyle w:val="BodyText2"/>
              <w:jc w:val="center"/>
              <w:rPr>
                <w:rFonts w:asciiTheme="minorHAnsi" w:hAnsiTheme="minorHAnsi"/>
              </w:rPr>
            </w:pPr>
            <w:r>
              <w:rPr>
                <w:rFonts w:ascii="Calibri" w:hAnsi="Calibri"/>
                <w:lang w:val="fr-FR" w:eastAsia="fr-FR"/>
              </w:rPr>
              <w:t xml:space="preserve">  </w:t>
            </w:r>
            <w:r w:rsidR="00FA78EE">
              <w:rPr>
                <w:rFonts w:ascii="Calibri" w:hAnsi="Calibri"/>
                <w:lang w:val="fr-FR" w:eastAsia="fr-FR"/>
              </w:rPr>
              <w:t>156 903 000</w:t>
            </w:r>
            <w:r w:rsidR="00FE74A3" w:rsidRPr="006E72DF">
              <w:rPr>
                <w:rFonts w:ascii="Calibri" w:hAnsi="Calibri"/>
                <w:lang w:val="fr-FR" w:eastAsia="fr-FR"/>
              </w:rPr>
              <w:t xml:space="preserve">   </w:t>
            </w:r>
          </w:p>
        </w:tc>
        <w:tc>
          <w:tcPr>
            <w:tcW w:w="1265" w:type="dxa"/>
            <w:vAlign w:val="center"/>
          </w:tcPr>
          <w:p w:rsidR="00FE74A3" w:rsidRPr="0028553F" w:rsidRDefault="00FA78EE" w:rsidP="001B5B87">
            <w:pPr>
              <w:pStyle w:val="BodyText2"/>
              <w:jc w:val="center"/>
              <w:rPr>
                <w:rFonts w:asciiTheme="minorHAnsi" w:hAnsiTheme="minorHAnsi"/>
              </w:rPr>
            </w:pPr>
            <w:r>
              <w:rPr>
                <w:rFonts w:ascii="Calibri" w:hAnsi="Calibri"/>
                <w:lang w:val="fr-FR" w:eastAsia="fr-FR"/>
              </w:rPr>
              <w:t>66,48</w:t>
            </w:r>
            <w:r w:rsidR="00FE74A3" w:rsidRPr="006E72DF">
              <w:rPr>
                <w:rFonts w:ascii="Calibri" w:hAnsi="Calibri"/>
                <w:lang w:val="fr-FR" w:eastAsia="fr-FR"/>
              </w:rPr>
              <w:t>%</w:t>
            </w:r>
          </w:p>
        </w:tc>
      </w:tr>
      <w:tr w:rsidR="00F555D2" w:rsidRPr="0028553F" w:rsidTr="00E83D21">
        <w:tc>
          <w:tcPr>
            <w:tcW w:w="6629" w:type="dxa"/>
          </w:tcPr>
          <w:p w:rsidR="00FE74A3" w:rsidRPr="0028553F" w:rsidRDefault="00FE74A3" w:rsidP="001B5B87">
            <w:pPr>
              <w:pStyle w:val="BodyText2"/>
              <w:rPr>
                <w:rFonts w:asciiTheme="minorHAnsi" w:hAnsiTheme="minorHAnsi"/>
              </w:rPr>
            </w:pPr>
            <w:r w:rsidRPr="0028553F">
              <w:rPr>
                <w:rFonts w:asciiTheme="minorHAnsi" w:hAnsiTheme="minorHAnsi"/>
              </w:rPr>
              <w:t>Environment and Sustainable Development</w:t>
            </w:r>
          </w:p>
        </w:tc>
        <w:tc>
          <w:tcPr>
            <w:tcW w:w="2056" w:type="dxa"/>
            <w:vAlign w:val="center"/>
          </w:tcPr>
          <w:p w:rsidR="00FE74A3" w:rsidRPr="0028553F" w:rsidRDefault="00FA78EE" w:rsidP="001B5B87">
            <w:pPr>
              <w:pStyle w:val="BodyText2"/>
              <w:jc w:val="center"/>
              <w:rPr>
                <w:rFonts w:asciiTheme="minorHAnsi" w:hAnsiTheme="minorHAnsi"/>
              </w:rPr>
            </w:pPr>
            <w:r>
              <w:rPr>
                <w:rFonts w:ascii="Calibri" w:hAnsi="Calibri"/>
                <w:lang w:val="fr-FR" w:eastAsia="fr-FR"/>
              </w:rPr>
              <w:t>4 508 700</w:t>
            </w:r>
          </w:p>
        </w:tc>
        <w:tc>
          <w:tcPr>
            <w:tcW w:w="2070" w:type="dxa"/>
            <w:vAlign w:val="center"/>
          </w:tcPr>
          <w:p w:rsidR="00FE74A3" w:rsidRPr="0028553F" w:rsidRDefault="00FA78EE" w:rsidP="007823A7">
            <w:pPr>
              <w:pStyle w:val="BodyText2"/>
              <w:jc w:val="center"/>
              <w:rPr>
                <w:rFonts w:asciiTheme="minorHAnsi" w:hAnsiTheme="minorHAnsi"/>
              </w:rPr>
            </w:pPr>
            <w:r>
              <w:rPr>
                <w:rFonts w:ascii="Calibri" w:hAnsi="Calibri"/>
                <w:lang w:val="fr-FR" w:eastAsia="fr-FR"/>
              </w:rPr>
              <w:t>47 816 800</w:t>
            </w:r>
            <w:r w:rsidR="00FE74A3" w:rsidRPr="006E72DF">
              <w:rPr>
                <w:rFonts w:ascii="Calibri" w:hAnsi="Calibri"/>
                <w:lang w:val="fr-FR" w:eastAsia="fr-FR"/>
              </w:rPr>
              <w:t xml:space="preserve">   </w:t>
            </w:r>
          </w:p>
        </w:tc>
        <w:tc>
          <w:tcPr>
            <w:tcW w:w="1980" w:type="dxa"/>
            <w:vAlign w:val="center"/>
          </w:tcPr>
          <w:p w:rsidR="00FE74A3" w:rsidRPr="0028553F" w:rsidRDefault="00FE74A3" w:rsidP="007823A7">
            <w:pPr>
              <w:pStyle w:val="BodyText2"/>
              <w:jc w:val="center"/>
              <w:rPr>
                <w:rFonts w:asciiTheme="minorHAnsi" w:hAnsiTheme="minorHAnsi"/>
              </w:rPr>
            </w:pPr>
            <w:r w:rsidRPr="006E72DF">
              <w:rPr>
                <w:rFonts w:ascii="Calibri" w:hAnsi="Calibri"/>
                <w:lang w:val="fr-FR" w:eastAsia="fr-FR"/>
              </w:rPr>
              <w:t xml:space="preserve">    </w:t>
            </w:r>
            <w:r w:rsidR="00FA78EE">
              <w:rPr>
                <w:rFonts w:ascii="Calibri" w:hAnsi="Calibri"/>
                <w:lang w:val="fr-FR" w:eastAsia="fr-FR"/>
              </w:rPr>
              <w:t>52 325 500</w:t>
            </w:r>
            <w:r w:rsidRPr="006E72DF">
              <w:rPr>
                <w:rFonts w:ascii="Calibri" w:hAnsi="Calibri"/>
                <w:lang w:val="fr-FR" w:eastAsia="fr-FR"/>
              </w:rPr>
              <w:t xml:space="preserve">   </w:t>
            </w:r>
          </w:p>
        </w:tc>
        <w:tc>
          <w:tcPr>
            <w:tcW w:w="1265" w:type="dxa"/>
            <w:vAlign w:val="center"/>
          </w:tcPr>
          <w:p w:rsidR="00FE74A3" w:rsidRPr="0028553F" w:rsidRDefault="00FA78EE" w:rsidP="00D14997">
            <w:pPr>
              <w:pStyle w:val="BodyText2"/>
              <w:jc w:val="center"/>
              <w:rPr>
                <w:rFonts w:asciiTheme="minorHAnsi" w:hAnsiTheme="minorHAnsi"/>
              </w:rPr>
            </w:pPr>
            <w:r>
              <w:rPr>
                <w:rFonts w:ascii="Calibri" w:hAnsi="Calibri"/>
                <w:lang w:val="fr-FR" w:eastAsia="fr-FR"/>
              </w:rPr>
              <w:t>22,17</w:t>
            </w:r>
            <w:r w:rsidR="00FE74A3" w:rsidRPr="006E72DF">
              <w:rPr>
                <w:rFonts w:ascii="Calibri" w:hAnsi="Calibri"/>
                <w:lang w:val="fr-FR" w:eastAsia="fr-FR"/>
              </w:rPr>
              <w:t>%</w:t>
            </w:r>
          </w:p>
        </w:tc>
      </w:tr>
      <w:tr w:rsidR="00F555D2" w:rsidRPr="0028553F" w:rsidTr="00E83D21">
        <w:tc>
          <w:tcPr>
            <w:tcW w:w="6629" w:type="dxa"/>
            <w:shd w:val="clear" w:color="auto" w:fill="00B0F0"/>
          </w:tcPr>
          <w:p w:rsidR="00FE74A3" w:rsidRPr="006E72DF" w:rsidRDefault="00FE74A3" w:rsidP="001B5B87">
            <w:pPr>
              <w:pStyle w:val="BodyText2"/>
              <w:jc w:val="center"/>
              <w:rPr>
                <w:rFonts w:asciiTheme="minorHAnsi" w:hAnsiTheme="minorHAnsi"/>
              </w:rPr>
            </w:pPr>
            <w:r w:rsidRPr="006E72DF">
              <w:rPr>
                <w:rFonts w:asciiTheme="minorHAnsi" w:hAnsiTheme="minorHAnsi"/>
              </w:rPr>
              <w:t>Total</w:t>
            </w:r>
          </w:p>
        </w:tc>
        <w:tc>
          <w:tcPr>
            <w:tcW w:w="2056" w:type="dxa"/>
            <w:shd w:val="clear" w:color="auto" w:fill="00B0F0"/>
            <w:vAlign w:val="center"/>
          </w:tcPr>
          <w:p w:rsidR="00FE74A3" w:rsidRPr="006E72DF" w:rsidRDefault="00FE74A3">
            <w:pPr>
              <w:pStyle w:val="BodyText2"/>
              <w:jc w:val="center"/>
              <w:rPr>
                <w:rFonts w:asciiTheme="minorHAnsi" w:hAnsiTheme="minorHAnsi"/>
              </w:rPr>
            </w:pPr>
            <w:r w:rsidRPr="006E72DF">
              <w:rPr>
                <w:rFonts w:ascii="Calibri" w:hAnsi="Calibri"/>
                <w:lang w:val="fr-FR" w:eastAsia="fr-FR"/>
              </w:rPr>
              <w:t xml:space="preserve"> </w:t>
            </w:r>
            <w:r w:rsidR="00FA78EE">
              <w:rPr>
                <w:rFonts w:ascii="Calibri" w:hAnsi="Calibri"/>
                <w:lang w:val="fr-FR" w:eastAsia="fr-FR"/>
              </w:rPr>
              <w:t>17 266 800</w:t>
            </w:r>
            <w:r w:rsidRPr="006E72DF">
              <w:rPr>
                <w:rFonts w:ascii="Calibri" w:hAnsi="Calibri"/>
                <w:lang w:val="fr-FR" w:eastAsia="fr-FR"/>
              </w:rPr>
              <w:t xml:space="preserve">   </w:t>
            </w:r>
          </w:p>
        </w:tc>
        <w:tc>
          <w:tcPr>
            <w:tcW w:w="2070" w:type="dxa"/>
            <w:shd w:val="clear" w:color="auto" w:fill="00B0F0"/>
            <w:vAlign w:val="center"/>
          </w:tcPr>
          <w:p w:rsidR="00FE74A3" w:rsidRPr="006E72DF" w:rsidRDefault="00FA78EE" w:rsidP="001B5B87">
            <w:pPr>
              <w:pStyle w:val="BodyText2"/>
              <w:jc w:val="center"/>
              <w:rPr>
                <w:rFonts w:asciiTheme="minorHAnsi" w:hAnsiTheme="minorHAnsi"/>
              </w:rPr>
            </w:pPr>
            <w:r>
              <w:rPr>
                <w:rFonts w:ascii="Calibri" w:hAnsi="Calibri"/>
                <w:lang w:val="fr-FR" w:eastAsia="fr-FR"/>
              </w:rPr>
              <w:t>218 745 700</w:t>
            </w:r>
            <w:r w:rsidR="00FE74A3" w:rsidRPr="006E72DF">
              <w:rPr>
                <w:rFonts w:ascii="Calibri" w:hAnsi="Calibri"/>
                <w:lang w:val="fr-FR" w:eastAsia="fr-FR"/>
              </w:rPr>
              <w:t xml:space="preserve">   </w:t>
            </w:r>
          </w:p>
        </w:tc>
        <w:tc>
          <w:tcPr>
            <w:tcW w:w="1980" w:type="dxa"/>
            <w:shd w:val="clear" w:color="auto" w:fill="00B0F0"/>
            <w:vAlign w:val="center"/>
          </w:tcPr>
          <w:p w:rsidR="00FE74A3" w:rsidRPr="006E72DF" w:rsidRDefault="00FA78EE" w:rsidP="001B5B87">
            <w:pPr>
              <w:pStyle w:val="BodyText2"/>
              <w:jc w:val="center"/>
              <w:rPr>
                <w:rFonts w:asciiTheme="minorHAnsi" w:hAnsiTheme="minorHAnsi"/>
              </w:rPr>
            </w:pPr>
            <w:r>
              <w:rPr>
                <w:rFonts w:ascii="Calibri" w:hAnsi="Calibri"/>
                <w:lang w:val="fr-FR" w:eastAsia="fr-FR"/>
              </w:rPr>
              <w:t>236 012 500</w:t>
            </w:r>
            <w:r w:rsidR="00FE74A3" w:rsidRPr="006E72DF">
              <w:rPr>
                <w:rFonts w:ascii="Calibri" w:hAnsi="Calibri"/>
                <w:lang w:val="fr-FR" w:eastAsia="fr-FR"/>
              </w:rPr>
              <w:t xml:space="preserve">   </w:t>
            </w:r>
          </w:p>
        </w:tc>
        <w:tc>
          <w:tcPr>
            <w:tcW w:w="1265" w:type="dxa"/>
            <w:shd w:val="clear" w:color="auto" w:fill="00B0F0"/>
            <w:vAlign w:val="center"/>
          </w:tcPr>
          <w:p w:rsidR="00FE74A3" w:rsidRPr="006E72DF" w:rsidRDefault="00FE74A3" w:rsidP="001B5B87">
            <w:pPr>
              <w:pStyle w:val="BodyText2"/>
              <w:jc w:val="center"/>
              <w:rPr>
                <w:rFonts w:asciiTheme="minorHAnsi" w:hAnsiTheme="minorHAnsi"/>
              </w:rPr>
            </w:pPr>
            <w:r w:rsidRPr="006E72DF">
              <w:rPr>
                <w:rFonts w:ascii="Calibri" w:hAnsi="Calibri"/>
                <w:lang w:val="fr-FR" w:eastAsia="fr-FR"/>
              </w:rPr>
              <w:t>100%</w:t>
            </w:r>
          </w:p>
        </w:tc>
      </w:tr>
    </w:tbl>
    <w:p w:rsidR="00D14997" w:rsidRPr="0028553F" w:rsidRDefault="00D14997" w:rsidP="001B5B87">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F555D2" w:rsidRPr="0028553F" w:rsidTr="00E83D21">
        <w:tc>
          <w:tcPr>
            <w:tcW w:w="14000" w:type="dxa"/>
          </w:tcPr>
          <w:p w:rsidR="002547CF" w:rsidRPr="0028553F" w:rsidRDefault="00F7464D" w:rsidP="001B5B87">
            <w:pPr>
              <w:pStyle w:val="BodyText2"/>
              <w:rPr>
                <w:rFonts w:asciiTheme="minorHAnsi" w:hAnsiTheme="minorHAnsi"/>
                <w:b/>
              </w:rPr>
            </w:pPr>
            <w:r w:rsidRPr="0028553F">
              <w:rPr>
                <w:rFonts w:asciiTheme="minorHAnsi" w:hAnsiTheme="minorHAnsi"/>
                <w:b/>
              </w:rPr>
              <w:t xml:space="preserve">Sources des </w:t>
            </w:r>
            <w:r w:rsidRPr="0028553F">
              <w:rPr>
                <w:rFonts w:asciiTheme="minorHAnsi" w:hAnsiTheme="minorHAnsi"/>
                <w:b/>
                <w:lang w:val="fr-FR"/>
              </w:rPr>
              <w:t>données</w:t>
            </w:r>
            <w:r w:rsidR="002547CF" w:rsidRPr="0028553F">
              <w:rPr>
                <w:rFonts w:asciiTheme="minorHAnsi" w:hAnsiTheme="minorHAnsi"/>
                <w:b/>
              </w:rPr>
              <w:t xml:space="preserve">:  </w:t>
            </w:r>
          </w:p>
        </w:tc>
      </w:tr>
      <w:tr w:rsidR="00F555D2" w:rsidRPr="009A2E6A" w:rsidTr="00272C8C">
        <w:trPr>
          <w:trHeight w:val="274"/>
        </w:trPr>
        <w:tc>
          <w:tcPr>
            <w:tcW w:w="14000" w:type="dxa"/>
          </w:tcPr>
          <w:p w:rsidR="00B64ACA" w:rsidRPr="0028553F" w:rsidRDefault="003F7542" w:rsidP="006E72DF">
            <w:pPr>
              <w:pStyle w:val="BodyText2"/>
              <w:numPr>
                <w:ilvl w:val="0"/>
                <w:numId w:val="19"/>
              </w:numPr>
              <w:ind w:left="714" w:hanging="357"/>
              <w:rPr>
                <w:rFonts w:asciiTheme="minorHAnsi" w:hAnsiTheme="minorHAnsi"/>
                <w:lang w:val="fr-FR"/>
              </w:rPr>
            </w:pPr>
            <w:r w:rsidRPr="0028553F">
              <w:rPr>
                <w:rFonts w:asciiTheme="minorHAnsi" w:hAnsiTheme="minorHAnsi"/>
                <w:lang w:val="fr-FR"/>
              </w:rPr>
              <w:t>Do</w:t>
            </w:r>
            <w:r w:rsidR="00FE2757">
              <w:rPr>
                <w:rFonts w:asciiTheme="minorHAnsi" w:hAnsiTheme="minorHAnsi"/>
                <w:lang w:val="fr-FR"/>
              </w:rPr>
              <w:t>cument de programme pays du Sénégal 2012</w:t>
            </w:r>
            <w:r w:rsidRPr="0028553F">
              <w:rPr>
                <w:rFonts w:asciiTheme="minorHAnsi" w:hAnsiTheme="minorHAnsi"/>
                <w:lang w:val="fr-FR"/>
              </w:rPr>
              <w:t xml:space="preserve"> – 2018 </w:t>
            </w:r>
          </w:p>
          <w:p w:rsidR="00D34F45" w:rsidRPr="0028553F" w:rsidRDefault="00FE2757" w:rsidP="00272C8C">
            <w:pPr>
              <w:pStyle w:val="ListParagraph"/>
              <w:numPr>
                <w:ilvl w:val="0"/>
                <w:numId w:val="19"/>
              </w:numPr>
              <w:ind w:left="714" w:hanging="357"/>
              <w:rPr>
                <w:rFonts w:asciiTheme="minorHAnsi" w:hAnsiTheme="minorHAnsi"/>
                <w:b/>
                <w:lang w:val="fr-FR"/>
              </w:rPr>
            </w:pPr>
            <w:r>
              <w:rPr>
                <w:rFonts w:asciiTheme="minorHAnsi" w:hAnsiTheme="minorHAnsi"/>
                <w:sz w:val="20"/>
                <w:lang w:val="fr-FR"/>
              </w:rPr>
              <w:t>Rapport évaluation CPD (Février 2018</w:t>
            </w:r>
            <w:r w:rsidR="00092F96" w:rsidRPr="001B61B2">
              <w:rPr>
                <w:rFonts w:asciiTheme="minorHAnsi" w:hAnsiTheme="minorHAnsi"/>
                <w:sz w:val="20"/>
                <w:lang w:val="fr-FR"/>
              </w:rPr>
              <w:t>)</w:t>
            </w:r>
          </w:p>
        </w:tc>
      </w:tr>
      <w:bookmarkEnd w:id="1"/>
    </w:tbl>
    <w:p w:rsidR="007231BE" w:rsidRPr="0028553F" w:rsidRDefault="007231BE">
      <w:pPr>
        <w:pStyle w:val="BodyText2"/>
        <w:rPr>
          <w:rFonts w:asciiTheme="minorHAnsi" w:hAnsiTheme="minorHAnsi"/>
          <w:sz w:val="24"/>
          <w:lang w:val="fr-FR"/>
        </w:rPr>
      </w:pPr>
    </w:p>
    <w:sectPr w:rsidR="007231BE" w:rsidRPr="0028553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E8" w:rsidRDefault="008A40E8">
      <w:r>
        <w:separator/>
      </w:r>
    </w:p>
  </w:endnote>
  <w:endnote w:type="continuationSeparator" w:id="0">
    <w:p w:rsidR="008A40E8" w:rsidRDefault="008A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87316"/>
      <w:docPartObj>
        <w:docPartGallery w:val="Page Numbers (Bottom of Page)"/>
        <w:docPartUnique/>
      </w:docPartObj>
    </w:sdtPr>
    <w:sdtEndPr/>
    <w:sdtContent>
      <w:p w:rsidR="00245835" w:rsidRDefault="00245835">
        <w:pPr>
          <w:pStyle w:val="Footer"/>
          <w:jc w:val="right"/>
        </w:pPr>
        <w:r>
          <w:fldChar w:fldCharType="begin"/>
        </w:r>
        <w:r>
          <w:instrText>PAGE   \* MERGEFORMAT</w:instrText>
        </w:r>
        <w:r>
          <w:fldChar w:fldCharType="separate"/>
        </w:r>
        <w:r w:rsidR="006F16E6" w:rsidRPr="006F16E6">
          <w:rPr>
            <w:noProof/>
            <w:lang w:val="fr-FR"/>
          </w:rPr>
          <w:t>1</w:t>
        </w:r>
        <w:r>
          <w:fldChar w:fldCharType="end"/>
        </w:r>
      </w:p>
    </w:sdtContent>
  </w:sdt>
  <w:p w:rsidR="0074643E" w:rsidRDefault="0074643E" w:rsidP="00CE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E8" w:rsidRDefault="008A40E8">
      <w:r>
        <w:separator/>
      </w:r>
    </w:p>
  </w:footnote>
  <w:footnote w:type="continuationSeparator" w:id="0">
    <w:p w:rsidR="008A40E8" w:rsidRDefault="008A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1B"/>
    <w:multiLevelType w:val="hybridMultilevel"/>
    <w:tmpl w:val="38DEEFD4"/>
    <w:lvl w:ilvl="0" w:tplc="280C0001">
      <w:start w:val="1"/>
      <w:numFmt w:val="bullet"/>
      <w:lvlText w:val=""/>
      <w:lvlJc w:val="left"/>
      <w:pPr>
        <w:ind w:left="36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C751BF"/>
    <w:multiLevelType w:val="hybridMultilevel"/>
    <w:tmpl w:val="C7662CC8"/>
    <w:lvl w:ilvl="0" w:tplc="6CD6DE78">
      <w:start w:val="1"/>
      <w:numFmt w:val="bullet"/>
      <w:lvlText w:val="-"/>
      <w:lvlJc w:val="left"/>
      <w:pPr>
        <w:ind w:left="732" w:hanging="360"/>
      </w:pPr>
      <w:rPr>
        <w:rFonts w:ascii="Garamond" w:eastAsia="Calibri" w:hAnsi="Garamond" w:cs="Times New Roman" w:hint="default"/>
      </w:rPr>
    </w:lvl>
    <w:lvl w:ilvl="1" w:tplc="040C0003">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5" w15:restartNumberingAfterBreak="0">
    <w:nsid w:val="0D400C4E"/>
    <w:multiLevelType w:val="hybridMultilevel"/>
    <w:tmpl w:val="95B23762"/>
    <w:lvl w:ilvl="0" w:tplc="280C0001">
      <w:start w:val="1"/>
      <w:numFmt w:val="bullet"/>
      <w:lvlText w:val=""/>
      <w:lvlJc w:val="left"/>
      <w:pPr>
        <w:ind w:left="360" w:hanging="360"/>
      </w:pPr>
      <w:rPr>
        <w:rFonts w:ascii="Symbol" w:hAnsi="Symbol"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6"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62157"/>
    <w:multiLevelType w:val="hybridMultilevel"/>
    <w:tmpl w:val="E83E22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4377F3"/>
    <w:multiLevelType w:val="hybridMultilevel"/>
    <w:tmpl w:val="B77EF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21544"/>
    <w:multiLevelType w:val="hybridMultilevel"/>
    <w:tmpl w:val="94AAC4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752BF7"/>
    <w:multiLevelType w:val="hybridMultilevel"/>
    <w:tmpl w:val="1724113C"/>
    <w:lvl w:ilvl="0" w:tplc="040C0001">
      <w:start w:val="2"/>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2544E7"/>
    <w:multiLevelType w:val="hybridMultilevel"/>
    <w:tmpl w:val="AD08B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64FC1"/>
    <w:multiLevelType w:val="hybridMultilevel"/>
    <w:tmpl w:val="5CC8B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3A446D"/>
    <w:multiLevelType w:val="hybridMultilevel"/>
    <w:tmpl w:val="8B4C8BE8"/>
    <w:lvl w:ilvl="0" w:tplc="280C000B">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7" w15:restartNumberingAfterBreak="0">
    <w:nsid w:val="376A0C34"/>
    <w:multiLevelType w:val="hybridMultilevel"/>
    <w:tmpl w:val="1E7009C6"/>
    <w:lvl w:ilvl="0" w:tplc="5184BAC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8085383"/>
    <w:multiLevelType w:val="hybridMultilevel"/>
    <w:tmpl w:val="497A3FE4"/>
    <w:lvl w:ilvl="0" w:tplc="D5FA709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A5E32"/>
    <w:multiLevelType w:val="hybridMultilevel"/>
    <w:tmpl w:val="E6E0CF9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4A4A65"/>
    <w:multiLevelType w:val="hybridMultilevel"/>
    <w:tmpl w:val="ABDEED26"/>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2" w15:restartNumberingAfterBreak="0">
    <w:nsid w:val="3D4841EC"/>
    <w:multiLevelType w:val="hybridMultilevel"/>
    <w:tmpl w:val="88D83152"/>
    <w:lvl w:ilvl="0" w:tplc="280C000B">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3" w15:restartNumberingAfterBreak="0">
    <w:nsid w:val="3D7A20E9"/>
    <w:multiLevelType w:val="hybridMultilevel"/>
    <w:tmpl w:val="B0F4237E"/>
    <w:lvl w:ilvl="0" w:tplc="5E52DA7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5"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6C73DC"/>
    <w:multiLevelType w:val="hybridMultilevel"/>
    <w:tmpl w:val="1E8EB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4B3B17"/>
    <w:multiLevelType w:val="hybridMultilevel"/>
    <w:tmpl w:val="891A4746"/>
    <w:lvl w:ilvl="0" w:tplc="40B613B6">
      <w:start w:val="1"/>
      <w:numFmt w:val="decimal"/>
      <w:lvlText w:val="%1."/>
      <w:lvlJc w:val="left"/>
      <w:pPr>
        <w:ind w:left="720" w:hanging="360"/>
      </w:pPr>
      <w:rPr>
        <w:rFonts w:ascii="Calibri" w:hAnsi="Calibri" w:cs="Calibri" w:hint="default"/>
        <w:b w:val="0"/>
        <w:color w:val="000000"/>
        <w:sz w:val="18"/>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33"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3F4BC6"/>
    <w:multiLevelType w:val="hybridMultilevel"/>
    <w:tmpl w:val="5EFEC9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733C51"/>
    <w:multiLevelType w:val="hybridMultilevel"/>
    <w:tmpl w:val="E4B0E6DE"/>
    <w:lvl w:ilvl="0" w:tplc="04090019">
      <w:start w:val="1"/>
      <w:numFmt w:val="low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486261"/>
    <w:multiLevelType w:val="multilevel"/>
    <w:tmpl w:val="710449F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4"/>
  </w:num>
  <w:num w:numId="2">
    <w:abstractNumId w:val="2"/>
  </w:num>
  <w:num w:numId="3">
    <w:abstractNumId w:val="11"/>
  </w:num>
  <w:num w:numId="4">
    <w:abstractNumId w:val="6"/>
  </w:num>
  <w:num w:numId="5">
    <w:abstractNumId w:val="27"/>
  </w:num>
  <w:num w:numId="6">
    <w:abstractNumId w:val="30"/>
  </w:num>
  <w:num w:numId="7">
    <w:abstractNumId w:val="3"/>
  </w:num>
  <w:num w:numId="8">
    <w:abstractNumId w:val="29"/>
  </w:num>
  <w:num w:numId="9">
    <w:abstractNumId w:val="7"/>
  </w:num>
  <w:num w:numId="10">
    <w:abstractNumId w:val="18"/>
  </w:num>
  <w:num w:numId="11">
    <w:abstractNumId w:val="36"/>
  </w:num>
  <w:num w:numId="12">
    <w:abstractNumId w:val="25"/>
  </w:num>
  <w:num w:numId="13">
    <w:abstractNumId w:val="26"/>
  </w:num>
  <w:num w:numId="14">
    <w:abstractNumId w:val="13"/>
  </w:num>
  <w:num w:numId="15">
    <w:abstractNumId w:val="1"/>
  </w:num>
  <w:num w:numId="16">
    <w:abstractNumId w:val="33"/>
  </w:num>
  <w:num w:numId="17">
    <w:abstractNumId w:val="31"/>
  </w:num>
  <w:num w:numId="18">
    <w:abstractNumId w:val="17"/>
  </w:num>
  <w:num w:numId="19">
    <w:abstractNumId w:val="19"/>
  </w:num>
  <w:num w:numId="20">
    <w:abstractNumId w:val="35"/>
  </w:num>
  <w:num w:numId="21">
    <w:abstractNumId w:val="9"/>
  </w:num>
  <w:num w:numId="22">
    <w:abstractNumId w:val="12"/>
  </w:num>
  <w:num w:numId="23">
    <w:abstractNumId w:val="23"/>
  </w:num>
  <w:num w:numId="24">
    <w:abstractNumId w:val="37"/>
  </w:num>
  <w:num w:numId="25">
    <w:abstractNumId w:val="4"/>
  </w:num>
  <w:num w:numId="26">
    <w:abstractNumId w:val="20"/>
  </w:num>
  <w:num w:numId="27">
    <w:abstractNumId w:val="8"/>
  </w:num>
  <w:num w:numId="28">
    <w:abstractNumId w:val="15"/>
  </w:num>
  <w:num w:numId="29">
    <w:abstractNumId w:val="10"/>
  </w:num>
  <w:num w:numId="30">
    <w:abstractNumId w:val="34"/>
  </w:num>
  <w:num w:numId="31">
    <w:abstractNumId w:val="28"/>
  </w:num>
  <w:num w:numId="32">
    <w:abstractNumId w:val="14"/>
  </w:num>
  <w:num w:numId="33">
    <w:abstractNumId w:val="32"/>
  </w:num>
  <w:num w:numId="34">
    <w:abstractNumId w:val="16"/>
  </w:num>
  <w:num w:numId="35">
    <w:abstractNumId w:val="21"/>
  </w:num>
  <w:num w:numId="36">
    <w:abstractNumId w:val="22"/>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28B6"/>
    <w:rsid w:val="00007461"/>
    <w:rsid w:val="000079CC"/>
    <w:rsid w:val="00011A63"/>
    <w:rsid w:val="00013B74"/>
    <w:rsid w:val="00013B8D"/>
    <w:rsid w:val="00014876"/>
    <w:rsid w:val="000228AF"/>
    <w:rsid w:val="00022BC3"/>
    <w:rsid w:val="00023575"/>
    <w:rsid w:val="000261F8"/>
    <w:rsid w:val="00027B92"/>
    <w:rsid w:val="00030E99"/>
    <w:rsid w:val="00031ABF"/>
    <w:rsid w:val="000326CF"/>
    <w:rsid w:val="00032B6B"/>
    <w:rsid w:val="00034A6F"/>
    <w:rsid w:val="00036266"/>
    <w:rsid w:val="000376F2"/>
    <w:rsid w:val="0004091C"/>
    <w:rsid w:val="00040AE6"/>
    <w:rsid w:val="00041436"/>
    <w:rsid w:val="00041F87"/>
    <w:rsid w:val="000425F7"/>
    <w:rsid w:val="000502AD"/>
    <w:rsid w:val="0005193C"/>
    <w:rsid w:val="00052831"/>
    <w:rsid w:val="000536E8"/>
    <w:rsid w:val="000538FB"/>
    <w:rsid w:val="00057792"/>
    <w:rsid w:val="00062652"/>
    <w:rsid w:val="0006273F"/>
    <w:rsid w:val="00067DDB"/>
    <w:rsid w:val="00070AA2"/>
    <w:rsid w:val="0007136E"/>
    <w:rsid w:val="00071FE7"/>
    <w:rsid w:val="00073D71"/>
    <w:rsid w:val="000756C9"/>
    <w:rsid w:val="000823AC"/>
    <w:rsid w:val="00083C64"/>
    <w:rsid w:val="00086C65"/>
    <w:rsid w:val="00090331"/>
    <w:rsid w:val="00091405"/>
    <w:rsid w:val="00091451"/>
    <w:rsid w:val="00092F96"/>
    <w:rsid w:val="00096036"/>
    <w:rsid w:val="000A03D8"/>
    <w:rsid w:val="000A049E"/>
    <w:rsid w:val="000A0DE0"/>
    <w:rsid w:val="000A115E"/>
    <w:rsid w:val="000A6FB4"/>
    <w:rsid w:val="000B4B7D"/>
    <w:rsid w:val="000B773E"/>
    <w:rsid w:val="000C09B4"/>
    <w:rsid w:val="000C16E3"/>
    <w:rsid w:val="000C214C"/>
    <w:rsid w:val="000C4457"/>
    <w:rsid w:val="000C759B"/>
    <w:rsid w:val="000D16F9"/>
    <w:rsid w:val="000D2D77"/>
    <w:rsid w:val="000D3C08"/>
    <w:rsid w:val="000D4DBB"/>
    <w:rsid w:val="000D4E09"/>
    <w:rsid w:val="000D4FD5"/>
    <w:rsid w:val="000D5B25"/>
    <w:rsid w:val="000D6680"/>
    <w:rsid w:val="000D6DE5"/>
    <w:rsid w:val="000D706A"/>
    <w:rsid w:val="000D7CB9"/>
    <w:rsid w:val="000D7F1E"/>
    <w:rsid w:val="000D7F69"/>
    <w:rsid w:val="000E5798"/>
    <w:rsid w:val="000E6619"/>
    <w:rsid w:val="000E7A13"/>
    <w:rsid w:val="000F0451"/>
    <w:rsid w:val="000F14F5"/>
    <w:rsid w:val="000F20A9"/>
    <w:rsid w:val="000F4CE7"/>
    <w:rsid w:val="000F7651"/>
    <w:rsid w:val="000F77FD"/>
    <w:rsid w:val="001009CE"/>
    <w:rsid w:val="00106EAD"/>
    <w:rsid w:val="0011273E"/>
    <w:rsid w:val="00121257"/>
    <w:rsid w:val="00123B6C"/>
    <w:rsid w:val="00127146"/>
    <w:rsid w:val="00132B73"/>
    <w:rsid w:val="00135B4B"/>
    <w:rsid w:val="00137705"/>
    <w:rsid w:val="001404DE"/>
    <w:rsid w:val="00142231"/>
    <w:rsid w:val="00145C56"/>
    <w:rsid w:val="00145E27"/>
    <w:rsid w:val="0015000E"/>
    <w:rsid w:val="00150771"/>
    <w:rsid w:val="00151FD9"/>
    <w:rsid w:val="0015409F"/>
    <w:rsid w:val="00154264"/>
    <w:rsid w:val="001563D0"/>
    <w:rsid w:val="00157815"/>
    <w:rsid w:val="001609E8"/>
    <w:rsid w:val="00160D82"/>
    <w:rsid w:val="00163B2F"/>
    <w:rsid w:val="001663A4"/>
    <w:rsid w:val="001664DB"/>
    <w:rsid w:val="00166B91"/>
    <w:rsid w:val="00167DA9"/>
    <w:rsid w:val="00176076"/>
    <w:rsid w:val="00176307"/>
    <w:rsid w:val="0017750D"/>
    <w:rsid w:val="00177CF0"/>
    <w:rsid w:val="00181D75"/>
    <w:rsid w:val="00184F75"/>
    <w:rsid w:val="001931B3"/>
    <w:rsid w:val="00193BEF"/>
    <w:rsid w:val="001956C7"/>
    <w:rsid w:val="00196D64"/>
    <w:rsid w:val="001A15A4"/>
    <w:rsid w:val="001A3A19"/>
    <w:rsid w:val="001A4D75"/>
    <w:rsid w:val="001A572C"/>
    <w:rsid w:val="001A7B24"/>
    <w:rsid w:val="001B1EB7"/>
    <w:rsid w:val="001B2252"/>
    <w:rsid w:val="001B373D"/>
    <w:rsid w:val="001B5B87"/>
    <w:rsid w:val="001B60EE"/>
    <w:rsid w:val="001B61B2"/>
    <w:rsid w:val="001B6262"/>
    <w:rsid w:val="001B721D"/>
    <w:rsid w:val="001B742C"/>
    <w:rsid w:val="001C5986"/>
    <w:rsid w:val="001C5A77"/>
    <w:rsid w:val="001D0314"/>
    <w:rsid w:val="001D3BD9"/>
    <w:rsid w:val="001D69EA"/>
    <w:rsid w:val="001D76E5"/>
    <w:rsid w:val="001E231F"/>
    <w:rsid w:val="001E2FAB"/>
    <w:rsid w:val="001E337B"/>
    <w:rsid w:val="001E4213"/>
    <w:rsid w:val="001E57B0"/>
    <w:rsid w:val="001F3524"/>
    <w:rsid w:val="001F40AC"/>
    <w:rsid w:val="001F6055"/>
    <w:rsid w:val="001F7223"/>
    <w:rsid w:val="001F7258"/>
    <w:rsid w:val="0020106A"/>
    <w:rsid w:val="00202B87"/>
    <w:rsid w:val="00206C9D"/>
    <w:rsid w:val="00213530"/>
    <w:rsid w:val="00221180"/>
    <w:rsid w:val="002264F3"/>
    <w:rsid w:val="00230A0E"/>
    <w:rsid w:val="002315A5"/>
    <w:rsid w:val="00232597"/>
    <w:rsid w:val="00235439"/>
    <w:rsid w:val="00236333"/>
    <w:rsid w:val="00240E45"/>
    <w:rsid w:val="00245328"/>
    <w:rsid w:val="0024562A"/>
    <w:rsid w:val="00245835"/>
    <w:rsid w:val="00245BE7"/>
    <w:rsid w:val="00252009"/>
    <w:rsid w:val="00253853"/>
    <w:rsid w:val="002547CF"/>
    <w:rsid w:val="00256723"/>
    <w:rsid w:val="00256BD5"/>
    <w:rsid w:val="00257D25"/>
    <w:rsid w:val="0026321D"/>
    <w:rsid w:val="002643AA"/>
    <w:rsid w:val="00266A3D"/>
    <w:rsid w:val="00272C8C"/>
    <w:rsid w:val="00273420"/>
    <w:rsid w:val="00275DDD"/>
    <w:rsid w:val="00277930"/>
    <w:rsid w:val="00284103"/>
    <w:rsid w:val="0028553F"/>
    <w:rsid w:val="002878AA"/>
    <w:rsid w:val="00290B24"/>
    <w:rsid w:val="0029263D"/>
    <w:rsid w:val="00293B56"/>
    <w:rsid w:val="00295A13"/>
    <w:rsid w:val="00296DC2"/>
    <w:rsid w:val="002A3CD6"/>
    <w:rsid w:val="002A4A98"/>
    <w:rsid w:val="002A5583"/>
    <w:rsid w:val="002B0DDC"/>
    <w:rsid w:val="002C0022"/>
    <w:rsid w:val="002C4324"/>
    <w:rsid w:val="002C491B"/>
    <w:rsid w:val="002C4B80"/>
    <w:rsid w:val="002C60BB"/>
    <w:rsid w:val="002C6BB9"/>
    <w:rsid w:val="002C6CFF"/>
    <w:rsid w:val="002D03E9"/>
    <w:rsid w:val="002D22BC"/>
    <w:rsid w:val="002D2C43"/>
    <w:rsid w:val="002D3B08"/>
    <w:rsid w:val="002E0A97"/>
    <w:rsid w:val="002E3F26"/>
    <w:rsid w:val="002E4EE3"/>
    <w:rsid w:val="002E65B5"/>
    <w:rsid w:val="002F2120"/>
    <w:rsid w:val="002F638F"/>
    <w:rsid w:val="002F6FF5"/>
    <w:rsid w:val="002F7E65"/>
    <w:rsid w:val="00300074"/>
    <w:rsid w:val="0030523C"/>
    <w:rsid w:val="0031173A"/>
    <w:rsid w:val="00312593"/>
    <w:rsid w:val="00313F2D"/>
    <w:rsid w:val="00320DD5"/>
    <w:rsid w:val="0032175A"/>
    <w:rsid w:val="003226D6"/>
    <w:rsid w:val="00322DEA"/>
    <w:rsid w:val="00326E8B"/>
    <w:rsid w:val="00332E22"/>
    <w:rsid w:val="00334671"/>
    <w:rsid w:val="00334892"/>
    <w:rsid w:val="00336684"/>
    <w:rsid w:val="00337C53"/>
    <w:rsid w:val="0034117D"/>
    <w:rsid w:val="00342C4F"/>
    <w:rsid w:val="0034610B"/>
    <w:rsid w:val="00346615"/>
    <w:rsid w:val="003469AB"/>
    <w:rsid w:val="0035427A"/>
    <w:rsid w:val="00354CB5"/>
    <w:rsid w:val="0035510B"/>
    <w:rsid w:val="00357B0E"/>
    <w:rsid w:val="00360267"/>
    <w:rsid w:val="00363EC5"/>
    <w:rsid w:val="00363F14"/>
    <w:rsid w:val="003656E6"/>
    <w:rsid w:val="00366AD1"/>
    <w:rsid w:val="00373D10"/>
    <w:rsid w:val="0037523B"/>
    <w:rsid w:val="00376720"/>
    <w:rsid w:val="00376AE3"/>
    <w:rsid w:val="0038040B"/>
    <w:rsid w:val="00390208"/>
    <w:rsid w:val="00390D55"/>
    <w:rsid w:val="003922E7"/>
    <w:rsid w:val="00393056"/>
    <w:rsid w:val="003951F0"/>
    <w:rsid w:val="00395C2A"/>
    <w:rsid w:val="003A544E"/>
    <w:rsid w:val="003A6DF5"/>
    <w:rsid w:val="003A72E5"/>
    <w:rsid w:val="003A7419"/>
    <w:rsid w:val="003A771F"/>
    <w:rsid w:val="003B037A"/>
    <w:rsid w:val="003B1F44"/>
    <w:rsid w:val="003B272F"/>
    <w:rsid w:val="003B3983"/>
    <w:rsid w:val="003B3F73"/>
    <w:rsid w:val="003B422F"/>
    <w:rsid w:val="003B4B28"/>
    <w:rsid w:val="003C092E"/>
    <w:rsid w:val="003C1985"/>
    <w:rsid w:val="003C43EE"/>
    <w:rsid w:val="003D03DE"/>
    <w:rsid w:val="003D112C"/>
    <w:rsid w:val="003D18F8"/>
    <w:rsid w:val="003D22D8"/>
    <w:rsid w:val="003D653B"/>
    <w:rsid w:val="003D713C"/>
    <w:rsid w:val="003E3098"/>
    <w:rsid w:val="003E67A0"/>
    <w:rsid w:val="003F4626"/>
    <w:rsid w:val="003F493D"/>
    <w:rsid w:val="003F7542"/>
    <w:rsid w:val="00400223"/>
    <w:rsid w:val="004004FC"/>
    <w:rsid w:val="00401B8E"/>
    <w:rsid w:val="00402272"/>
    <w:rsid w:val="00403CC5"/>
    <w:rsid w:val="00405C73"/>
    <w:rsid w:val="004073EB"/>
    <w:rsid w:val="0041081B"/>
    <w:rsid w:val="00413A77"/>
    <w:rsid w:val="004160AA"/>
    <w:rsid w:val="00416ECC"/>
    <w:rsid w:val="00417008"/>
    <w:rsid w:val="00417F04"/>
    <w:rsid w:val="004211DB"/>
    <w:rsid w:val="00422392"/>
    <w:rsid w:val="004234D2"/>
    <w:rsid w:val="00424E4F"/>
    <w:rsid w:val="00426987"/>
    <w:rsid w:val="00427E04"/>
    <w:rsid w:val="00430BF2"/>
    <w:rsid w:val="00431499"/>
    <w:rsid w:val="00431DCD"/>
    <w:rsid w:val="00436691"/>
    <w:rsid w:val="0044092C"/>
    <w:rsid w:val="00440D24"/>
    <w:rsid w:val="00444F97"/>
    <w:rsid w:val="00451182"/>
    <w:rsid w:val="00451981"/>
    <w:rsid w:val="0045325C"/>
    <w:rsid w:val="0045337E"/>
    <w:rsid w:val="00454AEF"/>
    <w:rsid w:val="00455BCC"/>
    <w:rsid w:val="004607D1"/>
    <w:rsid w:val="00461D62"/>
    <w:rsid w:val="00463422"/>
    <w:rsid w:val="00466A58"/>
    <w:rsid w:val="00467018"/>
    <w:rsid w:val="004676B2"/>
    <w:rsid w:val="004771FC"/>
    <w:rsid w:val="0047758C"/>
    <w:rsid w:val="00477FFA"/>
    <w:rsid w:val="00480685"/>
    <w:rsid w:val="00482796"/>
    <w:rsid w:val="00483E9E"/>
    <w:rsid w:val="00485189"/>
    <w:rsid w:val="004908E9"/>
    <w:rsid w:val="00490A11"/>
    <w:rsid w:val="00492DCB"/>
    <w:rsid w:val="004A1797"/>
    <w:rsid w:val="004A6509"/>
    <w:rsid w:val="004A7E45"/>
    <w:rsid w:val="004B044E"/>
    <w:rsid w:val="004B1069"/>
    <w:rsid w:val="004B3911"/>
    <w:rsid w:val="004B530A"/>
    <w:rsid w:val="004B7749"/>
    <w:rsid w:val="004C2680"/>
    <w:rsid w:val="004C595C"/>
    <w:rsid w:val="004D3DBE"/>
    <w:rsid w:val="004D6F5C"/>
    <w:rsid w:val="004E1DC7"/>
    <w:rsid w:val="004E2C95"/>
    <w:rsid w:val="004E4AB9"/>
    <w:rsid w:val="004E66EF"/>
    <w:rsid w:val="004F0CE0"/>
    <w:rsid w:val="004F4ECF"/>
    <w:rsid w:val="004F723B"/>
    <w:rsid w:val="004F7345"/>
    <w:rsid w:val="005016CC"/>
    <w:rsid w:val="00501B3A"/>
    <w:rsid w:val="00502DD8"/>
    <w:rsid w:val="00504032"/>
    <w:rsid w:val="005048C8"/>
    <w:rsid w:val="00505ACF"/>
    <w:rsid w:val="00507C3B"/>
    <w:rsid w:val="005129CA"/>
    <w:rsid w:val="005156D8"/>
    <w:rsid w:val="005159BF"/>
    <w:rsid w:val="00516AC8"/>
    <w:rsid w:val="005172F7"/>
    <w:rsid w:val="00517955"/>
    <w:rsid w:val="00520331"/>
    <w:rsid w:val="00524CB1"/>
    <w:rsid w:val="00524D74"/>
    <w:rsid w:val="00527369"/>
    <w:rsid w:val="00530560"/>
    <w:rsid w:val="00530FDE"/>
    <w:rsid w:val="00531417"/>
    <w:rsid w:val="00531AE6"/>
    <w:rsid w:val="005337D6"/>
    <w:rsid w:val="005377EF"/>
    <w:rsid w:val="0054000A"/>
    <w:rsid w:val="005404CC"/>
    <w:rsid w:val="005407AA"/>
    <w:rsid w:val="00541494"/>
    <w:rsid w:val="00545A92"/>
    <w:rsid w:val="005474ED"/>
    <w:rsid w:val="00550C3E"/>
    <w:rsid w:val="00552B87"/>
    <w:rsid w:val="005534E4"/>
    <w:rsid w:val="00556466"/>
    <w:rsid w:val="0055688B"/>
    <w:rsid w:val="0056094A"/>
    <w:rsid w:val="005609A4"/>
    <w:rsid w:val="00560EA0"/>
    <w:rsid w:val="00562183"/>
    <w:rsid w:val="00563614"/>
    <w:rsid w:val="00563A50"/>
    <w:rsid w:val="00565C9D"/>
    <w:rsid w:val="005678D8"/>
    <w:rsid w:val="00567990"/>
    <w:rsid w:val="00571771"/>
    <w:rsid w:val="00572622"/>
    <w:rsid w:val="00574A7B"/>
    <w:rsid w:val="00580157"/>
    <w:rsid w:val="00583D27"/>
    <w:rsid w:val="00584421"/>
    <w:rsid w:val="005953CC"/>
    <w:rsid w:val="00596462"/>
    <w:rsid w:val="005A0F04"/>
    <w:rsid w:val="005A36D3"/>
    <w:rsid w:val="005A4416"/>
    <w:rsid w:val="005A53B7"/>
    <w:rsid w:val="005A7B65"/>
    <w:rsid w:val="005B16C3"/>
    <w:rsid w:val="005B2E69"/>
    <w:rsid w:val="005C19D6"/>
    <w:rsid w:val="005C2A1E"/>
    <w:rsid w:val="005C6168"/>
    <w:rsid w:val="005C692F"/>
    <w:rsid w:val="005C6CFC"/>
    <w:rsid w:val="005C7611"/>
    <w:rsid w:val="005D71C5"/>
    <w:rsid w:val="005D79D5"/>
    <w:rsid w:val="005E0C05"/>
    <w:rsid w:val="005E4281"/>
    <w:rsid w:val="005E54DF"/>
    <w:rsid w:val="005E625E"/>
    <w:rsid w:val="005F2E08"/>
    <w:rsid w:val="005F5D80"/>
    <w:rsid w:val="005F6261"/>
    <w:rsid w:val="005F6621"/>
    <w:rsid w:val="00607C20"/>
    <w:rsid w:val="00612159"/>
    <w:rsid w:val="0061510F"/>
    <w:rsid w:val="00616E9E"/>
    <w:rsid w:val="0062712D"/>
    <w:rsid w:val="0063335C"/>
    <w:rsid w:val="00633545"/>
    <w:rsid w:val="006352C4"/>
    <w:rsid w:val="00635929"/>
    <w:rsid w:val="00637A58"/>
    <w:rsid w:val="00640B5B"/>
    <w:rsid w:val="006421EC"/>
    <w:rsid w:val="00643523"/>
    <w:rsid w:val="00643538"/>
    <w:rsid w:val="00645D67"/>
    <w:rsid w:val="0064730C"/>
    <w:rsid w:val="0064746F"/>
    <w:rsid w:val="00647AE6"/>
    <w:rsid w:val="006554DC"/>
    <w:rsid w:val="00656499"/>
    <w:rsid w:val="00656650"/>
    <w:rsid w:val="00657BD7"/>
    <w:rsid w:val="00662529"/>
    <w:rsid w:val="00664063"/>
    <w:rsid w:val="00672EEB"/>
    <w:rsid w:val="00673710"/>
    <w:rsid w:val="00673946"/>
    <w:rsid w:val="006743C6"/>
    <w:rsid w:val="00674802"/>
    <w:rsid w:val="00674B1A"/>
    <w:rsid w:val="006805A2"/>
    <w:rsid w:val="00680AEE"/>
    <w:rsid w:val="0068192C"/>
    <w:rsid w:val="0068444F"/>
    <w:rsid w:val="00687E46"/>
    <w:rsid w:val="006900FE"/>
    <w:rsid w:val="00692B5F"/>
    <w:rsid w:val="006940E4"/>
    <w:rsid w:val="00694CA0"/>
    <w:rsid w:val="00697B2C"/>
    <w:rsid w:val="006A03AB"/>
    <w:rsid w:val="006A3FD9"/>
    <w:rsid w:val="006A781A"/>
    <w:rsid w:val="006B0259"/>
    <w:rsid w:val="006B3D72"/>
    <w:rsid w:val="006C0B77"/>
    <w:rsid w:val="006C6A43"/>
    <w:rsid w:val="006D1C92"/>
    <w:rsid w:val="006D2478"/>
    <w:rsid w:val="006D2DA6"/>
    <w:rsid w:val="006D4197"/>
    <w:rsid w:val="006D5699"/>
    <w:rsid w:val="006D7043"/>
    <w:rsid w:val="006E1597"/>
    <w:rsid w:val="006E1695"/>
    <w:rsid w:val="006E227B"/>
    <w:rsid w:val="006E25E2"/>
    <w:rsid w:val="006E3304"/>
    <w:rsid w:val="006E4330"/>
    <w:rsid w:val="006E522E"/>
    <w:rsid w:val="006E72DF"/>
    <w:rsid w:val="006F0FD9"/>
    <w:rsid w:val="006F14E3"/>
    <w:rsid w:val="006F16E6"/>
    <w:rsid w:val="006F25DB"/>
    <w:rsid w:val="006F3AC8"/>
    <w:rsid w:val="006F3EE4"/>
    <w:rsid w:val="00700521"/>
    <w:rsid w:val="007022A8"/>
    <w:rsid w:val="00702A1F"/>
    <w:rsid w:val="007033D4"/>
    <w:rsid w:val="00704DA4"/>
    <w:rsid w:val="00705509"/>
    <w:rsid w:val="0070683B"/>
    <w:rsid w:val="007102EC"/>
    <w:rsid w:val="00714B66"/>
    <w:rsid w:val="007231BE"/>
    <w:rsid w:val="00724B59"/>
    <w:rsid w:val="007273E1"/>
    <w:rsid w:val="007273F7"/>
    <w:rsid w:val="007336E8"/>
    <w:rsid w:val="007350B9"/>
    <w:rsid w:val="0074029A"/>
    <w:rsid w:val="007428F6"/>
    <w:rsid w:val="007440A7"/>
    <w:rsid w:val="00745AC4"/>
    <w:rsid w:val="0074643E"/>
    <w:rsid w:val="00752045"/>
    <w:rsid w:val="00755806"/>
    <w:rsid w:val="00760E32"/>
    <w:rsid w:val="007610DA"/>
    <w:rsid w:val="00761821"/>
    <w:rsid w:val="00762B38"/>
    <w:rsid w:val="007647FE"/>
    <w:rsid w:val="00764E41"/>
    <w:rsid w:val="00767F7D"/>
    <w:rsid w:val="00771515"/>
    <w:rsid w:val="00776056"/>
    <w:rsid w:val="007823A7"/>
    <w:rsid w:val="007824A0"/>
    <w:rsid w:val="00783522"/>
    <w:rsid w:val="00786A77"/>
    <w:rsid w:val="00790C12"/>
    <w:rsid w:val="007955EB"/>
    <w:rsid w:val="00796521"/>
    <w:rsid w:val="007A6A46"/>
    <w:rsid w:val="007A7EA4"/>
    <w:rsid w:val="007B0256"/>
    <w:rsid w:val="007B191C"/>
    <w:rsid w:val="007B25AC"/>
    <w:rsid w:val="007B45A8"/>
    <w:rsid w:val="007B7EE7"/>
    <w:rsid w:val="007C1B15"/>
    <w:rsid w:val="007E1663"/>
    <w:rsid w:val="007E185C"/>
    <w:rsid w:val="007E4988"/>
    <w:rsid w:val="007E4EC8"/>
    <w:rsid w:val="007E5B81"/>
    <w:rsid w:val="007E7672"/>
    <w:rsid w:val="007F098D"/>
    <w:rsid w:val="007F23EB"/>
    <w:rsid w:val="007F27AB"/>
    <w:rsid w:val="007F5B0D"/>
    <w:rsid w:val="00800CF8"/>
    <w:rsid w:val="008018C5"/>
    <w:rsid w:val="00802102"/>
    <w:rsid w:val="00807F38"/>
    <w:rsid w:val="008100A3"/>
    <w:rsid w:val="00813F1E"/>
    <w:rsid w:val="0081403B"/>
    <w:rsid w:val="008203D1"/>
    <w:rsid w:val="008208F6"/>
    <w:rsid w:val="00821EE6"/>
    <w:rsid w:val="00822F2E"/>
    <w:rsid w:val="00823462"/>
    <w:rsid w:val="0082419C"/>
    <w:rsid w:val="0082602F"/>
    <w:rsid w:val="00827864"/>
    <w:rsid w:val="00831138"/>
    <w:rsid w:val="00832FC0"/>
    <w:rsid w:val="00833206"/>
    <w:rsid w:val="00834332"/>
    <w:rsid w:val="0083467C"/>
    <w:rsid w:val="00834F26"/>
    <w:rsid w:val="00837C4B"/>
    <w:rsid w:val="0084027D"/>
    <w:rsid w:val="00840333"/>
    <w:rsid w:val="00842737"/>
    <w:rsid w:val="00843006"/>
    <w:rsid w:val="00843EFC"/>
    <w:rsid w:val="008440D9"/>
    <w:rsid w:val="00845340"/>
    <w:rsid w:val="00845572"/>
    <w:rsid w:val="00847097"/>
    <w:rsid w:val="00852D9E"/>
    <w:rsid w:val="0085372D"/>
    <w:rsid w:val="0085519F"/>
    <w:rsid w:val="00857C71"/>
    <w:rsid w:val="00864120"/>
    <w:rsid w:val="008662E7"/>
    <w:rsid w:val="00866D55"/>
    <w:rsid w:val="00867AAC"/>
    <w:rsid w:val="008701E4"/>
    <w:rsid w:val="00871E37"/>
    <w:rsid w:val="00875C76"/>
    <w:rsid w:val="00880148"/>
    <w:rsid w:val="00882ECA"/>
    <w:rsid w:val="0088386C"/>
    <w:rsid w:val="008862FE"/>
    <w:rsid w:val="00895201"/>
    <w:rsid w:val="0089619F"/>
    <w:rsid w:val="008A40B4"/>
    <w:rsid w:val="008A40E8"/>
    <w:rsid w:val="008A441B"/>
    <w:rsid w:val="008A465F"/>
    <w:rsid w:val="008A67AA"/>
    <w:rsid w:val="008B06DD"/>
    <w:rsid w:val="008B28A5"/>
    <w:rsid w:val="008B346F"/>
    <w:rsid w:val="008C168C"/>
    <w:rsid w:val="008C2013"/>
    <w:rsid w:val="008C2F5E"/>
    <w:rsid w:val="008C5D7D"/>
    <w:rsid w:val="008C75B7"/>
    <w:rsid w:val="008D2361"/>
    <w:rsid w:val="008D4556"/>
    <w:rsid w:val="008D6A36"/>
    <w:rsid w:val="008D7111"/>
    <w:rsid w:val="008D7447"/>
    <w:rsid w:val="008D791F"/>
    <w:rsid w:val="008D7A86"/>
    <w:rsid w:val="008D7BD1"/>
    <w:rsid w:val="008D7E44"/>
    <w:rsid w:val="008E77DF"/>
    <w:rsid w:val="008F0A97"/>
    <w:rsid w:val="008F2D0F"/>
    <w:rsid w:val="008F2DCF"/>
    <w:rsid w:val="008F4E11"/>
    <w:rsid w:val="008F561C"/>
    <w:rsid w:val="00902188"/>
    <w:rsid w:val="009050A4"/>
    <w:rsid w:val="0090678D"/>
    <w:rsid w:val="00906BF3"/>
    <w:rsid w:val="009079BC"/>
    <w:rsid w:val="00911425"/>
    <w:rsid w:val="00912A7B"/>
    <w:rsid w:val="009157C6"/>
    <w:rsid w:val="009164E4"/>
    <w:rsid w:val="00920DBC"/>
    <w:rsid w:val="009223BD"/>
    <w:rsid w:val="00925B94"/>
    <w:rsid w:val="00925CE1"/>
    <w:rsid w:val="00925D69"/>
    <w:rsid w:val="00925E5A"/>
    <w:rsid w:val="00925E61"/>
    <w:rsid w:val="0093091E"/>
    <w:rsid w:val="009353D7"/>
    <w:rsid w:val="00936F82"/>
    <w:rsid w:val="00942B3B"/>
    <w:rsid w:val="00944411"/>
    <w:rsid w:val="0094637A"/>
    <w:rsid w:val="009474D8"/>
    <w:rsid w:val="009508A4"/>
    <w:rsid w:val="00950DC7"/>
    <w:rsid w:val="009524CF"/>
    <w:rsid w:val="0095337A"/>
    <w:rsid w:val="00953660"/>
    <w:rsid w:val="00957A71"/>
    <w:rsid w:val="00965A66"/>
    <w:rsid w:val="0097197E"/>
    <w:rsid w:val="00975566"/>
    <w:rsid w:val="00977E77"/>
    <w:rsid w:val="00982249"/>
    <w:rsid w:val="0098374E"/>
    <w:rsid w:val="00985F04"/>
    <w:rsid w:val="00986505"/>
    <w:rsid w:val="00990CED"/>
    <w:rsid w:val="00992688"/>
    <w:rsid w:val="00992F86"/>
    <w:rsid w:val="00993DA0"/>
    <w:rsid w:val="00994B7B"/>
    <w:rsid w:val="00995E73"/>
    <w:rsid w:val="00996446"/>
    <w:rsid w:val="009A01C6"/>
    <w:rsid w:val="009A2169"/>
    <w:rsid w:val="009A2DC5"/>
    <w:rsid w:val="009A2E6A"/>
    <w:rsid w:val="009A3BB8"/>
    <w:rsid w:val="009A61A7"/>
    <w:rsid w:val="009B0444"/>
    <w:rsid w:val="009B061C"/>
    <w:rsid w:val="009B233F"/>
    <w:rsid w:val="009B3524"/>
    <w:rsid w:val="009B75F2"/>
    <w:rsid w:val="009B76A1"/>
    <w:rsid w:val="009C0421"/>
    <w:rsid w:val="009C1D45"/>
    <w:rsid w:val="009C25AE"/>
    <w:rsid w:val="009C3754"/>
    <w:rsid w:val="009C566E"/>
    <w:rsid w:val="009C7DF5"/>
    <w:rsid w:val="009D0D44"/>
    <w:rsid w:val="009D1600"/>
    <w:rsid w:val="009D4166"/>
    <w:rsid w:val="009D49A1"/>
    <w:rsid w:val="009D6D0D"/>
    <w:rsid w:val="009E077D"/>
    <w:rsid w:val="009E513F"/>
    <w:rsid w:val="009E7526"/>
    <w:rsid w:val="009F1704"/>
    <w:rsid w:val="009F1C17"/>
    <w:rsid w:val="009F21FD"/>
    <w:rsid w:val="009F3420"/>
    <w:rsid w:val="009F711D"/>
    <w:rsid w:val="00A0001A"/>
    <w:rsid w:val="00A00825"/>
    <w:rsid w:val="00A0135D"/>
    <w:rsid w:val="00A014C0"/>
    <w:rsid w:val="00A01638"/>
    <w:rsid w:val="00A035A9"/>
    <w:rsid w:val="00A04E83"/>
    <w:rsid w:val="00A05495"/>
    <w:rsid w:val="00A06D74"/>
    <w:rsid w:val="00A119E1"/>
    <w:rsid w:val="00A1786A"/>
    <w:rsid w:val="00A210CD"/>
    <w:rsid w:val="00A210F8"/>
    <w:rsid w:val="00A21828"/>
    <w:rsid w:val="00A21DDF"/>
    <w:rsid w:val="00A21E5F"/>
    <w:rsid w:val="00A22313"/>
    <w:rsid w:val="00A244FC"/>
    <w:rsid w:val="00A262A8"/>
    <w:rsid w:val="00A30EBB"/>
    <w:rsid w:val="00A32DF0"/>
    <w:rsid w:val="00A33B59"/>
    <w:rsid w:val="00A33D21"/>
    <w:rsid w:val="00A3685B"/>
    <w:rsid w:val="00A373D6"/>
    <w:rsid w:val="00A40130"/>
    <w:rsid w:val="00A42D9B"/>
    <w:rsid w:val="00A44F24"/>
    <w:rsid w:val="00A45528"/>
    <w:rsid w:val="00A502F5"/>
    <w:rsid w:val="00A532C4"/>
    <w:rsid w:val="00A53974"/>
    <w:rsid w:val="00A57912"/>
    <w:rsid w:val="00A61FD5"/>
    <w:rsid w:val="00A651C5"/>
    <w:rsid w:val="00A65381"/>
    <w:rsid w:val="00A65AAA"/>
    <w:rsid w:val="00A70F7B"/>
    <w:rsid w:val="00A74149"/>
    <w:rsid w:val="00A75CEF"/>
    <w:rsid w:val="00A76BBA"/>
    <w:rsid w:val="00A8155D"/>
    <w:rsid w:val="00A82E5A"/>
    <w:rsid w:val="00A83D71"/>
    <w:rsid w:val="00A85E34"/>
    <w:rsid w:val="00A901F8"/>
    <w:rsid w:val="00A94D60"/>
    <w:rsid w:val="00A971E7"/>
    <w:rsid w:val="00AA193C"/>
    <w:rsid w:val="00AA4C25"/>
    <w:rsid w:val="00AA62EF"/>
    <w:rsid w:val="00AB05A2"/>
    <w:rsid w:val="00AB0A6A"/>
    <w:rsid w:val="00AB122A"/>
    <w:rsid w:val="00AB3CEF"/>
    <w:rsid w:val="00AB558C"/>
    <w:rsid w:val="00AB64C3"/>
    <w:rsid w:val="00AB6BCB"/>
    <w:rsid w:val="00AC2F1B"/>
    <w:rsid w:val="00AC5CCF"/>
    <w:rsid w:val="00AC7DAF"/>
    <w:rsid w:val="00AC7DCB"/>
    <w:rsid w:val="00AD7A9A"/>
    <w:rsid w:val="00AE22AD"/>
    <w:rsid w:val="00AE234A"/>
    <w:rsid w:val="00AE2EC2"/>
    <w:rsid w:val="00AE588B"/>
    <w:rsid w:val="00AF09C5"/>
    <w:rsid w:val="00AF2A03"/>
    <w:rsid w:val="00AF3463"/>
    <w:rsid w:val="00AF3F73"/>
    <w:rsid w:val="00AF7AB5"/>
    <w:rsid w:val="00B002FB"/>
    <w:rsid w:val="00B00852"/>
    <w:rsid w:val="00B00E5C"/>
    <w:rsid w:val="00B053BE"/>
    <w:rsid w:val="00B0791F"/>
    <w:rsid w:val="00B11840"/>
    <w:rsid w:val="00B11AC3"/>
    <w:rsid w:val="00B13007"/>
    <w:rsid w:val="00B17785"/>
    <w:rsid w:val="00B2050D"/>
    <w:rsid w:val="00B228BB"/>
    <w:rsid w:val="00B23299"/>
    <w:rsid w:val="00B24B90"/>
    <w:rsid w:val="00B25504"/>
    <w:rsid w:val="00B25B8C"/>
    <w:rsid w:val="00B32028"/>
    <w:rsid w:val="00B32ADA"/>
    <w:rsid w:val="00B40F7B"/>
    <w:rsid w:val="00B44E3B"/>
    <w:rsid w:val="00B517C7"/>
    <w:rsid w:val="00B51CE6"/>
    <w:rsid w:val="00B522E2"/>
    <w:rsid w:val="00B5543B"/>
    <w:rsid w:val="00B55F77"/>
    <w:rsid w:val="00B56539"/>
    <w:rsid w:val="00B565ED"/>
    <w:rsid w:val="00B57643"/>
    <w:rsid w:val="00B6081E"/>
    <w:rsid w:val="00B6117B"/>
    <w:rsid w:val="00B62ACB"/>
    <w:rsid w:val="00B642EF"/>
    <w:rsid w:val="00B64ACA"/>
    <w:rsid w:val="00B720D5"/>
    <w:rsid w:val="00B7292F"/>
    <w:rsid w:val="00B73DBD"/>
    <w:rsid w:val="00B76AC8"/>
    <w:rsid w:val="00B801FC"/>
    <w:rsid w:val="00B8108F"/>
    <w:rsid w:val="00B8370C"/>
    <w:rsid w:val="00B85357"/>
    <w:rsid w:val="00B90170"/>
    <w:rsid w:val="00B958D1"/>
    <w:rsid w:val="00B971CE"/>
    <w:rsid w:val="00BA0CBE"/>
    <w:rsid w:val="00BA7593"/>
    <w:rsid w:val="00BB3160"/>
    <w:rsid w:val="00BB7A3E"/>
    <w:rsid w:val="00BC38E0"/>
    <w:rsid w:val="00BC3C75"/>
    <w:rsid w:val="00BC7644"/>
    <w:rsid w:val="00BC7C45"/>
    <w:rsid w:val="00BD16D0"/>
    <w:rsid w:val="00BD1EC1"/>
    <w:rsid w:val="00BD4263"/>
    <w:rsid w:val="00BD5C7A"/>
    <w:rsid w:val="00BD6462"/>
    <w:rsid w:val="00BE14E6"/>
    <w:rsid w:val="00BE2925"/>
    <w:rsid w:val="00BE45D8"/>
    <w:rsid w:val="00BE5E6F"/>
    <w:rsid w:val="00BE7699"/>
    <w:rsid w:val="00BF1700"/>
    <w:rsid w:val="00BF2130"/>
    <w:rsid w:val="00BF2F2C"/>
    <w:rsid w:val="00BF4485"/>
    <w:rsid w:val="00BF5821"/>
    <w:rsid w:val="00BF6298"/>
    <w:rsid w:val="00C02E77"/>
    <w:rsid w:val="00C04016"/>
    <w:rsid w:val="00C054F3"/>
    <w:rsid w:val="00C061CB"/>
    <w:rsid w:val="00C104D8"/>
    <w:rsid w:val="00C10C7B"/>
    <w:rsid w:val="00C1159C"/>
    <w:rsid w:val="00C11D88"/>
    <w:rsid w:val="00C13DD4"/>
    <w:rsid w:val="00C1434C"/>
    <w:rsid w:val="00C1487A"/>
    <w:rsid w:val="00C21B2E"/>
    <w:rsid w:val="00C240C4"/>
    <w:rsid w:val="00C2468B"/>
    <w:rsid w:val="00C32CBC"/>
    <w:rsid w:val="00C4487C"/>
    <w:rsid w:val="00C468E4"/>
    <w:rsid w:val="00C46DFD"/>
    <w:rsid w:val="00C47EFD"/>
    <w:rsid w:val="00C50B6F"/>
    <w:rsid w:val="00C5275C"/>
    <w:rsid w:val="00C537B0"/>
    <w:rsid w:val="00C56284"/>
    <w:rsid w:val="00C56E1C"/>
    <w:rsid w:val="00C606CD"/>
    <w:rsid w:val="00C6387B"/>
    <w:rsid w:val="00C63E1D"/>
    <w:rsid w:val="00C66DE1"/>
    <w:rsid w:val="00C73110"/>
    <w:rsid w:val="00C75708"/>
    <w:rsid w:val="00C75DC6"/>
    <w:rsid w:val="00C77295"/>
    <w:rsid w:val="00C80E0D"/>
    <w:rsid w:val="00C82161"/>
    <w:rsid w:val="00C85AAB"/>
    <w:rsid w:val="00C85DA9"/>
    <w:rsid w:val="00C872D4"/>
    <w:rsid w:val="00C8792A"/>
    <w:rsid w:val="00C920E4"/>
    <w:rsid w:val="00C955A4"/>
    <w:rsid w:val="00C95FA2"/>
    <w:rsid w:val="00C96A67"/>
    <w:rsid w:val="00C97E31"/>
    <w:rsid w:val="00CA3199"/>
    <w:rsid w:val="00CA32BC"/>
    <w:rsid w:val="00CA68B5"/>
    <w:rsid w:val="00CA7C96"/>
    <w:rsid w:val="00CB647D"/>
    <w:rsid w:val="00CB72DB"/>
    <w:rsid w:val="00CB780B"/>
    <w:rsid w:val="00CC1139"/>
    <w:rsid w:val="00CC2D0E"/>
    <w:rsid w:val="00CC2DAA"/>
    <w:rsid w:val="00CC3E82"/>
    <w:rsid w:val="00CD027C"/>
    <w:rsid w:val="00CD3B07"/>
    <w:rsid w:val="00CD7543"/>
    <w:rsid w:val="00CE2951"/>
    <w:rsid w:val="00CE3A48"/>
    <w:rsid w:val="00CF02BB"/>
    <w:rsid w:val="00CF1880"/>
    <w:rsid w:val="00CF28C2"/>
    <w:rsid w:val="00CF38CB"/>
    <w:rsid w:val="00CF45CE"/>
    <w:rsid w:val="00D004D8"/>
    <w:rsid w:val="00D02125"/>
    <w:rsid w:val="00D03F9C"/>
    <w:rsid w:val="00D0556C"/>
    <w:rsid w:val="00D06C25"/>
    <w:rsid w:val="00D0766B"/>
    <w:rsid w:val="00D1344A"/>
    <w:rsid w:val="00D138DB"/>
    <w:rsid w:val="00D14997"/>
    <w:rsid w:val="00D14B71"/>
    <w:rsid w:val="00D171A6"/>
    <w:rsid w:val="00D22776"/>
    <w:rsid w:val="00D23681"/>
    <w:rsid w:val="00D25930"/>
    <w:rsid w:val="00D25BB2"/>
    <w:rsid w:val="00D27842"/>
    <w:rsid w:val="00D30092"/>
    <w:rsid w:val="00D30BE3"/>
    <w:rsid w:val="00D34A64"/>
    <w:rsid w:val="00D34F45"/>
    <w:rsid w:val="00D4043D"/>
    <w:rsid w:val="00D41300"/>
    <w:rsid w:val="00D45063"/>
    <w:rsid w:val="00D45414"/>
    <w:rsid w:val="00D478C8"/>
    <w:rsid w:val="00D539D8"/>
    <w:rsid w:val="00D55317"/>
    <w:rsid w:val="00D57ADA"/>
    <w:rsid w:val="00D70AC7"/>
    <w:rsid w:val="00D73596"/>
    <w:rsid w:val="00D75973"/>
    <w:rsid w:val="00D76232"/>
    <w:rsid w:val="00D80A4F"/>
    <w:rsid w:val="00D815D6"/>
    <w:rsid w:val="00D8258B"/>
    <w:rsid w:val="00D851D2"/>
    <w:rsid w:val="00D875AA"/>
    <w:rsid w:val="00D87B52"/>
    <w:rsid w:val="00D9192E"/>
    <w:rsid w:val="00D951CB"/>
    <w:rsid w:val="00D95821"/>
    <w:rsid w:val="00DA0D8A"/>
    <w:rsid w:val="00DB2F5A"/>
    <w:rsid w:val="00DB3105"/>
    <w:rsid w:val="00DB6237"/>
    <w:rsid w:val="00DC1021"/>
    <w:rsid w:val="00DC40B6"/>
    <w:rsid w:val="00DC4D86"/>
    <w:rsid w:val="00DC591C"/>
    <w:rsid w:val="00DC7354"/>
    <w:rsid w:val="00DD4368"/>
    <w:rsid w:val="00DD4701"/>
    <w:rsid w:val="00DD6513"/>
    <w:rsid w:val="00DD730D"/>
    <w:rsid w:val="00DD7AB1"/>
    <w:rsid w:val="00DE1D13"/>
    <w:rsid w:val="00DE1DF8"/>
    <w:rsid w:val="00DE3F01"/>
    <w:rsid w:val="00DF0357"/>
    <w:rsid w:val="00DF0DC8"/>
    <w:rsid w:val="00DF1A52"/>
    <w:rsid w:val="00DF1BCC"/>
    <w:rsid w:val="00DF219D"/>
    <w:rsid w:val="00DF4E30"/>
    <w:rsid w:val="00DF4EBA"/>
    <w:rsid w:val="00DF5894"/>
    <w:rsid w:val="00DF6E93"/>
    <w:rsid w:val="00E00EC4"/>
    <w:rsid w:val="00E01DB9"/>
    <w:rsid w:val="00E04380"/>
    <w:rsid w:val="00E04419"/>
    <w:rsid w:val="00E053C1"/>
    <w:rsid w:val="00E068B1"/>
    <w:rsid w:val="00E06A4E"/>
    <w:rsid w:val="00E1547F"/>
    <w:rsid w:val="00E20132"/>
    <w:rsid w:val="00E251F9"/>
    <w:rsid w:val="00E311C2"/>
    <w:rsid w:val="00E32ACA"/>
    <w:rsid w:val="00E3365E"/>
    <w:rsid w:val="00E34161"/>
    <w:rsid w:val="00E34D5D"/>
    <w:rsid w:val="00E37E7A"/>
    <w:rsid w:val="00E42604"/>
    <w:rsid w:val="00E45B40"/>
    <w:rsid w:val="00E45F96"/>
    <w:rsid w:val="00E54462"/>
    <w:rsid w:val="00E56A8B"/>
    <w:rsid w:val="00E57A1E"/>
    <w:rsid w:val="00E71470"/>
    <w:rsid w:val="00E734FF"/>
    <w:rsid w:val="00E739B2"/>
    <w:rsid w:val="00E74158"/>
    <w:rsid w:val="00E770DC"/>
    <w:rsid w:val="00E83B40"/>
    <w:rsid w:val="00E83D21"/>
    <w:rsid w:val="00E84149"/>
    <w:rsid w:val="00E84D19"/>
    <w:rsid w:val="00E8554A"/>
    <w:rsid w:val="00E87BBA"/>
    <w:rsid w:val="00E91602"/>
    <w:rsid w:val="00E96409"/>
    <w:rsid w:val="00E964E1"/>
    <w:rsid w:val="00E9699B"/>
    <w:rsid w:val="00E96B99"/>
    <w:rsid w:val="00EA0DC1"/>
    <w:rsid w:val="00EA0F88"/>
    <w:rsid w:val="00EA12D2"/>
    <w:rsid w:val="00EA418D"/>
    <w:rsid w:val="00EA470C"/>
    <w:rsid w:val="00EA6720"/>
    <w:rsid w:val="00EA7740"/>
    <w:rsid w:val="00EB01E8"/>
    <w:rsid w:val="00EB25E1"/>
    <w:rsid w:val="00EB2EC2"/>
    <w:rsid w:val="00EB54F8"/>
    <w:rsid w:val="00EC4FC8"/>
    <w:rsid w:val="00EC5ECA"/>
    <w:rsid w:val="00EC78CD"/>
    <w:rsid w:val="00EC7BBC"/>
    <w:rsid w:val="00ED16D8"/>
    <w:rsid w:val="00ED4FF3"/>
    <w:rsid w:val="00ED5450"/>
    <w:rsid w:val="00ED67FD"/>
    <w:rsid w:val="00ED7138"/>
    <w:rsid w:val="00ED714C"/>
    <w:rsid w:val="00EE1D60"/>
    <w:rsid w:val="00EF21F4"/>
    <w:rsid w:val="00EF238D"/>
    <w:rsid w:val="00EF7963"/>
    <w:rsid w:val="00F00D68"/>
    <w:rsid w:val="00F00EC8"/>
    <w:rsid w:val="00F01A01"/>
    <w:rsid w:val="00F01FDE"/>
    <w:rsid w:val="00F02FD9"/>
    <w:rsid w:val="00F04CC6"/>
    <w:rsid w:val="00F07C6C"/>
    <w:rsid w:val="00F10018"/>
    <w:rsid w:val="00F13B49"/>
    <w:rsid w:val="00F15C09"/>
    <w:rsid w:val="00F16195"/>
    <w:rsid w:val="00F21D87"/>
    <w:rsid w:val="00F229ED"/>
    <w:rsid w:val="00F22CEE"/>
    <w:rsid w:val="00F22FEC"/>
    <w:rsid w:val="00F23257"/>
    <w:rsid w:val="00F261C7"/>
    <w:rsid w:val="00F31949"/>
    <w:rsid w:val="00F3278E"/>
    <w:rsid w:val="00F33DDF"/>
    <w:rsid w:val="00F348B4"/>
    <w:rsid w:val="00F34D13"/>
    <w:rsid w:val="00F35D94"/>
    <w:rsid w:val="00F37FA7"/>
    <w:rsid w:val="00F4214E"/>
    <w:rsid w:val="00F436A9"/>
    <w:rsid w:val="00F44DB1"/>
    <w:rsid w:val="00F458C1"/>
    <w:rsid w:val="00F459D7"/>
    <w:rsid w:val="00F47065"/>
    <w:rsid w:val="00F50DEA"/>
    <w:rsid w:val="00F515B8"/>
    <w:rsid w:val="00F5543A"/>
    <w:rsid w:val="00F555D2"/>
    <w:rsid w:val="00F57ABB"/>
    <w:rsid w:val="00F7047E"/>
    <w:rsid w:val="00F71AA0"/>
    <w:rsid w:val="00F722C5"/>
    <w:rsid w:val="00F7464D"/>
    <w:rsid w:val="00F75F13"/>
    <w:rsid w:val="00F8186E"/>
    <w:rsid w:val="00F826EC"/>
    <w:rsid w:val="00F84FD4"/>
    <w:rsid w:val="00F8599C"/>
    <w:rsid w:val="00F85D86"/>
    <w:rsid w:val="00F90A6D"/>
    <w:rsid w:val="00F934A3"/>
    <w:rsid w:val="00F95C2C"/>
    <w:rsid w:val="00F97BA8"/>
    <w:rsid w:val="00FA054E"/>
    <w:rsid w:val="00FA287B"/>
    <w:rsid w:val="00FA328F"/>
    <w:rsid w:val="00FA3B0C"/>
    <w:rsid w:val="00FA450F"/>
    <w:rsid w:val="00FA45E1"/>
    <w:rsid w:val="00FA78EE"/>
    <w:rsid w:val="00FB0961"/>
    <w:rsid w:val="00FB1BFA"/>
    <w:rsid w:val="00FB2C4C"/>
    <w:rsid w:val="00FB3DB2"/>
    <w:rsid w:val="00FB7871"/>
    <w:rsid w:val="00FC1ADC"/>
    <w:rsid w:val="00FC2551"/>
    <w:rsid w:val="00FD23BA"/>
    <w:rsid w:val="00FD28BA"/>
    <w:rsid w:val="00FD32A5"/>
    <w:rsid w:val="00FD3CD5"/>
    <w:rsid w:val="00FD586E"/>
    <w:rsid w:val="00FD6B89"/>
    <w:rsid w:val="00FE0258"/>
    <w:rsid w:val="00FE244D"/>
    <w:rsid w:val="00FE2757"/>
    <w:rsid w:val="00FE3711"/>
    <w:rsid w:val="00FE74A3"/>
    <w:rsid w:val="00FF0BD7"/>
    <w:rsid w:val="00FF5BC4"/>
    <w:rsid w:val="00FF6C7C"/>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CDA4E-4A8D-4DB5-8D96-0DDAB4A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link w:val="HeaderChar"/>
    <w:uiPriority w:val="99"/>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programmeoutcometitle">
    <w:name w:val="programme_outcome_title"/>
    <w:basedOn w:val="DefaultParagraphFont"/>
    <w:rsid w:val="000D16F9"/>
  </w:style>
  <w:style w:type="character" w:customStyle="1" w:styleId="programmeoutcomedescription">
    <w:name w:val="programme_outcome_description"/>
    <w:basedOn w:val="DefaultParagraphFont"/>
    <w:rsid w:val="000D16F9"/>
  </w:style>
  <w:style w:type="character" w:customStyle="1" w:styleId="apple-converted-space">
    <w:name w:val="apple-converted-space"/>
    <w:basedOn w:val="DefaultParagraphFont"/>
    <w:rsid w:val="000D16F9"/>
  </w:style>
  <w:style w:type="paragraph" w:styleId="ListParagraph">
    <w:name w:val="List Paragraph"/>
    <w:aliases w:val="References,Bullets,RM1,lp1,Liste de points,List Paragraph (numbered (a)),Table/Figure Heading,List Bullet Mary,Numbered Paragraph,Main numbered paragraph,Numbered List Paragraph,123 List Paragraph,List Paragraph nowy,Liste 1"/>
    <w:basedOn w:val="Normal"/>
    <w:link w:val="ListParagraphChar"/>
    <w:uiPriority w:val="34"/>
    <w:qFormat/>
    <w:rsid w:val="001D0314"/>
    <w:pPr>
      <w:ind w:left="720"/>
      <w:contextualSpacing/>
    </w:pPr>
  </w:style>
  <w:style w:type="paragraph" w:styleId="BalloonText">
    <w:name w:val="Balloon Text"/>
    <w:basedOn w:val="Normal"/>
    <w:link w:val="BalloonTextChar"/>
    <w:rsid w:val="00273420"/>
    <w:rPr>
      <w:rFonts w:ascii="Segoe UI" w:hAnsi="Segoe UI" w:cs="Segoe UI"/>
      <w:sz w:val="18"/>
      <w:szCs w:val="18"/>
    </w:rPr>
  </w:style>
  <w:style w:type="character" w:customStyle="1" w:styleId="BalloonTextChar">
    <w:name w:val="Balloon Text Char"/>
    <w:basedOn w:val="DefaultParagraphFont"/>
    <w:link w:val="BalloonText"/>
    <w:rsid w:val="00273420"/>
    <w:rPr>
      <w:rFonts w:ascii="Segoe UI" w:hAnsi="Segoe UI" w:cs="Segoe UI"/>
      <w:sz w:val="18"/>
      <w:szCs w:val="18"/>
    </w:rPr>
  </w:style>
  <w:style w:type="character" w:styleId="CommentReference">
    <w:name w:val="annotation reference"/>
    <w:basedOn w:val="DefaultParagraphFont"/>
    <w:semiHidden/>
    <w:unhideWhenUsed/>
    <w:rsid w:val="000376F2"/>
    <w:rPr>
      <w:sz w:val="16"/>
      <w:szCs w:val="16"/>
    </w:rPr>
  </w:style>
  <w:style w:type="paragraph" w:styleId="CommentText">
    <w:name w:val="annotation text"/>
    <w:basedOn w:val="Normal"/>
    <w:link w:val="CommentTextChar"/>
    <w:semiHidden/>
    <w:unhideWhenUsed/>
    <w:rsid w:val="000376F2"/>
    <w:rPr>
      <w:sz w:val="20"/>
    </w:rPr>
  </w:style>
  <w:style w:type="character" w:customStyle="1" w:styleId="CommentTextChar">
    <w:name w:val="Comment Text Char"/>
    <w:basedOn w:val="DefaultParagraphFont"/>
    <w:link w:val="CommentText"/>
    <w:semiHidden/>
    <w:rsid w:val="000376F2"/>
  </w:style>
  <w:style w:type="paragraph" w:styleId="CommentSubject">
    <w:name w:val="annotation subject"/>
    <w:basedOn w:val="CommentText"/>
    <w:next w:val="CommentText"/>
    <w:link w:val="CommentSubjectChar"/>
    <w:semiHidden/>
    <w:unhideWhenUsed/>
    <w:rsid w:val="000376F2"/>
    <w:rPr>
      <w:b/>
      <w:bCs/>
    </w:rPr>
  </w:style>
  <w:style w:type="character" w:customStyle="1" w:styleId="CommentSubjectChar">
    <w:name w:val="Comment Subject Char"/>
    <w:basedOn w:val="CommentTextChar"/>
    <w:link w:val="CommentSubject"/>
    <w:semiHidden/>
    <w:rsid w:val="000376F2"/>
    <w:rPr>
      <w:b/>
      <w:bCs/>
    </w:rPr>
  </w:style>
  <w:style w:type="character" w:customStyle="1" w:styleId="spanwordwrap">
    <w:name w:val="span_wordwrap"/>
    <w:basedOn w:val="DefaultParagraphFont"/>
    <w:rsid w:val="00DF4EBA"/>
  </w:style>
  <w:style w:type="character" w:styleId="Strong">
    <w:name w:val="Strong"/>
    <w:basedOn w:val="DefaultParagraphFont"/>
    <w:uiPriority w:val="22"/>
    <w:qFormat/>
    <w:rsid w:val="00802102"/>
    <w:rPr>
      <w:b/>
      <w:bCs/>
    </w:rPr>
  </w:style>
  <w:style w:type="character" w:customStyle="1" w:styleId="HeaderChar">
    <w:name w:val="Header Char"/>
    <w:basedOn w:val="DefaultParagraphFont"/>
    <w:link w:val="Header"/>
    <w:uiPriority w:val="99"/>
    <w:rsid w:val="009079BC"/>
    <w:rPr>
      <w:sz w:val="24"/>
    </w:rPr>
  </w:style>
  <w:style w:type="character" w:customStyle="1" w:styleId="BodyText2Char">
    <w:name w:val="Body Text 2 Char"/>
    <w:basedOn w:val="DefaultParagraphFont"/>
    <w:link w:val="BodyText2"/>
    <w:rsid w:val="005A4416"/>
    <w:rPr>
      <w:rFonts w:ascii="Arial" w:hAnsi="Arial"/>
    </w:rPr>
  </w:style>
  <w:style w:type="character" w:customStyle="1" w:styleId="ListParagraphChar">
    <w:name w:val="List Paragraph Char"/>
    <w:aliases w:val="References Char,Bullets Char,RM1 Char,lp1 Char,Liste de points Char,List Paragraph (numbered (a)) Char,Table/Figure Heading Char,List Bullet Mary Char,Numbered Paragraph Char,Main numbered paragraph Char,Numbered List Paragraph Char"/>
    <w:link w:val="ListParagraph"/>
    <w:uiPriority w:val="34"/>
    <w:rsid w:val="00704DA4"/>
    <w:rPr>
      <w:sz w:val="24"/>
    </w:rPr>
  </w:style>
  <w:style w:type="paragraph" w:styleId="Revision">
    <w:name w:val="Revision"/>
    <w:hidden/>
    <w:uiPriority w:val="99"/>
    <w:semiHidden/>
    <w:rsid w:val="005A0F04"/>
    <w:rPr>
      <w:sz w:val="24"/>
    </w:rPr>
  </w:style>
  <w:style w:type="paragraph" w:styleId="NormalWeb">
    <w:name w:val="Normal (Web)"/>
    <w:basedOn w:val="Normal"/>
    <w:uiPriority w:val="99"/>
    <w:unhideWhenUsed/>
    <w:rsid w:val="00822F2E"/>
    <w:pPr>
      <w:widowControl/>
      <w:spacing w:before="100" w:beforeAutospacing="1" w:after="100" w:afterAutospacing="1"/>
    </w:pPr>
    <w:rPr>
      <w:szCs w:val="24"/>
      <w:lang w:val="fr-FR" w:eastAsia="fr-FR"/>
    </w:rPr>
  </w:style>
  <w:style w:type="character" w:customStyle="1" w:styleId="current-page">
    <w:name w:val="current-page"/>
    <w:basedOn w:val="DefaultParagraphFont"/>
    <w:rsid w:val="00822F2E"/>
  </w:style>
  <w:style w:type="character" w:customStyle="1" w:styleId="fontstyle01">
    <w:name w:val="fontstyle01"/>
    <w:basedOn w:val="DefaultParagraphFont"/>
    <w:rsid w:val="00C56284"/>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C77295"/>
    <w:rPr>
      <w:rFonts w:ascii="Calibri" w:hAnsi="Calibri" w:cs="Calibri" w:hint="default"/>
      <w:b w:val="0"/>
      <w:bCs w:val="0"/>
      <w:i w:val="0"/>
      <w:iCs w:val="0"/>
      <w:color w:val="000000"/>
      <w:sz w:val="18"/>
      <w:szCs w:val="18"/>
    </w:rPr>
  </w:style>
  <w:style w:type="character" w:customStyle="1" w:styleId="fontstyle31">
    <w:name w:val="fontstyle31"/>
    <w:basedOn w:val="DefaultParagraphFont"/>
    <w:rsid w:val="00C1159C"/>
    <w:rPr>
      <w:rFonts w:ascii="Wingdings" w:hAnsi="Wingdings" w:hint="default"/>
      <w:b w:val="0"/>
      <w:bCs w:val="0"/>
      <w:i w:val="0"/>
      <w:iCs w:val="0"/>
      <w:color w:val="000000"/>
      <w:sz w:val="22"/>
      <w:szCs w:val="22"/>
    </w:rPr>
  </w:style>
  <w:style w:type="paragraph" w:customStyle="1" w:styleId="Default">
    <w:name w:val="Default"/>
    <w:rsid w:val="004A7E45"/>
    <w:pPr>
      <w:autoSpaceDE w:val="0"/>
      <w:autoSpaceDN w:val="0"/>
      <w:adjustRightInd w:val="0"/>
    </w:pPr>
    <w:rPr>
      <w:rFonts w:ascii="Calibri" w:hAnsi="Calibri" w:cs="Calibri"/>
      <w:color w:val="000000"/>
      <w:sz w:val="24"/>
      <w:szCs w:val="24"/>
      <w:lang w:val="fr-S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1813">
      <w:bodyDiv w:val="1"/>
      <w:marLeft w:val="0"/>
      <w:marRight w:val="0"/>
      <w:marTop w:val="0"/>
      <w:marBottom w:val="0"/>
      <w:divBdr>
        <w:top w:val="none" w:sz="0" w:space="0" w:color="auto"/>
        <w:left w:val="none" w:sz="0" w:space="0" w:color="auto"/>
        <w:bottom w:val="none" w:sz="0" w:space="0" w:color="auto"/>
        <w:right w:val="none" w:sz="0" w:space="0" w:color="auto"/>
      </w:divBdr>
    </w:div>
    <w:div w:id="316494202">
      <w:bodyDiv w:val="1"/>
      <w:marLeft w:val="0"/>
      <w:marRight w:val="0"/>
      <w:marTop w:val="0"/>
      <w:marBottom w:val="0"/>
      <w:divBdr>
        <w:top w:val="none" w:sz="0" w:space="0" w:color="auto"/>
        <w:left w:val="none" w:sz="0" w:space="0" w:color="auto"/>
        <w:bottom w:val="none" w:sz="0" w:space="0" w:color="auto"/>
        <w:right w:val="none" w:sz="0" w:space="0" w:color="auto"/>
      </w:divBdr>
    </w:div>
    <w:div w:id="318775166">
      <w:bodyDiv w:val="1"/>
      <w:marLeft w:val="0"/>
      <w:marRight w:val="0"/>
      <w:marTop w:val="0"/>
      <w:marBottom w:val="0"/>
      <w:divBdr>
        <w:top w:val="none" w:sz="0" w:space="0" w:color="auto"/>
        <w:left w:val="none" w:sz="0" w:space="0" w:color="auto"/>
        <w:bottom w:val="none" w:sz="0" w:space="0" w:color="auto"/>
        <w:right w:val="none" w:sz="0" w:space="0" w:color="auto"/>
      </w:divBdr>
    </w:div>
    <w:div w:id="665667372">
      <w:bodyDiv w:val="1"/>
      <w:marLeft w:val="0"/>
      <w:marRight w:val="0"/>
      <w:marTop w:val="0"/>
      <w:marBottom w:val="0"/>
      <w:divBdr>
        <w:top w:val="none" w:sz="0" w:space="0" w:color="auto"/>
        <w:left w:val="none" w:sz="0" w:space="0" w:color="auto"/>
        <w:bottom w:val="none" w:sz="0" w:space="0" w:color="auto"/>
        <w:right w:val="none" w:sz="0" w:space="0" w:color="auto"/>
      </w:divBdr>
    </w:div>
    <w:div w:id="682633440">
      <w:bodyDiv w:val="1"/>
      <w:marLeft w:val="0"/>
      <w:marRight w:val="0"/>
      <w:marTop w:val="0"/>
      <w:marBottom w:val="0"/>
      <w:divBdr>
        <w:top w:val="none" w:sz="0" w:space="0" w:color="auto"/>
        <w:left w:val="none" w:sz="0" w:space="0" w:color="auto"/>
        <w:bottom w:val="none" w:sz="0" w:space="0" w:color="auto"/>
        <w:right w:val="none" w:sz="0" w:space="0" w:color="auto"/>
      </w:divBdr>
    </w:div>
    <w:div w:id="707951479">
      <w:bodyDiv w:val="1"/>
      <w:marLeft w:val="0"/>
      <w:marRight w:val="0"/>
      <w:marTop w:val="0"/>
      <w:marBottom w:val="0"/>
      <w:divBdr>
        <w:top w:val="none" w:sz="0" w:space="0" w:color="auto"/>
        <w:left w:val="none" w:sz="0" w:space="0" w:color="auto"/>
        <w:bottom w:val="none" w:sz="0" w:space="0" w:color="auto"/>
        <w:right w:val="none" w:sz="0" w:space="0" w:color="auto"/>
      </w:divBdr>
    </w:div>
    <w:div w:id="776869131">
      <w:bodyDiv w:val="1"/>
      <w:marLeft w:val="0"/>
      <w:marRight w:val="0"/>
      <w:marTop w:val="0"/>
      <w:marBottom w:val="0"/>
      <w:divBdr>
        <w:top w:val="none" w:sz="0" w:space="0" w:color="auto"/>
        <w:left w:val="none" w:sz="0" w:space="0" w:color="auto"/>
        <w:bottom w:val="none" w:sz="0" w:space="0" w:color="auto"/>
        <w:right w:val="none" w:sz="0" w:space="0" w:color="auto"/>
      </w:divBdr>
    </w:div>
    <w:div w:id="786853068">
      <w:bodyDiv w:val="1"/>
      <w:marLeft w:val="0"/>
      <w:marRight w:val="0"/>
      <w:marTop w:val="0"/>
      <w:marBottom w:val="0"/>
      <w:divBdr>
        <w:top w:val="none" w:sz="0" w:space="0" w:color="auto"/>
        <w:left w:val="none" w:sz="0" w:space="0" w:color="auto"/>
        <w:bottom w:val="none" w:sz="0" w:space="0" w:color="auto"/>
        <w:right w:val="none" w:sz="0" w:space="0" w:color="auto"/>
      </w:divBdr>
    </w:div>
    <w:div w:id="832182027">
      <w:bodyDiv w:val="1"/>
      <w:marLeft w:val="0"/>
      <w:marRight w:val="0"/>
      <w:marTop w:val="0"/>
      <w:marBottom w:val="0"/>
      <w:divBdr>
        <w:top w:val="none" w:sz="0" w:space="0" w:color="auto"/>
        <w:left w:val="none" w:sz="0" w:space="0" w:color="auto"/>
        <w:bottom w:val="none" w:sz="0" w:space="0" w:color="auto"/>
        <w:right w:val="none" w:sz="0" w:space="0" w:color="auto"/>
      </w:divBdr>
    </w:div>
    <w:div w:id="833296892">
      <w:bodyDiv w:val="1"/>
      <w:marLeft w:val="0"/>
      <w:marRight w:val="0"/>
      <w:marTop w:val="0"/>
      <w:marBottom w:val="0"/>
      <w:divBdr>
        <w:top w:val="none" w:sz="0" w:space="0" w:color="auto"/>
        <w:left w:val="none" w:sz="0" w:space="0" w:color="auto"/>
        <w:bottom w:val="none" w:sz="0" w:space="0" w:color="auto"/>
        <w:right w:val="none" w:sz="0" w:space="0" w:color="auto"/>
      </w:divBdr>
    </w:div>
    <w:div w:id="908224330">
      <w:bodyDiv w:val="1"/>
      <w:marLeft w:val="0"/>
      <w:marRight w:val="0"/>
      <w:marTop w:val="0"/>
      <w:marBottom w:val="0"/>
      <w:divBdr>
        <w:top w:val="none" w:sz="0" w:space="0" w:color="auto"/>
        <w:left w:val="none" w:sz="0" w:space="0" w:color="auto"/>
        <w:bottom w:val="none" w:sz="0" w:space="0" w:color="auto"/>
        <w:right w:val="none" w:sz="0" w:space="0" w:color="auto"/>
      </w:divBdr>
    </w:div>
    <w:div w:id="921646490">
      <w:bodyDiv w:val="1"/>
      <w:marLeft w:val="0"/>
      <w:marRight w:val="0"/>
      <w:marTop w:val="0"/>
      <w:marBottom w:val="0"/>
      <w:divBdr>
        <w:top w:val="none" w:sz="0" w:space="0" w:color="auto"/>
        <w:left w:val="none" w:sz="0" w:space="0" w:color="auto"/>
        <w:bottom w:val="none" w:sz="0" w:space="0" w:color="auto"/>
        <w:right w:val="none" w:sz="0" w:space="0" w:color="auto"/>
      </w:divBdr>
    </w:div>
    <w:div w:id="1079791263">
      <w:bodyDiv w:val="1"/>
      <w:marLeft w:val="0"/>
      <w:marRight w:val="0"/>
      <w:marTop w:val="0"/>
      <w:marBottom w:val="0"/>
      <w:divBdr>
        <w:top w:val="none" w:sz="0" w:space="0" w:color="auto"/>
        <w:left w:val="none" w:sz="0" w:space="0" w:color="auto"/>
        <w:bottom w:val="none" w:sz="0" w:space="0" w:color="auto"/>
        <w:right w:val="none" w:sz="0" w:space="0" w:color="auto"/>
      </w:divBdr>
    </w:div>
    <w:div w:id="1084112316">
      <w:bodyDiv w:val="1"/>
      <w:marLeft w:val="0"/>
      <w:marRight w:val="0"/>
      <w:marTop w:val="0"/>
      <w:marBottom w:val="0"/>
      <w:divBdr>
        <w:top w:val="none" w:sz="0" w:space="0" w:color="auto"/>
        <w:left w:val="none" w:sz="0" w:space="0" w:color="auto"/>
        <w:bottom w:val="none" w:sz="0" w:space="0" w:color="auto"/>
        <w:right w:val="none" w:sz="0" w:space="0" w:color="auto"/>
      </w:divBdr>
      <w:divsChild>
        <w:div w:id="1756052414">
          <w:marLeft w:val="0"/>
          <w:marRight w:val="0"/>
          <w:marTop w:val="0"/>
          <w:marBottom w:val="0"/>
          <w:divBdr>
            <w:top w:val="none" w:sz="0" w:space="0" w:color="auto"/>
            <w:left w:val="none" w:sz="0" w:space="0" w:color="auto"/>
            <w:bottom w:val="none" w:sz="0" w:space="0" w:color="auto"/>
            <w:right w:val="none" w:sz="0" w:space="0" w:color="auto"/>
          </w:divBdr>
        </w:div>
        <w:div w:id="9260790">
          <w:marLeft w:val="0"/>
          <w:marRight w:val="0"/>
          <w:marTop w:val="0"/>
          <w:marBottom w:val="0"/>
          <w:divBdr>
            <w:top w:val="none" w:sz="0" w:space="0" w:color="auto"/>
            <w:left w:val="none" w:sz="0" w:space="0" w:color="auto"/>
            <w:bottom w:val="none" w:sz="0" w:space="0" w:color="auto"/>
            <w:right w:val="none" w:sz="0" w:space="0" w:color="auto"/>
          </w:divBdr>
        </w:div>
        <w:div w:id="1647079679">
          <w:marLeft w:val="0"/>
          <w:marRight w:val="0"/>
          <w:marTop w:val="0"/>
          <w:marBottom w:val="0"/>
          <w:divBdr>
            <w:top w:val="none" w:sz="0" w:space="0" w:color="auto"/>
            <w:left w:val="none" w:sz="0" w:space="0" w:color="auto"/>
            <w:bottom w:val="none" w:sz="0" w:space="0" w:color="auto"/>
            <w:right w:val="none" w:sz="0" w:space="0" w:color="auto"/>
          </w:divBdr>
        </w:div>
      </w:divsChild>
    </w:div>
    <w:div w:id="1125078986">
      <w:bodyDiv w:val="1"/>
      <w:marLeft w:val="0"/>
      <w:marRight w:val="0"/>
      <w:marTop w:val="0"/>
      <w:marBottom w:val="0"/>
      <w:divBdr>
        <w:top w:val="none" w:sz="0" w:space="0" w:color="auto"/>
        <w:left w:val="none" w:sz="0" w:space="0" w:color="auto"/>
        <w:bottom w:val="none" w:sz="0" w:space="0" w:color="auto"/>
        <w:right w:val="none" w:sz="0" w:space="0" w:color="auto"/>
      </w:divBdr>
    </w:div>
    <w:div w:id="1292400309">
      <w:bodyDiv w:val="1"/>
      <w:marLeft w:val="0"/>
      <w:marRight w:val="0"/>
      <w:marTop w:val="0"/>
      <w:marBottom w:val="0"/>
      <w:divBdr>
        <w:top w:val="none" w:sz="0" w:space="0" w:color="auto"/>
        <w:left w:val="none" w:sz="0" w:space="0" w:color="auto"/>
        <w:bottom w:val="none" w:sz="0" w:space="0" w:color="auto"/>
        <w:right w:val="none" w:sz="0" w:space="0" w:color="auto"/>
      </w:divBdr>
    </w:div>
    <w:div w:id="1419861682">
      <w:bodyDiv w:val="1"/>
      <w:marLeft w:val="0"/>
      <w:marRight w:val="0"/>
      <w:marTop w:val="0"/>
      <w:marBottom w:val="0"/>
      <w:divBdr>
        <w:top w:val="none" w:sz="0" w:space="0" w:color="auto"/>
        <w:left w:val="none" w:sz="0" w:space="0" w:color="auto"/>
        <w:bottom w:val="none" w:sz="0" w:space="0" w:color="auto"/>
        <w:right w:val="none" w:sz="0" w:space="0" w:color="auto"/>
      </w:divBdr>
    </w:div>
    <w:div w:id="1485733358">
      <w:bodyDiv w:val="1"/>
      <w:marLeft w:val="0"/>
      <w:marRight w:val="0"/>
      <w:marTop w:val="0"/>
      <w:marBottom w:val="0"/>
      <w:divBdr>
        <w:top w:val="none" w:sz="0" w:space="0" w:color="auto"/>
        <w:left w:val="none" w:sz="0" w:space="0" w:color="auto"/>
        <w:bottom w:val="none" w:sz="0" w:space="0" w:color="auto"/>
        <w:right w:val="none" w:sz="0" w:space="0" w:color="auto"/>
      </w:divBdr>
    </w:div>
    <w:div w:id="1495532031">
      <w:bodyDiv w:val="1"/>
      <w:marLeft w:val="0"/>
      <w:marRight w:val="0"/>
      <w:marTop w:val="0"/>
      <w:marBottom w:val="0"/>
      <w:divBdr>
        <w:top w:val="none" w:sz="0" w:space="0" w:color="auto"/>
        <w:left w:val="none" w:sz="0" w:space="0" w:color="auto"/>
        <w:bottom w:val="none" w:sz="0" w:space="0" w:color="auto"/>
        <w:right w:val="none" w:sz="0" w:space="0" w:color="auto"/>
      </w:divBdr>
    </w:div>
    <w:div w:id="1527671438">
      <w:bodyDiv w:val="1"/>
      <w:marLeft w:val="0"/>
      <w:marRight w:val="0"/>
      <w:marTop w:val="0"/>
      <w:marBottom w:val="0"/>
      <w:divBdr>
        <w:top w:val="none" w:sz="0" w:space="0" w:color="auto"/>
        <w:left w:val="none" w:sz="0" w:space="0" w:color="auto"/>
        <w:bottom w:val="none" w:sz="0" w:space="0" w:color="auto"/>
        <w:right w:val="none" w:sz="0" w:space="0" w:color="auto"/>
      </w:divBdr>
    </w:div>
    <w:div w:id="1566992889">
      <w:bodyDiv w:val="1"/>
      <w:marLeft w:val="0"/>
      <w:marRight w:val="0"/>
      <w:marTop w:val="0"/>
      <w:marBottom w:val="0"/>
      <w:divBdr>
        <w:top w:val="none" w:sz="0" w:space="0" w:color="auto"/>
        <w:left w:val="none" w:sz="0" w:space="0" w:color="auto"/>
        <w:bottom w:val="none" w:sz="0" w:space="0" w:color="auto"/>
        <w:right w:val="none" w:sz="0" w:space="0" w:color="auto"/>
      </w:divBdr>
    </w:div>
    <w:div w:id="1600021054">
      <w:bodyDiv w:val="1"/>
      <w:marLeft w:val="0"/>
      <w:marRight w:val="0"/>
      <w:marTop w:val="0"/>
      <w:marBottom w:val="0"/>
      <w:divBdr>
        <w:top w:val="none" w:sz="0" w:space="0" w:color="auto"/>
        <w:left w:val="none" w:sz="0" w:space="0" w:color="auto"/>
        <w:bottom w:val="none" w:sz="0" w:space="0" w:color="auto"/>
        <w:right w:val="none" w:sz="0" w:space="0" w:color="auto"/>
      </w:divBdr>
    </w:div>
    <w:div w:id="1647541991">
      <w:bodyDiv w:val="1"/>
      <w:marLeft w:val="0"/>
      <w:marRight w:val="0"/>
      <w:marTop w:val="0"/>
      <w:marBottom w:val="0"/>
      <w:divBdr>
        <w:top w:val="none" w:sz="0" w:space="0" w:color="auto"/>
        <w:left w:val="none" w:sz="0" w:space="0" w:color="auto"/>
        <w:bottom w:val="none" w:sz="0" w:space="0" w:color="auto"/>
        <w:right w:val="none" w:sz="0" w:space="0" w:color="auto"/>
      </w:divBdr>
    </w:div>
    <w:div w:id="1650328661">
      <w:bodyDiv w:val="1"/>
      <w:marLeft w:val="0"/>
      <w:marRight w:val="0"/>
      <w:marTop w:val="0"/>
      <w:marBottom w:val="0"/>
      <w:divBdr>
        <w:top w:val="none" w:sz="0" w:space="0" w:color="auto"/>
        <w:left w:val="none" w:sz="0" w:space="0" w:color="auto"/>
        <w:bottom w:val="none" w:sz="0" w:space="0" w:color="auto"/>
        <w:right w:val="none" w:sz="0" w:space="0" w:color="auto"/>
      </w:divBdr>
    </w:div>
    <w:div w:id="1678382992">
      <w:bodyDiv w:val="1"/>
      <w:marLeft w:val="0"/>
      <w:marRight w:val="0"/>
      <w:marTop w:val="0"/>
      <w:marBottom w:val="0"/>
      <w:divBdr>
        <w:top w:val="none" w:sz="0" w:space="0" w:color="auto"/>
        <w:left w:val="none" w:sz="0" w:space="0" w:color="auto"/>
        <w:bottom w:val="none" w:sz="0" w:space="0" w:color="auto"/>
        <w:right w:val="none" w:sz="0" w:space="0" w:color="auto"/>
      </w:divBdr>
    </w:div>
    <w:div w:id="1875271205">
      <w:bodyDiv w:val="1"/>
      <w:marLeft w:val="0"/>
      <w:marRight w:val="0"/>
      <w:marTop w:val="0"/>
      <w:marBottom w:val="0"/>
      <w:divBdr>
        <w:top w:val="none" w:sz="0" w:space="0" w:color="auto"/>
        <w:left w:val="none" w:sz="0" w:space="0" w:color="auto"/>
        <w:bottom w:val="none" w:sz="0" w:space="0" w:color="auto"/>
        <w:right w:val="none" w:sz="0" w:space="0" w:color="auto"/>
      </w:divBdr>
    </w:div>
    <w:div w:id="1976179559">
      <w:bodyDiv w:val="1"/>
      <w:marLeft w:val="0"/>
      <w:marRight w:val="0"/>
      <w:marTop w:val="0"/>
      <w:marBottom w:val="0"/>
      <w:divBdr>
        <w:top w:val="none" w:sz="0" w:space="0" w:color="auto"/>
        <w:left w:val="none" w:sz="0" w:space="0" w:color="auto"/>
        <w:bottom w:val="none" w:sz="0" w:space="0" w:color="auto"/>
        <w:right w:val="none" w:sz="0" w:space="0" w:color="auto"/>
      </w:divBdr>
    </w:div>
    <w:div w:id="2107917684">
      <w:bodyDiv w:val="1"/>
      <w:marLeft w:val="0"/>
      <w:marRight w:val="0"/>
      <w:marTop w:val="0"/>
      <w:marBottom w:val="0"/>
      <w:divBdr>
        <w:top w:val="none" w:sz="0" w:space="0" w:color="auto"/>
        <w:left w:val="none" w:sz="0" w:space="0" w:color="auto"/>
        <w:bottom w:val="none" w:sz="0" w:space="0" w:color="auto"/>
        <w:right w:val="none" w:sz="0" w:space="0" w:color="auto"/>
      </w:divBdr>
    </w:div>
    <w:div w:id="2121409567">
      <w:bodyDiv w:val="1"/>
      <w:marLeft w:val="0"/>
      <w:marRight w:val="0"/>
      <w:marTop w:val="0"/>
      <w:marBottom w:val="0"/>
      <w:divBdr>
        <w:top w:val="none" w:sz="0" w:space="0" w:color="auto"/>
        <w:left w:val="none" w:sz="0" w:space="0" w:color="auto"/>
        <w:bottom w:val="none" w:sz="0" w:space="0" w:color="auto"/>
        <w:right w:val="none" w:sz="0" w:space="0" w:color="auto"/>
      </w:divBdr>
    </w:div>
    <w:div w:id="2127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3.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66" ma:contentTypeDescription="Create a new POPP Deliverable document" ma:contentTypeScope="" ma:versionID="c1250cfb66ef80672605b85c0fd434ba">
  <xsd:schema xmlns:xsd="http://www.w3.org/2001/XMLSchema" xmlns:xs="http://www.w3.org/2001/XMLSchema" xmlns:p="http://schemas.microsoft.com/office/2006/metadata/properties" xmlns:ns2="83ed2304-0f0e-45ba-b0cc-7d360cbc1769" targetNamespace="http://schemas.microsoft.com/office/2006/metadata/properties" ma:root="true" ma:fieldsID="0ce56cadaedc82cf8b2664c217ea985a" ns2:_="">
    <xsd:import namespace="83ed2304-0f0e-45ba-b0cc-7d360cbc1769"/>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ActualReviewDate" minOccurs="0"/>
                <xsd:element ref="ns2:UNDPSummary"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dexed="true"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ActualReviewDate" ma:index="7" nillable="true" ma:displayName="Actual Review Date" ma:format="DateOnly" ma:internalName="UNDPActualReviewDate">
      <xsd:simpleType>
        <xsd:restriction base="dms:DateTime"/>
      </xsd:simpleType>
    </xsd:element>
    <xsd:element name="UNDPSummary" ma:index="8" nillable="true" ma:displayName="Summary" ma:internalName="UNDPSummary">
      <xsd:simpleType>
        <xsd:restriction base="dms:Note">
          <xsd:maxLength value="255"/>
        </xsd:restriction>
      </xsd:simpleType>
    </xsd:element>
    <xsd:element name="UNDPPOPPPrescriptiveContentSelection" ma:index="15"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17"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8" nillable="true" ma:displayName="Focalpoint" ma:SearchPeopleOnly="false" ma:SharePointGroup="0" ma:internalName="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pplicability" ma:index="25" nillable="true" ma:displayName="Applicability" ma:internalName="UNDPApplicability">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EffectiveDate xmlns="83ed2304-0f0e-45ba-b0cc-7d360cbc1769" xsi:nil="true"/>
    <UNDPResponsibleUnit xmlns="83ed2304-0f0e-45ba-b0cc-7d360cbc1769"/>
    <UNDPCreator xmlns="83ed2304-0f0e-45ba-b0cc-7d360cbc1769">
      <UserInfo>
        <DisplayName/>
        <AccountId xsi:nil="true"/>
        <AccountType/>
      </UserInfo>
    </UNDPCreator>
    <UNDPApplicability xmlns="83ed2304-0f0e-45ba-b0cc-7d360cbc1769" xsi:nil="true"/>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xsi:nil="true"/>
    <UNDPPOPPProcess xmlns="83ed2304-0f0e-45ba-b0cc-7d360cbc1769">Programme Management</UNDPPOPPProcess>
    <UNDPPOPPSubsubprocess xmlns="83ed2304-0f0e-45ba-b0cc-7d360cbc1769" xsi:nil="true"/>
    <UNDPIssuanceDate xmlns="83ed2304-0f0e-45ba-b0cc-7d360cbc1769" xsi:nil="true"/>
    <_dlc_DocId xmlns="83ed2304-0f0e-45ba-b0cc-7d360cbc1769">UNDPGBL-229-92</_dlc_DocId>
    <_dlc_DocIdUrl xmlns="83ed2304-0f0e-45ba-b0cc-7d360cbc1769">
      <Url>https://intranet.undp.org/global/documents/_layouts/DocIdRedir.aspx?ID=UNDPGBL-229-92</Url>
      <Description>UNDPGBL-229-92</Description>
    </_dlc_DocIdUrl>
    <UNDPSummary xmlns="83ed2304-0f0e-45ba-b0cc-7d360cbc1769" xsi:nil="true"/>
    <UNDPFocalpoint xmlns="83ed2304-0f0e-45ba-b0cc-7d360cbc1769">
      <UserInfo>
        <DisplayName/>
        <AccountId xsi:nil="true"/>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2.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3.xml><?xml version="1.0" encoding="utf-8"?>
<ds:datastoreItem xmlns:ds="http://schemas.openxmlformats.org/officeDocument/2006/customXml" ds:itemID="{2B79CB7C-0125-42C2-B06F-3A94F020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6.xml><?xml version="1.0" encoding="utf-8"?>
<ds:datastoreItem xmlns:ds="http://schemas.openxmlformats.org/officeDocument/2006/customXml" ds:itemID="{4FDCA748-505D-4BC1-9AD5-D5F528B8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5297</Words>
  <Characters>30197</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 results summary</vt:lpstr>
      <vt:lpstr>CP results summary</vt:lpstr>
    </vt:vector>
  </TitlesOfParts>
  <Company>UNDP</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2018-02-23T20:52:00Z</cp:lastPrinted>
  <dcterms:created xsi:type="dcterms:W3CDTF">2018-05-24T17:01:00Z</dcterms:created>
  <dcterms:modified xsi:type="dcterms:W3CDTF">2018-05-24T17:01:00Z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ies>
</file>