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D9571" w14:textId="77777777" w:rsidR="002F684B" w:rsidRPr="00071D37" w:rsidRDefault="002F684B" w:rsidP="004E7D13">
      <w:pPr>
        <w:widowControl w:val="0"/>
        <w:tabs>
          <w:tab w:val="left" w:pos="1878"/>
        </w:tabs>
        <w:spacing w:before="0" w:after="0"/>
        <w:ind w:right="1195"/>
        <w:rPr>
          <w:rFonts w:ascii="Times New Roman" w:hAnsi="Times New Roman" w:cs="Times New Roman"/>
          <w:sz w:val="20"/>
          <w:szCs w:val="20"/>
          <w:lang w:val="fr-CA"/>
        </w:rPr>
        <w:sectPr w:rsidR="002F684B" w:rsidRPr="00071D37" w:rsidSect="002F684B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2240" w:h="15840" w:code="1"/>
          <w:pgMar w:top="1742" w:right="1200" w:bottom="1898" w:left="1200" w:header="576" w:footer="1030" w:gutter="0"/>
          <w:pgNumType w:start="1"/>
          <w:cols w:space="720"/>
          <w:noEndnote/>
          <w:titlePg/>
          <w:docGrid w:linePitch="278"/>
        </w:sectPr>
      </w:pPr>
    </w:p>
    <w:p w14:paraId="402AE70B" w14:textId="77777777" w:rsidR="004E7D13" w:rsidRPr="004E7D13" w:rsidRDefault="004E7D13" w:rsidP="004E7D13">
      <w:pPr>
        <w:spacing w:before="0" w:after="0"/>
        <w:rPr>
          <w:rFonts w:ascii="Times New Roman" w:eastAsia="Times New Roman" w:hAnsi="Times New Roman" w:cs="Times New Roman"/>
          <w:b/>
          <w:sz w:val="20"/>
          <w:szCs w:val="20"/>
          <w:lang w:val="en-GB" w:eastAsia="en-US"/>
        </w:rPr>
      </w:pPr>
      <w:r w:rsidRPr="004E7D13">
        <w:rPr>
          <w:rFonts w:ascii="Times New Roman" w:eastAsia="Times New Roman" w:hAnsi="Times New Roman" w:cs="Times New Roman"/>
          <w:b/>
          <w:sz w:val="20"/>
          <w:szCs w:val="20"/>
          <w:lang w:val="en-GB" w:eastAsia="en-US"/>
        </w:rPr>
        <w:t>First regular session 2018</w:t>
      </w:r>
    </w:p>
    <w:p w14:paraId="48EE666A" w14:textId="77777777" w:rsidR="004E7D13" w:rsidRPr="004E7D13" w:rsidRDefault="004E7D13" w:rsidP="004E7D13">
      <w:pPr>
        <w:spacing w:before="0" w:after="0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4E7D13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>22-26 January 2018, New York</w:t>
      </w:r>
    </w:p>
    <w:p w14:paraId="7CDBCD0A" w14:textId="4F69EBC0" w:rsidR="004E7D13" w:rsidRPr="00FB65A8" w:rsidRDefault="004E7D13" w:rsidP="004E7D13">
      <w:pPr>
        <w:spacing w:before="0" w:after="0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FB65A8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 xml:space="preserve">Item </w:t>
      </w:r>
      <w:r w:rsidR="00FB65A8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>xx</w:t>
      </w:r>
      <w:r w:rsidRPr="00FB65A8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 xml:space="preserve"> of the provisional agenda  </w:t>
      </w:r>
    </w:p>
    <w:p w14:paraId="1756055A" w14:textId="77777777" w:rsidR="004E7D13" w:rsidRPr="004E7D13" w:rsidRDefault="004E7D13" w:rsidP="004E7D13">
      <w:pPr>
        <w:spacing w:before="0" w:after="0"/>
        <w:rPr>
          <w:rFonts w:ascii="Times New Roman" w:eastAsia="Times New Roman" w:hAnsi="Times New Roman" w:cs="Times New Roman"/>
          <w:b/>
          <w:sz w:val="20"/>
          <w:szCs w:val="20"/>
          <w:lang w:val="en-GB" w:eastAsia="en-US"/>
        </w:rPr>
      </w:pPr>
      <w:r w:rsidRPr="00FB65A8">
        <w:rPr>
          <w:rFonts w:ascii="Times New Roman" w:eastAsia="Times New Roman" w:hAnsi="Times New Roman" w:cs="Times New Roman"/>
          <w:b/>
          <w:sz w:val="20"/>
          <w:szCs w:val="20"/>
          <w:lang w:val="en-GB" w:eastAsia="en-US"/>
        </w:rPr>
        <w:t>Country programmes</w:t>
      </w:r>
      <w:r w:rsidRPr="004E7D13">
        <w:rPr>
          <w:rFonts w:ascii="Times New Roman" w:eastAsia="Times New Roman" w:hAnsi="Times New Roman" w:cs="Times New Roman"/>
          <w:b/>
          <w:sz w:val="20"/>
          <w:szCs w:val="20"/>
          <w:lang w:val="en-GB" w:eastAsia="en-US"/>
        </w:rPr>
        <w:t xml:space="preserve"> and related matters</w:t>
      </w:r>
    </w:p>
    <w:p w14:paraId="5A1805F7" w14:textId="77777777" w:rsidR="004E7D13" w:rsidRPr="004E7D13" w:rsidRDefault="004E7D13" w:rsidP="004E7D13">
      <w:pPr>
        <w:spacing w:before="0" w:after="0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</w:p>
    <w:p w14:paraId="66A9BE61" w14:textId="77777777" w:rsidR="004E7D13" w:rsidRPr="004E7D13" w:rsidRDefault="004E7D13" w:rsidP="004E7D13">
      <w:pPr>
        <w:spacing w:before="0" w:after="0"/>
        <w:rPr>
          <w:rFonts w:ascii="Times New Roman" w:eastAsia="Times New Roman" w:hAnsi="Times New Roman" w:cs="Times New Roman"/>
          <w:b/>
          <w:lang w:val="en-GB" w:eastAsia="en-US"/>
        </w:rPr>
      </w:pPr>
    </w:p>
    <w:p w14:paraId="18F96D6D" w14:textId="77777777" w:rsidR="004E7D13" w:rsidRPr="004E7D13" w:rsidRDefault="004E7D13" w:rsidP="004E7D13">
      <w:pPr>
        <w:spacing w:before="0" w:after="0"/>
        <w:ind w:firstLine="709"/>
        <w:rPr>
          <w:rFonts w:ascii="Times New Roman" w:eastAsia="Times New Roman" w:hAnsi="Times New Roman" w:cs="Times New Roman"/>
          <w:b/>
          <w:sz w:val="32"/>
          <w:szCs w:val="32"/>
          <w:lang w:val="en-GB" w:eastAsia="en-US"/>
        </w:rPr>
      </w:pPr>
      <w:r w:rsidRPr="004E7D13">
        <w:rPr>
          <w:rFonts w:ascii="Times New Roman" w:eastAsia="Times New Roman" w:hAnsi="Times New Roman" w:cs="Times New Roman"/>
          <w:b/>
          <w:sz w:val="32"/>
          <w:szCs w:val="32"/>
          <w:lang w:val="en-GB" w:eastAsia="en-US"/>
        </w:rPr>
        <w:t>Draft country programme document for Ga</w:t>
      </w:r>
      <w:r>
        <w:rPr>
          <w:rFonts w:ascii="Times New Roman" w:eastAsia="Times New Roman" w:hAnsi="Times New Roman" w:cs="Times New Roman"/>
          <w:b/>
          <w:sz w:val="32"/>
          <w:szCs w:val="32"/>
          <w:lang w:val="en-GB" w:eastAsia="en-US"/>
        </w:rPr>
        <w:t>bon</w:t>
      </w:r>
      <w:r w:rsidRPr="004E7D13">
        <w:rPr>
          <w:rFonts w:ascii="Times New Roman" w:eastAsia="Times New Roman" w:hAnsi="Times New Roman" w:cs="Times New Roman"/>
          <w:b/>
          <w:sz w:val="32"/>
          <w:szCs w:val="32"/>
          <w:lang w:val="en-GB" w:eastAsia="en-US"/>
        </w:rPr>
        <w:t xml:space="preserve"> (2018-2022)</w:t>
      </w:r>
    </w:p>
    <w:p w14:paraId="33E7AE70" w14:textId="77777777" w:rsidR="004E7D13" w:rsidRPr="004E7D13" w:rsidRDefault="004E7D13" w:rsidP="004E7D13">
      <w:pPr>
        <w:spacing w:before="0" w:after="0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</w:p>
    <w:p w14:paraId="5A1BCF3C" w14:textId="77777777" w:rsidR="004E7D13" w:rsidRPr="004E7D13" w:rsidRDefault="004E7D13" w:rsidP="004E7D13">
      <w:pPr>
        <w:keepNext/>
        <w:keepLines/>
        <w:tabs>
          <w:tab w:val="right" w:pos="1022"/>
          <w:tab w:val="left" w:pos="1267"/>
          <w:tab w:val="left" w:pos="1620"/>
          <w:tab w:val="left" w:pos="180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0" w:line="300" w:lineRule="exact"/>
        <w:ind w:left="-720" w:right="328" w:firstLine="720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w w:val="103"/>
          <w:kern w:val="14"/>
          <w:sz w:val="28"/>
          <w:szCs w:val="20"/>
          <w:lang w:val="en-GB" w:eastAsia="fr-FR"/>
        </w:rPr>
      </w:pPr>
      <w:r w:rsidRPr="004E7D13">
        <w:rPr>
          <w:rFonts w:ascii="Times New Roman" w:eastAsia="Times New Roman" w:hAnsi="Times New Roman" w:cs="Times New Roman"/>
          <w:color w:val="000000"/>
          <w:kern w:val="14"/>
          <w:sz w:val="28"/>
          <w:szCs w:val="20"/>
          <w:lang w:val="en-GB" w:eastAsia="fr-FR"/>
        </w:rPr>
        <w:t>Contents</w:t>
      </w:r>
    </w:p>
    <w:tbl>
      <w:tblPr>
        <w:tblpPr w:leftFromText="180" w:rightFromText="180" w:vertAnchor="text" w:horzAnchor="margin" w:tblpXSpec="right" w:tblpY="199"/>
        <w:tblOverlap w:val="never"/>
        <w:tblW w:w="9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8649"/>
        <w:gridCol w:w="171"/>
        <w:gridCol w:w="362"/>
      </w:tblGrid>
      <w:tr w:rsidR="004E7D13" w:rsidRPr="004E7D13" w14:paraId="2BA8F408" w14:textId="77777777" w:rsidTr="005B7C2C">
        <w:tc>
          <w:tcPr>
            <w:tcW w:w="720" w:type="dxa"/>
            <w:shd w:val="clear" w:color="auto" w:fill="auto"/>
          </w:tcPr>
          <w:p w14:paraId="77EA14C0" w14:textId="77777777" w:rsidR="004E7D13" w:rsidRPr="004E7D13" w:rsidRDefault="004E7D13" w:rsidP="004E7D13">
            <w:pPr>
              <w:tabs>
                <w:tab w:val="left" w:pos="1620"/>
                <w:tab w:val="left" w:pos="1800"/>
              </w:tabs>
              <w:suppressAutoHyphens/>
              <w:spacing w:before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pacing w:val="4"/>
                <w:w w:val="103"/>
                <w:kern w:val="14"/>
                <w:sz w:val="14"/>
                <w:szCs w:val="20"/>
                <w:lang w:val="en-GB" w:eastAsia="fr-FR"/>
              </w:rPr>
            </w:pPr>
          </w:p>
        </w:tc>
        <w:tc>
          <w:tcPr>
            <w:tcW w:w="8820" w:type="dxa"/>
            <w:gridSpan w:val="2"/>
            <w:shd w:val="clear" w:color="auto" w:fill="auto"/>
          </w:tcPr>
          <w:p w14:paraId="6A2AEF6D" w14:textId="77777777" w:rsidR="004E7D13" w:rsidRPr="004E7D13" w:rsidRDefault="004E7D13" w:rsidP="004E7D13">
            <w:pPr>
              <w:tabs>
                <w:tab w:val="left" w:pos="1620"/>
                <w:tab w:val="left" w:pos="1800"/>
              </w:tabs>
              <w:suppressAutoHyphens/>
              <w:spacing w:before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4"/>
                <w:w w:val="103"/>
                <w:kern w:val="14"/>
                <w:sz w:val="14"/>
                <w:szCs w:val="20"/>
                <w:lang w:val="en-GB" w:eastAsia="fr-FR"/>
              </w:rPr>
            </w:pPr>
            <w:r w:rsidRPr="004E7D13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w w:val="103"/>
                <w:kern w:val="14"/>
                <w:sz w:val="14"/>
                <w:szCs w:val="20"/>
                <w:lang w:val="en-GB" w:eastAsia="fr-FR"/>
              </w:rPr>
              <w:t>Chapter</w:t>
            </w:r>
          </w:p>
        </w:tc>
        <w:tc>
          <w:tcPr>
            <w:tcW w:w="362" w:type="dxa"/>
            <w:shd w:val="clear" w:color="auto" w:fill="auto"/>
          </w:tcPr>
          <w:p w14:paraId="0C30152C" w14:textId="77777777" w:rsidR="004E7D13" w:rsidRPr="004E7D13" w:rsidRDefault="004E7D13" w:rsidP="004E7D13">
            <w:pPr>
              <w:tabs>
                <w:tab w:val="left" w:pos="1620"/>
                <w:tab w:val="left" w:pos="1800"/>
              </w:tabs>
              <w:suppressAutoHyphens/>
              <w:spacing w:before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pacing w:val="4"/>
                <w:w w:val="103"/>
                <w:kern w:val="14"/>
                <w:sz w:val="14"/>
                <w:szCs w:val="20"/>
                <w:lang w:val="en-GB" w:eastAsia="fr-FR"/>
              </w:rPr>
            </w:pPr>
            <w:r w:rsidRPr="004E7D13">
              <w:rPr>
                <w:rFonts w:ascii="Times New Roman" w:eastAsia="Times New Roman" w:hAnsi="Times New Roman" w:cs="Times New Roman"/>
                <w:i/>
                <w:iCs/>
                <w:color w:val="000000"/>
                <w:kern w:val="14"/>
                <w:sz w:val="14"/>
                <w:szCs w:val="20"/>
                <w:lang w:val="en-GB" w:eastAsia="fr-FR"/>
              </w:rPr>
              <w:t>Page</w:t>
            </w:r>
          </w:p>
        </w:tc>
      </w:tr>
      <w:tr w:rsidR="004E7D13" w:rsidRPr="004E7D13" w14:paraId="3395CD4E" w14:textId="77777777" w:rsidTr="005B7C2C">
        <w:tc>
          <w:tcPr>
            <w:tcW w:w="9540" w:type="dxa"/>
            <w:gridSpan w:val="3"/>
            <w:shd w:val="clear" w:color="auto" w:fill="auto"/>
          </w:tcPr>
          <w:p w14:paraId="0BA68F7B" w14:textId="77777777" w:rsidR="004E7D13" w:rsidRPr="004E7D13" w:rsidRDefault="004E7D13" w:rsidP="004E7D13">
            <w:pPr>
              <w:numPr>
                <w:ilvl w:val="0"/>
                <w:numId w:val="15"/>
              </w:numPr>
              <w:tabs>
                <w:tab w:val="right" w:pos="1080"/>
                <w:tab w:val="left" w:pos="1296"/>
                <w:tab w:val="left" w:pos="1620"/>
                <w:tab w:val="left" w:pos="1800"/>
                <w:tab w:val="left" w:pos="2160"/>
                <w:tab w:val="left" w:pos="2592"/>
                <w:tab w:val="right" w:leader="dot" w:pos="9090"/>
              </w:tabs>
              <w:suppressAutoHyphens/>
              <w:spacing w:before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20"/>
                <w:szCs w:val="20"/>
                <w:lang w:val="en-GB" w:eastAsia="fr-FR"/>
              </w:rPr>
            </w:pPr>
            <w:r w:rsidRPr="004E7D13">
              <w:rPr>
                <w:rFonts w:ascii="Times New Roman" w:eastAsia="Times New Roman" w:hAnsi="Times New Roman" w:cs="Times New Roman"/>
                <w:color w:val="000000"/>
                <w:kern w:val="14"/>
                <w:sz w:val="20"/>
                <w:szCs w:val="20"/>
                <w:lang w:val="en-GB" w:eastAsia="fr-FR"/>
              </w:rPr>
              <w:tab/>
              <w:t>Programme rationale</w:t>
            </w:r>
            <w:r w:rsidRPr="004E7D13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ab/>
            </w:r>
          </w:p>
        </w:tc>
        <w:tc>
          <w:tcPr>
            <w:tcW w:w="362" w:type="dxa"/>
            <w:vMerge w:val="restart"/>
            <w:shd w:val="clear" w:color="auto" w:fill="auto"/>
            <w:vAlign w:val="bottom"/>
          </w:tcPr>
          <w:p w14:paraId="0FDB1A7C" w14:textId="77777777" w:rsidR="004E7D13" w:rsidRPr="004E7D13" w:rsidRDefault="004E7D13" w:rsidP="004E7D13">
            <w:pPr>
              <w:tabs>
                <w:tab w:val="left" w:pos="1620"/>
                <w:tab w:val="left" w:pos="1800"/>
              </w:tabs>
              <w:suppressAutoHyphens/>
              <w:spacing w:before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20"/>
                <w:szCs w:val="20"/>
                <w:lang w:val="en-GB" w:eastAsia="fr-FR"/>
              </w:rPr>
            </w:pPr>
            <w:r w:rsidRPr="004E7D13">
              <w:rPr>
                <w:rFonts w:ascii="Times New Roman" w:eastAsia="Times New Roman" w:hAnsi="Times New Roman" w:cs="Times New Roman"/>
                <w:color w:val="000000"/>
                <w:kern w:val="14"/>
                <w:sz w:val="20"/>
                <w:szCs w:val="20"/>
                <w:lang w:val="en-GB" w:eastAsia="fr-FR"/>
              </w:rPr>
              <w:t>2</w:t>
            </w:r>
          </w:p>
          <w:p w14:paraId="6393AE62" w14:textId="77777777" w:rsidR="004E7D13" w:rsidRPr="004E7D13" w:rsidRDefault="00F2277F" w:rsidP="004E7D13">
            <w:pPr>
              <w:tabs>
                <w:tab w:val="left" w:pos="1620"/>
                <w:tab w:val="left" w:pos="1800"/>
              </w:tabs>
              <w:suppressAutoHyphens/>
              <w:spacing w:before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20"/>
                <w:szCs w:val="20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4"/>
                <w:sz w:val="20"/>
                <w:szCs w:val="20"/>
                <w:lang w:val="en-GB" w:eastAsia="fr-FR"/>
              </w:rPr>
              <w:t>5</w:t>
            </w:r>
          </w:p>
        </w:tc>
      </w:tr>
      <w:tr w:rsidR="004E7D13" w:rsidRPr="004E7D13" w14:paraId="4DF33652" w14:textId="77777777" w:rsidTr="005B7C2C">
        <w:tc>
          <w:tcPr>
            <w:tcW w:w="9540" w:type="dxa"/>
            <w:gridSpan w:val="3"/>
            <w:shd w:val="clear" w:color="auto" w:fill="auto"/>
          </w:tcPr>
          <w:p w14:paraId="14F1EBCD" w14:textId="77777777" w:rsidR="004E7D13" w:rsidRPr="004E7D13" w:rsidRDefault="004E7D13" w:rsidP="004E7D13">
            <w:pPr>
              <w:numPr>
                <w:ilvl w:val="0"/>
                <w:numId w:val="15"/>
              </w:numPr>
              <w:tabs>
                <w:tab w:val="right" w:pos="1080"/>
                <w:tab w:val="left" w:pos="1296"/>
                <w:tab w:val="left" w:pos="1620"/>
                <w:tab w:val="left" w:pos="180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8220"/>
                <w:tab w:val="right" w:leader="dot" w:pos="9090"/>
              </w:tabs>
              <w:suppressAutoHyphens/>
              <w:spacing w:before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20"/>
                <w:szCs w:val="20"/>
                <w:lang w:val="en-GB" w:eastAsia="fr-FR"/>
              </w:rPr>
            </w:pPr>
            <w:r w:rsidRPr="004E7D13">
              <w:rPr>
                <w:rFonts w:ascii="Times New Roman" w:eastAsia="Times New Roman" w:hAnsi="Times New Roman" w:cs="Times New Roman"/>
                <w:color w:val="000000"/>
                <w:kern w:val="14"/>
                <w:sz w:val="20"/>
                <w:szCs w:val="20"/>
                <w:lang w:val="en-GB" w:eastAsia="fr-FR"/>
              </w:rPr>
              <w:tab/>
              <w:t>Programme priorities and partnerships………………………………………………….</w:t>
            </w:r>
            <w:r w:rsidRPr="004E7D13">
              <w:rPr>
                <w:rFonts w:ascii="Times New Roman" w:eastAsia="Times New Roman" w:hAnsi="Times New Roman" w:cs="Times New Roman"/>
                <w:color w:val="000000"/>
                <w:kern w:val="14"/>
                <w:sz w:val="17"/>
                <w:szCs w:val="20"/>
                <w:lang w:val="en-GB" w:eastAsia="fr-FR"/>
              </w:rPr>
              <w:tab/>
            </w:r>
            <w:r w:rsidRPr="004E7D13">
              <w:rPr>
                <w:rFonts w:ascii="Times New Roman" w:eastAsia="Times New Roman" w:hAnsi="Times New Roman" w:cs="Times New Roman"/>
                <w:color w:val="000000"/>
                <w:kern w:val="14"/>
                <w:sz w:val="20"/>
                <w:szCs w:val="20"/>
                <w:lang w:val="en-GB" w:eastAsia="fr-FR"/>
              </w:rPr>
              <w:t>……….…</w:t>
            </w:r>
          </w:p>
        </w:tc>
        <w:tc>
          <w:tcPr>
            <w:tcW w:w="362" w:type="dxa"/>
            <w:vMerge/>
            <w:shd w:val="clear" w:color="auto" w:fill="auto"/>
            <w:vAlign w:val="bottom"/>
          </w:tcPr>
          <w:p w14:paraId="1FEFCF5F" w14:textId="77777777" w:rsidR="004E7D13" w:rsidRPr="004E7D13" w:rsidRDefault="004E7D13" w:rsidP="004E7D13">
            <w:pPr>
              <w:tabs>
                <w:tab w:val="left" w:pos="1620"/>
                <w:tab w:val="left" w:pos="1800"/>
              </w:tabs>
              <w:suppressAutoHyphens/>
              <w:spacing w:before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20"/>
                <w:szCs w:val="20"/>
                <w:lang w:val="en-GB" w:eastAsia="fr-FR"/>
              </w:rPr>
            </w:pPr>
          </w:p>
        </w:tc>
      </w:tr>
      <w:tr w:rsidR="004E7D13" w:rsidRPr="004E7D13" w14:paraId="5B20B773" w14:textId="77777777" w:rsidTr="005B7C2C">
        <w:tc>
          <w:tcPr>
            <w:tcW w:w="9540" w:type="dxa"/>
            <w:gridSpan w:val="3"/>
            <w:shd w:val="clear" w:color="auto" w:fill="auto"/>
          </w:tcPr>
          <w:p w14:paraId="0677B438" w14:textId="77777777" w:rsidR="004E7D13" w:rsidRPr="004E7D13" w:rsidRDefault="004E7D13" w:rsidP="004E7D13">
            <w:pPr>
              <w:numPr>
                <w:ilvl w:val="0"/>
                <w:numId w:val="15"/>
              </w:numPr>
              <w:tabs>
                <w:tab w:val="right" w:pos="1080"/>
                <w:tab w:val="left" w:pos="1296"/>
                <w:tab w:val="left" w:pos="1620"/>
                <w:tab w:val="left" w:pos="1800"/>
                <w:tab w:val="left" w:pos="2160"/>
                <w:tab w:val="left" w:pos="2592"/>
                <w:tab w:val="left" w:pos="3024"/>
                <w:tab w:val="right" w:leader="dot" w:pos="9090"/>
              </w:tabs>
              <w:suppressAutoHyphens/>
              <w:spacing w:before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20"/>
                <w:szCs w:val="20"/>
                <w:lang w:val="en-GB" w:eastAsia="fr-FR"/>
              </w:rPr>
            </w:pPr>
            <w:r w:rsidRPr="004E7D13">
              <w:rPr>
                <w:rFonts w:ascii="Times New Roman" w:eastAsia="Times New Roman" w:hAnsi="Times New Roman" w:cs="Times New Roman"/>
                <w:color w:val="000000"/>
                <w:kern w:val="14"/>
                <w:sz w:val="20"/>
                <w:szCs w:val="20"/>
                <w:lang w:val="en-GB" w:eastAsia="fr-FR"/>
              </w:rPr>
              <w:tab/>
              <w:t>Programme and risk management</w:t>
            </w:r>
            <w:r w:rsidRPr="004E7D13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ab/>
            </w:r>
          </w:p>
        </w:tc>
        <w:tc>
          <w:tcPr>
            <w:tcW w:w="362" w:type="dxa"/>
            <w:vMerge w:val="restart"/>
            <w:shd w:val="clear" w:color="auto" w:fill="auto"/>
            <w:vAlign w:val="bottom"/>
          </w:tcPr>
          <w:p w14:paraId="3949864F" w14:textId="77777777" w:rsidR="004E7D13" w:rsidRPr="004E7D13" w:rsidRDefault="004E7D13" w:rsidP="004E7D13">
            <w:pPr>
              <w:tabs>
                <w:tab w:val="left" w:pos="1620"/>
                <w:tab w:val="left" w:pos="1800"/>
              </w:tabs>
              <w:suppressAutoHyphens/>
              <w:spacing w:before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20"/>
                <w:szCs w:val="20"/>
                <w:lang w:val="en-GB" w:eastAsia="fr-FR"/>
              </w:rPr>
            </w:pPr>
            <w:r w:rsidRPr="004E7D13"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20"/>
                <w:szCs w:val="20"/>
                <w:lang w:val="en-GB" w:eastAsia="fr-FR"/>
              </w:rPr>
              <w:t>7</w:t>
            </w:r>
          </w:p>
          <w:p w14:paraId="54B266DB" w14:textId="77777777" w:rsidR="004E7D13" w:rsidRPr="004E7D13" w:rsidRDefault="004E7D13" w:rsidP="004E7D13">
            <w:pPr>
              <w:tabs>
                <w:tab w:val="left" w:pos="1620"/>
                <w:tab w:val="left" w:pos="1800"/>
              </w:tabs>
              <w:suppressAutoHyphens/>
              <w:spacing w:before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20"/>
                <w:szCs w:val="20"/>
                <w:lang w:val="en-GB" w:eastAsia="fr-FR"/>
              </w:rPr>
            </w:pPr>
            <w:r w:rsidRPr="004E7D13">
              <w:rPr>
                <w:rFonts w:ascii="Times New Roman" w:eastAsia="Times New Roman" w:hAnsi="Times New Roman" w:cs="Times New Roman"/>
                <w:color w:val="000000"/>
                <w:kern w:val="14"/>
                <w:sz w:val="20"/>
                <w:szCs w:val="20"/>
                <w:lang w:val="en-GB" w:eastAsia="fr-FR"/>
              </w:rPr>
              <w:t>8</w:t>
            </w:r>
          </w:p>
        </w:tc>
      </w:tr>
      <w:tr w:rsidR="004E7D13" w:rsidRPr="004E7D13" w14:paraId="6FFA6551" w14:textId="77777777" w:rsidTr="005B7C2C">
        <w:tc>
          <w:tcPr>
            <w:tcW w:w="9540" w:type="dxa"/>
            <w:gridSpan w:val="3"/>
            <w:shd w:val="clear" w:color="auto" w:fill="auto"/>
          </w:tcPr>
          <w:p w14:paraId="112A9318" w14:textId="77777777" w:rsidR="004E7D13" w:rsidRPr="004E7D13" w:rsidRDefault="004E7D13" w:rsidP="004E7D13">
            <w:pPr>
              <w:numPr>
                <w:ilvl w:val="0"/>
                <w:numId w:val="15"/>
              </w:numPr>
              <w:tabs>
                <w:tab w:val="right" w:pos="1080"/>
                <w:tab w:val="left" w:pos="1296"/>
                <w:tab w:val="left" w:pos="1620"/>
                <w:tab w:val="left" w:pos="1800"/>
                <w:tab w:val="left" w:pos="2160"/>
                <w:tab w:val="left" w:pos="2592"/>
                <w:tab w:val="left" w:pos="3024"/>
                <w:tab w:val="left" w:pos="3420"/>
                <w:tab w:val="left" w:pos="3456"/>
                <w:tab w:val="left" w:pos="9090"/>
              </w:tabs>
              <w:suppressAutoHyphens/>
              <w:spacing w:before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20"/>
                <w:szCs w:val="20"/>
                <w:lang w:val="en-GB" w:eastAsia="fr-FR"/>
              </w:rPr>
            </w:pPr>
            <w:r w:rsidRPr="004E7D13">
              <w:rPr>
                <w:rFonts w:ascii="Times New Roman" w:eastAsia="Times New Roman" w:hAnsi="Times New Roman" w:cs="Times New Roman"/>
                <w:color w:val="000000"/>
                <w:kern w:val="14"/>
                <w:sz w:val="20"/>
                <w:szCs w:val="20"/>
                <w:lang w:val="en-GB" w:eastAsia="fr-FR"/>
              </w:rPr>
              <w:tab/>
              <w:t>Monitoring and evaluation</w:t>
            </w:r>
            <w:r w:rsidRPr="004E7D13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ab/>
            </w:r>
            <w:r w:rsidRPr="004E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…………………………………………………….……………………</w:t>
            </w:r>
          </w:p>
        </w:tc>
        <w:tc>
          <w:tcPr>
            <w:tcW w:w="362" w:type="dxa"/>
            <w:vMerge/>
            <w:shd w:val="clear" w:color="auto" w:fill="auto"/>
            <w:vAlign w:val="bottom"/>
          </w:tcPr>
          <w:p w14:paraId="2959AACE" w14:textId="77777777" w:rsidR="004E7D13" w:rsidRPr="004E7D13" w:rsidRDefault="004E7D13" w:rsidP="004E7D13">
            <w:pPr>
              <w:tabs>
                <w:tab w:val="left" w:pos="1620"/>
                <w:tab w:val="left" w:pos="1800"/>
              </w:tabs>
              <w:suppressAutoHyphens/>
              <w:spacing w:before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20"/>
                <w:szCs w:val="20"/>
                <w:lang w:val="en-GB" w:eastAsia="fr-FR"/>
              </w:rPr>
            </w:pPr>
          </w:p>
        </w:tc>
      </w:tr>
      <w:tr w:rsidR="004E7D13" w:rsidRPr="004E7D13" w14:paraId="428D5F23" w14:textId="77777777" w:rsidTr="005B7C2C">
        <w:tc>
          <w:tcPr>
            <w:tcW w:w="9369" w:type="dxa"/>
            <w:gridSpan w:val="2"/>
            <w:shd w:val="clear" w:color="auto" w:fill="auto"/>
          </w:tcPr>
          <w:p w14:paraId="740DD560" w14:textId="77777777" w:rsidR="004E7D13" w:rsidRPr="004E7D13" w:rsidRDefault="004E7D13" w:rsidP="004E7D13">
            <w:pPr>
              <w:tabs>
                <w:tab w:val="right" w:pos="1080"/>
                <w:tab w:val="left" w:pos="1296"/>
                <w:tab w:val="left" w:pos="1620"/>
                <w:tab w:val="right" w:pos="1714"/>
                <w:tab w:val="left" w:pos="1800"/>
                <w:tab w:val="left" w:pos="2160"/>
                <w:tab w:val="left" w:pos="2592"/>
                <w:tab w:val="left" w:pos="3024"/>
                <w:tab w:val="left" w:pos="3456"/>
              </w:tabs>
              <w:suppressAutoHyphens/>
              <w:spacing w:before="0" w:line="240" w:lineRule="exact"/>
              <w:ind w:left="475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20"/>
                <w:szCs w:val="20"/>
                <w:lang w:val="en-GB" w:eastAsia="fr-FR"/>
              </w:rPr>
            </w:pPr>
            <w:r w:rsidRPr="004E7D13">
              <w:rPr>
                <w:rFonts w:ascii="Times New Roman" w:eastAsia="Times New Roman" w:hAnsi="Times New Roman" w:cs="Times New Roman"/>
                <w:color w:val="000000"/>
                <w:kern w:val="14"/>
                <w:sz w:val="20"/>
                <w:szCs w:val="20"/>
                <w:lang w:val="en-GB" w:eastAsia="fr-FR"/>
              </w:rPr>
              <w:t xml:space="preserve">     Annex</w:t>
            </w:r>
          </w:p>
        </w:tc>
        <w:tc>
          <w:tcPr>
            <w:tcW w:w="533" w:type="dxa"/>
            <w:gridSpan w:val="2"/>
            <w:shd w:val="clear" w:color="auto" w:fill="auto"/>
            <w:vAlign w:val="bottom"/>
          </w:tcPr>
          <w:p w14:paraId="51BFB4F1" w14:textId="77777777" w:rsidR="004E7D13" w:rsidRPr="004E7D13" w:rsidRDefault="004E7D13" w:rsidP="004E7D13">
            <w:pPr>
              <w:tabs>
                <w:tab w:val="left" w:pos="1620"/>
                <w:tab w:val="left" w:pos="1800"/>
              </w:tabs>
              <w:suppressAutoHyphens/>
              <w:spacing w:before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20"/>
                <w:szCs w:val="20"/>
                <w:lang w:val="en-GB" w:eastAsia="fr-FR"/>
              </w:rPr>
            </w:pPr>
          </w:p>
        </w:tc>
      </w:tr>
      <w:tr w:rsidR="004E7D13" w:rsidRPr="004E7D13" w14:paraId="3AA9CEB1" w14:textId="77777777" w:rsidTr="005B7C2C">
        <w:tc>
          <w:tcPr>
            <w:tcW w:w="9369" w:type="dxa"/>
            <w:gridSpan w:val="2"/>
            <w:shd w:val="clear" w:color="auto" w:fill="auto"/>
          </w:tcPr>
          <w:p w14:paraId="44879689" w14:textId="77777777" w:rsidR="004E7D13" w:rsidRPr="004E7D13" w:rsidRDefault="004E7D13" w:rsidP="004E7D13">
            <w:pPr>
              <w:tabs>
                <w:tab w:val="right" w:pos="1080"/>
                <w:tab w:val="left" w:pos="1296"/>
                <w:tab w:val="left" w:pos="1620"/>
                <w:tab w:val="left" w:pos="180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right" w:leader="dot" w:pos="9360"/>
              </w:tabs>
              <w:suppressAutoHyphens/>
              <w:spacing w:before="0" w:line="240" w:lineRule="exact"/>
              <w:ind w:left="1296"/>
              <w:jc w:val="both"/>
              <w:rPr>
                <w:rFonts w:ascii="Times New Roman" w:eastAsia="Times New Roman" w:hAnsi="Times New Roman" w:cs="Times New Roman"/>
                <w:color w:val="000000"/>
                <w:spacing w:val="60"/>
                <w:w w:val="103"/>
                <w:kern w:val="14"/>
                <w:sz w:val="17"/>
                <w:szCs w:val="20"/>
                <w:lang w:val="en-GB" w:eastAsia="fr-FR"/>
              </w:rPr>
            </w:pPr>
            <w:r w:rsidRPr="004E7D13">
              <w:rPr>
                <w:rFonts w:ascii="Times New Roman" w:eastAsia="Times New Roman" w:hAnsi="Times New Roman" w:cs="Times New Roman"/>
                <w:color w:val="000000"/>
                <w:kern w:val="14"/>
                <w:sz w:val="20"/>
                <w:szCs w:val="20"/>
                <w:lang w:val="en-GB" w:eastAsia="fr-FR"/>
              </w:rPr>
              <w:t xml:space="preserve">Results and resources framework for </w:t>
            </w:r>
            <w:r w:rsidR="00A45E42">
              <w:rPr>
                <w:rFonts w:ascii="Times New Roman" w:eastAsia="Times New Roman" w:hAnsi="Times New Roman" w:cs="Times New Roman"/>
                <w:color w:val="000000"/>
                <w:kern w:val="14"/>
                <w:sz w:val="20"/>
                <w:szCs w:val="20"/>
                <w:lang w:val="en-GB" w:eastAsia="fr-FR"/>
              </w:rPr>
              <w:t>G</w:t>
            </w:r>
            <w:r w:rsidRPr="004E7D13">
              <w:rPr>
                <w:rFonts w:ascii="Times New Roman" w:eastAsia="Times New Roman" w:hAnsi="Times New Roman" w:cs="Times New Roman"/>
                <w:color w:val="000000"/>
                <w:kern w:val="14"/>
                <w:sz w:val="20"/>
                <w:szCs w:val="20"/>
                <w:lang w:val="en-GB" w:eastAsia="fr-FR"/>
              </w:rPr>
              <w:t>a</w:t>
            </w:r>
            <w:r w:rsidR="00A45E42">
              <w:rPr>
                <w:rFonts w:ascii="Times New Roman" w:eastAsia="Times New Roman" w:hAnsi="Times New Roman" w:cs="Times New Roman"/>
                <w:color w:val="000000"/>
                <w:kern w:val="14"/>
                <w:sz w:val="20"/>
                <w:szCs w:val="20"/>
                <w:lang w:val="en-GB" w:eastAsia="fr-FR"/>
              </w:rPr>
              <w:t>bon</w:t>
            </w:r>
            <w:r w:rsidRPr="004E7D13">
              <w:rPr>
                <w:rFonts w:ascii="Times New Roman" w:eastAsia="Times New Roman" w:hAnsi="Times New Roman" w:cs="Times New Roman"/>
                <w:color w:val="000000"/>
                <w:kern w:val="14"/>
                <w:sz w:val="20"/>
                <w:szCs w:val="20"/>
                <w:lang w:val="en-GB" w:eastAsia="fr-FR"/>
              </w:rPr>
              <w:t xml:space="preserve"> (2018-2022)</w:t>
            </w:r>
            <w:r w:rsidRPr="004E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…………………………………………</w:t>
            </w:r>
          </w:p>
        </w:tc>
        <w:tc>
          <w:tcPr>
            <w:tcW w:w="533" w:type="dxa"/>
            <w:gridSpan w:val="2"/>
            <w:shd w:val="clear" w:color="auto" w:fill="auto"/>
            <w:vAlign w:val="bottom"/>
          </w:tcPr>
          <w:p w14:paraId="20A6D0ED" w14:textId="77777777" w:rsidR="004E7D13" w:rsidRPr="004E7D13" w:rsidRDefault="00F2277F" w:rsidP="004E7D13">
            <w:pPr>
              <w:tabs>
                <w:tab w:val="left" w:pos="1620"/>
                <w:tab w:val="left" w:pos="1800"/>
              </w:tabs>
              <w:suppressAutoHyphens/>
              <w:spacing w:before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20"/>
                <w:szCs w:val="20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103"/>
                <w:kern w:val="14"/>
                <w:sz w:val="20"/>
                <w:szCs w:val="20"/>
                <w:lang w:val="en-GB" w:eastAsia="fr-FR"/>
              </w:rPr>
              <w:t>10</w:t>
            </w:r>
          </w:p>
        </w:tc>
      </w:tr>
    </w:tbl>
    <w:p w14:paraId="1F6B37CA" w14:textId="77777777" w:rsidR="004E7D13" w:rsidRPr="004E7D13" w:rsidRDefault="004E7D13" w:rsidP="004E7D13">
      <w:pPr>
        <w:tabs>
          <w:tab w:val="left" w:pos="2984"/>
        </w:tabs>
        <w:spacing w:before="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</w:p>
    <w:p w14:paraId="6F4811E7" w14:textId="77777777" w:rsidR="002F684B" w:rsidRPr="00BC170F" w:rsidRDefault="002F684B" w:rsidP="00DB436D">
      <w:pPr>
        <w:widowControl w:val="0"/>
        <w:ind w:right="1195"/>
        <w:rPr>
          <w:rFonts w:ascii="Times New Roman" w:hAnsi="Times New Roman" w:cs="Times New Roman"/>
          <w:sz w:val="20"/>
          <w:szCs w:val="20"/>
        </w:rPr>
      </w:pPr>
      <w:r w:rsidRPr="00BC170F">
        <w:rPr>
          <w:rFonts w:ascii="Times New Roman" w:hAnsi="Times New Roman" w:cs="Times New Roman"/>
          <w:sz w:val="20"/>
          <w:szCs w:val="20"/>
        </w:rPr>
        <w:br w:type="page"/>
      </w:r>
    </w:p>
    <w:p w14:paraId="3AE3BCBC" w14:textId="77777777" w:rsidR="002F684B" w:rsidRPr="00F2277F" w:rsidRDefault="002F684B" w:rsidP="00212B46">
      <w:pPr>
        <w:pStyle w:val="Heading2"/>
        <w:ind w:left="1170" w:hanging="360"/>
        <w:rPr>
          <w:sz w:val="28"/>
        </w:rPr>
      </w:pPr>
      <w:bookmarkStart w:id="0" w:name="_Toc367384728"/>
      <w:bookmarkStart w:id="1" w:name="_Toc493510411"/>
      <w:r w:rsidRPr="00F2277F">
        <w:rPr>
          <w:sz w:val="28"/>
        </w:rPr>
        <w:lastRenderedPageBreak/>
        <w:t>Programme rationale</w:t>
      </w:r>
      <w:bookmarkEnd w:id="0"/>
      <w:bookmarkEnd w:id="1"/>
      <w:r w:rsidRPr="00F2277F">
        <w:rPr>
          <w:sz w:val="28"/>
        </w:rPr>
        <w:t xml:space="preserve"> </w:t>
      </w:r>
    </w:p>
    <w:p w14:paraId="4DCC4ED7" w14:textId="73CEA17F" w:rsidR="002F684B" w:rsidRPr="00BC170F" w:rsidRDefault="002F684B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C170F">
        <w:rPr>
          <w:rFonts w:ascii="Times New Roman" w:hAnsi="Times New Roman" w:cs="Times New Roman"/>
          <w:sz w:val="20"/>
          <w:szCs w:val="20"/>
        </w:rPr>
        <w:t xml:space="preserve">Gabon has a small population of 1.8 million spread </w:t>
      </w:r>
      <w:r w:rsidR="005B7C2C">
        <w:rPr>
          <w:rFonts w:ascii="Times New Roman" w:hAnsi="Times New Roman" w:cs="Times New Roman"/>
          <w:sz w:val="20"/>
          <w:szCs w:val="20"/>
        </w:rPr>
        <w:t xml:space="preserve">out </w:t>
      </w:r>
      <w:r w:rsidRPr="00BC170F">
        <w:rPr>
          <w:rFonts w:ascii="Times New Roman" w:hAnsi="Times New Roman" w:cs="Times New Roman"/>
          <w:sz w:val="20"/>
          <w:szCs w:val="20"/>
        </w:rPr>
        <w:t>over 268,000 square kilometers</w:t>
      </w:r>
      <w:r w:rsidR="0027440F">
        <w:rPr>
          <w:rFonts w:ascii="Times New Roman" w:hAnsi="Times New Roman" w:cs="Times New Roman"/>
          <w:sz w:val="20"/>
          <w:szCs w:val="20"/>
        </w:rPr>
        <w:t>,</w:t>
      </w:r>
      <w:r w:rsidRPr="00BC170F">
        <w:rPr>
          <w:rFonts w:ascii="Times New Roman" w:hAnsi="Times New Roman" w:cs="Times New Roman"/>
          <w:sz w:val="20"/>
          <w:szCs w:val="20"/>
          <w:vertAlign w:val="superscript"/>
        </w:rPr>
        <w:footnoteReference w:id="1"/>
      </w:r>
      <w:r w:rsidRPr="00BC170F">
        <w:rPr>
          <w:rFonts w:ascii="Times New Roman" w:hAnsi="Times New Roman" w:cs="Times New Roman"/>
          <w:sz w:val="20"/>
          <w:szCs w:val="20"/>
        </w:rPr>
        <w:t xml:space="preserve"> 85 per</w:t>
      </w:r>
      <w:r w:rsidR="005B7C2C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cent of which is forest</w:t>
      </w:r>
      <w:r w:rsidR="006E3588">
        <w:rPr>
          <w:rFonts w:ascii="Times New Roman" w:hAnsi="Times New Roman" w:cs="Times New Roman"/>
          <w:sz w:val="20"/>
          <w:szCs w:val="20"/>
        </w:rPr>
        <w:t xml:space="preserve">. </w:t>
      </w:r>
      <w:r w:rsidR="004357F4">
        <w:rPr>
          <w:rFonts w:ascii="Times New Roman" w:hAnsi="Times New Roman" w:cs="Times New Roman"/>
          <w:sz w:val="20"/>
          <w:szCs w:val="20"/>
        </w:rPr>
        <w:t>With</w:t>
      </w:r>
      <w:r w:rsidRPr="00BC170F">
        <w:rPr>
          <w:rFonts w:ascii="Times New Roman" w:hAnsi="Times New Roman" w:cs="Times New Roman"/>
          <w:sz w:val="20"/>
          <w:szCs w:val="20"/>
        </w:rPr>
        <w:t xml:space="preserve"> one of the highest urbanization rates in Africa (87 per</w:t>
      </w:r>
      <w:r w:rsidR="005B7C2C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cent)</w:t>
      </w:r>
      <w:r w:rsidRPr="00BC170F">
        <w:rPr>
          <w:rFonts w:ascii="Times New Roman" w:hAnsi="Times New Roman" w:cs="Times New Roman"/>
          <w:sz w:val="20"/>
          <w:szCs w:val="20"/>
          <w:vertAlign w:val="superscript"/>
        </w:rPr>
        <w:footnoteReference w:id="2"/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  <w:r w:rsidR="004357F4">
        <w:rPr>
          <w:rFonts w:ascii="Times New Roman" w:hAnsi="Times New Roman" w:cs="Times New Roman"/>
          <w:sz w:val="20"/>
          <w:szCs w:val="20"/>
        </w:rPr>
        <w:t xml:space="preserve">it </w:t>
      </w:r>
      <w:r w:rsidRPr="00BC170F">
        <w:rPr>
          <w:rFonts w:ascii="Times New Roman" w:hAnsi="Times New Roman" w:cs="Times New Roman"/>
          <w:sz w:val="20"/>
          <w:szCs w:val="20"/>
        </w:rPr>
        <w:t xml:space="preserve">achieved </w:t>
      </w:r>
      <w:r w:rsidR="00BA2F6C">
        <w:rPr>
          <w:rFonts w:ascii="Times New Roman" w:hAnsi="Times New Roman" w:cs="Times New Roman"/>
          <w:sz w:val="20"/>
          <w:szCs w:val="20"/>
        </w:rPr>
        <w:t>u</w:t>
      </w:r>
      <w:r w:rsidRPr="00BC170F">
        <w:rPr>
          <w:rFonts w:ascii="Times New Roman" w:hAnsi="Times New Roman" w:cs="Times New Roman"/>
          <w:sz w:val="20"/>
          <w:szCs w:val="20"/>
        </w:rPr>
        <w:t xml:space="preserve">pper </w:t>
      </w:r>
      <w:r w:rsidR="00BA2F6C">
        <w:rPr>
          <w:rFonts w:ascii="Times New Roman" w:hAnsi="Times New Roman" w:cs="Times New Roman"/>
          <w:sz w:val="20"/>
          <w:szCs w:val="20"/>
        </w:rPr>
        <w:t>m</w:t>
      </w:r>
      <w:r w:rsidRPr="00BC170F">
        <w:rPr>
          <w:rFonts w:ascii="Times New Roman" w:hAnsi="Times New Roman" w:cs="Times New Roman"/>
          <w:sz w:val="20"/>
          <w:szCs w:val="20"/>
        </w:rPr>
        <w:t xml:space="preserve">iddle </w:t>
      </w:r>
      <w:r w:rsidR="00BA2F6C">
        <w:rPr>
          <w:rFonts w:ascii="Times New Roman" w:hAnsi="Times New Roman" w:cs="Times New Roman"/>
          <w:sz w:val="20"/>
          <w:szCs w:val="20"/>
        </w:rPr>
        <w:t>i</w:t>
      </w:r>
      <w:r w:rsidRPr="00BC170F">
        <w:rPr>
          <w:rFonts w:ascii="Times New Roman" w:hAnsi="Times New Roman" w:cs="Times New Roman"/>
          <w:sz w:val="20"/>
          <w:szCs w:val="20"/>
        </w:rPr>
        <w:t xml:space="preserve">ncome status </w:t>
      </w:r>
      <w:r w:rsidR="005B7C2C">
        <w:rPr>
          <w:rFonts w:ascii="Times New Roman" w:hAnsi="Times New Roman" w:cs="Times New Roman"/>
          <w:sz w:val="20"/>
          <w:szCs w:val="20"/>
        </w:rPr>
        <w:t>in</w:t>
      </w:r>
      <w:r w:rsidRPr="00BC170F">
        <w:rPr>
          <w:rFonts w:ascii="Times New Roman" w:hAnsi="Times New Roman" w:cs="Times New Roman"/>
          <w:sz w:val="20"/>
          <w:szCs w:val="20"/>
        </w:rPr>
        <w:t xml:space="preserve"> 1962</w:t>
      </w:r>
      <w:r w:rsidR="005B7C2C">
        <w:rPr>
          <w:rFonts w:ascii="Times New Roman" w:hAnsi="Times New Roman" w:cs="Times New Roman"/>
          <w:sz w:val="20"/>
          <w:szCs w:val="20"/>
        </w:rPr>
        <w:t xml:space="preserve"> </w:t>
      </w:r>
      <w:r w:rsidR="004357F4">
        <w:rPr>
          <w:rFonts w:ascii="Times New Roman" w:hAnsi="Times New Roman" w:cs="Times New Roman"/>
          <w:sz w:val="20"/>
          <w:szCs w:val="20"/>
        </w:rPr>
        <w:t xml:space="preserve">from </w:t>
      </w:r>
      <w:r w:rsidR="005B7C2C" w:rsidRPr="00BC170F">
        <w:rPr>
          <w:rFonts w:ascii="Times New Roman" w:hAnsi="Times New Roman" w:cs="Times New Roman"/>
          <w:sz w:val="20"/>
          <w:szCs w:val="20"/>
        </w:rPr>
        <w:t>oil, timber and manganese</w:t>
      </w:r>
      <w:r w:rsidR="00BA2F6C">
        <w:rPr>
          <w:rFonts w:ascii="Times New Roman" w:hAnsi="Times New Roman" w:cs="Times New Roman"/>
          <w:sz w:val="20"/>
          <w:szCs w:val="20"/>
        </w:rPr>
        <w:t xml:space="preserve"> exports</w:t>
      </w:r>
      <w:r w:rsidR="005B7C2C">
        <w:rPr>
          <w:rFonts w:ascii="Times New Roman" w:hAnsi="Times New Roman" w:cs="Times New Roman"/>
          <w:sz w:val="20"/>
          <w:szCs w:val="20"/>
        </w:rPr>
        <w:t>.</w:t>
      </w:r>
      <w:r w:rsidRPr="00BC170F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  <w:r w:rsidR="005B7C2C">
        <w:rPr>
          <w:rFonts w:ascii="Times New Roman" w:hAnsi="Times New Roman" w:cs="Times New Roman"/>
          <w:sz w:val="20"/>
          <w:szCs w:val="20"/>
        </w:rPr>
        <w:t>The</w:t>
      </w:r>
      <w:r w:rsidR="005B7C2C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Human Development Index</w:t>
      </w:r>
      <w:r w:rsidR="005B7C2C">
        <w:rPr>
          <w:rFonts w:ascii="Times New Roman" w:hAnsi="Times New Roman" w:cs="Times New Roman"/>
          <w:sz w:val="20"/>
          <w:szCs w:val="20"/>
        </w:rPr>
        <w:t xml:space="preserve"> of Gabon</w:t>
      </w:r>
      <w:r w:rsidRPr="00BC170F">
        <w:rPr>
          <w:rFonts w:ascii="Times New Roman" w:hAnsi="Times New Roman" w:cs="Times New Roman"/>
          <w:sz w:val="20"/>
          <w:szCs w:val="20"/>
        </w:rPr>
        <w:t xml:space="preserve"> improved from 0.664 in 2010 to 0.697 in 2015, </w:t>
      </w:r>
      <w:r w:rsidR="005B7C2C">
        <w:rPr>
          <w:rFonts w:ascii="Times New Roman" w:hAnsi="Times New Roman" w:cs="Times New Roman"/>
          <w:sz w:val="20"/>
          <w:szCs w:val="20"/>
        </w:rPr>
        <w:t xml:space="preserve">moving </w:t>
      </w:r>
      <w:r w:rsidRPr="00BC170F">
        <w:rPr>
          <w:rFonts w:ascii="Times New Roman" w:hAnsi="Times New Roman" w:cs="Times New Roman"/>
          <w:sz w:val="20"/>
          <w:szCs w:val="20"/>
        </w:rPr>
        <w:t>from 114</w:t>
      </w:r>
      <w:r w:rsidR="001A023A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 xml:space="preserve">to 109, </w:t>
      </w:r>
      <w:r w:rsidR="001A023A">
        <w:rPr>
          <w:rFonts w:ascii="Times New Roman" w:hAnsi="Times New Roman" w:cs="Times New Roman"/>
          <w:sz w:val="20"/>
          <w:szCs w:val="20"/>
        </w:rPr>
        <w:t xml:space="preserve">and placing </w:t>
      </w:r>
      <w:r w:rsidR="000A1103" w:rsidRPr="00BC170F">
        <w:rPr>
          <w:rFonts w:ascii="Times New Roman" w:hAnsi="Times New Roman" w:cs="Times New Roman"/>
          <w:sz w:val="20"/>
          <w:szCs w:val="20"/>
        </w:rPr>
        <w:t>it</w:t>
      </w:r>
      <w:r w:rsidRPr="00BC170F">
        <w:rPr>
          <w:rFonts w:ascii="Times New Roman" w:hAnsi="Times New Roman" w:cs="Times New Roman"/>
          <w:sz w:val="20"/>
          <w:szCs w:val="20"/>
        </w:rPr>
        <w:t xml:space="preserve"> in</w:t>
      </w:r>
      <w:r w:rsidR="000E4C6C" w:rsidRPr="00BC170F">
        <w:rPr>
          <w:rFonts w:ascii="Times New Roman" w:hAnsi="Times New Roman" w:cs="Times New Roman"/>
          <w:sz w:val="20"/>
          <w:szCs w:val="20"/>
        </w:rPr>
        <w:t xml:space="preserve"> the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09121B">
        <w:rPr>
          <w:rFonts w:ascii="Times New Roman" w:hAnsi="Times New Roman" w:cs="Times New Roman"/>
          <w:sz w:val="20"/>
          <w:szCs w:val="20"/>
        </w:rPr>
        <w:t>middle-income</w:t>
      </w:r>
      <w:r w:rsidR="005B7C2C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human development category.</w:t>
      </w:r>
      <w:r w:rsidRPr="00BC170F">
        <w:rPr>
          <w:rFonts w:ascii="Times New Roman" w:hAnsi="Times New Roman" w:cs="Times New Roman"/>
          <w:sz w:val="20"/>
          <w:szCs w:val="20"/>
          <w:vertAlign w:val="superscript"/>
        </w:rPr>
        <w:footnoteReference w:id="4"/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Yet</w:t>
      </w:r>
      <w:r w:rsidR="005B7C2C">
        <w:rPr>
          <w:rFonts w:ascii="Times New Roman" w:hAnsi="Times New Roman" w:cs="Times New Roman"/>
          <w:sz w:val="20"/>
          <w:szCs w:val="20"/>
        </w:rPr>
        <w:t>,</w:t>
      </w:r>
      <w:r w:rsidR="00984617">
        <w:rPr>
          <w:rFonts w:ascii="Times New Roman" w:hAnsi="Times New Roman" w:cs="Times New Roman"/>
          <w:sz w:val="20"/>
          <w:szCs w:val="20"/>
        </w:rPr>
        <w:t xml:space="preserve"> in</w:t>
      </w:r>
      <w:r w:rsidRPr="00BC170F">
        <w:rPr>
          <w:rFonts w:ascii="Times New Roman" w:hAnsi="Times New Roman" w:cs="Times New Roman"/>
          <w:sz w:val="20"/>
          <w:szCs w:val="20"/>
        </w:rPr>
        <w:t xml:space="preserve"> t</w:t>
      </w:r>
      <w:r w:rsidR="00187CB9" w:rsidRPr="00BC170F">
        <w:rPr>
          <w:rFonts w:ascii="Times New Roman" w:hAnsi="Times New Roman" w:cs="Times New Roman"/>
          <w:sz w:val="20"/>
          <w:szCs w:val="20"/>
        </w:rPr>
        <w:t xml:space="preserve">he </w:t>
      </w:r>
      <w:r w:rsidR="000A1103" w:rsidRPr="00BC170F">
        <w:rPr>
          <w:rFonts w:ascii="Times New Roman" w:hAnsi="Times New Roman" w:cs="Times New Roman"/>
          <w:sz w:val="20"/>
          <w:szCs w:val="20"/>
        </w:rPr>
        <w:t>most recent</w:t>
      </w:r>
      <w:r w:rsidR="00187CB9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household survey</w:t>
      </w:r>
      <w:r w:rsidR="005B7C2C">
        <w:rPr>
          <w:rFonts w:ascii="Times New Roman" w:hAnsi="Times New Roman" w:cs="Times New Roman"/>
          <w:sz w:val="20"/>
          <w:szCs w:val="20"/>
        </w:rPr>
        <w:t xml:space="preserve"> (</w:t>
      </w:r>
      <w:r w:rsidRPr="00BC170F">
        <w:rPr>
          <w:rFonts w:ascii="Times New Roman" w:hAnsi="Times New Roman" w:cs="Times New Roman"/>
          <w:sz w:val="20"/>
          <w:szCs w:val="20"/>
        </w:rPr>
        <w:t>conducted in 2005</w:t>
      </w:r>
      <w:r w:rsidR="005B7C2C">
        <w:rPr>
          <w:rFonts w:ascii="Times New Roman" w:hAnsi="Times New Roman" w:cs="Times New Roman"/>
          <w:sz w:val="20"/>
          <w:szCs w:val="20"/>
        </w:rPr>
        <w:t>)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984617">
        <w:rPr>
          <w:rFonts w:ascii="Times New Roman" w:hAnsi="Times New Roman" w:cs="Times New Roman"/>
          <w:sz w:val="20"/>
          <w:szCs w:val="20"/>
        </w:rPr>
        <w:t xml:space="preserve">the </w:t>
      </w:r>
      <w:r w:rsidRPr="00BC170F">
        <w:rPr>
          <w:rFonts w:ascii="Times New Roman" w:hAnsi="Times New Roman" w:cs="Times New Roman"/>
          <w:sz w:val="20"/>
          <w:szCs w:val="20"/>
        </w:rPr>
        <w:t xml:space="preserve">national poverty rate </w:t>
      </w:r>
      <w:r w:rsidR="00026687">
        <w:rPr>
          <w:rFonts w:ascii="Times New Roman" w:hAnsi="Times New Roman" w:cs="Times New Roman"/>
          <w:sz w:val="20"/>
          <w:szCs w:val="20"/>
        </w:rPr>
        <w:t>was</w:t>
      </w:r>
      <w:r w:rsidR="009F523D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32.7 per</w:t>
      </w:r>
      <w:r w:rsidR="005B7C2C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cent</w:t>
      </w:r>
      <w:r w:rsidR="005B7C2C">
        <w:rPr>
          <w:rFonts w:ascii="Times New Roman" w:hAnsi="Times New Roman" w:cs="Times New Roman"/>
          <w:sz w:val="20"/>
          <w:szCs w:val="20"/>
        </w:rPr>
        <w:t xml:space="preserve"> (</w:t>
      </w:r>
      <w:r w:rsidRPr="00BC170F">
        <w:rPr>
          <w:rFonts w:ascii="Times New Roman" w:hAnsi="Times New Roman" w:cs="Times New Roman"/>
          <w:sz w:val="20"/>
          <w:szCs w:val="20"/>
        </w:rPr>
        <w:t>29.8 per</w:t>
      </w:r>
      <w:r w:rsidR="005B7C2C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 xml:space="preserve">cent for urban </w:t>
      </w:r>
      <w:r w:rsidR="005B7C2C">
        <w:rPr>
          <w:rFonts w:ascii="Times New Roman" w:hAnsi="Times New Roman" w:cs="Times New Roman"/>
          <w:sz w:val="20"/>
          <w:szCs w:val="20"/>
        </w:rPr>
        <w:t xml:space="preserve">areas </w:t>
      </w:r>
      <w:r w:rsidRPr="00BC170F">
        <w:rPr>
          <w:rFonts w:ascii="Times New Roman" w:hAnsi="Times New Roman" w:cs="Times New Roman"/>
          <w:sz w:val="20"/>
          <w:szCs w:val="20"/>
        </w:rPr>
        <w:t>and 44.6 per</w:t>
      </w:r>
      <w:r w:rsidR="005B7C2C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cent for rural</w:t>
      </w:r>
      <w:r w:rsidR="005B7C2C">
        <w:rPr>
          <w:rFonts w:ascii="Times New Roman" w:hAnsi="Times New Roman" w:cs="Times New Roman"/>
          <w:sz w:val="20"/>
          <w:szCs w:val="20"/>
        </w:rPr>
        <w:t>).</w:t>
      </w:r>
      <w:r w:rsidRPr="00BC170F">
        <w:rPr>
          <w:rFonts w:ascii="Times New Roman" w:hAnsi="Times New Roman" w:cs="Times New Roman"/>
          <w:sz w:val="20"/>
          <w:szCs w:val="20"/>
          <w:vertAlign w:val="superscript"/>
        </w:rPr>
        <w:footnoteReference w:id="5"/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  <w:r w:rsidR="00296272">
        <w:rPr>
          <w:rFonts w:ascii="Times New Roman" w:hAnsi="Times New Roman" w:cs="Times New Roman"/>
          <w:sz w:val="20"/>
          <w:szCs w:val="20"/>
        </w:rPr>
        <w:t xml:space="preserve">In addition, </w:t>
      </w:r>
      <w:r w:rsidR="00E74D28" w:rsidRPr="00BC170F">
        <w:rPr>
          <w:rFonts w:ascii="Times New Roman" w:hAnsi="Times New Roman" w:cs="Times New Roman"/>
          <w:sz w:val="20"/>
          <w:szCs w:val="20"/>
        </w:rPr>
        <w:t xml:space="preserve">multidimensional poverty in Gabon is estimated </w:t>
      </w:r>
      <w:r w:rsidR="005B7C2C">
        <w:rPr>
          <w:rFonts w:ascii="Times New Roman" w:hAnsi="Times New Roman" w:cs="Times New Roman"/>
          <w:sz w:val="20"/>
          <w:szCs w:val="20"/>
        </w:rPr>
        <w:t>to be</w:t>
      </w:r>
      <w:r w:rsidR="005B7C2C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E74D28" w:rsidRPr="00BC170F">
        <w:rPr>
          <w:rFonts w:ascii="Times New Roman" w:hAnsi="Times New Roman" w:cs="Times New Roman"/>
          <w:sz w:val="20"/>
          <w:szCs w:val="20"/>
        </w:rPr>
        <w:t>4.4 per</w:t>
      </w:r>
      <w:r w:rsidR="005B7C2C">
        <w:rPr>
          <w:rFonts w:ascii="Times New Roman" w:hAnsi="Times New Roman" w:cs="Times New Roman"/>
          <w:sz w:val="20"/>
          <w:szCs w:val="20"/>
        </w:rPr>
        <w:t xml:space="preserve"> </w:t>
      </w:r>
      <w:r w:rsidR="00E74D28" w:rsidRPr="00BC170F">
        <w:rPr>
          <w:rFonts w:ascii="Times New Roman" w:hAnsi="Times New Roman" w:cs="Times New Roman"/>
          <w:sz w:val="20"/>
          <w:szCs w:val="20"/>
        </w:rPr>
        <w:t>cent</w:t>
      </w:r>
      <w:r w:rsidR="005B7C2C">
        <w:rPr>
          <w:rFonts w:ascii="Times New Roman" w:hAnsi="Times New Roman" w:cs="Times New Roman"/>
          <w:sz w:val="20"/>
          <w:szCs w:val="20"/>
        </w:rPr>
        <w:t>,</w:t>
      </w:r>
      <w:r w:rsidR="00E74D28" w:rsidRPr="00BC170F">
        <w:rPr>
          <w:rFonts w:ascii="Times New Roman" w:hAnsi="Times New Roman" w:cs="Times New Roman"/>
          <w:sz w:val="20"/>
          <w:szCs w:val="20"/>
          <w:vertAlign w:val="superscript"/>
        </w:rPr>
        <w:footnoteReference w:id="6"/>
      </w:r>
      <w:r w:rsidR="00E74D28" w:rsidRPr="00BC170F">
        <w:rPr>
          <w:rFonts w:ascii="Times New Roman" w:hAnsi="Times New Roman" w:cs="Times New Roman"/>
          <w:sz w:val="20"/>
          <w:szCs w:val="20"/>
        </w:rPr>
        <w:t xml:space="preserve"> with </w:t>
      </w:r>
      <w:r w:rsidR="005B7C2C">
        <w:rPr>
          <w:rFonts w:ascii="Times New Roman" w:hAnsi="Times New Roman" w:cs="Times New Roman"/>
          <w:sz w:val="20"/>
          <w:szCs w:val="20"/>
        </w:rPr>
        <w:t xml:space="preserve">high </w:t>
      </w:r>
      <w:r w:rsidR="00E74D28" w:rsidRPr="00BC170F">
        <w:rPr>
          <w:rFonts w:ascii="Times New Roman" w:hAnsi="Times New Roman" w:cs="Times New Roman"/>
          <w:sz w:val="20"/>
          <w:szCs w:val="20"/>
        </w:rPr>
        <w:t>deprivation in health and living conditions.</w:t>
      </w:r>
      <w:r w:rsidR="00E74D28">
        <w:rPr>
          <w:rFonts w:ascii="Times New Roman" w:hAnsi="Times New Roman" w:cs="Times New Roman"/>
          <w:sz w:val="20"/>
          <w:szCs w:val="20"/>
        </w:rPr>
        <w:t xml:space="preserve"> </w:t>
      </w:r>
      <w:r w:rsidR="005B7C2C">
        <w:rPr>
          <w:rFonts w:ascii="Times New Roman" w:hAnsi="Times New Roman" w:cs="Times New Roman"/>
          <w:sz w:val="20"/>
          <w:szCs w:val="20"/>
        </w:rPr>
        <w:t>The</w:t>
      </w:r>
      <w:r w:rsidR="00E74D28" w:rsidRPr="00BC170F">
        <w:rPr>
          <w:rFonts w:ascii="Times New Roman" w:hAnsi="Times New Roman" w:cs="Times New Roman"/>
          <w:sz w:val="20"/>
          <w:szCs w:val="20"/>
        </w:rPr>
        <w:t xml:space="preserve"> Gini Coefficient </w:t>
      </w:r>
      <w:r w:rsidR="005B7C2C">
        <w:rPr>
          <w:rFonts w:ascii="Times New Roman" w:hAnsi="Times New Roman" w:cs="Times New Roman"/>
          <w:sz w:val="20"/>
          <w:szCs w:val="20"/>
        </w:rPr>
        <w:t xml:space="preserve">of Gabon </w:t>
      </w:r>
      <w:r w:rsidR="00E74D28" w:rsidRPr="00BC170F">
        <w:rPr>
          <w:rFonts w:ascii="Times New Roman" w:hAnsi="Times New Roman" w:cs="Times New Roman"/>
          <w:sz w:val="20"/>
          <w:szCs w:val="20"/>
        </w:rPr>
        <w:t xml:space="preserve">shows </w:t>
      </w:r>
      <w:r w:rsidR="005B7C2C">
        <w:rPr>
          <w:rFonts w:ascii="Times New Roman" w:hAnsi="Times New Roman" w:cs="Times New Roman"/>
          <w:sz w:val="20"/>
          <w:szCs w:val="20"/>
        </w:rPr>
        <w:t xml:space="preserve">rates of </w:t>
      </w:r>
      <w:r w:rsidR="00E74D28" w:rsidRPr="00BC170F">
        <w:rPr>
          <w:rFonts w:ascii="Times New Roman" w:hAnsi="Times New Roman" w:cs="Times New Roman"/>
          <w:sz w:val="20"/>
          <w:szCs w:val="20"/>
        </w:rPr>
        <w:t xml:space="preserve">high inequality </w:t>
      </w:r>
      <w:r w:rsidR="005B7C2C">
        <w:rPr>
          <w:rFonts w:ascii="Times New Roman" w:hAnsi="Times New Roman" w:cs="Times New Roman"/>
          <w:sz w:val="20"/>
          <w:szCs w:val="20"/>
        </w:rPr>
        <w:t>(</w:t>
      </w:r>
      <w:r w:rsidR="006453EB" w:rsidRPr="007C330E">
        <w:rPr>
          <w:rFonts w:ascii="Times New Roman" w:hAnsi="Times New Roman" w:cs="Times New Roman"/>
          <w:sz w:val="20"/>
          <w:szCs w:val="20"/>
        </w:rPr>
        <w:t>0.</w:t>
      </w:r>
      <w:r w:rsidR="00D15791" w:rsidRPr="007C330E">
        <w:rPr>
          <w:rFonts w:ascii="Times New Roman" w:hAnsi="Times New Roman" w:cs="Times New Roman"/>
          <w:sz w:val="20"/>
          <w:szCs w:val="20"/>
        </w:rPr>
        <w:t>437</w:t>
      </w:r>
      <w:r w:rsidR="005B7C2C">
        <w:rPr>
          <w:rFonts w:ascii="Times New Roman" w:hAnsi="Times New Roman" w:cs="Times New Roman"/>
          <w:sz w:val="20"/>
          <w:szCs w:val="20"/>
        </w:rPr>
        <w:t>).</w:t>
      </w:r>
      <w:r w:rsidR="00E74D28" w:rsidRPr="007C330E">
        <w:rPr>
          <w:rFonts w:ascii="Times New Roman" w:hAnsi="Times New Roman" w:cs="Times New Roman"/>
          <w:sz w:val="20"/>
          <w:szCs w:val="20"/>
          <w:vertAlign w:val="superscript"/>
        </w:rPr>
        <w:footnoteReference w:id="7"/>
      </w:r>
      <w:r w:rsidR="00E74D28" w:rsidRPr="007C330E">
        <w:rPr>
          <w:rFonts w:ascii="Times New Roman" w:hAnsi="Times New Roman" w:cs="Times New Roman"/>
          <w:sz w:val="20"/>
          <w:szCs w:val="20"/>
        </w:rPr>
        <w:t xml:space="preserve"> </w:t>
      </w:r>
      <w:r w:rsidRPr="007C330E">
        <w:rPr>
          <w:rFonts w:ascii="Times New Roman" w:hAnsi="Times New Roman" w:cs="Times New Roman"/>
          <w:sz w:val="20"/>
          <w:szCs w:val="20"/>
        </w:rPr>
        <w:t>Combatting</w:t>
      </w:r>
      <w:r w:rsidRPr="00BC170F">
        <w:rPr>
          <w:rFonts w:ascii="Times New Roman" w:hAnsi="Times New Roman" w:cs="Times New Roman"/>
          <w:sz w:val="20"/>
          <w:szCs w:val="20"/>
        </w:rPr>
        <w:t xml:space="preserve"> poverty, and the degree to which it disproportionately </w:t>
      </w:r>
      <w:r w:rsidR="0040139D">
        <w:rPr>
          <w:rFonts w:ascii="Times New Roman" w:hAnsi="Times New Roman" w:cs="Times New Roman"/>
          <w:sz w:val="20"/>
          <w:szCs w:val="20"/>
        </w:rPr>
        <w:t>affects</w:t>
      </w:r>
      <w:r w:rsidR="0040139D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rural, resource-</w:t>
      </w:r>
      <w:r w:rsidR="000C0693" w:rsidRPr="00BC170F">
        <w:rPr>
          <w:rFonts w:ascii="Times New Roman" w:hAnsi="Times New Roman" w:cs="Times New Roman"/>
          <w:sz w:val="20"/>
          <w:szCs w:val="20"/>
        </w:rPr>
        <w:t>poor</w:t>
      </w:r>
      <w:r w:rsidR="00984617">
        <w:rPr>
          <w:rFonts w:ascii="Times New Roman" w:hAnsi="Times New Roman" w:cs="Times New Roman"/>
          <w:sz w:val="20"/>
          <w:szCs w:val="20"/>
        </w:rPr>
        <w:t>,</w:t>
      </w:r>
      <w:r w:rsidR="000C0693" w:rsidRPr="00BC170F">
        <w:rPr>
          <w:rFonts w:ascii="Times New Roman" w:hAnsi="Times New Roman" w:cs="Times New Roman"/>
          <w:sz w:val="20"/>
          <w:szCs w:val="20"/>
        </w:rPr>
        <w:t xml:space="preserve"> and otherwise marginal parts of the country </w:t>
      </w:r>
      <w:r w:rsidR="005B7C2C">
        <w:rPr>
          <w:rFonts w:ascii="Times New Roman" w:hAnsi="Times New Roman" w:cs="Times New Roman"/>
          <w:sz w:val="20"/>
          <w:szCs w:val="20"/>
        </w:rPr>
        <w:t>serves as</w:t>
      </w:r>
      <w:r w:rsidR="005B7C2C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0C0693" w:rsidRPr="00BC170F">
        <w:rPr>
          <w:rFonts w:ascii="Times New Roman" w:hAnsi="Times New Roman" w:cs="Times New Roman"/>
          <w:sz w:val="20"/>
          <w:szCs w:val="20"/>
        </w:rPr>
        <w:t xml:space="preserve">the </w:t>
      </w:r>
      <w:r w:rsidR="000A25BD" w:rsidRPr="00BC170F">
        <w:rPr>
          <w:rFonts w:ascii="Times New Roman" w:hAnsi="Times New Roman" w:cs="Times New Roman"/>
          <w:sz w:val="20"/>
          <w:szCs w:val="20"/>
        </w:rPr>
        <w:t xml:space="preserve">driving </w:t>
      </w:r>
      <w:r w:rsidR="00A61D23">
        <w:rPr>
          <w:rFonts w:ascii="Times New Roman" w:hAnsi="Times New Roman" w:cs="Times New Roman"/>
          <w:sz w:val="20"/>
          <w:szCs w:val="20"/>
        </w:rPr>
        <w:t>force for this c</w:t>
      </w:r>
      <w:r w:rsidR="000C0693" w:rsidRPr="00BC170F">
        <w:rPr>
          <w:rFonts w:ascii="Times New Roman" w:hAnsi="Times New Roman" w:cs="Times New Roman"/>
          <w:sz w:val="20"/>
          <w:szCs w:val="20"/>
        </w:rPr>
        <w:t xml:space="preserve">ountry </w:t>
      </w:r>
      <w:r w:rsidR="00A61D23">
        <w:rPr>
          <w:rFonts w:ascii="Times New Roman" w:hAnsi="Times New Roman" w:cs="Times New Roman"/>
          <w:sz w:val="20"/>
          <w:szCs w:val="20"/>
        </w:rPr>
        <w:t>p</w:t>
      </w:r>
      <w:r w:rsidR="000C0693" w:rsidRPr="00BC170F">
        <w:rPr>
          <w:rFonts w:ascii="Times New Roman" w:hAnsi="Times New Roman" w:cs="Times New Roman"/>
          <w:sz w:val="20"/>
          <w:szCs w:val="20"/>
        </w:rPr>
        <w:t xml:space="preserve">rogramme </w:t>
      </w:r>
      <w:r w:rsidR="00A61D23">
        <w:rPr>
          <w:rFonts w:ascii="Times New Roman" w:hAnsi="Times New Roman" w:cs="Times New Roman"/>
          <w:sz w:val="20"/>
          <w:szCs w:val="20"/>
        </w:rPr>
        <w:t>d</w:t>
      </w:r>
      <w:bookmarkStart w:id="3" w:name="_GoBack"/>
      <w:bookmarkEnd w:id="3"/>
      <w:r w:rsidR="000C0693" w:rsidRPr="00BC170F">
        <w:rPr>
          <w:rFonts w:ascii="Times New Roman" w:hAnsi="Times New Roman" w:cs="Times New Roman"/>
          <w:sz w:val="20"/>
          <w:szCs w:val="20"/>
        </w:rPr>
        <w:t>ocument</w:t>
      </w:r>
      <w:r w:rsidR="00BE5611">
        <w:rPr>
          <w:rFonts w:ascii="Times New Roman" w:hAnsi="Times New Roman" w:cs="Times New Roman"/>
          <w:sz w:val="20"/>
          <w:szCs w:val="20"/>
        </w:rPr>
        <w:t xml:space="preserve"> (CPD)</w:t>
      </w:r>
      <w:r w:rsidR="000C0693" w:rsidRPr="00BC170F">
        <w:rPr>
          <w:rFonts w:ascii="Times New Roman" w:hAnsi="Times New Roman" w:cs="Times New Roman"/>
          <w:sz w:val="20"/>
          <w:szCs w:val="20"/>
        </w:rPr>
        <w:t>.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F96014" w14:textId="77777777" w:rsidR="002F684B" w:rsidRPr="00BC170F" w:rsidRDefault="002F684B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C170F">
        <w:rPr>
          <w:rFonts w:ascii="Times New Roman" w:hAnsi="Times New Roman" w:cs="Times New Roman"/>
          <w:sz w:val="20"/>
          <w:szCs w:val="20"/>
        </w:rPr>
        <w:t>S</w:t>
      </w:r>
      <w:r w:rsidR="000E4C6C" w:rsidRPr="00BC170F">
        <w:rPr>
          <w:rFonts w:ascii="Times New Roman" w:hAnsi="Times New Roman" w:cs="Times New Roman"/>
          <w:sz w:val="20"/>
          <w:szCs w:val="20"/>
        </w:rPr>
        <w:t>ignificant d</w:t>
      </w:r>
      <w:r w:rsidRPr="00BC170F">
        <w:rPr>
          <w:rFonts w:ascii="Times New Roman" w:hAnsi="Times New Roman" w:cs="Times New Roman"/>
          <w:sz w:val="20"/>
          <w:szCs w:val="20"/>
        </w:rPr>
        <w:t>isparities</w:t>
      </w:r>
      <w:r w:rsidR="000E4C6C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984617">
        <w:rPr>
          <w:rFonts w:ascii="Times New Roman" w:hAnsi="Times New Roman" w:cs="Times New Roman"/>
          <w:sz w:val="20"/>
          <w:szCs w:val="20"/>
        </w:rPr>
        <w:t>exist</w:t>
      </w:r>
      <w:r w:rsidR="00984617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between highly urbanized coastal regions (Estuaire and Ogoo</w:t>
      </w:r>
      <w:r w:rsidR="00C975B6">
        <w:rPr>
          <w:rFonts w:ascii="Times New Roman" w:hAnsi="Times New Roman" w:cs="Times New Roman"/>
          <w:sz w:val="20"/>
          <w:szCs w:val="20"/>
        </w:rPr>
        <w:t>u</w:t>
      </w:r>
      <w:r w:rsidRPr="00BC170F">
        <w:rPr>
          <w:rFonts w:ascii="Times New Roman" w:hAnsi="Times New Roman" w:cs="Times New Roman"/>
          <w:sz w:val="20"/>
          <w:szCs w:val="20"/>
        </w:rPr>
        <w:t>é-Maritime)</w:t>
      </w:r>
      <w:r w:rsidR="00984617">
        <w:rPr>
          <w:rFonts w:ascii="Times New Roman" w:hAnsi="Times New Roman" w:cs="Times New Roman"/>
          <w:sz w:val="20"/>
          <w:szCs w:val="20"/>
        </w:rPr>
        <w:t xml:space="preserve">, </w:t>
      </w:r>
      <w:r w:rsidR="000E7A0D" w:rsidRPr="00BC170F">
        <w:rPr>
          <w:rFonts w:ascii="Times New Roman" w:hAnsi="Times New Roman" w:cs="Times New Roman"/>
          <w:sz w:val="20"/>
          <w:szCs w:val="20"/>
        </w:rPr>
        <w:t>those with</w:t>
      </w:r>
      <w:r w:rsidRPr="00BC170F">
        <w:rPr>
          <w:rFonts w:ascii="Times New Roman" w:hAnsi="Times New Roman" w:cs="Times New Roman"/>
          <w:sz w:val="20"/>
          <w:szCs w:val="20"/>
        </w:rPr>
        <w:t xml:space="preserve"> extr</w:t>
      </w:r>
      <w:r w:rsidR="001B15E2">
        <w:rPr>
          <w:rFonts w:ascii="Times New Roman" w:hAnsi="Times New Roman" w:cs="Times New Roman"/>
          <w:sz w:val="20"/>
          <w:szCs w:val="20"/>
        </w:rPr>
        <w:t>active activities (Haut-Ogooué)</w:t>
      </w:r>
      <w:r w:rsidR="00984617">
        <w:rPr>
          <w:rFonts w:ascii="Times New Roman" w:hAnsi="Times New Roman" w:cs="Times New Roman"/>
          <w:sz w:val="20"/>
          <w:szCs w:val="20"/>
        </w:rPr>
        <w:t>,</w:t>
      </w:r>
      <w:r w:rsidR="005B7C2C">
        <w:rPr>
          <w:rFonts w:ascii="Times New Roman" w:hAnsi="Times New Roman" w:cs="Times New Roman"/>
          <w:sz w:val="20"/>
          <w:szCs w:val="20"/>
        </w:rPr>
        <w:t xml:space="preserve"> and</w:t>
      </w:r>
      <w:r w:rsidR="001B15E2">
        <w:rPr>
          <w:rFonts w:ascii="Times New Roman" w:hAnsi="Times New Roman" w:cs="Times New Roman"/>
          <w:sz w:val="20"/>
          <w:szCs w:val="20"/>
        </w:rPr>
        <w:t xml:space="preserve"> </w:t>
      </w:r>
      <w:r w:rsidR="000E7A0D" w:rsidRPr="00BC170F">
        <w:rPr>
          <w:rFonts w:ascii="Times New Roman" w:hAnsi="Times New Roman" w:cs="Times New Roman"/>
          <w:sz w:val="20"/>
          <w:szCs w:val="20"/>
        </w:rPr>
        <w:t>the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0E7A0D" w:rsidRPr="00BC170F">
        <w:rPr>
          <w:rFonts w:ascii="Times New Roman" w:hAnsi="Times New Roman" w:cs="Times New Roman"/>
          <w:sz w:val="20"/>
          <w:szCs w:val="20"/>
        </w:rPr>
        <w:t>less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0E7A0D" w:rsidRPr="00BC170F">
        <w:rPr>
          <w:rFonts w:ascii="Times New Roman" w:hAnsi="Times New Roman" w:cs="Times New Roman"/>
          <w:sz w:val="20"/>
          <w:szCs w:val="20"/>
        </w:rPr>
        <w:t xml:space="preserve">densely </w:t>
      </w:r>
      <w:r w:rsidRPr="00BC170F">
        <w:rPr>
          <w:rFonts w:ascii="Times New Roman" w:hAnsi="Times New Roman" w:cs="Times New Roman"/>
          <w:sz w:val="20"/>
          <w:szCs w:val="20"/>
        </w:rPr>
        <w:t>populated</w:t>
      </w:r>
      <w:r w:rsidR="000E4C6C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provinces</w:t>
      </w:r>
      <w:r w:rsidR="005B7C2C">
        <w:rPr>
          <w:rFonts w:ascii="Times New Roman" w:hAnsi="Times New Roman" w:cs="Times New Roman"/>
          <w:sz w:val="20"/>
          <w:szCs w:val="20"/>
        </w:rPr>
        <w:t xml:space="preserve"> of </w:t>
      </w:r>
      <w:r w:rsidRPr="00BC170F">
        <w:rPr>
          <w:rFonts w:ascii="Times New Roman" w:hAnsi="Times New Roman" w:cs="Times New Roman"/>
          <w:sz w:val="20"/>
          <w:szCs w:val="20"/>
        </w:rPr>
        <w:t>Ogooué-Ivindo</w:t>
      </w:r>
      <w:r w:rsidR="000E7A0D" w:rsidRPr="00BC170F">
        <w:rPr>
          <w:rFonts w:ascii="Times New Roman" w:hAnsi="Times New Roman" w:cs="Times New Roman"/>
          <w:sz w:val="20"/>
          <w:szCs w:val="20"/>
        </w:rPr>
        <w:t xml:space="preserve">, Ogooué-Lolo, Nyanga, </w:t>
      </w:r>
      <w:r w:rsidR="00984617">
        <w:rPr>
          <w:rFonts w:ascii="Times New Roman" w:hAnsi="Times New Roman" w:cs="Times New Roman"/>
          <w:sz w:val="20"/>
          <w:szCs w:val="20"/>
        </w:rPr>
        <w:t xml:space="preserve">and </w:t>
      </w:r>
      <w:r w:rsidR="000E7A0D" w:rsidRPr="00BC170F">
        <w:rPr>
          <w:rFonts w:ascii="Times New Roman" w:hAnsi="Times New Roman" w:cs="Times New Roman"/>
          <w:sz w:val="20"/>
          <w:szCs w:val="20"/>
        </w:rPr>
        <w:t>Ngounié</w:t>
      </w:r>
      <w:r w:rsidR="005B7C2C">
        <w:rPr>
          <w:rFonts w:ascii="Times New Roman" w:hAnsi="Times New Roman" w:cs="Times New Roman"/>
          <w:sz w:val="20"/>
          <w:szCs w:val="20"/>
        </w:rPr>
        <w:t>, which</w:t>
      </w:r>
      <w:r w:rsidR="002A17F6">
        <w:rPr>
          <w:rFonts w:ascii="Times New Roman" w:hAnsi="Times New Roman" w:cs="Times New Roman"/>
          <w:sz w:val="20"/>
          <w:szCs w:val="20"/>
        </w:rPr>
        <w:t xml:space="preserve"> </w:t>
      </w:r>
      <w:r w:rsidR="005B7C2C">
        <w:rPr>
          <w:rFonts w:ascii="Times New Roman" w:hAnsi="Times New Roman" w:cs="Times New Roman"/>
          <w:sz w:val="20"/>
          <w:szCs w:val="20"/>
        </w:rPr>
        <w:t>have</w:t>
      </w:r>
      <w:r w:rsidR="005B7C2C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limited access to resources and services.</w:t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S</w:t>
      </w:r>
      <w:r w:rsidR="000E7A0D" w:rsidRPr="00BC170F">
        <w:rPr>
          <w:rFonts w:ascii="Times New Roman" w:hAnsi="Times New Roman" w:cs="Times New Roman"/>
          <w:sz w:val="20"/>
          <w:szCs w:val="20"/>
        </w:rPr>
        <w:t>ome 95.</w:t>
      </w:r>
      <w:r w:rsidRPr="00BC170F">
        <w:rPr>
          <w:rFonts w:ascii="Times New Roman" w:hAnsi="Times New Roman" w:cs="Times New Roman"/>
          <w:sz w:val="20"/>
          <w:szCs w:val="20"/>
        </w:rPr>
        <w:t>1 per</w:t>
      </w:r>
      <w:r w:rsidR="005B7C2C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cent of household</w:t>
      </w:r>
      <w:r w:rsidR="000E7A0D" w:rsidRPr="00BC170F">
        <w:rPr>
          <w:rFonts w:ascii="Times New Roman" w:hAnsi="Times New Roman" w:cs="Times New Roman"/>
          <w:sz w:val="20"/>
          <w:szCs w:val="20"/>
        </w:rPr>
        <w:t>s</w:t>
      </w:r>
      <w:r w:rsidRPr="00BC170F">
        <w:rPr>
          <w:rFonts w:ascii="Times New Roman" w:hAnsi="Times New Roman" w:cs="Times New Roman"/>
          <w:sz w:val="20"/>
          <w:szCs w:val="20"/>
        </w:rPr>
        <w:t xml:space="preserve"> in urban </w:t>
      </w:r>
      <w:r w:rsidR="005B7C2C">
        <w:rPr>
          <w:rFonts w:ascii="Times New Roman" w:hAnsi="Times New Roman" w:cs="Times New Roman"/>
          <w:sz w:val="20"/>
          <w:szCs w:val="20"/>
        </w:rPr>
        <w:t>areas</w:t>
      </w:r>
      <w:r w:rsidR="005B7C2C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 xml:space="preserve">have access to safe </w:t>
      </w:r>
      <w:r w:rsidR="002A17F6">
        <w:rPr>
          <w:rFonts w:ascii="Times New Roman" w:hAnsi="Times New Roman" w:cs="Times New Roman"/>
          <w:sz w:val="20"/>
          <w:szCs w:val="20"/>
        </w:rPr>
        <w:t xml:space="preserve">drinking </w:t>
      </w:r>
      <w:r w:rsidRPr="00BC170F">
        <w:rPr>
          <w:rFonts w:ascii="Times New Roman" w:hAnsi="Times New Roman" w:cs="Times New Roman"/>
          <w:sz w:val="20"/>
          <w:szCs w:val="20"/>
        </w:rPr>
        <w:t>water</w:t>
      </w:r>
      <w:r w:rsidR="000E7A0D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026687">
        <w:rPr>
          <w:rFonts w:ascii="Times New Roman" w:hAnsi="Times New Roman" w:cs="Times New Roman"/>
          <w:sz w:val="20"/>
          <w:szCs w:val="20"/>
        </w:rPr>
        <w:t>versus</w:t>
      </w:r>
      <w:r w:rsidR="0027440F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46.2 per</w:t>
      </w:r>
      <w:r w:rsidR="002744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 xml:space="preserve">cent </w:t>
      </w:r>
      <w:r w:rsidR="0027440F">
        <w:rPr>
          <w:rFonts w:ascii="Times New Roman" w:hAnsi="Times New Roman" w:cs="Times New Roman"/>
          <w:sz w:val="20"/>
          <w:szCs w:val="20"/>
        </w:rPr>
        <w:t>in</w:t>
      </w:r>
      <w:r w:rsidR="0027440F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rural area</w:t>
      </w:r>
      <w:r w:rsidR="00A448D0">
        <w:rPr>
          <w:rFonts w:ascii="Times New Roman" w:hAnsi="Times New Roman" w:cs="Times New Roman"/>
          <w:sz w:val="20"/>
          <w:szCs w:val="20"/>
        </w:rPr>
        <w:t xml:space="preserve">s </w:t>
      </w:r>
      <w:r w:rsidR="0027440F">
        <w:rPr>
          <w:rFonts w:ascii="Times New Roman" w:hAnsi="Times New Roman" w:cs="Times New Roman"/>
          <w:sz w:val="20"/>
          <w:szCs w:val="20"/>
        </w:rPr>
        <w:t>(</w:t>
      </w:r>
      <w:r w:rsidRPr="00BC170F">
        <w:rPr>
          <w:rFonts w:ascii="Times New Roman" w:hAnsi="Times New Roman" w:cs="Times New Roman"/>
          <w:sz w:val="20"/>
          <w:szCs w:val="20"/>
        </w:rPr>
        <w:t>42.2 per</w:t>
      </w:r>
      <w:r w:rsidR="002744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 xml:space="preserve">cent of </w:t>
      </w:r>
      <w:r w:rsidR="001773C7" w:rsidRPr="00BC170F">
        <w:rPr>
          <w:rFonts w:ascii="Times New Roman" w:hAnsi="Times New Roman" w:cs="Times New Roman"/>
          <w:sz w:val="20"/>
          <w:szCs w:val="20"/>
        </w:rPr>
        <w:t>rural</w:t>
      </w:r>
      <w:r w:rsidRPr="00BC170F">
        <w:rPr>
          <w:rFonts w:ascii="Times New Roman" w:hAnsi="Times New Roman" w:cs="Times New Roman"/>
          <w:sz w:val="20"/>
          <w:szCs w:val="20"/>
        </w:rPr>
        <w:t xml:space="preserve"> households obtain water from river</w:t>
      </w:r>
      <w:r w:rsidR="0027440F">
        <w:rPr>
          <w:rFonts w:ascii="Times New Roman" w:hAnsi="Times New Roman" w:cs="Times New Roman"/>
          <w:sz w:val="20"/>
          <w:szCs w:val="20"/>
        </w:rPr>
        <w:t>s).</w:t>
      </w:r>
      <w:r w:rsidR="00E028BC">
        <w:rPr>
          <w:rStyle w:val="FootnoteReference"/>
          <w:rFonts w:ascii="Times New Roman" w:hAnsi="Times New Roman" w:cs="Times New Roman"/>
          <w:sz w:val="20"/>
          <w:szCs w:val="20"/>
        </w:rPr>
        <w:footnoteReference w:id="8"/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  <w:r w:rsidR="001773C7" w:rsidRPr="00BC170F">
        <w:rPr>
          <w:rFonts w:ascii="Times New Roman" w:hAnsi="Times New Roman" w:cs="Times New Roman"/>
          <w:sz w:val="20"/>
          <w:szCs w:val="20"/>
        </w:rPr>
        <w:t xml:space="preserve">Electricity </w:t>
      </w:r>
      <w:r w:rsidRPr="00BC170F">
        <w:rPr>
          <w:rFonts w:ascii="Times New Roman" w:hAnsi="Times New Roman" w:cs="Times New Roman"/>
          <w:sz w:val="20"/>
          <w:szCs w:val="20"/>
        </w:rPr>
        <w:t>reaches 86.4 per</w:t>
      </w:r>
      <w:r w:rsidR="002744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cent of households</w:t>
      </w:r>
      <w:r w:rsidR="00140F0A" w:rsidRPr="00BC170F">
        <w:rPr>
          <w:rFonts w:ascii="Times New Roman" w:hAnsi="Times New Roman" w:cs="Times New Roman"/>
          <w:sz w:val="20"/>
          <w:szCs w:val="20"/>
        </w:rPr>
        <w:t xml:space="preserve"> overall</w:t>
      </w:r>
      <w:r w:rsidR="00984617">
        <w:rPr>
          <w:rFonts w:ascii="Times New Roman" w:hAnsi="Times New Roman" w:cs="Times New Roman"/>
          <w:sz w:val="20"/>
          <w:szCs w:val="20"/>
        </w:rPr>
        <w:t>,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140F0A" w:rsidRPr="00BC170F">
        <w:rPr>
          <w:rFonts w:ascii="Times New Roman" w:hAnsi="Times New Roman" w:cs="Times New Roman"/>
          <w:sz w:val="20"/>
          <w:szCs w:val="20"/>
        </w:rPr>
        <w:t xml:space="preserve">but </w:t>
      </w:r>
      <w:r w:rsidR="0027440F">
        <w:rPr>
          <w:rFonts w:ascii="Times New Roman" w:hAnsi="Times New Roman" w:cs="Times New Roman"/>
          <w:sz w:val="20"/>
          <w:szCs w:val="20"/>
        </w:rPr>
        <w:t>only</w:t>
      </w:r>
      <w:r w:rsidR="0027440F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37.4 per</w:t>
      </w:r>
      <w:r w:rsidR="002744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cent</w:t>
      </w:r>
      <w:r w:rsidR="0027440F">
        <w:rPr>
          <w:rFonts w:ascii="Times New Roman" w:hAnsi="Times New Roman" w:cs="Times New Roman"/>
          <w:sz w:val="20"/>
          <w:szCs w:val="20"/>
        </w:rPr>
        <w:t xml:space="preserve"> of homes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140F0A" w:rsidRPr="00BC170F">
        <w:rPr>
          <w:rFonts w:ascii="Times New Roman" w:hAnsi="Times New Roman" w:cs="Times New Roman"/>
          <w:sz w:val="20"/>
          <w:szCs w:val="20"/>
        </w:rPr>
        <w:t xml:space="preserve">in </w:t>
      </w:r>
      <w:r w:rsidRPr="00BC170F">
        <w:rPr>
          <w:rFonts w:ascii="Times New Roman" w:hAnsi="Times New Roman" w:cs="Times New Roman"/>
          <w:sz w:val="20"/>
          <w:szCs w:val="20"/>
        </w:rPr>
        <w:t>rural areas</w:t>
      </w:r>
      <w:r w:rsidR="00140F0A" w:rsidRPr="00BC170F">
        <w:rPr>
          <w:rFonts w:ascii="Times New Roman" w:hAnsi="Times New Roman" w:cs="Times New Roman"/>
          <w:sz w:val="20"/>
          <w:szCs w:val="20"/>
        </w:rPr>
        <w:t>.</w:t>
      </w:r>
      <w:r w:rsidR="00E028BC">
        <w:rPr>
          <w:rStyle w:val="FootnoteReference"/>
          <w:rFonts w:ascii="Times New Roman" w:hAnsi="Times New Roman" w:cs="Times New Roman"/>
          <w:sz w:val="20"/>
          <w:szCs w:val="20"/>
        </w:rPr>
        <w:footnoteReference w:id="9"/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E7AE2A" w14:textId="77777777" w:rsidR="002F684B" w:rsidRPr="00BC170F" w:rsidRDefault="002F684B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C170F">
        <w:rPr>
          <w:rFonts w:ascii="Times New Roman" w:hAnsi="Times New Roman" w:cs="Times New Roman"/>
          <w:sz w:val="20"/>
          <w:szCs w:val="20"/>
        </w:rPr>
        <w:t>Significant gender disparities characterize the rural</w:t>
      </w:r>
      <w:r w:rsidR="0027440F">
        <w:rPr>
          <w:rFonts w:ascii="Times New Roman" w:hAnsi="Times New Roman" w:cs="Times New Roman"/>
          <w:sz w:val="20"/>
          <w:szCs w:val="20"/>
        </w:rPr>
        <w:t>–</w:t>
      </w:r>
      <w:r w:rsidRPr="00BC170F">
        <w:rPr>
          <w:rFonts w:ascii="Times New Roman" w:hAnsi="Times New Roman" w:cs="Times New Roman"/>
          <w:sz w:val="20"/>
          <w:szCs w:val="20"/>
        </w:rPr>
        <w:t>urban divide.</w:t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  <w:r w:rsidR="0027440F">
        <w:rPr>
          <w:rFonts w:ascii="Times New Roman" w:hAnsi="Times New Roman" w:cs="Times New Roman"/>
          <w:sz w:val="20"/>
          <w:szCs w:val="20"/>
        </w:rPr>
        <w:t>A</w:t>
      </w:r>
      <w:r w:rsidRPr="00BC170F">
        <w:rPr>
          <w:rFonts w:ascii="Times New Roman" w:hAnsi="Times New Roman" w:cs="Times New Roman"/>
          <w:sz w:val="20"/>
          <w:szCs w:val="20"/>
        </w:rPr>
        <w:t>t the national level</w:t>
      </w:r>
      <w:r w:rsidR="00984617">
        <w:rPr>
          <w:rFonts w:ascii="Times New Roman" w:hAnsi="Times New Roman" w:cs="Times New Roman"/>
          <w:sz w:val="20"/>
          <w:szCs w:val="20"/>
        </w:rPr>
        <w:t>,</w:t>
      </w:r>
      <w:r w:rsidRPr="00BC170F">
        <w:rPr>
          <w:rFonts w:ascii="Times New Roman" w:hAnsi="Times New Roman" w:cs="Times New Roman"/>
          <w:sz w:val="20"/>
          <w:szCs w:val="20"/>
        </w:rPr>
        <w:t xml:space="preserve"> 74.8 per</w:t>
      </w:r>
      <w:r w:rsidR="002744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 xml:space="preserve">cent of households </w:t>
      </w:r>
      <w:r w:rsidR="0009121B">
        <w:rPr>
          <w:rFonts w:ascii="Times New Roman" w:hAnsi="Times New Roman" w:cs="Times New Roman"/>
          <w:sz w:val="20"/>
          <w:szCs w:val="20"/>
        </w:rPr>
        <w:t>utilize</w:t>
      </w:r>
      <w:r w:rsidR="0027440F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0E5C40" w:rsidRPr="00BC170F">
        <w:rPr>
          <w:rFonts w:ascii="Times New Roman" w:hAnsi="Times New Roman" w:cs="Times New Roman"/>
          <w:sz w:val="20"/>
          <w:szCs w:val="20"/>
        </w:rPr>
        <w:t>gas</w:t>
      </w:r>
      <w:r w:rsidR="0027440F">
        <w:rPr>
          <w:rFonts w:ascii="Times New Roman" w:hAnsi="Times New Roman" w:cs="Times New Roman"/>
          <w:sz w:val="20"/>
          <w:szCs w:val="20"/>
        </w:rPr>
        <w:t xml:space="preserve"> for cooking</w:t>
      </w:r>
      <w:r w:rsidRPr="00BC170F">
        <w:rPr>
          <w:rFonts w:ascii="Times New Roman" w:hAnsi="Times New Roman" w:cs="Times New Roman"/>
          <w:sz w:val="20"/>
          <w:szCs w:val="20"/>
        </w:rPr>
        <w:t>,</w:t>
      </w:r>
      <w:r w:rsidR="0027440F">
        <w:rPr>
          <w:rFonts w:ascii="Times New Roman" w:hAnsi="Times New Roman" w:cs="Times New Roman"/>
          <w:sz w:val="20"/>
          <w:szCs w:val="20"/>
        </w:rPr>
        <w:t xml:space="preserve"> while</w:t>
      </w:r>
      <w:r w:rsidRPr="00BC170F">
        <w:rPr>
          <w:rFonts w:ascii="Times New Roman" w:hAnsi="Times New Roman" w:cs="Times New Roman"/>
          <w:sz w:val="20"/>
          <w:szCs w:val="20"/>
        </w:rPr>
        <w:t xml:space="preserve"> only 27.6 per</w:t>
      </w:r>
      <w:r w:rsidR="002744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cent of rural households</w:t>
      </w:r>
      <w:r w:rsidR="0010173C">
        <w:rPr>
          <w:rFonts w:ascii="Times New Roman" w:hAnsi="Times New Roman" w:cs="Times New Roman"/>
          <w:sz w:val="20"/>
          <w:szCs w:val="20"/>
        </w:rPr>
        <w:t>,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0E5C40" w:rsidRPr="00BC170F">
        <w:rPr>
          <w:rFonts w:ascii="Times New Roman" w:hAnsi="Times New Roman" w:cs="Times New Roman"/>
          <w:sz w:val="20"/>
          <w:szCs w:val="20"/>
        </w:rPr>
        <w:t>and</w:t>
      </w:r>
      <w:r w:rsidRPr="00BC170F">
        <w:rPr>
          <w:rFonts w:ascii="Times New Roman" w:hAnsi="Times New Roman" w:cs="Times New Roman"/>
          <w:sz w:val="20"/>
          <w:szCs w:val="20"/>
        </w:rPr>
        <w:t xml:space="preserve"> 18.1 per</w:t>
      </w:r>
      <w:r w:rsidR="002744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 xml:space="preserve">cent of female-headed </w:t>
      </w:r>
      <w:r w:rsidR="00702305">
        <w:rPr>
          <w:rFonts w:ascii="Times New Roman" w:hAnsi="Times New Roman" w:cs="Times New Roman"/>
          <w:sz w:val="20"/>
          <w:szCs w:val="20"/>
        </w:rPr>
        <w:t>households</w:t>
      </w:r>
      <w:r w:rsidR="0010173C">
        <w:rPr>
          <w:rFonts w:ascii="Times New Roman" w:hAnsi="Times New Roman" w:cs="Times New Roman"/>
          <w:sz w:val="20"/>
          <w:szCs w:val="20"/>
        </w:rPr>
        <w:t>,</w:t>
      </w:r>
      <w:r w:rsidR="00702305">
        <w:rPr>
          <w:rFonts w:ascii="Times New Roman" w:hAnsi="Times New Roman" w:cs="Times New Roman"/>
          <w:sz w:val="20"/>
          <w:szCs w:val="20"/>
        </w:rPr>
        <w:t xml:space="preserve"> </w:t>
      </w:r>
      <w:r w:rsidR="0027440F">
        <w:rPr>
          <w:rFonts w:ascii="Times New Roman" w:hAnsi="Times New Roman" w:cs="Times New Roman"/>
          <w:sz w:val="20"/>
          <w:szCs w:val="20"/>
        </w:rPr>
        <w:t>do the same</w:t>
      </w:r>
      <w:r w:rsidRPr="00BC170F">
        <w:rPr>
          <w:rFonts w:ascii="Times New Roman" w:hAnsi="Times New Roman" w:cs="Times New Roman"/>
          <w:sz w:val="20"/>
          <w:szCs w:val="20"/>
        </w:rPr>
        <w:t>. Gender-disaggregated data show</w:t>
      </w:r>
      <w:r w:rsidR="0027440F">
        <w:rPr>
          <w:rFonts w:ascii="Times New Roman" w:hAnsi="Times New Roman" w:cs="Times New Roman"/>
          <w:sz w:val="20"/>
          <w:szCs w:val="20"/>
        </w:rPr>
        <w:t>s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7440F">
        <w:rPr>
          <w:rFonts w:ascii="Times New Roman" w:hAnsi="Times New Roman" w:cs="Times New Roman"/>
          <w:sz w:val="20"/>
          <w:szCs w:val="20"/>
        </w:rPr>
        <w:t xml:space="preserve">female-headed households have less </w:t>
      </w:r>
      <w:r w:rsidRPr="00BC170F">
        <w:rPr>
          <w:rFonts w:ascii="Times New Roman" w:hAnsi="Times New Roman" w:cs="Times New Roman"/>
          <w:sz w:val="20"/>
          <w:szCs w:val="20"/>
        </w:rPr>
        <w:t xml:space="preserve">access </w:t>
      </w:r>
      <w:r w:rsidR="0027440F">
        <w:rPr>
          <w:rFonts w:ascii="Times New Roman" w:hAnsi="Times New Roman" w:cs="Times New Roman"/>
          <w:sz w:val="20"/>
          <w:szCs w:val="20"/>
        </w:rPr>
        <w:t>to various commodities and services</w:t>
      </w:r>
      <w:r w:rsidRPr="00BC170F">
        <w:rPr>
          <w:rFonts w:ascii="Times New Roman" w:hAnsi="Times New Roman" w:cs="Times New Roman"/>
          <w:sz w:val="20"/>
          <w:szCs w:val="20"/>
        </w:rPr>
        <w:t>.</w:t>
      </w:r>
      <w:r w:rsidR="00560B2E">
        <w:rPr>
          <w:rFonts w:ascii="Times New Roman" w:hAnsi="Times New Roman" w:cs="Times New Roman"/>
          <w:sz w:val="20"/>
          <w:szCs w:val="20"/>
        </w:rPr>
        <w:t xml:space="preserve"> </w:t>
      </w:r>
      <w:r w:rsidR="00F37995">
        <w:rPr>
          <w:rFonts w:ascii="Times New Roman" w:hAnsi="Times New Roman" w:cs="Times New Roman"/>
          <w:sz w:val="20"/>
          <w:szCs w:val="20"/>
        </w:rPr>
        <w:t xml:space="preserve">For example, </w:t>
      </w:r>
      <w:r w:rsidRPr="00BC170F">
        <w:rPr>
          <w:rFonts w:ascii="Times New Roman" w:hAnsi="Times New Roman" w:cs="Times New Roman"/>
          <w:sz w:val="20"/>
          <w:szCs w:val="20"/>
        </w:rPr>
        <w:t>51.8 per</w:t>
      </w:r>
      <w:r w:rsidR="002744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 xml:space="preserve">cent of </w:t>
      </w:r>
      <w:r w:rsidR="0027440F">
        <w:rPr>
          <w:rFonts w:ascii="Times New Roman" w:hAnsi="Times New Roman" w:cs="Times New Roman"/>
          <w:sz w:val="20"/>
          <w:szCs w:val="20"/>
        </w:rPr>
        <w:t>female-</w:t>
      </w:r>
      <w:r w:rsidRPr="00BC170F">
        <w:rPr>
          <w:rFonts w:ascii="Times New Roman" w:hAnsi="Times New Roman" w:cs="Times New Roman"/>
          <w:sz w:val="20"/>
          <w:szCs w:val="20"/>
        </w:rPr>
        <w:t>head</w:t>
      </w:r>
      <w:r w:rsidR="0027440F">
        <w:rPr>
          <w:rFonts w:ascii="Times New Roman" w:hAnsi="Times New Roman" w:cs="Times New Roman"/>
          <w:sz w:val="20"/>
          <w:szCs w:val="20"/>
        </w:rPr>
        <w:t>ed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7440F">
        <w:rPr>
          <w:rFonts w:ascii="Times New Roman" w:hAnsi="Times New Roman" w:cs="Times New Roman"/>
          <w:sz w:val="20"/>
          <w:szCs w:val="20"/>
        </w:rPr>
        <w:t>homes</w:t>
      </w:r>
      <w:r w:rsidRPr="00BC170F">
        <w:rPr>
          <w:rFonts w:ascii="Times New Roman" w:hAnsi="Times New Roman" w:cs="Times New Roman"/>
          <w:sz w:val="20"/>
          <w:szCs w:val="20"/>
        </w:rPr>
        <w:t xml:space="preserve"> in rural areas </w:t>
      </w:r>
      <w:r w:rsidR="0027440F">
        <w:rPr>
          <w:rFonts w:ascii="Times New Roman" w:hAnsi="Times New Roman" w:cs="Times New Roman"/>
          <w:sz w:val="20"/>
          <w:szCs w:val="20"/>
        </w:rPr>
        <w:t>have</w:t>
      </w:r>
      <w:r w:rsidRPr="00BC170F">
        <w:rPr>
          <w:rFonts w:ascii="Times New Roman" w:hAnsi="Times New Roman" w:cs="Times New Roman"/>
          <w:sz w:val="20"/>
          <w:szCs w:val="20"/>
        </w:rPr>
        <w:t xml:space="preserve"> dirt floors </w:t>
      </w:r>
      <w:r w:rsidR="0027440F">
        <w:rPr>
          <w:rFonts w:ascii="Times New Roman" w:hAnsi="Times New Roman" w:cs="Times New Roman"/>
          <w:sz w:val="20"/>
          <w:szCs w:val="20"/>
        </w:rPr>
        <w:t>(the figure is</w:t>
      </w:r>
      <w:r w:rsidR="0027440F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41.6 per</w:t>
      </w:r>
      <w:r w:rsidR="002744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 xml:space="preserve">cent </w:t>
      </w:r>
      <w:r w:rsidR="0027440F">
        <w:rPr>
          <w:rFonts w:ascii="Times New Roman" w:hAnsi="Times New Roman" w:cs="Times New Roman"/>
          <w:sz w:val="20"/>
          <w:szCs w:val="20"/>
        </w:rPr>
        <w:t>for</w:t>
      </w:r>
      <w:r w:rsidR="0027440F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male-headed households</w:t>
      </w:r>
      <w:r w:rsidR="0027440F">
        <w:rPr>
          <w:rFonts w:ascii="Times New Roman" w:hAnsi="Times New Roman" w:cs="Times New Roman"/>
          <w:sz w:val="20"/>
          <w:szCs w:val="20"/>
        </w:rPr>
        <w:t>)</w:t>
      </w:r>
      <w:r w:rsidRPr="00BC170F">
        <w:rPr>
          <w:rFonts w:ascii="Times New Roman" w:hAnsi="Times New Roman" w:cs="Times New Roman"/>
          <w:sz w:val="20"/>
          <w:szCs w:val="20"/>
        </w:rPr>
        <w:t xml:space="preserve">, </w:t>
      </w:r>
      <w:r w:rsidR="0027440F">
        <w:rPr>
          <w:rFonts w:ascii="Times New Roman" w:hAnsi="Times New Roman" w:cs="Times New Roman"/>
          <w:sz w:val="20"/>
          <w:szCs w:val="20"/>
        </w:rPr>
        <w:t xml:space="preserve">which </w:t>
      </w:r>
      <w:r w:rsidR="0009121B" w:rsidRPr="00BC170F">
        <w:rPr>
          <w:rFonts w:ascii="Times New Roman" w:hAnsi="Times New Roman" w:cs="Times New Roman"/>
          <w:sz w:val="20"/>
          <w:szCs w:val="20"/>
        </w:rPr>
        <w:t>contribut</w:t>
      </w:r>
      <w:r w:rsidR="0009121B">
        <w:rPr>
          <w:rFonts w:ascii="Times New Roman" w:hAnsi="Times New Roman" w:cs="Times New Roman"/>
          <w:sz w:val="20"/>
          <w:szCs w:val="20"/>
        </w:rPr>
        <w:t>e</w:t>
      </w:r>
      <w:r w:rsidR="0010173C">
        <w:rPr>
          <w:rFonts w:ascii="Times New Roman" w:hAnsi="Times New Roman" w:cs="Times New Roman"/>
          <w:sz w:val="20"/>
          <w:szCs w:val="20"/>
        </w:rPr>
        <w:t>s</w:t>
      </w:r>
      <w:r w:rsidRPr="00BC170F">
        <w:rPr>
          <w:rFonts w:ascii="Times New Roman" w:hAnsi="Times New Roman" w:cs="Times New Roman"/>
          <w:sz w:val="20"/>
          <w:szCs w:val="20"/>
        </w:rPr>
        <w:t xml:space="preserve"> to poor hygiene and </w:t>
      </w:r>
      <w:r w:rsidR="0027440F">
        <w:rPr>
          <w:rFonts w:ascii="Times New Roman" w:hAnsi="Times New Roman" w:cs="Times New Roman"/>
          <w:sz w:val="20"/>
          <w:szCs w:val="20"/>
        </w:rPr>
        <w:t>high levels of</w:t>
      </w:r>
      <w:r w:rsidR="0027440F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morbidity.</w:t>
      </w:r>
      <w:r w:rsidR="000B37CE" w:rsidRPr="00BC170F">
        <w:rPr>
          <w:rFonts w:ascii="Times New Roman" w:hAnsi="Times New Roman" w:cs="Times New Roman"/>
          <w:sz w:val="20"/>
          <w:szCs w:val="20"/>
          <w:vertAlign w:val="superscript"/>
        </w:rPr>
        <w:footnoteReference w:id="10"/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11655D" w14:textId="77777777" w:rsidR="00002DBE" w:rsidRPr="00611C90" w:rsidRDefault="002F684B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11C90">
        <w:rPr>
          <w:rFonts w:ascii="Times New Roman" w:hAnsi="Times New Roman" w:cs="Times New Roman"/>
          <w:sz w:val="20"/>
          <w:szCs w:val="20"/>
        </w:rPr>
        <w:t xml:space="preserve">Despite progress in health </w:t>
      </w:r>
      <w:r w:rsidR="000E0BA5" w:rsidRPr="00611C90">
        <w:rPr>
          <w:rFonts w:ascii="Times New Roman" w:hAnsi="Times New Roman" w:cs="Times New Roman"/>
          <w:sz w:val="20"/>
          <w:szCs w:val="20"/>
        </w:rPr>
        <w:t>insurance enrollment</w:t>
      </w:r>
      <w:r w:rsidRPr="00611C90">
        <w:rPr>
          <w:rFonts w:ascii="Times New Roman" w:hAnsi="Times New Roman" w:cs="Times New Roman"/>
          <w:sz w:val="20"/>
          <w:szCs w:val="20"/>
        </w:rPr>
        <w:t xml:space="preserve"> </w:t>
      </w:r>
      <w:r w:rsidR="000E0BA5" w:rsidRPr="00611C90">
        <w:rPr>
          <w:rFonts w:ascii="Times New Roman" w:hAnsi="Times New Roman" w:cs="Times New Roman"/>
          <w:sz w:val="20"/>
          <w:szCs w:val="20"/>
        </w:rPr>
        <w:t>(</w:t>
      </w:r>
      <w:r w:rsidRPr="00611C90">
        <w:rPr>
          <w:rFonts w:ascii="Times New Roman" w:hAnsi="Times New Roman" w:cs="Times New Roman"/>
          <w:sz w:val="20"/>
          <w:szCs w:val="20"/>
        </w:rPr>
        <w:t>200,000</w:t>
      </w:r>
      <w:r w:rsidR="000E0BA5" w:rsidRPr="00611C90">
        <w:rPr>
          <w:rFonts w:ascii="Times New Roman" w:hAnsi="Times New Roman" w:cs="Times New Roman"/>
          <w:sz w:val="20"/>
          <w:szCs w:val="20"/>
        </w:rPr>
        <w:t xml:space="preserve"> enrolled</w:t>
      </w:r>
      <w:r w:rsidRPr="00611C90">
        <w:rPr>
          <w:rFonts w:ascii="Times New Roman" w:hAnsi="Times New Roman" w:cs="Times New Roman"/>
          <w:sz w:val="20"/>
          <w:szCs w:val="20"/>
        </w:rPr>
        <w:t xml:space="preserve"> in 2009 </w:t>
      </w:r>
      <w:r w:rsidR="00D537C8">
        <w:rPr>
          <w:rFonts w:ascii="Times New Roman" w:hAnsi="Times New Roman" w:cs="Times New Roman"/>
          <w:sz w:val="20"/>
          <w:szCs w:val="20"/>
        </w:rPr>
        <w:t>compared to</w:t>
      </w:r>
      <w:r w:rsidRPr="00611C90">
        <w:rPr>
          <w:rFonts w:ascii="Times New Roman" w:hAnsi="Times New Roman" w:cs="Times New Roman"/>
          <w:sz w:val="20"/>
          <w:szCs w:val="20"/>
        </w:rPr>
        <w:t xml:space="preserve"> 1,200,000 </w:t>
      </w:r>
      <w:r w:rsidR="00D537C8">
        <w:rPr>
          <w:rFonts w:ascii="Times New Roman" w:hAnsi="Times New Roman" w:cs="Times New Roman"/>
          <w:sz w:val="20"/>
          <w:szCs w:val="20"/>
        </w:rPr>
        <w:t>in</w:t>
      </w:r>
      <w:r w:rsidRPr="00611C90">
        <w:rPr>
          <w:rFonts w:ascii="Times New Roman" w:hAnsi="Times New Roman" w:cs="Times New Roman"/>
          <w:sz w:val="20"/>
          <w:szCs w:val="20"/>
        </w:rPr>
        <w:t xml:space="preserve"> 2016</w:t>
      </w:r>
      <w:r w:rsidR="000E0BA5" w:rsidRPr="00611C90">
        <w:rPr>
          <w:rFonts w:ascii="Times New Roman" w:hAnsi="Times New Roman" w:cs="Times New Roman"/>
          <w:sz w:val="20"/>
          <w:szCs w:val="20"/>
        </w:rPr>
        <w:t>)</w:t>
      </w:r>
      <w:r w:rsidRPr="00656FA7">
        <w:rPr>
          <w:rFonts w:ascii="Times New Roman" w:hAnsi="Times New Roman" w:cs="Times New Roman"/>
          <w:sz w:val="20"/>
          <w:szCs w:val="20"/>
          <w:vertAlign w:val="superscript"/>
        </w:rPr>
        <w:footnoteReference w:id="11"/>
      </w:r>
      <w:r w:rsidRPr="00611C90">
        <w:rPr>
          <w:rFonts w:ascii="Times New Roman" w:hAnsi="Times New Roman" w:cs="Times New Roman"/>
          <w:sz w:val="20"/>
          <w:szCs w:val="20"/>
        </w:rPr>
        <w:t xml:space="preserve"> </w:t>
      </w:r>
      <w:r w:rsidR="00E30DF2" w:rsidRPr="00611C90">
        <w:rPr>
          <w:rFonts w:ascii="Times New Roman" w:hAnsi="Times New Roman" w:cs="Times New Roman"/>
          <w:sz w:val="20"/>
          <w:szCs w:val="20"/>
        </w:rPr>
        <w:t>health care service</w:t>
      </w:r>
      <w:r w:rsidR="00D537C8">
        <w:rPr>
          <w:rFonts w:ascii="Times New Roman" w:hAnsi="Times New Roman" w:cs="Times New Roman"/>
          <w:sz w:val="20"/>
          <w:szCs w:val="20"/>
        </w:rPr>
        <w:t xml:space="preserve"> delivery</w:t>
      </w:r>
      <w:r w:rsidR="00E30DF2" w:rsidRPr="00611C90">
        <w:rPr>
          <w:rFonts w:ascii="Times New Roman" w:hAnsi="Times New Roman" w:cs="Times New Roman"/>
          <w:sz w:val="20"/>
          <w:szCs w:val="20"/>
        </w:rPr>
        <w:t xml:space="preserve"> continue</w:t>
      </w:r>
      <w:r w:rsidR="000371C0">
        <w:rPr>
          <w:rFonts w:ascii="Times New Roman" w:hAnsi="Times New Roman" w:cs="Times New Roman"/>
          <w:sz w:val="20"/>
          <w:szCs w:val="20"/>
        </w:rPr>
        <w:t>s</w:t>
      </w:r>
      <w:r w:rsidR="002C6CE9">
        <w:rPr>
          <w:rFonts w:ascii="Times New Roman" w:hAnsi="Times New Roman" w:cs="Times New Roman"/>
          <w:sz w:val="20"/>
          <w:szCs w:val="20"/>
        </w:rPr>
        <w:t xml:space="preserve"> to</w:t>
      </w:r>
      <w:r w:rsidR="00E30DF2" w:rsidRPr="00611C90">
        <w:rPr>
          <w:rFonts w:ascii="Times New Roman" w:hAnsi="Times New Roman" w:cs="Times New Roman"/>
          <w:sz w:val="20"/>
          <w:szCs w:val="20"/>
        </w:rPr>
        <w:t xml:space="preserve"> </w:t>
      </w:r>
      <w:r w:rsidR="0010173C">
        <w:rPr>
          <w:rFonts w:ascii="Times New Roman" w:hAnsi="Times New Roman" w:cs="Times New Roman"/>
          <w:sz w:val="20"/>
          <w:szCs w:val="20"/>
        </w:rPr>
        <w:t>be</w:t>
      </w:r>
      <w:r w:rsidR="00D537C8">
        <w:rPr>
          <w:rFonts w:ascii="Times New Roman" w:hAnsi="Times New Roman" w:cs="Times New Roman"/>
          <w:sz w:val="20"/>
          <w:szCs w:val="20"/>
        </w:rPr>
        <w:t xml:space="preserve"> a</w:t>
      </w:r>
      <w:r w:rsidR="00E30DF2" w:rsidRPr="00611C90">
        <w:rPr>
          <w:rFonts w:ascii="Times New Roman" w:hAnsi="Times New Roman" w:cs="Times New Roman"/>
          <w:sz w:val="20"/>
          <w:szCs w:val="20"/>
        </w:rPr>
        <w:t xml:space="preserve"> challenge </w:t>
      </w:r>
      <w:r w:rsidR="00D537C8">
        <w:rPr>
          <w:rFonts w:ascii="Times New Roman" w:hAnsi="Times New Roman" w:cs="Times New Roman"/>
          <w:sz w:val="20"/>
          <w:szCs w:val="20"/>
        </w:rPr>
        <w:t xml:space="preserve">for the </w:t>
      </w:r>
      <w:r w:rsidR="0010173C">
        <w:rPr>
          <w:rFonts w:ascii="Times New Roman" w:hAnsi="Times New Roman" w:cs="Times New Roman"/>
          <w:sz w:val="20"/>
          <w:szCs w:val="20"/>
        </w:rPr>
        <w:t>G</w:t>
      </w:r>
      <w:r w:rsidR="00D537C8">
        <w:rPr>
          <w:rFonts w:ascii="Times New Roman" w:hAnsi="Times New Roman" w:cs="Times New Roman"/>
          <w:sz w:val="20"/>
          <w:szCs w:val="20"/>
        </w:rPr>
        <w:t>overnment of</w:t>
      </w:r>
      <w:r w:rsidR="00E30DF2" w:rsidRPr="00611C90">
        <w:rPr>
          <w:rFonts w:ascii="Times New Roman" w:hAnsi="Times New Roman" w:cs="Times New Roman"/>
          <w:sz w:val="20"/>
          <w:szCs w:val="20"/>
        </w:rPr>
        <w:t xml:space="preserve"> Gabon</w:t>
      </w:r>
      <w:r w:rsidRPr="00611C90">
        <w:rPr>
          <w:rFonts w:ascii="Times New Roman" w:hAnsi="Times New Roman" w:cs="Times New Roman"/>
          <w:sz w:val="20"/>
          <w:szCs w:val="20"/>
        </w:rPr>
        <w:t>.</w:t>
      </w:r>
      <w:r w:rsidR="00533E16" w:rsidRPr="00611C90">
        <w:rPr>
          <w:rFonts w:ascii="Times New Roman" w:hAnsi="Times New Roman" w:cs="Times New Roman"/>
          <w:sz w:val="20"/>
          <w:szCs w:val="20"/>
        </w:rPr>
        <w:t xml:space="preserve"> </w:t>
      </w:r>
      <w:r w:rsidRPr="00611C90">
        <w:rPr>
          <w:rFonts w:ascii="Times New Roman" w:hAnsi="Times New Roman" w:cs="Times New Roman"/>
          <w:sz w:val="20"/>
          <w:szCs w:val="20"/>
        </w:rPr>
        <w:t xml:space="preserve">The management of </w:t>
      </w:r>
      <w:r w:rsidR="0009121B" w:rsidRPr="00611C90">
        <w:rPr>
          <w:rFonts w:ascii="Times New Roman" w:hAnsi="Times New Roman" w:cs="Times New Roman"/>
          <w:sz w:val="20"/>
          <w:szCs w:val="20"/>
        </w:rPr>
        <w:t>non</w:t>
      </w:r>
      <w:r w:rsidR="0009121B">
        <w:rPr>
          <w:rFonts w:ascii="Times New Roman" w:hAnsi="Times New Roman" w:cs="Times New Roman"/>
          <w:sz w:val="20"/>
          <w:szCs w:val="20"/>
        </w:rPr>
        <w:t>-</w:t>
      </w:r>
      <w:r w:rsidR="0009121B" w:rsidRPr="00611C90">
        <w:rPr>
          <w:rFonts w:ascii="Times New Roman" w:hAnsi="Times New Roman" w:cs="Times New Roman"/>
          <w:sz w:val="20"/>
          <w:szCs w:val="20"/>
        </w:rPr>
        <w:t>communicable</w:t>
      </w:r>
      <w:r w:rsidRPr="00611C90">
        <w:rPr>
          <w:rFonts w:ascii="Times New Roman" w:hAnsi="Times New Roman" w:cs="Times New Roman"/>
          <w:sz w:val="20"/>
          <w:szCs w:val="20"/>
        </w:rPr>
        <w:t xml:space="preserve"> diseases</w:t>
      </w:r>
      <w:r w:rsidR="00CF5B68">
        <w:rPr>
          <w:rFonts w:ascii="Times New Roman" w:hAnsi="Times New Roman" w:cs="Times New Roman"/>
          <w:sz w:val="20"/>
          <w:szCs w:val="20"/>
        </w:rPr>
        <w:t>—</w:t>
      </w:r>
      <w:r w:rsidRPr="00611C90">
        <w:rPr>
          <w:rFonts w:ascii="Times New Roman" w:hAnsi="Times New Roman" w:cs="Times New Roman"/>
          <w:sz w:val="20"/>
          <w:szCs w:val="20"/>
        </w:rPr>
        <w:t>such as hypertension, diabetes and cancer</w:t>
      </w:r>
      <w:r w:rsidR="00CF5B68">
        <w:rPr>
          <w:rFonts w:ascii="Times New Roman" w:hAnsi="Times New Roman" w:cs="Times New Roman"/>
          <w:sz w:val="20"/>
          <w:szCs w:val="20"/>
        </w:rPr>
        <w:t>—</w:t>
      </w:r>
      <w:r w:rsidR="00D537C8">
        <w:rPr>
          <w:rFonts w:ascii="Times New Roman" w:hAnsi="Times New Roman" w:cs="Times New Roman"/>
          <w:sz w:val="20"/>
          <w:szCs w:val="20"/>
        </w:rPr>
        <w:t>is</w:t>
      </w:r>
      <w:r w:rsidRPr="00611C90">
        <w:rPr>
          <w:rFonts w:ascii="Times New Roman" w:hAnsi="Times New Roman" w:cs="Times New Roman"/>
          <w:sz w:val="20"/>
          <w:szCs w:val="20"/>
        </w:rPr>
        <w:t xml:space="preserve"> inadequate, disproportionately affect</w:t>
      </w:r>
      <w:r w:rsidR="00E30DF2" w:rsidRPr="00611C90">
        <w:rPr>
          <w:rFonts w:ascii="Times New Roman" w:hAnsi="Times New Roman" w:cs="Times New Roman"/>
          <w:sz w:val="20"/>
          <w:szCs w:val="20"/>
        </w:rPr>
        <w:t>ing</w:t>
      </w:r>
      <w:r w:rsidRPr="00611C90">
        <w:rPr>
          <w:rFonts w:ascii="Times New Roman" w:hAnsi="Times New Roman" w:cs="Times New Roman"/>
          <w:sz w:val="20"/>
          <w:szCs w:val="20"/>
        </w:rPr>
        <w:t xml:space="preserve"> </w:t>
      </w:r>
      <w:r w:rsidR="00D537C8">
        <w:rPr>
          <w:rFonts w:ascii="Times New Roman" w:hAnsi="Times New Roman" w:cs="Times New Roman"/>
          <w:sz w:val="20"/>
          <w:szCs w:val="20"/>
        </w:rPr>
        <w:t xml:space="preserve">people living in </w:t>
      </w:r>
      <w:r w:rsidRPr="00611C90">
        <w:rPr>
          <w:rFonts w:ascii="Times New Roman" w:hAnsi="Times New Roman" w:cs="Times New Roman"/>
          <w:sz w:val="20"/>
          <w:szCs w:val="20"/>
        </w:rPr>
        <w:t>the interior of the country.</w:t>
      </w:r>
      <w:r w:rsidRPr="00BC170F">
        <w:rPr>
          <w:rFonts w:ascii="Times New Roman" w:hAnsi="Times New Roman" w:cs="Times New Roman"/>
          <w:sz w:val="20"/>
          <w:szCs w:val="20"/>
          <w:vertAlign w:val="superscript"/>
        </w:rPr>
        <w:footnoteReference w:id="12"/>
      </w:r>
      <w:r w:rsidR="00533E16" w:rsidRPr="00611C90">
        <w:rPr>
          <w:rFonts w:ascii="Times New Roman" w:hAnsi="Times New Roman" w:cs="Times New Roman"/>
          <w:sz w:val="20"/>
          <w:szCs w:val="20"/>
        </w:rPr>
        <w:t xml:space="preserve"> </w:t>
      </w:r>
      <w:r w:rsidR="00CF5B68">
        <w:rPr>
          <w:rFonts w:ascii="Times New Roman" w:hAnsi="Times New Roman" w:cs="Times New Roman"/>
          <w:sz w:val="20"/>
          <w:szCs w:val="20"/>
        </w:rPr>
        <w:t>H</w:t>
      </w:r>
      <w:r w:rsidR="00334F08">
        <w:rPr>
          <w:rFonts w:ascii="Times New Roman" w:hAnsi="Times New Roman" w:cs="Times New Roman"/>
          <w:sz w:val="20"/>
          <w:szCs w:val="20"/>
        </w:rPr>
        <w:t>uman immunodeficiency virus and acquired immune deficiency syndrome (</w:t>
      </w:r>
      <w:r w:rsidRPr="00611C90">
        <w:rPr>
          <w:rFonts w:ascii="Times New Roman" w:hAnsi="Times New Roman" w:cs="Times New Roman"/>
          <w:sz w:val="20"/>
          <w:szCs w:val="20"/>
        </w:rPr>
        <w:t>HIV</w:t>
      </w:r>
      <w:r w:rsidR="00334F08">
        <w:rPr>
          <w:rFonts w:ascii="Times New Roman" w:hAnsi="Times New Roman" w:cs="Times New Roman"/>
          <w:sz w:val="20"/>
          <w:szCs w:val="20"/>
        </w:rPr>
        <w:t>/</w:t>
      </w:r>
      <w:r w:rsidRPr="00611C90">
        <w:rPr>
          <w:rFonts w:ascii="Times New Roman" w:hAnsi="Times New Roman" w:cs="Times New Roman"/>
          <w:sz w:val="20"/>
          <w:szCs w:val="20"/>
        </w:rPr>
        <w:t>AIDS</w:t>
      </w:r>
      <w:r w:rsidR="00334F08">
        <w:rPr>
          <w:rFonts w:ascii="Times New Roman" w:hAnsi="Times New Roman" w:cs="Times New Roman"/>
          <w:sz w:val="20"/>
          <w:szCs w:val="20"/>
        </w:rPr>
        <w:t>)</w:t>
      </w:r>
      <w:r w:rsidR="00E61C6A" w:rsidRPr="00611C90">
        <w:rPr>
          <w:rFonts w:ascii="Times New Roman" w:hAnsi="Times New Roman" w:cs="Times New Roman"/>
          <w:sz w:val="20"/>
          <w:szCs w:val="20"/>
        </w:rPr>
        <w:t xml:space="preserve"> </w:t>
      </w:r>
      <w:r w:rsidR="00334F08">
        <w:rPr>
          <w:rFonts w:ascii="Times New Roman" w:hAnsi="Times New Roman" w:cs="Times New Roman"/>
          <w:sz w:val="20"/>
          <w:szCs w:val="20"/>
        </w:rPr>
        <w:t>are</w:t>
      </w:r>
      <w:r w:rsidR="00334F08" w:rsidRPr="00611C90">
        <w:rPr>
          <w:rFonts w:ascii="Times New Roman" w:hAnsi="Times New Roman" w:cs="Times New Roman"/>
          <w:sz w:val="20"/>
          <w:szCs w:val="20"/>
        </w:rPr>
        <w:t xml:space="preserve"> </w:t>
      </w:r>
      <w:r w:rsidRPr="00611C90">
        <w:rPr>
          <w:rFonts w:ascii="Times New Roman" w:hAnsi="Times New Roman" w:cs="Times New Roman"/>
          <w:sz w:val="20"/>
          <w:szCs w:val="20"/>
        </w:rPr>
        <w:t>prevalen</w:t>
      </w:r>
      <w:r w:rsidR="00E61C6A" w:rsidRPr="00611C90">
        <w:rPr>
          <w:rFonts w:ascii="Times New Roman" w:hAnsi="Times New Roman" w:cs="Times New Roman"/>
          <w:sz w:val="20"/>
          <w:szCs w:val="20"/>
        </w:rPr>
        <w:t>t</w:t>
      </w:r>
      <w:r w:rsidRPr="00611C90">
        <w:rPr>
          <w:rFonts w:ascii="Times New Roman" w:hAnsi="Times New Roman" w:cs="Times New Roman"/>
          <w:sz w:val="20"/>
          <w:szCs w:val="20"/>
        </w:rPr>
        <w:t xml:space="preserve"> in all provinces</w:t>
      </w:r>
      <w:r w:rsidR="00E61C6A" w:rsidRPr="00611C90">
        <w:rPr>
          <w:rFonts w:ascii="Times New Roman" w:hAnsi="Times New Roman" w:cs="Times New Roman"/>
          <w:sz w:val="20"/>
          <w:szCs w:val="20"/>
        </w:rPr>
        <w:t xml:space="preserve">. People </w:t>
      </w:r>
      <w:r w:rsidR="00E30DF2" w:rsidRPr="00611C90">
        <w:rPr>
          <w:rFonts w:ascii="Times New Roman" w:hAnsi="Times New Roman" w:cs="Times New Roman"/>
          <w:sz w:val="20"/>
          <w:szCs w:val="20"/>
        </w:rPr>
        <w:t xml:space="preserve">living </w:t>
      </w:r>
      <w:r w:rsidR="00E61C6A" w:rsidRPr="00611C90">
        <w:rPr>
          <w:rFonts w:ascii="Times New Roman" w:hAnsi="Times New Roman" w:cs="Times New Roman"/>
          <w:sz w:val="20"/>
          <w:szCs w:val="20"/>
        </w:rPr>
        <w:t xml:space="preserve">with HIV/AIDS </w:t>
      </w:r>
      <w:r w:rsidR="00E30DF2" w:rsidRPr="00611C90">
        <w:rPr>
          <w:rFonts w:ascii="Times New Roman" w:hAnsi="Times New Roman" w:cs="Times New Roman"/>
          <w:sz w:val="20"/>
          <w:szCs w:val="20"/>
        </w:rPr>
        <w:t xml:space="preserve">continue to </w:t>
      </w:r>
      <w:r w:rsidR="00E61C6A" w:rsidRPr="00611C90">
        <w:rPr>
          <w:rFonts w:ascii="Times New Roman" w:hAnsi="Times New Roman" w:cs="Times New Roman"/>
          <w:sz w:val="20"/>
          <w:szCs w:val="20"/>
        </w:rPr>
        <w:t xml:space="preserve">face </w:t>
      </w:r>
      <w:r w:rsidRPr="00611C90">
        <w:rPr>
          <w:rFonts w:ascii="Times New Roman" w:hAnsi="Times New Roman" w:cs="Times New Roman"/>
          <w:sz w:val="20"/>
          <w:szCs w:val="20"/>
        </w:rPr>
        <w:t>discrimination,</w:t>
      </w:r>
      <w:r w:rsidR="00177C09" w:rsidRPr="00611C90">
        <w:rPr>
          <w:rFonts w:ascii="Times New Roman" w:hAnsi="Times New Roman" w:cs="Times New Roman"/>
          <w:sz w:val="20"/>
          <w:szCs w:val="20"/>
        </w:rPr>
        <w:t xml:space="preserve"> </w:t>
      </w:r>
      <w:r w:rsidRPr="00611C90">
        <w:rPr>
          <w:rFonts w:ascii="Times New Roman" w:hAnsi="Times New Roman" w:cs="Times New Roman"/>
          <w:sz w:val="20"/>
          <w:szCs w:val="20"/>
        </w:rPr>
        <w:t xml:space="preserve">stigmatization, and </w:t>
      </w:r>
      <w:r w:rsidR="00CF5B68">
        <w:rPr>
          <w:rFonts w:ascii="Times New Roman" w:hAnsi="Times New Roman" w:cs="Times New Roman"/>
          <w:sz w:val="20"/>
          <w:szCs w:val="20"/>
        </w:rPr>
        <w:t>poor access to</w:t>
      </w:r>
      <w:r w:rsidR="00CF5B68" w:rsidRPr="00611C90">
        <w:rPr>
          <w:rFonts w:ascii="Times New Roman" w:hAnsi="Times New Roman" w:cs="Times New Roman"/>
          <w:sz w:val="20"/>
          <w:szCs w:val="20"/>
        </w:rPr>
        <w:t xml:space="preserve"> </w:t>
      </w:r>
      <w:r w:rsidRPr="00611C90">
        <w:rPr>
          <w:rFonts w:ascii="Times New Roman" w:hAnsi="Times New Roman" w:cs="Times New Roman"/>
          <w:sz w:val="20"/>
          <w:szCs w:val="20"/>
        </w:rPr>
        <w:t>antiretroviral (ARV) drugs</w:t>
      </w:r>
      <w:r w:rsidR="00E175A7" w:rsidRPr="00611C90">
        <w:rPr>
          <w:rFonts w:ascii="Times New Roman" w:hAnsi="Times New Roman" w:cs="Times New Roman"/>
          <w:sz w:val="20"/>
          <w:szCs w:val="20"/>
        </w:rPr>
        <w:t>.</w:t>
      </w:r>
    </w:p>
    <w:p w14:paraId="536A6E09" w14:textId="77777777" w:rsidR="00016192" w:rsidRPr="00BC170F" w:rsidRDefault="00334F08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rimary school enrollment </w:t>
      </w:r>
      <w:r>
        <w:rPr>
          <w:rFonts w:ascii="Times New Roman" w:hAnsi="Times New Roman" w:cs="Times New Roman"/>
          <w:sz w:val="20"/>
          <w:szCs w:val="20"/>
        </w:rPr>
        <w:t>in Gabon is high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with </w:t>
      </w:r>
      <w:r>
        <w:rPr>
          <w:rFonts w:ascii="Times New Roman" w:hAnsi="Times New Roman" w:cs="Times New Roman"/>
          <w:sz w:val="20"/>
          <w:szCs w:val="20"/>
        </w:rPr>
        <w:t xml:space="preserve">gender parity and </w:t>
      </w:r>
      <w:r w:rsidR="002F684B" w:rsidRPr="00BC170F">
        <w:rPr>
          <w:rFonts w:ascii="Times New Roman" w:hAnsi="Times New Roman" w:cs="Times New Roman"/>
          <w:sz w:val="20"/>
          <w:szCs w:val="20"/>
        </w:rPr>
        <w:t>a rate of over 80 per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cent in recent years.</w:t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Yet,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enrollment is lower in rural areas, and twice as many girls drop</w:t>
      </w:r>
      <w:r w:rsidR="00E75C83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out of high school as boys.</w:t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Factors</w:t>
      </w:r>
      <w:r>
        <w:rPr>
          <w:rFonts w:ascii="Times New Roman" w:hAnsi="Times New Roman" w:cs="Times New Roman"/>
          <w:sz w:val="20"/>
          <w:szCs w:val="20"/>
        </w:rPr>
        <w:t xml:space="preserve"> that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contribut</w:t>
      </w:r>
      <w:r>
        <w:rPr>
          <w:rFonts w:ascii="Times New Roman" w:hAnsi="Times New Roman" w:cs="Times New Roman"/>
          <w:sz w:val="20"/>
          <w:szCs w:val="20"/>
        </w:rPr>
        <w:t>e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to </w:t>
      </w:r>
      <w:r>
        <w:rPr>
          <w:rFonts w:ascii="Times New Roman" w:hAnsi="Times New Roman" w:cs="Times New Roman"/>
          <w:sz w:val="20"/>
          <w:szCs w:val="20"/>
        </w:rPr>
        <w:t>the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low secondary </w:t>
      </w:r>
      <w:r w:rsidR="00780763">
        <w:rPr>
          <w:rFonts w:ascii="Times New Roman" w:hAnsi="Times New Roman" w:cs="Times New Roman"/>
          <w:sz w:val="20"/>
          <w:szCs w:val="20"/>
        </w:rPr>
        <w:t>school</w:t>
      </w:r>
      <w:r w:rsidR="00780763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completion rate </w:t>
      </w:r>
      <w:r>
        <w:rPr>
          <w:rFonts w:ascii="Times New Roman" w:hAnsi="Times New Roman" w:cs="Times New Roman"/>
          <w:sz w:val="20"/>
          <w:szCs w:val="20"/>
        </w:rPr>
        <w:t xml:space="preserve">of girls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include </w:t>
      </w:r>
      <w:r>
        <w:rPr>
          <w:rFonts w:ascii="Times New Roman" w:hAnsi="Times New Roman" w:cs="Times New Roman"/>
          <w:sz w:val="20"/>
          <w:szCs w:val="20"/>
        </w:rPr>
        <w:t xml:space="preserve">early </w:t>
      </w:r>
      <w:r w:rsidR="002F684B" w:rsidRPr="00BC170F">
        <w:rPr>
          <w:rFonts w:ascii="Times New Roman" w:hAnsi="Times New Roman" w:cs="Times New Roman"/>
          <w:sz w:val="20"/>
          <w:szCs w:val="20"/>
        </w:rPr>
        <w:t>pregnanc</w:t>
      </w:r>
      <w:r>
        <w:rPr>
          <w:rFonts w:ascii="Times New Roman" w:hAnsi="Times New Roman" w:cs="Times New Roman"/>
          <w:sz w:val="20"/>
          <w:szCs w:val="20"/>
        </w:rPr>
        <w:t>y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and marriage.</w:t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Adolescent</w:t>
      </w:r>
      <w:r w:rsidR="001816AE" w:rsidRPr="00BC170F">
        <w:rPr>
          <w:rFonts w:ascii="Times New Roman" w:hAnsi="Times New Roman" w:cs="Times New Roman"/>
          <w:sz w:val="20"/>
          <w:szCs w:val="20"/>
        </w:rPr>
        <w:t xml:space="preserve"> mothers </w:t>
      </w:r>
      <w:r w:rsidR="002F684B" w:rsidRPr="00BC170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aged </w:t>
      </w:r>
      <w:r w:rsidR="001816AE" w:rsidRPr="00BC170F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 to </w:t>
      </w:r>
      <w:r w:rsidR="001816AE" w:rsidRPr="00BC170F">
        <w:rPr>
          <w:rFonts w:ascii="Times New Roman" w:hAnsi="Times New Roman" w:cs="Times New Roman"/>
          <w:sz w:val="20"/>
          <w:szCs w:val="20"/>
        </w:rPr>
        <w:t>19</w:t>
      </w:r>
      <w:r w:rsidR="002F684B" w:rsidRPr="00BC170F">
        <w:rPr>
          <w:rFonts w:ascii="Times New Roman" w:hAnsi="Times New Roman" w:cs="Times New Roman"/>
          <w:sz w:val="20"/>
          <w:szCs w:val="20"/>
        </w:rPr>
        <w:t>)</w:t>
      </w:r>
      <w:r w:rsidR="001816AE" w:rsidRPr="00BC17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make up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1816AE" w:rsidRPr="00BC170F">
        <w:rPr>
          <w:rFonts w:ascii="Times New Roman" w:hAnsi="Times New Roman" w:cs="Times New Roman"/>
          <w:sz w:val="20"/>
          <w:szCs w:val="20"/>
        </w:rPr>
        <w:t>14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per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cent</w:t>
      </w:r>
      <w:r w:rsidR="001816AE" w:rsidRPr="00BC17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of the population </w:t>
      </w:r>
      <w:r w:rsidR="002F684B" w:rsidRPr="00BC170F">
        <w:rPr>
          <w:rFonts w:ascii="Times New Roman" w:hAnsi="Times New Roman" w:cs="Times New Roman"/>
          <w:sz w:val="20"/>
          <w:szCs w:val="20"/>
        </w:rPr>
        <w:t>in</w:t>
      </w:r>
      <w:r w:rsidR="001816AE" w:rsidRPr="00BC170F">
        <w:rPr>
          <w:rFonts w:ascii="Times New Roman" w:hAnsi="Times New Roman" w:cs="Times New Roman"/>
          <w:sz w:val="20"/>
          <w:szCs w:val="20"/>
        </w:rPr>
        <w:t xml:space="preserve"> Gabon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80763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rate</w:t>
      </w:r>
      <w:r w:rsidR="001816AE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780763">
        <w:rPr>
          <w:rFonts w:ascii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hAnsi="Times New Roman" w:cs="Times New Roman"/>
          <w:sz w:val="20"/>
          <w:szCs w:val="20"/>
        </w:rPr>
        <w:t>is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FE2B22">
        <w:rPr>
          <w:rFonts w:ascii="Times New Roman" w:hAnsi="Times New Roman" w:cs="Times New Roman"/>
          <w:sz w:val="20"/>
          <w:szCs w:val="20"/>
        </w:rPr>
        <w:t>two</w:t>
      </w:r>
      <w:r w:rsidR="00FE2B22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FE2B22">
        <w:rPr>
          <w:rFonts w:ascii="Times New Roman" w:hAnsi="Times New Roman" w:cs="Times New Roman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 xml:space="preserve"> three times </w:t>
      </w:r>
      <w:r w:rsidR="002F684B" w:rsidRPr="00BC170F">
        <w:rPr>
          <w:rFonts w:ascii="Times New Roman" w:hAnsi="Times New Roman" w:cs="Times New Roman"/>
          <w:sz w:val="20"/>
          <w:szCs w:val="20"/>
        </w:rPr>
        <w:t>as high</w:t>
      </w:r>
      <w:r w:rsidR="001816AE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 xml:space="preserve"> some</w:t>
      </w:r>
      <w:r w:rsidR="001816AE" w:rsidRPr="00BC170F">
        <w:rPr>
          <w:rFonts w:ascii="Times New Roman" w:hAnsi="Times New Roman" w:cs="Times New Roman"/>
          <w:sz w:val="20"/>
          <w:szCs w:val="20"/>
        </w:rPr>
        <w:t xml:space="preserve"> rural areas</w:t>
      </w:r>
      <w:r>
        <w:rPr>
          <w:rFonts w:ascii="Times New Roman" w:hAnsi="Times New Roman" w:cs="Times New Roman"/>
          <w:sz w:val="20"/>
          <w:szCs w:val="20"/>
        </w:rPr>
        <w:t xml:space="preserve"> (25.5 per cent in </w:t>
      </w:r>
      <w:r w:rsidR="001816AE" w:rsidRPr="00BC170F">
        <w:rPr>
          <w:rFonts w:ascii="Times New Roman" w:hAnsi="Times New Roman" w:cs="Times New Roman"/>
          <w:sz w:val="20"/>
          <w:szCs w:val="20"/>
        </w:rPr>
        <w:t xml:space="preserve">Ngounié </w:t>
      </w:r>
      <w:r w:rsidR="00903AA3" w:rsidRPr="00BC170F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 xml:space="preserve">34.9 per cent in </w:t>
      </w:r>
      <w:r w:rsidR="001816AE" w:rsidRPr="00BC170F">
        <w:rPr>
          <w:rFonts w:ascii="Times New Roman" w:hAnsi="Times New Roman" w:cs="Times New Roman"/>
          <w:sz w:val="20"/>
          <w:szCs w:val="20"/>
        </w:rPr>
        <w:t>Woleu-Ntem</w:t>
      </w:r>
      <w:r w:rsidR="002F684B" w:rsidRPr="00BC170F">
        <w:rPr>
          <w:rFonts w:ascii="Times New Roman" w:hAnsi="Times New Roman" w:cs="Times New Roman"/>
          <w:sz w:val="20"/>
          <w:szCs w:val="20"/>
        </w:rPr>
        <w:t>)</w:t>
      </w:r>
      <w:r w:rsidR="001816AE" w:rsidRPr="00BC170F">
        <w:rPr>
          <w:rFonts w:ascii="Times New Roman" w:hAnsi="Times New Roman" w:cs="Times New Roman"/>
          <w:sz w:val="20"/>
          <w:szCs w:val="20"/>
        </w:rPr>
        <w:t>.</w:t>
      </w:r>
      <w:r w:rsidR="002F684B" w:rsidRPr="00BC170F">
        <w:rPr>
          <w:rFonts w:ascii="Times New Roman" w:hAnsi="Times New Roman" w:cs="Times New Roman"/>
          <w:sz w:val="20"/>
          <w:szCs w:val="20"/>
          <w:vertAlign w:val="superscript"/>
        </w:rPr>
        <w:footnoteReference w:id="13"/>
      </w:r>
      <w:r w:rsidR="007B0765" w:rsidRPr="007B0765">
        <w:rPr>
          <w:rFonts w:ascii="Times New Roman" w:hAnsi="Times New Roman" w:cs="Times New Roman"/>
          <w:sz w:val="20"/>
          <w:szCs w:val="20"/>
        </w:rPr>
        <w:t xml:space="preserve"> </w:t>
      </w:r>
      <w:r w:rsidR="007B0765" w:rsidRPr="00BC170F">
        <w:rPr>
          <w:rFonts w:ascii="Times New Roman" w:hAnsi="Times New Roman" w:cs="Times New Roman"/>
          <w:sz w:val="20"/>
          <w:szCs w:val="20"/>
        </w:rPr>
        <w:t xml:space="preserve">Access to education and health services for children </w:t>
      </w:r>
      <w:r w:rsidR="007B0765" w:rsidRPr="00BC170F">
        <w:rPr>
          <w:rFonts w:ascii="Times New Roman" w:hAnsi="Times New Roman" w:cs="Times New Roman"/>
          <w:sz w:val="20"/>
          <w:szCs w:val="20"/>
        </w:rPr>
        <w:lastRenderedPageBreak/>
        <w:t>with disabilities</w:t>
      </w:r>
      <w:r>
        <w:rPr>
          <w:rFonts w:ascii="Times New Roman" w:hAnsi="Times New Roman" w:cs="Times New Roman"/>
          <w:sz w:val="20"/>
          <w:szCs w:val="20"/>
        </w:rPr>
        <w:t xml:space="preserve"> is </w:t>
      </w:r>
      <w:r w:rsidR="00FE2B22">
        <w:rPr>
          <w:rFonts w:ascii="Times New Roman" w:hAnsi="Times New Roman" w:cs="Times New Roman"/>
          <w:sz w:val="20"/>
          <w:szCs w:val="20"/>
        </w:rPr>
        <w:t>low</w:t>
      </w:r>
      <w:r w:rsidR="007B0765" w:rsidRPr="00BC170F">
        <w:rPr>
          <w:rFonts w:ascii="Times New Roman" w:hAnsi="Times New Roman" w:cs="Times New Roman"/>
          <w:sz w:val="20"/>
          <w:szCs w:val="20"/>
        </w:rPr>
        <w:t>.</w:t>
      </w:r>
      <w:r w:rsidR="007B076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While </w:t>
      </w:r>
      <w:r w:rsidR="007B0765" w:rsidRPr="00BC170F">
        <w:rPr>
          <w:rFonts w:ascii="Times New Roman" w:hAnsi="Times New Roman" w:cs="Times New Roman"/>
          <w:sz w:val="20"/>
          <w:szCs w:val="20"/>
        </w:rPr>
        <w:t xml:space="preserve">Libreville has two schools for </w:t>
      </w:r>
      <w:r>
        <w:rPr>
          <w:rFonts w:ascii="Times New Roman" w:hAnsi="Times New Roman" w:cs="Times New Roman"/>
          <w:sz w:val="20"/>
          <w:szCs w:val="20"/>
        </w:rPr>
        <w:t>disabled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7B0765" w:rsidRPr="00BC170F">
        <w:rPr>
          <w:rFonts w:ascii="Times New Roman" w:hAnsi="Times New Roman" w:cs="Times New Roman"/>
          <w:sz w:val="20"/>
          <w:szCs w:val="20"/>
        </w:rPr>
        <w:t>children</w:t>
      </w:r>
      <w:r w:rsidR="00FE2B2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the number of young people with </w:t>
      </w:r>
      <w:r w:rsidR="007B0765" w:rsidRPr="00BC170F">
        <w:rPr>
          <w:rFonts w:ascii="Times New Roman" w:hAnsi="Times New Roman" w:cs="Times New Roman"/>
          <w:sz w:val="20"/>
          <w:szCs w:val="20"/>
        </w:rPr>
        <w:t>disabilit</w:t>
      </w:r>
      <w:r>
        <w:rPr>
          <w:rFonts w:ascii="Times New Roman" w:hAnsi="Times New Roman" w:cs="Times New Roman"/>
          <w:sz w:val="20"/>
          <w:szCs w:val="20"/>
        </w:rPr>
        <w:t>ies living</w:t>
      </w:r>
      <w:r w:rsidR="007B0765" w:rsidRPr="00BC170F">
        <w:rPr>
          <w:rFonts w:ascii="Times New Roman" w:hAnsi="Times New Roman" w:cs="Times New Roman"/>
          <w:sz w:val="20"/>
          <w:szCs w:val="20"/>
        </w:rPr>
        <w:t xml:space="preserve"> in </w:t>
      </w:r>
      <w:r>
        <w:rPr>
          <w:rFonts w:ascii="Times New Roman" w:hAnsi="Times New Roman" w:cs="Times New Roman"/>
          <w:sz w:val="20"/>
          <w:szCs w:val="20"/>
        </w:rPr>
        <w:t>remote</w:t>
      </w:r>
      <w:r w:rsidR="007B0765" w:rsidRPr="00BC170F">
        <w:rPr>
          <w:rFonts w:ascii="Times New Roman" w:hAnsi="Times New Roman" w:cs="Times New Roman"/>
          <w:sz w:val="20"/>
          <w:szCs w:val="20"/>
        </w:rPr>
        <w:t xml:space="preserve"> provinces </w:t>
      </w:r>
      <w:r w:rsidR="0009121B" w:rsidRPr="00BC170F">
        <w:rPr>
          <w:rFonts w:ascii="Times New Roman" w:hAnsi="Times New Roman" w:cs="Times New Roman"/>
          <w:sz w:val="20"/>
          <w:szCs w:val="20"/>
        </w:rPr>
        <w:t>exceed</w:t>
      </w:r>
      <w:r w:rsidR="0009121B">
        <w:rPr>
          <w:rFonts w:ascii="Times New Roman" w:hAnsi="Times New Roman" w:cs="Times New Roman"/>
          <w:sz w:val="20"/>
          <w:szCs w:val="20"/>
        </w:rPr>
        <w:t>s</w:t>
      </w:r>
      <w:r w:rsidR="007B0765" w:rsidRPr="00BC170F">
        <w:rPr>
          <w:rFonts w:ascii="Times New Roman" w:hAnsi="Times New Roman" w:cs="Times New Roman"/>
          <w:sz w:val="20"/>
          <w:szCs w:val="20"/>
        </w:rPr>
        <w:t xml:space="preserve"> the national average.</w:t>
      </w:r>
    </w:p>
    <w:p w14:paraId="350C3386" w14:textId="77777777" w:rsidR="002F684B" w:rsidRPr="00346DD8" w:rsidRDefault="001F26FA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Women, youth</w:t>
      </w:r>
      <w:r w:rsidR="00334F0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="00334F08">
        <w:rPr>
          <w:rFonts w:ascii="Times New Roman" w:hAnsi="Times New Roman" w:cs="Times New Roman"/>
          <w:sz w:val="20"/>
          <w:szCs w:val="20"/>
        </w:rPr>
        <w:t xml:space="preserve">people </w:t>
      </w:r>
      <w:r>
        <w:rPr>
          <w:rFonts w:ascii="Times New Roman" w:hAnsi="Times New Roman" w:cs="Times New Roman"/>
          <w:sz w:val="20"/>
          <w:szCs w:val="20"/>
        </w:rPr>
        <w:t>living in rural areas experience higher levels of unemployment.</w:t>
      </w:r>
      <w:r w:rsidR="00B91CE1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346DD8">
        <w:rPr>
          <w:rFonts w:ascii="Times New Roman" w:hAnsi="Times New Roman" w:cs="Times New Roman"/>
          <w:sz w:val="20"/>
          <w:szCs w:val="20"/>
        </w:rPr>
        <w:t>According to the 2013 census, unemployment stood at 16.5 per</w:t>
      </w:r>
      <w:r w:rsidR="00334F08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346DD8">
        <w:rPr>
          <w:rFonts w:ascii="Times New Roman" w:hAnsi="Times New Roman" w:cs="Times New Roman"/>
          <w:sz w:val="20"/>
          <w:szCs w:val="20"/>
        </w:rPr>
        <w:t>cent (22.1 per</w:t>
      </w:r>
      <w:r w:rsidR="00334F08">
        <w:rPr>
          <w:rFonts w:ascii="Times New Roman" w:hAnsi="Times New Roman" w:cs="Times New Roman"/>
          <w:sz w:val="20"/>
          <w:szCs w:val="20"/>
        </w:rPr>
        <w:t xml:space="preserve"> </w:t>
      </w:r>
      <w:r w:rsidR="00A123AD">
        <w:rPr>
          <w:rFonts w:ascii="Times New Roman" w:hAnsi="Times New Roman" w:cs="Times New Roman"/>
          <w:sz w:val="20"/>
          <w:szCs w:val="20"/>
        </w:rPr>
        <w:t xml:space="preserve">cent for women </w:t>
      </w:r>
      <w:r w:rsidR="00334F08">
        <w:rPr>
          <w:rFonts w:ascii="Times New Roman" w:hAnsi="Times New Roman" w:cs="Times New Roman"/>
          <w:sz w:val="20"/>
          <w:szCs w:val="20"/>
        </w:rPr>
        <w:t>vs.</w:t>
      </w:r>
      <w:r w:rsidR="00334F08" w:rsidRPr="00346DD8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346DD8">
        <w:rPr>
          <w:rFonts w:ascii="Times New Roman" w:hAnsi="Times New Roman" w:cs="Times New Roman"/>
          <w:sz w:val="20"/>
          <w:szCs w:val="20"/>
        </w:rPr>
        <w:t>13.1 per</w:t>
      </w:r>
      <w:r w:rsidR="00334F08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346DD8">
        <w:rPr>
          <w:rFonts w:ascii="Times New Roman" w:hAnsi="Times New Roman" w:cs="Times New Roman"/>
          <w:sz w:val="20"/>
          <w:szCs w:val="20"/>
        </w:rPr>
        <w:t>cent for men).</w:t>
      </w:r>
      <w:r w:rsidR="002F684B" w:rsidRPr="00346DD8">
        <w:rPr>
          <w:rFonts w:ascii="Times New Roman" w:hAnsi="Times New Roman" w:cs="Times New Roman"/>
          <w:sz w:val="20"/>
          <w:szCs w:val="20"/>
          <w:vertAlign w:val="superscript"/>
        </w:rPr>
        <w:footnoteReference w:id="14"/>
      </w:r>
      <w:r w:rsidR="002F684B" w:rsidRPr="00346DD8">
        <w:rPr>
          <w:rFonts w:ascii="Times New Roman" w:hAnsi="Times New Roman" w:cs="Times New Roman"/>
          <w:sz w:val="20"/>
          <w:szCs w:val="20"/>
        </w:rPr>
        <w:t xml:space="preserve"> </w:t>
      </w:r>
      <w:r w:rsidR="00334F08">
        <w:rPr>
          <w:rFonts w:ascii="Times New Roman" w:hAnsi="Times New Roman" w:cs="Times New Roman"/>
          <w:sz w:val="20"/>
          <w:szCs w:val="20"/>
        </w:rPr>
        <w:t>L</w:t>
      </w:r>
      <w:r w:rsidR="002F684B" w:rsidRPr="00346DD8">
        <w:rPr>
          <w:rFonts w:ascii="Times New Roman" w:hAnsi="Times New Roman" w:cs="Times New Roman"/>
          <w:sz w:val="20"/>
          <w:szCs w:val="20"/>
        </w:rPr>
        <w:t>abo</w:t>
      </w:r>
      <w:r w:rsidR="00334F08">
        <w:rPr>
          <w:rFonts w:ascii="Times New Roman" w:hAnsi="Times New Roman" w:cs="Times New Roman"/>
          <w:sz w:val="20"/>
          <w:szCs w:val="20"/>
        </w:rPr>
        <w:t>u</w:t>
      </w:r>
      <w:r w:rsidR="002F684B" w:rsidRPr="00346DD8">
        <w:rPr>
          <w:rFonts w:ascii="Times New Roman" w:hAnsi="Times New Roman" w:cs="Times New Roman"/>
          <w:sz w:val="20"/>
          <w:szCs w:val="20"/>
        </w:rPr>
        <w:t>r force participation is male dominated (70.4 pe</w:t>
      </w:r>
      <w:r w:rsidR="00903AA3" w:rsidRPr="00346DD8">
        <w:rPr>
          <w:rFonts w:ascii="Times New Roman" w:hAnsi="Times New Roman" w:cs="Times New Roman"/>
          <w:sz w:val="20"/>
          <w:szCs w:val="20"/>
        </w:rPr>
        <w:t>r</w:t>
      </w:r>
      <w:r w:rsidR="00334F08">
        <w:rPr>
          <w:rFonts w:ascii="Times New Roman" w:hAnsi="Times New Roman" w:cs="Times New Roman"/>
          <w:sz w:val="20"/>
          <w:szCs w:val="20"/>
        </w:rPr>
        <w:t xml:space="preserve"> </w:t>
      </w:r>
      <w:r w:rsidR="00903AA3" w:rsidRPr="00346DD8">
        <w:rPr>
          <w:rFonts w:ascii="Times New Roman" w:hAnsi="Times New Roman" w:cs="Times New Roman"/>
          <w:sz w:val="20"/>
          <w:szCs w:val="20"/>
        </w:rPr>
        <w:t>cent compared to 45.5</w:t>
      </w:r>
      <w:r w:rsidR="00334F08">
        <w:rPr>
          <w:rFonts w:ascii="Times New Roman" w:hAnsi="Times New Roman" w:cs="Times New Roman"/>
          <w:sz w:val="20"/>
          <w:szCs w:val="20"/>
        </w:rPr>
        <w:t xml:space="preserve"> per cent for</w:t>
      </w:r>
      <w:r w:rsidR="00903AA3" w:rsidRPr="00346DD8">
        <w:rPr>
          <w:rFonts w:ascii="Times New Roman" w:hAnsi="Times New Roman" w:cs="Times New Roman"/>
          <w:sz w:val="20"/>
          <w:szCs w:val="20"/>
        </w:rPr>
        <w:t xml:space="preserve"> women)</w:t>
      </w:r>
      <w:r w:rsidR="00334F08">
        <w:rPr>
          <w:rFonts w:ascii="Times New Roman" w:hAnsi="Times New Roman" w:cs="Times New Roman"/>
          <w:sz w:val="20"/>
          <w:szCs w:val="20"/>
        </w:rPr>
        <w:t xml:space="preserve">, and the region of </w:t>
      </w:r>
      <w:r w:rsidR="002F684B" w:rsidRPr="00C34974">
        <w:rPr>
          <w:rFonts w:ascii="Times New Roman" w:hAnsi="Times New Roman" w:cs="Times New Roman"/>
          <w:sz w:val="20"/>
          <w:szCs w:val="20"/>
        </w:rPr>
        <w:t>Ogooué-Ivindo has the highest (30 per</w:t>
      </w:r>
      <w:r w:rsidR="00334F08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C34974">
        <w:rPr>
          <w:rFonts w:ascii="Times New Roman" w:hAnsi="Times New Roman" w:cs="Times New Roman"/>
          <w:sz w:val="20"/>
          <w:szCs w:val="20"/>
        </w:rPr>
        <w:t>cent) unemployment rate while Woleu-Ntem has the lowest (12 p</w:t>
      </w:r>
      <w:r w:rsidR="00903AA3" w:rsidRPr="00C34974">
        <w:rPr>
          <w:rFonts w:ascii="Times New Roman" w:hAnsi="Times New Roman" w:cs="Times New Roman"/>
          <w:sz w:val="20"/>
          <w:szCs w:val="20"/>
        </w:rPr>
        <w:t>er</w:t>
      </w:r>
      <w:r w:rsidR="00334F08">
        <w:rPr>
          <w:rFonts w:ascii="Times New Roman" w:hAnsi="Times New Roman" w:cs="Times New Roman"/>
          <w:sz w:val="20"/>
          <w:szCs w:val="20"/>
        </w:rPr>
        <w:t xml:space="preserve"> </w:t>
      </w:r>
      <w:r w:rsidR="00903AA3" w:rsidRPr="00C34974">
        <w:rPr>
          <w:rFonts w:ascii="Times New Roman" w:hAnsi="Times New Roman" w:cs="Times New Roman"/>
          <w:sz w:val="20"/>
          <w:szCs w:val="20"/>
        </w:rPr>
        <w:t>cent).</w:t>
      </w:r>
      <w:r w:rsidR="00533E16" w:rsidRPr="00C34974">
        <w:rPr>
          <w:rFonts w:ascii="Times New Roman" w:hAnsi="Times New Roman" w:cs="Times New Roman"/>
          <w:sz w:val="20"/>
          <w:szCs w:val="20"/>
        </w:rPr>
        <w:t xml:space="preserve"> </w:t>
      </w:r>
      <w:r w:rsidR="00903AA3" w:rsidRPr="00C90AC8">
        <w:rPr>
          <w:rFonts w:ascii="Times New Roman" w:hAnsi="Times New Roman" w:cs="Times New Roman"/>
          <w:sz w:val="20"/>
          <w:szCs w:val="20"/>
        </w:rPr>
        <w:t xml:space="preserve">Unemployment for </w:t>
      </w:r>
      <w:r w:rsidR="00334F08">
        <w:rPr>
          <w:rFonts w:ascii="Times New Roman" w:hAnsi="Times New Roman" w:cs="Times New Roman"/>
          <w:sz w:val="20"/>
          <w:szCs w:val="20"/>
        </w:rPr>
        <w:t>those aged</w:t>
      </w:r>
      <w:r w:rsidR="002F684B" w:rsidRPr="00C90AC8">
        <w:rPr>
          <w:rFonts w:ascii="Times New Roman" w:hAnsi="Times New Roman" w:cs="Times New Roman"/>
          <w:sz w:val="20"/>
          <w:szCs w:val="20"/>
        </w:rPr>
        <w:t xml:space="preserve"> 16 to 25 is above the national average and ranges from 25 per</w:t>
      </w:r>
      <w:r w:rsidR="00334F08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C90AC8">
        <w:rPr>
          <w:rFonts w:ascii="Times New Roman" w:hAnsi="Times New Roman" w:cs="Times New Roman"/>
          <w:sz w:val="20"/>
          <w:szCs w:val="20"/>
        </w:rPr>
        <w:t>cent to 42 per</w:t>
      </w:r>
      <w:r w:rsidR="00334F08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C90AC8">
        <w:rPr>
          <w:rFonts w:ascii="Times New Roman" w:hAnsi="Times New Roman" w:cs="Times New Roman"/>
          <w:sz w:val="20"/>
          <w:szCs w:val="20"/>
        </w:rPr>
        <w:t xml:space="preserve">cent </w:t>
      </w:r>
      <w:r w:rsidR="00334F08">
        <w:rPr>
          <w:rFonts w:ascii="Times New Roman" w:hAnsi="Times New Roman" w:cs="Times New Roman"/>
          <w:sz w:val="20"/>
          <w:szCs w:val="20"/>
        </w:rPr>
        <w:t>depending on the</w:t>
      </w:r>
      <w:r w:rsidR="00334F08" w:rsidRPr="00C90AC8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C90AC8">
        <w:rPr>
          <w:rFonts w:ascii="Times New Roman" w:hAnsi="Times New Roman" w:cs="Times New Roman"/>
          <w:sz w:val="20"/>
          <w:szCs w:val="20"/>
        </w:rPr>
        <w:t xml:space="preserve">province. </w:t>
      </w:r>
      <w:r w:rsidR="0009121B">
        <w:rPr>
          <w:rFonts w:ascii="Times New Roman" w:hAnsi="Times New Roman" w:cs="Times New Roman"/>
          <w:sz w:val="20"/>
          <w:szCs w:val="20"/>
        </w:rPr>
        <w:t>Fifty-eight</w:t>
      </w:r>
      <w:r w:rsidR="0009121B" w:rsidRPr="00C90AC8">
        <w:rPr>
          <w:rFonts w:ascii="Times New Roman" w:hAnsi="Times New Roman" w:cs="Times New Roman"/>
          <w:sz w:val="20"/>
          <w:szCs w:val="20"/>
        </w:rPr>
        <w:t xml:space="preserve"> per</w:t>
      </w:r>
      <w:r w:rsidR="0009121B">
        <w:rPr>
          <w:rFonts w:ascii="Times New Roman" w:hAnsi="Times New Roman" w:cs="Times New Roman"/>
          <w:sz w:val="20"/>
          <w:szCs w:val="20"/>
        </w:rPr>
        <w:t xml:space="preserve"> </w:t>
      </w:r>
      <w:r w:rsidR="0009121B" w:rsidRPr="00C90AC8">
        <w:rPr>
          <w:rFonts w:ascii="Times New Roman" w:hAnsi="Times New Roman" w:cs="Times New Roman"/>
          <w:sz w:val="20"/>
          <w:szCs w:val="20"/>
        </w:rPr>
        <w:t xml:space="preserve">cent of women aged 15 to 49 </w:t>
      </w:r>
      <w:r w:rsidR="0009121B">
        <w:rPr>
          <w:rFonts w:ascii="Times New Roman" w:hAnsi="Times New Roman" w:cs="Times New Roman"/>
          <w:sz w:val="20"/>
          <w:szCs w:val="20"/>
        </w:rPr>
        <w:t>are employed</w:t>
      </w:r>
      <w:r w:rsidR="0009121B" w:rsidRPr="00C90AC8">
        <w:rPr>
          <w:rFonts w:ascii="Times New Roman" w:hAnsi="Times New Roman" w:cs="Times New Roman"/>
          <w:sz w:val="20"/>
          <w:szCs w:val="20"/>
        </w:rPr>
        <w:t xml:space="preserve"> and earn </w:t>
      </w:r>
      <w:r w:rsidR="0009121B">
        <w:rPr>
          <w:rFonts w:ascii="Times New Roman" w:hAnsi="Times New Roman" w:cs="Times New Roman"/>
          <w:sz w:val="20"/>
          <w:szCs w:val="20"/>
        </w:rPr>
        <w:t xml:space="preserve">a </w:t>
      </w:r>
      <w:r w:rsidR="0009121B" w:rsidRPr="00C90AC8">
        <w:rPr>
          <w:rFonts w:ascii="Times New Roman" w:hAnsi="Times New Roman" w:cs="Times New Roman"/>
          <w:sz w:val="20"/>
          <w:szCs w:val="20"/>
        </w:rPr>
        <w:t>salary compared to 94 per</w:t>
      </w:r>
      <w:r w:rsidR="0009121B">
        <w:rPr>
          <w:rFonts w:ascii="Times New Roman" w:hAnsi="Times New Roman" w:cs="Times New Roman"/>
          <w:sz w:val="20"/>
          <w:szCs w:val="20"/>
        </w:rPr>
        <w:t xml:space="preserve"> </w:t>
      </w:r>
      <w:r w:rsidR="0009121B" w:rsidRPr="00C90AC8">
        <w:rPr>
          <w:rFonts w:ascii="Times New Roman" w:hAnsi="Times New Roman" w:cs="Times New Roman"/>
          <w:sz w:val="20"/>
          <w:szCs w:val="20"/>
        </w:rPr>
        <w:t>cent of men.</w:t>
      </w:r>
      <w:r w:rsidR="0009121B" w:rsidRPr="00346DD8">
        <w:rPr>
          <w:rFonts w:ascii="Times New Roman" w:hAnsi="Times New Roman" w:cs="Times New Roman"/>
          <w:sz w:val="20"/>
          <w:szCs w:val="20"/>
          <w:vertAlign w:val="superscript"/>
        </w:rPr>
        <w:footnoteReference w:id="15"/>
      </w:r>
      <w:r w:rsidR="0009121B" w:rsidRPr="00346DD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09121B">
        <w:rPr>
          <w:rFonts w:ascii="Times New Roman" w:hAnsi="Times New Roman" w:cs="Times New Roman"/>
          <w:sz w:val="20"/>
          <w:szCs w:val="20"/>
        </w:rPr>
        <w:t xml:space="preserve">A mere </w:t>
      </w:r>
      <w:r w:rsidR="0009121B" w:rsidRPr="00346DD8">
        <w:rPr>
          <w:rFonts w:ascii="Times New Roman" w:hAnsi="Times New Roman" w:cs="Times New Roman"/>
          <w:sz w:val="20"/>
          <w:szCs w:val="20"/>
        </w:rPr>
        <w:t>24.8 per</w:t>
      </w:r>
      <w:r w:rsidR="0009121B">
        <w:rPr>
          <w:rFonts w:ascii="Times New Roman" w:hAnsi="Times New Roman" w:cs="Times New Roman"/>
          <w:sz w:val="20"/>
          <w:szCs w:val="20"/>
        </w:rPr>
        <w:t xml:space="preserve"> </w:t>
      </w:r>
      <w:r w:rsidR="0009121B" w:rsidRPr="00346DD8">
        <w:rPr>
          <w:rFonts w:ascii="Times New Roman" w:hAnsi="Times New Roman" w:cs="Times New Roman"/>
          <w:sz w:val="20"/>
          <w:szCs w:val="20"/>
        </w:rPr>
        <w:t xml:space="preserve">cent </w:t>
      </w:r>
      <w:r w:rsidR="0009121B">
        <w:rPr>
          <w:rFonts w:ascii="Times New Roman" w:hAnsi="Times New Roman" w:cs="Times New Roman"/>
          <w:sz w:val="20"/>
          <w:szCs w:val="20"/>
        </w:rPr>
        <w:t xml:space="preserve">of </w:t>
      </w:r>
      <w:r w:rsidR="0009121B" w:rsidRPr="00346DD8">
        <w:rPr>
          <w:rFonts w:ascii="Times New Roman" w:hAnsi="Times New Roman" w:cs="Times New Roman"/>
          <w:sz w:val="20"/>
          <w:szCs w:val="20"/>
        </w:rPr>
        <w:t>the national population (25.7 per</w:t>
      </w:r>
      <w:r w:rsidR="0009121B">
        <w:rPr>
          <w:rFonts w:ascii="Times New Roman" w:hAnsi="Times New Roman" w:cs="Times New Roman"/>
          <w:sz w:val="20"/>
          <w:szCs w:val="20"/>
        </w:rPr>
        <w:t xml:space="preserve"> </w:t>
      </w:r>
      <w:r w:rsidR="0009121B" w:rsidRPr="00346DD8">
        <w:rPr>
          <w:rFonts w:ascii="Times New Roman" w:hAnsi="Times New Roman" w:cs="Times New Roman"/>
          <w:sz w:val="20"/>
          <w:szCs w:val="20"/>
        </w:rPr>
        <w:t xml:space="preserve">cent </w:t>
      </w:r>
      <w:r w:rsidR="0009121B">
        <w:rPr>
          <w:rFonts w:ascii="Times New Roman" w:hAnsi="Times New Roman" w:cs="Times New Roman"/>
          <w:sz w:val="20"/>
          <w:szCs w:val="20"/>
        </w:rPr>
        <w:t>of</w:t>
      </w:r>
      <w:r w:rsidR="0009121B" w:rsidRPr="00346DD8">
        <w:rPr>
          <w:rFonts w:ascii="Times New Roman" w:hAnsi="Times New Roman" w:cs="Times New Roman"/>
          <w:sz w:val="20"/>
          <w:szCs w:val="20"/>
        </w:rPr>
        <w:t xml:space="preserve"> men and 23.8 per</w:t>
      </w:r>
      <w:r w:rsidR="0009121B">
        <w:rPr>
          <w:rFonts w:ascii="Times New Roman" w:hAnsi="Times New Roman" w:cs="Times New Roman"/>
          <w:sz w:val="20"/>
          <w:szCs w:val="20"/>
        </w:rPr>
        <w:t xml:space="preserve"> </w:t>
      </w:r>
      <w:r w:rsidR="0009121B" w:rsidRPr="00346DD8">
        <w:rPr>
          <w:rFonts w:ascii="Times New Roman" w:hAnsi="Times New Roman" w:cs="Times New Roman"/>
          <w:sz w:val="20"/>
          <w:szCs w:val="20"/>
        </w:rPr>
        <w:t xml:space="preserve">cent </w:t>
      </w:r>
      <w:r w:rsidR="0009121B">
        <w:rPr>
          <w:rFonts w:ascii="Times New Roman" w:hAnsi="Times New Roman" w:cs="Times New Roman"/>
          <w:sz w:val="20"/>
          <w:szCs w:val="20"/>
        </w:rPr>
        <w:t>of</w:t>
      </w:r>
      <w:r w:rsidR="0009121B" w:rsidRPr="00346DD8">
        <w:rPr>
          <w:rFonts w:ascii="Times New Roman" w:hAnsi="Times New Roman" w:cs="Times New Roman"/>
          <w:sz w:val="20"/>
          <w:szCs w:val="20"/>
        </w:rPr>
        <w:t xml:space="preserve"> women) </w:t>
      </w:r>
      <w:r w:rsidR="0009121B">
        <w:rPr>
          <w:rFonts w:ascii="Times New Roman" w:hAnsi="Times New Roman" w:cs="Times New Roman"/>
          <w:sz w:val="20"/>
          <w:szCs w:val="20"/>
        </w:rPr>
        <w:t xml:space="preserve">has </w:t>
      </w:r>
      <w:r w:rsidR="00FE2B22">
        <w:rPr>
          <w:rFonts w:ascii="Times New Roman" w:hAnsi="Times New Roman" w:cs="Times New Roman"/>
          <w:sz w:val="20"/>
          <w:szCs w:val="20"/>
        </w:rPr>
        <w:t>had</w:t>
      </w:r>
      <w:r w:rsidR="00FE2B22" w:rsidRPr="00346DD8">
        <w:rPr>
          <w:rFonts w:ascii="Times New Roman" w:hAnsi="Times New Roman" w:cs="Times New Roman"/>
          <w:sz w:val="20"/>
          <w:szCs w:val="20"/>
        </w:rPr>
        <w:t xml:space="preserve"> </w:t>
      </w:r>
      <w:r w:rsidR="0009121B" w:rsidRPr="00346DD8">
        <w:rPr>
          <w:rFonts w:ascii="Times New Roman" w:hAnsi="Times New Roman" w:cs="Times New Roman"/>
          <w:sz w:val="20"/>
          <w:szCs w:val="20"/>
        </w:rPr>
        <w:t>vocational training</w:t>
      </w:r>
      <w:r w:rsidR="0009121B">
        <w:rPr>
          <w:rFonts w:ascii="Times New Roman" w:hAnsi="Times New Roman" w:cs="Times New Roman"/>
          <w:sz w:val="20"/>
          <w:szCs w:val="20"/>
        </w:rPr>
        <w:t xml:space="preserve">, a number that drops to </w:t>
      </w:r>
      <w:r w:rsidR="0009121B" w:rsidRPr="00346DD8">
        <w:rPr>
          <w:rFonts w:ascii="Times New Roman" w:hAnsi="Times New Roman" w:cs="Times New Roman"/>
          <w:sz w:val="20"/>
          <w:szCs w:val="20"/>
        </w:rPr>
        <w:t>13.3 per</w:t>
      </w:r>
      <w:r w:rsidR="0009121B">
        <w:rPr>
          <w:rFonts w:ascii="Times New Roman" w:hAnsi="Times New Roman" w:cs="Times New Roman"/>
          <w:sz w:val="20"/>
          <w:szCs w:val="20"/>
        </w:rPr>
        <w:t xml:space="preserve"> </w:t>
      </w:r>
      <w:r w:rsidR="0009121B" w:rsidRPr="00346DD8">
        <w:rPr>
          <w:rFonts w:ascii="Times New Roman" w:hAnsi="Times New Roman" w:cs="Times New Roman"/>
          <w:sz w:val="20"/>
          <w:szCs w:val="20"/>
        </w:rPr>
        <w:t>cent in rural areas (18.9 per</w:t>
      </w:r>
      <w:r w:rsidR="00C54174">
        <w:rPr>
          <w:rFonts w:ascii="Times New Roman" w:hAnsi="Times New Roman" w:cs="Times New Roman"/>
          <w:sz w:val="20"/>
          <w:szCs w:val="20"/>
        </w:rPr>
        <w:t xml:space="preserve"> </w:t>
      </w:r>
      <w:r w:rsidR="0009121B" w:rsidRPr="00346DD8">
        <w:rPr>
          <w:rFonts w:ascii="Times New Roman" w:hAnsi="Times New Roman" w:cs="Times New Roman"/>
          <w:sz w:val="20"/>
          <w:szCs w:val="20"/>
        </w:rPr>
        <w:t>cent for men and 7.4 per</w:t>
      </w:r>
      <w:r w:rsidR="00C54174">
        <w:rPr>
          <w:rFonts w:ascii="Times New Roman" w:hAnsi="Times New Roman" w:cs="Times New Roman"/>
          <w:sz w:val="20"/>
          <w:szCs w:val="20"/>
        </w:rPr>
        <w:t xml:space="preserve"> </w:t>
      </w:r>
      <w:r w:rsidR="0009121B" w:rsidRPr="00346DD8">
        <w:rPr>
          <w:rFonts w:ascii="Times New Roman" w:hAnsi="Times New Roman" w:cs="Times New Roman"/>
          <w:sz w:val="20"/>
          <w:szCs w:val="20"/>
        </w:rPr>
        <w:t>cent for women).</w:t>
      </w:r>
      <w:r w:rsidR="0009121B" w:rsidRPr="00346DD8">
        <w:rPr>
          <w:rFonts w:ascii="Times New Roman" w:hAnsi="Times New Roman" w:cs="Times New Roman"/>
          <w:sz w:val="20"/>
          <w:szCs w:val="20"/>
          <w:vertAlign w:val="superscript"/>
        </w:rPr>
        <w:footnoteReference w:id="16"/>
      </w:r>
      <w:r w:rsidR="0009121B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346DD8">
        <w:rPr>
          <w:rFonts w:ascii="Times New Roman" w:hAnsi="Times New Roman" w:cs="Times New Roman"/>
          <w:sz w:val="20"/>
          <w:szCs w:val="20"/>
        </w:rPr>
        <w:t xml:space="preserve">Factors </w:t>
      </w:r>
      <w:r w:rsidR="00334F08">
        <w:rPr>
          <w:rFonts w:ascii="Times New Roman" w:hAnsi="Times New Roman" w:cs="Times New Roman"/>
          <w:sz w:val="20"/>
          <w:szCs w:val="20"/>
        </w:rPr>
        <w:t>that contribute</w:t>
      </w:r>
      <w:r w:rsidR="00334F08" w:rsidRPr="00346DD8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346DD8">
        <w:rPr>
          <w:rFonts w:ascii="Times New Roman" w:hAnsi="Times New Roman" w:cs="Times New Roman"/>
          <w:sz w:val="20"/>
          <w:szCs w:val="20"/>
        </w:rPr>
        <w:t>to disparit</w:t>
      </w:r>
      <w:r w:rsidR="00334F08">
        <w:rPr>
          <w:rFonts w:ascii="Times New Roman" w:hAnsi="Times New Roman" w:cs="Times New Roman"/>
          <w:sz w:val="20"/>
          <w:szCs w:val="20"/>
        </w:rPr>
        <w:t>ies</w:t>
      </w:r>
      <w:r w:rsidR="002F684B" w:rsidRPr="00346DD8">
        <w:rPr>
          <w:rFonts w:ascii="Times New Roman" w:hAnsi="Times New Roman" w:cs="Times New Roman"/>
          <w:sz w:val="20"/>
          <w:szCs w:val="20"/>
        </w:rPr>
        <w:t xml:space="preserve"> </w:t>
      </w:r>
      <w:r w:rsidR="00CF5AB7">
        <w:rPr>
          <w:rFonts w:ascii="Times New Roman" w:hAnsi="Times New Roman" w:cs="Times New Roman"/>
          <w:sz w:val="20"/>
          <w:szCs w:val="20"/>
        </w:rPr>
        <w:t xml:space="preserve">in unemployment </w:t>
      </w:r>
      <w:r w:rsidR="002F684B" w:rsidRPr="00346DD8">
        <w:rPr>
          <w:rFonts w:ascii="Times New Roman" w:hAnsi="Times New Roman" w:cs="Times New Roman"/>
          <w:sz w:val="20"/>
          <w:szCs w:val="20"/>
        </w:rPr>
        <w:t xml:space="preserve">include </w:t>
      </w:r>
      <w:r w:rsidR="00334F08">
        <w:rPr>
          <w:rFonts w:ascii="Times New Roman" w:hAnsi="Times New Roman" w:cs="Times New Roman"/>
          <w:sz w:val="20"/>
          <w:szCs w:val="20"/>
        </w:rPr>
        <w:t>poor skill sets/</w:t>
      </w:r>
      <w:r w:rsidR="002F684B" w:rsidRPr="00346DD8">
        <w:rPr>
          <w:rFonts w:ascii="Times New Roman" w:hAnsi="Times New Roman" w:cs="Times New Roman"/>
          <w:sz w:val="20"/>
          <w:szCs w:val="20"/>
        </w:rPr>
        <w:t>qualifications, stigma</w:t>
      </w:r>
      <w:r w:rsidR="00334F08">
        <w:rPr>
          <w:rFonts w:ascii="Times New Roman" w:hAnsi="Times New Roman" w:cs="Times New Roman"/>
          <w:sz w:val="20"/>
          <w:szCs w:val="20"/>
        </w:rPr>
        <w:t>tization,</w:t>
      </w:r>
      <w:r w:rsidR="002F684B" w:rsidRPr="00346DD8">
        <w:rPr>
          <w:rFonts w:ascii="Times New Roman" w:hAnsi="Times New Roman" w:cs="Times New Roman"/>
          <w:sz w:val="20"/>
          <w:szCs w:val="20"/>
        </w:rPr>
        <w:t xml:space="preserve"> and discrimination.</w:t>
      </w:r>
      <w:r w:rsidR="002F684B" w:rsidRPr="00346DD8">
        <w:rPr>
          <w:rFonts w:ascii="Times New Roman" w:hAnsi="Times New Roman" w:cs="Times New Roman"/>
          <w:sz w:val="20"/>
          <w:szCs w:val="20"/>
          <w:vertAlign w:val="superscript"/>
        </w:rPr>
        <w:footnoteReference w:id="17"/>
      </w:r>
      <w:r w:rsidR="00E74D28" w:rsidRPr="00346D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02176DE" w14:textId="77777777" w:rsidR="002F684B" w:rsidRPr="00BC170F" w:rsidRDefault="002F684B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C170F">
        <w:rPr>
          <w:rFonts w:ascii="Times New Roman" w:hAnsi="Times New Roman" w:cs="Times New Roman"/>
          <w:sz w:val="20"/>
          <w:szCs w:val="20"/>
        </w:rPr>
        <w:t>Gabon faces challenges in balancing</w:t>
      </w:r>
      <w:r w:rsidR="00334F08">
        <w:rPr>
          <w:rFonts w:ascii="Times New Roman" w:hAnsi="Times New Roman" w:cs="Times New Roman"/>
          <w:sz w:val="20"/>
          <w:szCs w:val="20"/>
        </w:rPr>
        <w:t xml:space="preserve"> national </w:t>
      </w:r>
      <w:r w:rsidRPr="00BC170F">
        <w:rPr>
          <w:rFonts w:ascii="Times New Roman" w:hAnsi="Times New Roman" w:cs="Times New Roman"/>
          <w:sz w:val="20"/>
          <w:szCs w:val="20"/>
        </w:rPr>
        <w:t>economic and demographic development needs</w:t>
      </w:r>
      <w:r w:rsidR="004E425B">
        <w:rPr>
          <w:rFonts w:ascii="Times New Roman" w:hAnsi="Times New Roman" w:cs="Times New Roman"/>
          <w:sz w:val="20"/>
          <w:szCs w:val="20"/>
        </w:rPr>
        <w:t xml:space="preserve">, along </w:t>
      </w:r>
      <w:r w:rsidRPr="00BC170F">
        <w:rPr>
          <w:rFonts w:ascii="Times New Roman" w:hAnsi="Times New Roman" w:cs="Times New Roman"/>
          <w:sz w:val="20"/>
          <w:szCs w:val="20"/>
        </w:rPr>
        <w:t>with preserv</w:t>
      </w:r>
      <w:r w:rsidR="004E425B">
        <w:rPr>
          <w:rFonts w:ascii="Times New Roman" w:hAnsi="Times New Roman" w:cs="Times New Roman"/>
          <w:sz w:val="20"/>
          <w:szCs w:val="20"/>
        </w:rPr>
        <w:t>ing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334F08">
        <w:rPr>
          <w:rFonts w:ascii="Times New Roman" w:hAnsi="Times New Roman" w:cs="Times New Roman"/>
          <w:sz w:val="20"/>
          <w:szCs w:val="20"/>
        </w:rPr>
        <w:t>the</w:t>
      </w:r>
      <w:r w:rsidR="00334F08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09121B">
        <w:rPr>
          <w:rFonts w:ascii="Times New Roman" w:hAnsi="Times New Roman" w:cs="Times New Roman"/>
          <w:sz w:val="20"/>
          <w:szCs w:val="20"/>
        </w:rPr>
        <w:t>resource</w:t>
      </w:r>
      <w:r w:rsidR="00334F08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 xml:space="preserve">rich environment. </w:t>
      </w:r>
      <w:r w:rsidR="00F07F7F">
        <w:rPr>
          <w:rFonts w:ascii="Times New Roman" w:hAnsi="Times New Roman" w:cs="Times New Roman"/>
          <w:sz w:val="20"/>
          <w:szCs w:val="20"/>
        </w:rPr>
        <w:t>Al</w:t>
      </w:r>
      <w:r w:rsidR="00E74D28">
        <w:rPr>
          <w:rFonts w:ascii="Times New Roman" w:hAnsi="Times New Roman" w:cs="Times New Roman"/>
          <w:sz w:val="20"/>
          <w:szCs w:val="20"/>
        </w:rPr>
        <w:t>th</w:t>
      </w:r>
      <w:r w:rsidR="00F07F7F">
        <w:rPr>
          <w:rFonts w:ascii="Times New Roman" w:hAnsi="Times New Roman" w:cs="Times New Roman"/>
          <w:sz w:val="20"/>
          <w:szCs w:val="20"/>
        </w:rPr>
        <w:t>ough</w:t>
      </w:r>
      <w:r w:rsidRPr="00BC170F">
        <w:rPr>
          <w:rFonts w:ascii="Times New Roman" w:hAnsi="Times New Roman" w:cs="Times New Roman"/>
          <w:sz w:val="20"/>
          <w:szCs w:val="20"/>
        </w:rPr>
        <w:t xml:space="preserve"> Gabon has taken steps to protect a significant portion of its territory</w:t>
      </w:r>
      <w:r w:rsidR="00334F08">
        <w:rPr>
          <w:rFonts w:ascii="Times New Roman" w:hAnsi="Times New Roman" w:cs="Times New Roman"/>
          <w:sz w:val="20"/>
          <w:szCs w:val="20"/>
        </w:rPr>
        <w:t>,</w:t>
      </w:r>
      <w:r w:rsidRPr="00BC170F">
        <w:rPr>
          <w:rFonts w:ascii="Times New Roman" w:hAnsi="Times New Roman" w:cs="Times New Roman"/>
          <w:sz w:val="20"/>
          <w:szCs w:val="20"/>
        </w:rPr>
        <w:t xml:space="preserve"> and </w:t>
      </w:r>
      <w:r w:rsidR="00966D55">
        <w:rPr>
          <w:rFonts w:ascii="Times New Roman" w:hAnsi="Times New Roman" w:cs="Times New Roman"/>
          <w:sz w:val="20"/>
          <w:szCs w:val="20"/>
        </w:rPr>
        <w:t>has a</w:t>
      </w:r>
      <w:r w:rsidR="00966D55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 xml:space="preserve">legal framework </w:t>
      </w:r>
      <w:r w:rsidR="00334F08">
        <w:rPr>
          <w:rFonts w:ascii="Times New Roman" w:hAnsi="Times New Roman" w:cs="Times New Roman"/>
          <w:sz w:val="20"/>
          <w:szCs w:val="20"/>
        </w:rPr>
        <w:t xml:space="preserve">in place </w:t>
      </w:r>
      <w:r w:rsidR="00966D55">
        <w:rPr>
          <w:rFonts w:ascii="Times New Roman" w:hAnsi="Times New Roman" w:cs="Times New Roman"/>
          <w:sz w:val="20"/>
          <w:szCs w:val="20"/>
        </w:rPr>
        <w:t xml:space="preserve">that </w:t>
      </w:r>
      <w:r w:rsidR="00190085" w:rsidRPr="00BC170F">
        <w:rPr>
          <w:rFonts w:ascii="Times New Roman" w:hAnsi="Times New Roman" w:cs="Times New Roman"/>
          <w:sz w:val="20"/>
          <w:szCs w:val="20"/>
        </w:rPr>
        <w:t xml:space="preserve">includes a </w:t>
      </w:r>
      <w:r w:rsidRPr="00BC170F">
        <w:rPr>
          <w:rFonts w:ascii="Times New Roman" w:hAnsi="Times New Roman" w:cs="Times New Roman"/>
          <w:sz w:val="20"/>
          <w:szCs w:val="20"/>
        </w:rPr>
        <w:t>law on sustainable development and the environment</w:t>
      </w:r>
      <w:r w:rsidR="00190085" w:rsidRPr="00BC170F">
        <w:rPr>
          <w:rFonts w:ascii="Times New Roman" w:hAnsi="Times New Roman" w:cs="Times New Roman"/>
          <w:sz w:val="20"/>
          <w:szCs w:val="20"/>
        </w:rPr>
        <w:t xml:space="preserve">, </w:t>
      </w:r>
      <w:r w:rsidRPr="00BC170F">
        <w:rPr>
          <w:rFonts w:ascii="Times New Roman" w:hAnsi="Times New Roman" w:cs="Times New Roman"/>
          <w:sz w:val="20"/>
          <w:szCs w:val="20"/>
        </w:rPr>
        <w:t>challenges remain.</w:t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  <w:r w:rsidRPr="00346DD8">
        <w:rPr>
          <w:rFonts w:ascii="Times New Roman" w:hAnsi="Times New Roman" w:cs="Times New Roman"/>
          <w:sz w:val="20"/>
          <w:szCs w:val="20"/>
        </w:rPr>
        <w:t xml:space="preserve">In recent years, </w:t>
      </w:r>
      <w:r w:rsidRPr="00BC170F">
        <w:rPr>
          <w:rFonts w:ascii="Times New Roman" w:hAnsi="Times New Roman" w:cs="Times New Roman"/>
          <w:sz w:val="20"/>
          <w:szCs w:val="20"/>
        </w:rPr>
        <w:t xml:space="preserve">efforts to promote intensive agriculture </w:t>
      </w:r>
      <w:r w:rsidR="00492F61">
        <w:rPr>
          <w:rFonts w:ascii="Times New Roman" w:hAnsi="Times New Roman" w:cs="Times New Roman"/>
          <w:sz w:val="20"/>
          <w:szCs w:val="20"/>
        </w:rPr>
        <w:t xml:space="preserve">as a main </w:t>
      </w:r>
      <w:r w:rsidR="0047524C">
        <w:rPr>
          <w:rFonts w:ascii="Times New Roman" w:hAnsi="Times New Roman" w:cs="Times New Roman"/>
          <w:sz w:val="20"/>
          <w:szCs w:val="20"/>
        </w:rPr>
        <w:t>sector for</w:t>
      </w:r>
      <w:r w:rsidR="00492F61">
        <w:rPr>
          <w:rFonts w:ascii="Times New Roman" w:hAnsi="Times New Roman" w:cs="Times New Roman"/>
          <w:sz w:val="20"/>
          <w:szCs w:val="20"/>
        </w:rPr>
        <w:t xml:space="preserve"> employment</w:t>
      </w:r>
      <w:r w:rsidR="004E425B">
        <w:rPr>
          <w:rFonts w:ascii="Times New Roman" w:hAnsi="Times New Roman" w:cs="Times New Roman"/>
          <w:sz w:val="20"/>
          <w:szCs w:val="20"/>
        </w:rPr>
        <w:t xml:space="preserve"> growth</w:t>
      </w:r>
      <w:r w:rsidR="00492F61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ha</w:t>
      </w:r>
      <w:r w:rsidR="003C3A04">
        <w:rPr>
          <w:rFonts w:ascii="Times New Roman" w:hAnsi="Times New Roman" w:cs="Times New Roman"/>
          <w:sz w:val="20"/>
          <w:szCs w:val="20"/>
        </w:rPr>
        <w:t xml:space="preserve">ve faced pressure </w:t>
      </w:r>
      <w:r w:rsidR="00F93180">
        <w:rPr>
          <w:rFonts w:ascii="Times New Roman" w:hAnsi="Times New Roman" w:cs="Times New Roman"/>
          <w:sz w:val="20"/>
          <w:szCs w:val="20"/>
        </w:rPr>
        <w:t xml:space="preserve">from those wishing to </w:t>
      </w:r>
      <w:r w:rsidR="003C3A04">
        <w:rPr>
          <w:rFonts w:ascii="Times New Roman" w:hAnsi="Times New Roman" w:cs="Times New Roman"/>
          <w:sz w:val="20"/>
          <w:szCs w:val="20"/>
        </w:rPr>
        <w:t xml:space="preserve">limit </w:t>
      </w:r>
      <w:r w:rsidR="004E425B">
        <w:rPr>
          <w:rFonts w:ascii="Times New Roman" w:hAnsi="Times New Roman" w:cs="Times New Roman"/>
          <w:sz w:val="20"/>
          <w:szCs w:val="20"/>
        </w:rPr>
        <w:t xml:space="preserve">the loss of the </w:t>
      </w:r>
      <w:r w:rsidR="003C3A04">
        <w:rPr>
          <w:rFonts w:ascii="Times New Roman" w:hAnsi="Times New Roman" w:cs="Times New Roman"/>
          <w:sz w:val="20"/>
          <w:szCs w:val="20"/>
        </w:rPr>
        <w:t>rain</w:t>
      </w:r>
      <w:r w:rsidR="00ED483A">
        <w:rPr>
          <w:rFonts w:ascii="Times New Roman" w:hAnsi="Times New Roman" w:cs="Times New Roman"/>
          <w:sz w:val="20"/>
          <w:szCs w:val="20"/>
        </w:rPr>
        <w:t>forest</w:t>
      </w:r>
      <w:r w:rsidR="00F93180">
        <w:rPr>
          <w:rFonts w:ascii="Times New Roman" w:hAnsi="Times New Roman" w:cs="Times New Roman"/>
          <w:sz w:val="20"/>
          <w:szCs w:val="20"/>
        </w:rPr>
        <w:t xml:space="preserve"> because</w:t>
      </w:r>
      <w:r w:rsidR="00492F61">
        <w:rPr>
          <w:rFonts w:ascii="Times New Roman" w:hAnsi="Times New Roman" w:cs="Times New Roman"/>
          <w:sz w:val="20"/>
          <w:szCs w:val="20"/>
        </w:rPr>
        <w:t xml:space="preserve"> </w:t>
      </w:r>
      <w:r w:rsidR="00F93180">
        <w:rPr>
          <w:rFonts w:ascii="Times New Roman" w:hAnsi="Times New Roman" w:cs="Times New Roman"/>
          <w:sz w:val="20"/>
          <w:szCs w:val="20"/>
        </w:rPr>
        <w:t>of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F93180">
        <w:rPr>
          <w:rFonts w:ascii="Times New Roman" w:hAnsi="Times New Roman" w:cs="Times New Roman"/>
          <w:sz w:val="20"/>
          <w:szCs w:val="20"/>
        </w:rPr>
        <w:t xml:space="preserve">national and global </w:t>
      </w:r>
      <w:r w:rsidRPr="00BC170F">
        <w:rPr>
          <w:rFonts w:ascii="Times New Roman" w:hAnsi="Times New Roman" w:cs="Times New Roman"/>
          <w:sz w:val="20"/>
          <w:szCs w:val="20"/>
        </w:rPr>
        <w:t>consequences</w:t>
      </w:r>
      <w:r w:rsidRPr="00774DD9">
        <w:rPr>
          <w:rFonts w:ascii="Times New Roman" w:hAnsi="Times New Roman" w:cs="Times New Roman"/>
          <w:sz w:val="20"/>
          <w:szCs w:val="20"/>
        </w:rPr>
        <w:t>.</w:t>
      </w:r>
      <w:r w:rsidR="00F93180">
        <w:rPr>
          <w:rFonts w:ascii="Times New Roman" w:hAnsi="Times New Roman" w:cs="Times New Roman"/>
          <w:sz w:val="20"/>
          <w:szCs w:val="20"/>
        </w:rPr>
        <w:t xml:space="preserve"> This is problematic as </w:t>
      </w:r>
      <w:r w:rsidR="00492F61">
        <w:rPr>
          <w:rFonts w:ascii="Times New Roman" w:hAnsi="Times New Roman" w:cs="Times New Roman"/>
          <w:sz w:val="20"/>
          <w:szCs w:val="20"/>
          <w:lang w:eastAsia="en-ZA"/>
        </w:rPr>
        <w:t>a</w:t>
      </w:r>
      <w:r w:rsidR="00346DD8" w:rsidRPr="00ED483A">
        <w:rPr>
          <w:rFonts w:ascii="Times New Roman" w:hAnsi="Times New Roman" w:cs="Times New Roman"/>
          <w:sz w:val="20"/>
          <w:szCs w:val="20"/>
          <w:lang w:eastAsia="en-ZA"/>
        </w:rPr>
        <w:t>griculture employs more tha</w:t>
      </w:r>
      <w:r w:rsidR="003C3A04">
        <w:rPr>
          <w:rFonts w:ascii="Times New Roman" w:hAnsi="Times New Roman" w:cs="Times New Roman"/>
          <w:sz w:val="20"/>
          <w:szCs w:val="20"/>
          <w:lang w:eastAsia="en-ZA"/>
        </w:rPr>
        <w:t>n</w:t>
      </w:r>
      <w:r w:rsidR="00346DD8" w:rsidRPr="00ED483A">
        <w:rPr>
          <w:rFonts w:ascii="Times New Roman" w:hAnsi="Times New Roman" w:cs="Times New Roman"/>
          <w:sz w:val="20"/>
          <w:szCs w:val="20"/>
          <w:lang w:eastAsia="en-ZA"/>
        </w:rPr>
        <w:t xml:space="preserve"> 60 per</w:t>
      </w:r>
      <w:r w:rsidR="00F93180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346DD8" w:rsidRPr="00ED483A">
        <w:rPr>
          <w:rFonts w:ascii="Times New Roman" w:hAnsi="Times New Roman" w:cs="Times New Roman"/>
          <w:sz w:val="20"/>
          <w:szCs w:val="20"/>
          <w:lang w:eastAsia="en-ZA"/>
        </w:rPr>
        <w:t xml:space="preserve">cent of the </w:t>
      </w:r>
      <w:r w:rsidR="00F21F7F" w:rsidRPr="00ED483A">
        <w:rPr>
          <w:rFonts w:ascii="Times New Roman" w:hAnsi="Times New Roman" w:cs="Times New Roman"/>
          <w:sz w:val="20"/>
          <w:szCs w:val="20"/>
          <w:lang w:eastAsia="en-ZA"/>
        </w:rPr>
        <w:t>rural population</w:t>
      </w:r>
      <w:r w:rsidR="00F93180">
        <w:rPr>
          <w:rFonts w:ascii="Times New Roman" w:hAnsi="Times New Roman" w:cs="Times New Roman"/>
          <w:sz w:val="20"/>
          <w:szCs w:val="20"/>
          <w:lang w:eastAsia="en-ZA"/>
        </w:rPr>
        <w:t>. E</w:t>
      </w:r>
      <w:r w:rsidR="00F21F7F" w:rsidRPr="00ED483A">
        <w:rPr>
          <w:rFonts w:ascii="Times New Roman" w:hAnsi="Times New Roman" w:cs="Times New Roman"/>
          <w:sz w:val="20"/>
          <w:szCs w:val="20"/>
          <w:lang w:eastAsia="en-ZA"/>
        </w:rPr>
        <w:t xml:space="preserve">nsuring sustainable value chains </w:t>
      </w:r>
      <w:r w:rsidR="004E425B">
        <w:rPr>
          <w:rFonts w:ascii="Times New Roman" w:hAnsi="Times New Roman" w:cs="Times New Roman"/>
          <w:sz w:val="20"/>
          <w:szCs w:val="20"/>
          <w:lang w:eastAsia="en-ZA"/>
        </w:rPr>
        <w:t>is</w:t>
      </w:r>
      <w:r w:rsidR="00F21F7F" w:rsidRPr="00ED483A">
        <w:rPr>
          <w:rFonts w:ascii="Times New Roman" w:hAnsi="Times New Roman" w:cs="Times New Roman"/>
          <w:sz w:val="20"/>
          <w:szCs w:val="20"/>
          <w:lang w:eastAsia="en-ZA"/>
        </w:rPr>
        <w:t xml:space="preserve"> critical to provide </w:t>
      </w:r>
      <w:r w:rsidR="00F93180">
        <w:rPr>
          <w:rFonts w:ascii="Times New Roman" w:hAnsi="Times New Roman" w:cs="Times New Roman"/>
          <w:sz w:val="20"/>
          <w:szCs w:val="20"/>
          <w:lang w:eastAsia="en-ZA"/>
        </w:rPr>
        <w:t>jobs and services</w:t>
      </w:r>
      <w:r w:rsidR="00F21F7F" w:rsidRPr="00ED483A">
        <w:rPr>
          <w:rFonts w:ascii="Times New Roman" w:hAnsi="Times New Roman" w:cs="Times New Roman"/>
          <w:sz w:val="20"/>
          <w:szCs w:val="20"/>
          <w:lang w:eastAsia="en-ZA"/>
        </w:rPr>
        <w:t xml:space="preserve"> in rural areas </w:t>
      </w:r>
      <w:r w:rsidR="004E425B">
        <w:rPr>
          <w:rFonts w:ascii="Times New Roman" w:hAnsi="Times New Roman" w:cs="Times New Roman"/>
          <w:sz w:val="20"/>
          <w:szCs w:val="20"/>
          <w:lang w:eastAsia="en-ZA"/>
        </w:rPr>
        <w:t>and</w:t>
      </w:r>
      <w:r w:rsidR="004E425B" w:rsidRPr="00ED483A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F21F7F" w:rsidRPr="00ED483A">
        <w:rPr>
          <w:rFonts w:ascii="Times New Roman" w:hAnsi="Times New Roman" w:cs="Times New Roman"/>
          <w:sz w:val="20"/>
          <w:szCs w:val="20"/>
          <w:lang w:eastAsia="en-ZA"/>
        </w:rPr>
        <w:t>protect the environment</w:t>
      </w:r>
      <w:r w:rsidR="00346DD8" w:rsidRPr="00ED483A">
        <w:rPr>
          <w:rFonts w:ascii="Times New Roman" w:hAnsi="Times New Roman" w:cs="Times New Roman"/>
          <w:sz w:val="20"/>
          <w:szCs w:val="20"/>
          <w:lang w:eastAsia="en-ZA"/>
        </w:rPr>
        <w:t>.</w:t>
      </w:r>
      <w:r w:rsidR="001C1274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1C1274">
        <w:rPr>
          <w:rFonts w:ascii="Times New Roman" w:hAnsi="Times New Roman" w:cs="Times New Roman"/>
          <w:sz w:val="20"/>
          <w:szCs w:val="20"/>
        </w:rPr>
        <w:t xml:space="preserve">Economic diversification is </w:t>
      </w:r>
      <w:r w:rsidR="00F93180">
        <w:rPr>
          <w:rFonts w:ascii="Times New Roman" w:hAnsi="Times New Roman" w:cs="Times New Roman"/>
          <w:sz w:val="20"/>
          <w:szCs w:val="20"/>
        </w:rPr>
        <w:t xml:space="preserve">another </w:t>
      </w:r>
      <w:r w:rsidR="004E425B">
        <w:rPr>
          <w:rFonts w:ascii="Times New Roman" w:hAnsi="Times New Roman" w:cs="Times New Roman"/>
          <w:sz w:val="20"/>
          <w:szCs w:val="20"/>
        </w:rPr>
        <w:t xml:space="preserve">important </w:t>
      </w:r>
      <w:r w:rsidR="00F93180">
        <w:rPr>
          <w:rFonts w:ascii="Times New Roman" w:hAnsi="Times New Roman" w:cs="Times New Roman"/>
          <w:sz w:val="20"/>
          <w:szCs w:val="20"/>
        </w:rPr>
        <w:t xml:space="preserve">factor, </w:t>
      </w:r>
      <w:r w:rsidR="001C1274">
        <w:rPr>
          <w:rFonts w:ascii="Times New Roman" w:hAnsi="Times New Roman" w:cs="Times New Roman"/>
          <w:sz w:val="20"/>
          <w:szCs w:val="20"/>
        </w:rPr>
        <w:t xml:space="preserve">particularly in areas that are rich in </w:t>
      </w:r>
      <w:r w:rsidR="0009121B">
        <w:rPr>
          <w:rFonts w:ascii="Times New Roman" w:hAnsi="Times New Roman" w:cs="Times New Roman"/>
          <w:sz w:val="20"/>
          <w:szCs w:val="20"/>
        </w:rPr>
        <w:t>natural resources</w:t>
      </w:r>
      <w:r w:rsidR="001C1274">
        <w:rPr>
          <w:rFonts w:ascii="Times New Roman" w:hAnsi="Times New Roman" w:cs="Times New Roman"/>
          <w:sz w:val="20"/>
          <w:szCs w:val="20"/>
        </w:rPr>
        <w:t xml:space="preserve"> </w:t>
      </w:r>
      <w:r w:rsidR="00F93180">
        <w:rPr>
          <w:rFonts w:ascii="Times New Roman" w:hAnsi="Times New Roman" w:cs="Times New Roman"/>
          <w:sz w:val="20"/>
          <w:szCs w:val="20"/>
        </w:rPr>
        <w:t xml:space="preserve">and </w:t>
      </w:r>
      <w:r w:rsidR="001C1274">
        <w:rPr>
          <w:rFonts w:ascii="Times New Roman" w:hAnsi="Times New Roman" w:cs="Times New Roman"/>
          <w:sz w:val="20"/>
          <w:szCs w:val="20"/>
        </w:rPr>
        <w:t>where the economy</w:t>
      </w:r>
      <w:r w:rsidR="00ED483A">
        <w:rPr>
          <w:rFonts w:ascii="Times New Roman" w:hAnsi="Times New Roman" w:cs="Times New Roman"/>
          <w:sz w:val="20"/>
          <w:szCs w:val="20"/>
        </w:rPr>
        <w:t xml:space="preserve"> is</w:t>
      </w:r>
      <w:r w:rsidR="001C1274">
        <w:rPr>
          <w:rFonts w:ascii="Times New Roman" w:hAnsi="Times New Roman" w:cs="Times New Roman"/>
          <w:sz w:val="20"/>
          <w:szCs w:val="20"/>
        </w:rPr>
        <w:t xml:space="preserve"> dominated by one sector.</w:t>
      </w:r>
      <w:r w:rsidR="001C1274" w:rsidRPr="00C90AC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C1274" w:rsidRPr="00753440">
        <w:rPr>
          <w:rFonts w:ascii="Times New Roman" w:hAnsi="Times New Roman" w:cs="Times New Roman"/>
          <w:sz w:val="20"/>
          <w:szCs w:val="20"/>
          <w:highlight w:val="yellow"/>
          <w:lang w:eastAsia="en-ZA"/>
        </w:rPr>
        <w:t xml:space="preserve"> </w:t>
      </w:r>
    </w:p>
    <w:p w14:paraId="0ED9FEAA" w14:textId="77777777" w:rsidR="00016192" w:rsidRPr="00BC170F" w:rsidRDefault="002F684B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C170F">
        <w:rPr>
          <w:rFonts w:ascii="Times New Roman" w:hAnsi="Times New Roman" w:cs="Times New Roman"/>
          <w:sz w:val="20"/>
          <w:szCs w:val="20"/>
        </w:rPr>
        <w:t>Gabon faces disaster risk</w:t>
      </w:r>
      <w:r w:rsidR="00F93180">
        <w:rPr>
          <w:rFonts w:ascii="Times New Roman" w:hAnsi="Times New Roman" w:cs="Times New Roman"/>
          <w:sz w:val="20"/>
          <w:szCs w:val="20"/>
        </w:rPr>
        <w:t>s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F21F7F">
        <w:rPr>
          <w:rFonts w:ascii="Times New Roman" w:hAnsi="Times New Roman" w:cs="Times New Roman"/>
          <w:sz w:val="20"/>
          <w:szCs w:val="20"/>
        </w:rPr>
        <w:t>as a result</w:t>
      </w:r>
      <w:r w:rsidR="00F21F7F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of climate change.</w:t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  <w:r w:rsidR="00F93180">
        <w:rPr>
          <w:rFonts w:ascii="Times New Roman" w:hAnsi="Times New Roman" w:cs="Times New Roman"/>
          <w:sz w:val="20"/>
          <w:szCs w:val="20"/>
        </w:rPr>
        <w:t>The</w:t>
      </w:r>
      <w:r w:rsidR="00F93180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National Climate Council</w:t>
      </w:r>
      <w:r w:rsidR="00190085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has note</w:t>
      </w:r>
      <w:r w:rsidR="00F93180">
        <w:rPr>
          <w:rFonts w:ascii="Times New Roman" w:hAnsi="Times New Roman" w:cs="Times New Roman"/>
          <w:sz w:val="20"/>
          <w:szCs w:val="20"/>
        </w:rPr>
        <w:t>d</w:t>
      </w:r>
      <w:r w:rsidR="00190085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 xml:space="preserve">the Government </w:t>
      </w:r>
      <w:r w:rsidR="00F93180">
        <w:rPr>
          <w:rFonts w:ascii="Times New Roman" w:hAnsi="Times New Roman" w:cs="Times New Roman"/>
          <w:sz w:val="20"/>
          <w:szCs w:val="20"/>
        </w:rPr>
        <w:t xml:space="preserve">of Gabon </w:t>
      </w:r>
      <w:r w:rsidRPr="00BC170F">
        <w:rPr>
          <w:rFonts w:ascii="Times New Roman" w:hAnsi="Times New Roman" w:cs="Times New Roman"/>
          <w:sz w:val="20"/>
          <w:szCs w:val="20"/>
        </w:rPr>
        <w:t>has limited capacity</w:t>
      </w:r>
      <w:r w:rsidR="00641543">
        <w:rPr>
          <w:rFonts w:ascii="Times New Roman" w:hAnsi="Times New Roman" w:cs="Times New Roman"/>
          <w:sz w:val="20"/>
          <w:szCs w:val="20"/>
        </w:rPr>
        <w:t xml:space="preserve"> (at national and local levels)</w:t>
      </w:r>
      <w:r w:rsidRPr="00BC170F">
        <w:rPr>
          <w:rFonts w:ascii="Times New Roman" w:hAnsi="Times New Roman" w:cs="Times New Roman"/>
          <w:sz w:val="20"/>
          <w:szCs w:val="20"/>
        </w:rPr>
        <w:t xml:space="preserve"> to </w:t>
      </w:r>
      <w:r w:rsidR="00F93180">
        <w:rPr>
          <w:rFonts w:ascii="Times New Roman" w:hAnsi="Times New Roman" w:cs="Times New Roman"/>
          <w:sz w:val="20"/>
          <w:szCs w:val="20"/>
        </w:rPr>
        <w:t>carry out</w:t>
      </w:r>
      <w:r w:rsidR="00F93180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 xml:space="preserve">preventive environmental impact assessments or formulate climate change </w:t>
      </w:r>
      <w:r w:rsidR="0009121B" w:rsidRPr="00BC170F">
        <w:rPr>
          <w:rFonts w:ascii="Times New Roman" w:hAnsi="Times New Roman" w:cs="Times New Roman"/>
          <w:sz w:val="20"/>
          <w:szCs w:val="20"/>
        </w:rPr>
        <w:t>adaptation</w:t>
      </w:r>
      <w:r w:rsidR="00AE1AA7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strateg</w:t>
      </w:r>
      <w:r w:rsidR="00966D55">
        <w:rPr>
          <w:rFonts w:ascii="Times New Roman" w:hAnsi="Times New Roman" w:cs="Times New Roman"/>
          <w:sz w:val="20"/>
          <w:szCs w:val="20"/>
        </w:rPr>
        <w:t>ies</w:t>
      </w:r>
      <w:r w:rsidRPr="00BC170F">
        <w:rPr>
          <w:rFonts w:ascii="Times New Roman" w:hAnsi="Times New Roman" w:cs="Times New Roman"/>
          <w:sz w:val="20"/>
          <w:szCs w:val="20"/>
        </w:rPr>
        <w:t xml:space="preserve"> and action plan</w:t>
      </w:r>
      <w:r w:rsidR="00966D55">
        <w:rPr>
          <w:rFonts w:ascii="Times New Roman" w:hAnsi="Times New Roman" w:cs="Times New Roman"/>
          <w:sz w:val="20"/>
          <w:szCs w:val="20"/>
        </w:rPr>
        <w:t>s</w:t>
      </w:r>
      <w:r w:rsidRPr="00BC170F">
        <w:rPr>
          <w:rFonts w:ascii="Times New Roman" w:hAnsi="Times New Roman" w:cs="Times New Roman"/>
          <w:sz w:val="20"/>
          <w:szCs w:val="20"/>
        </w:rPr>
        <w:t xml:space="preserve">. </w:t>
      </w:r>
      <w:r w:rsidR="004E425B">
        <w:rPr>
          <w:rFonts w:ascii="Times New Roman" w:hAnsi="Times New Roman" w:cs="Times New Roman"/>
          <w:sz w:val="20"/>
          <w:szCs w:val="20"/>
        </w:rPr>
        <w:t>The</w:t>
      </w:r>
      <w:r w:rsidR="004E425B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second and third</w:t>
      </w:r>
      <w:r w:rsidR="004A6C3A">
        <w:rPr>
          <w:rFonts w:ascii="Times New Roman" w:hAnsi="Times New Roman" w:cs="Times New Roman"/>
          <w:sz w:val="20"/>
          <w:szCs w:val="20"/>
        </w:rPr>
        <w:t xml:space="preserve"> </w:t>
      </w:r>
      <w:r w:rsidR="00C20FE4">
        <w:rPr>
          <w:rFonts w:ascii="Times New Roman" w:hAnsi="Times New Roman" w:cs="Times New Roman"/>
          <w:sz w:val="20"/>
          <w:szCs w:val="20"/>
        </w:rPr>
        <w:t>N</w:t>
      </w:r>
      <w:r w:rsidR="004A6C3A">
        <w:rPr>
          <w:rFonts w:ascii="Times New Roman" w:hAnsi="Times New Roman" w:cs="Times New Roman"/>
          <w:sz w:val="20"/>
          <w:szCs w:val="20"/>
        </w:rPr>
        <w:t xml:space="preserve">ational </w:t>
      </w:r>
      <w:r w:rsidR="00C20FE4">
        <w:rPr>
          <w:rFonts w:ascii="Times New Roman" w:hAnsi="Times New Roman" w:cs="Times New Roman"/>
          <w:sz w:val="20"/>
          <w:szCs w:val="20"/>
        </w:rPr>
        <w:t>C</w:t>
      </w:r>
      <w:r w:rsidR="004A6C3A">
        <w:rPr>
          <w:rFonts w:ascii="Times New Roman" w:hAnsi="Times New Roman" w:cs="Times New Roman"/>
          <w:sz w:val="20"/>
          <w:szCs w:val="20"/>
        </w:rPr>
        <w:t>ommunication</w:t>
      </w:r>
      <w:r w:rsidR="00C20FE4">
        <w:rPr>
          <w:rFonts w:ascii="Times New Roman" w:hAnsi="Times New Roman" w:cs="Times New Roman"/>
          <w:sz w:val="20"/>
          <w:szCs w:val="20"/>
        </w:rPr>
        <w:t>s</w:t>
      </w:r>
      <w:r w:rsidR="004A6C3A">
        <w:rPr>
          <w:rFonts w:ascii="Times New Roman" w:hAnsi="Times New Roman" w:cs="Times New Roman"/>
          <w:sz w:val="20"/>
          <w:szCs w:val="20"/>
        </w:rPr>
        <w:t xml:space="preserve"> on </w:t>
      </w:r>
      <w:r w:rsidR="00C20FE4">
        <w:rPr>
          <w:rFonts w:ascii="Times New Roman" w:hAnsi="Times New Roman" w:cs="Times New Roman"/>
          <w:sz w:val="20"/>
          <w:szCs w:val="20"/>
        </w:rPr>
        <w:t>C</w:t>
      </w:r>
      <w:r w:rsidR="004A6C3A">
        <w:rPr>
          <w:rFonts w:ascii="Times New Roman" w:hAnsi="Times New Roman" w:cs="Times New Roman"/>
          <w:sz w:val="20"/>
          <w:szCs w:val="20"/>
        </w:rPr>
        <w:t xml:space="preserve">limate </w:t>
      </w:r>
      <w:r w:rsidR="00C20FE4">
        <w:rPr>
          <w:rFonts w:ascii="Times New Roman" w:hAnsi="Times New Roman" w:cs="Times New Roman"/>
          <w:sz w:val="20"/>
          <w:szCs w:val="20"/>
        </w:rPr>
        <w:t>C</w:t>
      </w:r>
      <w:r w:rsidRPr="00BC170F">
        <w:rPr>
          <w:rFonts w:ascii="Times New Roman" w:hAnsi="Times New Roman" w:cs="Times New Roman"/>
          <w:sz w:val="20"/>
          <w:szCs w:val="20"/>
        </w:rPr>
        <w:t>hange</w:t>
      </w:r>
      <w:r w:rsidRPr="00BC170F">
        <w:rPr>
          <w:rFonts w:ascii="Times New Roman" w:hAnsi="Times New Roman" w:cs="Times New Roman"/>
          <w:sz w:val="20"/>
          <w:szCs w:val="20"/>
          <w:vertAlign w:val="superscript"/>
        </w:rPr>
        <w:footnoteReference w:id="18"/>
      </w:r>
      <w:r w:rsidRPr="00BC170F">
        <w:rPr>
          <w:rFonts w:ascii="Times New Roman" w:hAnsi="Times New Roman" w:cs="Times New Roman"/>
          <w:sz w:val="20"/>
          <w:szCs w:val="20"/>
        </w:rPr>
        <w:t xml:space="preserve"> highlighted vulnerabilities </w:t>
      </w:r>
      <w:r w:rsidR="00337B8D">
        <w:rPr>
          <w:rFonts w:ascii="Times New Roman" w:hAnsi="Times New Roman" w:cs="Times New Roman"/>
          <w:sz w:val="20"/>
          <w:szCs w:val="20"/>
        </w:rPr>
        <w:t>related to</w:t>
      </w:r>
      <w:r w:rsidR="00337B8D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 xml:space="preserve">flooding, coastal erosion, </w:t>
      </w:r>
      <w:r w:rsidR="004E425B">
        <w:rPr>
          <w:rFonts w:ascii="Times New Roman" w:hAnsi="Times New Roman" w:cs="Times New Roman"/>
          <w:sz w:val="20"/>
          <w:szCs w:val="20"/>
        </w:rPr>
        <w:t xml:space="preserve">water </w:t>
      </w:r>
      <w:r w:rsidRPr="00BC170F">
        <w:rPr>
          <w:rFonts w:ascii="Times New Roman" w:hAnsi="Times New Roman" w:cs="Times New Roman"/>
          <w:sz w:val="20"/>
          <w:szCs w:val="20"/>
        </w:rPr>
        <w:t>salinization, decreased biological resources</w:t>
      </w:r>
      <w:r w:rsidR="00337B8D">
        <w:rPr>
          <w:rFonts w:ascii="Times New Roman" w:hAnsi="Times New Roman" w:cs="Times New Roman"/>
          <w:sz w:val="20"/>
          <w:szCs w:val="20"/>
        </w:rPr>
        <w:t>,</w:t>
      </w:r>
      <w:r w:rsidRPr="00BC170F">
        <w:rPr>
          <w:rFonts w:ascii="Times New Roman" w:hAnsi="Times New Roman" w:cs="Times New Roman"/>
          <w:sz w:val="20"/>
          <w:szCs w:val="20"/>
        </w:rPr>
        <w:t xml:space="preserve"> and</w:t>
      </w:r>
      <w:r w:rsidR="00337B8D">
        <w:rPr>
          <w:rFonts w:ascii="Times New Roman" w:hAnsi="Times New Roman" w:cs="Times New Roman"/>
          <w:sz w:val="20"/>
          <w:szCs w:val="20"/>
        </w:rPr>
        <w:t xml:space="preserve"> other</w:t>
      </w:r>
      <w:r w:rsidRPr="00BC170F">
        <w:rPr>
          <w:rFonts w:ascii="Times New Roman" w:hAnsi="Times New Roman" w:cs="Times New Roman"/>
          <w:sz w:val="20"/>
          <w:szCs w:val="20"/>
        </w:rPr>
        <w:t xml:space="preserve"> threats to </w:t>
      </w:r>
      <w:r w:rsidR="00337B8D">
        <w:rPr>
          <w:rFonts w:ascii="Times New Roman" w:hAnsi="Times New Roman" w:cs="Times New Roman"/>
          <w:sz w:val="20"/>
          <w:szCs w:val="20"/>
        </w:rPr>
        <w:t>the</w:t>
      </w:r>
      <w:r w:rsidR="00337B8D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C123C1" w:rsidRPr="00BC170F">
        <w:rPr>
          <w:rFonts w:ascii="Times New Roman" w:hAnsi="Times New Roman" w:cs="Times New Roman"/>
          <w:sz w:val="20"/>
          <w:szCs w:val="20"/>
        </w:rPr>
        <w:t>natural fauna</w:t>
      </w:r>
      <w:r w:rsidR="004E425B">
        <w:rPr>
          <w:rFonts w:ascii="Times New Roman" w:hAnsi="Times New Roman" w:cs="Times New Roman"/>
          <w:sz w:val="20"/>
          <w:szCs w:val="20"/>
        </w:rPr>
        <w:t>—</w:t>
      </w:r>
      <w:r w:rsidR="00337B8D">
        <w:rPr>
          <w:rFonts w:ascii="Times New Roman" w:hAnsi="Times New Roman" w:cs="Times New Roman"/>
          <w:sz w:val="20"/>
          <w:szCs w:val="20"/>
        </w:rPr>
        <w:t>issues</w:t>
      </w:r>
      <w:r w:rsidR="004E425B">
        <w:rPr>
          <w:rFonts w:ascii="Times New Roman" w:hAnsi="Times New Roman" w:cs="Times New Roman"/>
          <w:sz w:val="20"/>
          <w:szCs w:val="20"/>
        </w:rPr>
        <w:t xml:space="preserve"> that</w:t>
      </w:r>
      <w:r w:rsidR="00337B8D">
        <w:rPr>
          <w:rFonts w:ascii="Times New Roman" w:hAnsi="Times New Roman" w:cs="Times New Roman"/>
          <w:sz w:val="20"/>
          <w:szCs w:val="20"/>
        </w:rPr>
        <w:t xml:space="preserve"> carry </w:t>
      </w:r>
      <w:r w:rsidRPr="00BC170F">
        <w:rPr>
          <w:rFonts w:ascii="Times New Roman" w:hAnsi="Times New Roman" w:cs="Times New Roman"/>
          <w:sz w:val="20"/>
          <w:szCs w:val="20"/>
        </w:rPr>
        <w:t xml:space="preserve">associated risks for </w:t>
      </w:r>
      <w:r w:rsidR="00337B8D">
        <w:rPr>
          <w:rFonts w:ascii="Times New Roman" w:hAnsi="Times New Roman" w:cs="Times New Roman"/>
          <w:sz w:val="20"/>
          <w:szCs w:val="20"/>
        </w:rPr>
        <w:t xml:space="preserve">local </w:t>
      </w:r>
      <w:r w:rsidRPr="00BC170F">
        <w:rPr>
          <w:rFonts w:ascii="Times New Roman" w:hAnsi="Times New Roman" w:cs="Times New Roman"/>
          <w:sz w:val="20"/>
          <w:szCs w:val="20"/>
        </w:rPr>
        <w:t>communities.</w:t>
      </w:r>
      <w:r w:rsidRPr="00BC170F">
        <w:rPr>
          <w:rFonts w:ascii="Times New Roman" w:hAnsi="Times New Roman" w:cs="Times New Roman"/>
          <w:sz w:val="20"/>
          <w:szCs w:val="20"/>
          <w:vertAlign w:val="superscript"/>
        </w:rPr>
        <w:footnoteReference w:id="19"/>
      </w:r>
      <w:r w:rsidRPr="00BC170F">
        <w:rPr>
          <w:rFonts w:ascii="Times New Roman" w:hAnsi="Times New Roman" w:cs="Times New Roman"/>
          <w:sz w:val="20"/>
          <w:szCs w:val="20"/>
        </w:rPr>
        <w:t xml:space="preserve"> Reducing the vulnerabili</w:t>
      </w:r>
      <w:r w:rsidR="00337B8D">
        <w:rPr>
          <w:rFonts w:ascii="Times New Roman" w:hAnsi="Times New Roman" w:cs="Times New Roman"/>
          <w:sz w:val="20"/>
          <w:szCs w:val="20"/>
        </w:rPr>
        <w:t>ty</w:t>
      </w:r>
      <w:r w:rsidRPr="00BC170F">
        <w:rPr>
          <w:rFonts w:ascii="Times New Roman" w:hAnsi="Times New Roman" w:cs="Times New Roman"/>
          <w:sz w:val="20"/>
          <w:szCs w:val="20"/>
        </w:rPr>
        <w:t xml:space="preserve"> of local communities and fragile ecosystems need to be pursued </w:t>
      </w:r>
      <w:r w:rsidR="00337B8D">
        <w:rPr>
          <w:rFonts w:ascii="Times New Roman" w:hAnsi="Times New Roman" w:cs="Times New Roman"/>
          <w:sz w:val="20"/>
          <w:szCs w:val="20"/>
        </w:rPr>
        <w:t>alongside</w:t>
      </w:r>
      <w:r w:rsidRPr="00BC170F">
        <w:rPr>
          <w:rFonts w:ascii="Times New Roman" w:hAnsi="Times New Roman" w:cs="Times New Roman"/>
          <w:sz w:val="20"/>
          <w:szCs w:val="20"/>
        </w:rPr>
        <w:t xml:space="preserve"> livelihood and capacity-building initiatives.</w:t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0B7555" w14:textId="77777777" w:rsidR="00DC0FC0" w:rsidRPr="00BC170F" w:rsidRDefault="00337B8D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0967DE">
        <w:rPr>
          <w:rFonts w:ascii="Times New Roman" w:hAnsi="Times New Roman" w:cs="Times New Roman"/>
          <w:sz w:val="20"/>
          <w:szCs w:val="20"/>
        </w:rPr>
        <w:t>arious dimensions of inequality and poverty in Gabon persist</w:t>
      </w:r>
      <w:r w:rsidR="00DC0FC0" w:rsidRPr="00611C90">
        <w:rPr>
          <w:rFonts w:ascii="Times New Roman" w:hAnsi="Times New Roman" w:cs="Times New Roman"/>
          <w:sz w:val="20"/>
          <w:szCs w:val="20"/>
        </w:rPr>
        <w:t xml:space="preserve"> due to </w:t>
      </w:r>
      <w:r>
        <w:rPr>
          <w:rFonts w:ascii="Times New Roman" w:hAnsi="Times New Roman" w:cs="Times New Roman"/>
          <w:sz w:val="20"/>
          <w:szCs w:val="20"/>
        </w:rPr>
        <w:t>the weak</w:t>
      </w:r>
      <w:r w:rsidR="00DC0FC0">
        <w:rPr>
          <w:rFonts w:ascii="Times New Roman" w:hAnsi="Times New Roman" w:cs="Times New Roman"/>
          <w:sz w:val="20"/>
          <w:szCs w:val="20"/>
        </w:rPr>
        <w:t xml:space="preserve"> capacities</w:t>
      </w:r>
      <w:r w:rsidR="00C20FE4">
        <w:rPr>
          <w:rFonts w:ascii="Times New Roman" w:hAnsi="Times New Roman" w:cs="Times New Roman"/>
          <w:sz w:val="20"/>
          <w:szCs w:val="20"/>
        </w:rPr>
        <w:t xml:space="preserve"> of local authorities </w:t>
      </w:r>
      <w:r w:rsidR="00DC0FC0">
        <w:rPr>
          <w:rFonts w:ascii="Times New Roman" w:hAnsi="Times New Roman" w:cs="Times New Roman"/>
          <w:sz w:val="20"/>
          <w:szCs w:val="20"/>
        </w:rPr>
        <w:t>to deliver quality</w:t>
      </w:r>
      <w:r w:rsidR="00DC0FC0" w:rsidRPr="00611C90">
        <w:rPr>
          <w:rFonts w:ascii="Times New Roman" w:hAnsi="Times New Roman" w:cs="Times New Roman"/>
          <w:sz w:val="20"/>
          <w:szCs w:val="20"/>
        </w:rPr>
        <w:t xml:space="preserve"> </w:t>
      </w:r>
      <w:r w:rsidR="00627631">
        <w:rPr>
          <w:rFonts w:ascii="Times New Roman" w:hAnsi="Times New Roman" w:cs="Times New Roman"/>
          <w:sz w:val="20"/>
          <w:szCs w:val="20"/>
        </w:rPr>
        <w:t xml:space="preserve">and inclusive </w:t>
      </w:r>
      <w:r w:rsidR="00DC0FC0" w:rsidRPr="00611C90">
        <w:rPr>
          <w:rFonts w:ascii="Times New Roman" w:hAnsi="Times New Roman" w:cs="Times New Roman"/>
          <w:sz w:val="20"/>
          <w:szCs w:val="20"/>
        </w:rPr>
        <w:t xml:space="preserve">basic services, particularly in rural </w:t>
      </w:r>
      <w:r w:rsidR="004E425B">
        <w:rPr>
          <w:rFonts w:ascii="Times New Roman" w:hAnsi="Times New Roman" w:cs="Times New Roman"/>
          <w:sz w:val="20"/>
          <w:szCs w:val="20"/>
        </w:rPr>
        <w:t>areas</w:t>
      </w:r>
      <w:r w:rsidR="00DC0FC0" w:rsidRPr="00611C90">
        <w:rPr>
          <w:rFonts w:ascii="Times New Roman" w:hAnsi="Times New Roman" w:cs="Times New Roman"/>
          <w:sz w:val="20"/>
          <w:szCs w:val="20"/>
        </w:rPr>
        <w:t>.</w:t>
      </w:r>
      <w:r w:rsidR="00DC0FC0">
        <w:rPr>
          <w:rFonts w:ascii="Times New Roman" w:hAnsi="Times New Roman" w:cs="Times New Roman"/>
          <w:sz w:val="20"/>
          <w:szCs w:val="20"/>
        </w:rPr>
        <w:t xml:space="preserve"> </w:t>
      </w:r>
      <w:r w:rsidR="00DC0FC0" w:rsidRPr="00BC170F">
        <w:rPr>
          <w:rFonts w:ascii="Times New Roman" w:hAnsi="Times New Roman" w:cs="Times New Roman"/>
          <w:sz w:val="20"/>
          <w:szCs w:val="20"/>
        </w:rPr>
        <w:t>Rapid levels of urbanization have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0FC0" w:rsidRPr="00BC170F">
        <w:rPr>
          <w:rFonts w:ascii="Times New Roman" w:hAnsi="Times New Roman" w:cs="Times New Roman"/>
          <w:sz w:val="20"/>
          <w:szCs w:val="20"/>
        </w:rPr>
        <w:t>concentra</w:t>
      </w:r>
      <w:r>
        <w:rPr>
          <w:rFonts w:ascii="Times New Roman" w:hAnsi="Times New Roman" w:cs="Times New Roman"/>
          <w:sz w:val="20"/>
          <w:szCs w:val="20"/>
        </w:rPr>
        <w:t>ted</w:t>
      </w:r>
      <w:r w:rsidR="00DC0FC0" w:rsidRPr="00BC170F">
        <w:rPr>
          <w:rFonts w:ascii="Times New Roman" w:hAnsi="Times New Roman" w:cs="Times New Roman"/>
          <w:sz w:val="20"/>
          <w:szCs w:val="20"/>
        </w:rPr>
        <w:t xml:space="preserve"> development resources </w:t>
      </w:r>
      <w:r>
        <w:rPr>
          <w:rFonts w:ascii="Times New Roman" w:hAnsi="Times New Roman" w:cs="Times New Roman"/>
          <w:sz w:val="20"/>
          <w:szCs w:val="20"/>
        </w:rPr>
        <w:t>in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DC0FC0" w:rsidRPr="00BC170F">
        <w:rPr>
          <w:rFonts w:ascii="Times New Roman" w:hAnsi="Times New Roman" w:cs="Times New Roman"/>
          <w:sz w:val="20"/>
          <w:szCs w:val="20"/>
        </w:rPr>
        <w:t>towns and cities</w:t>
      </w:r>
      <w:r>
        <w:rPr>
          <w:rFonts w:ascii="Times New Roman" w:hAnsi="Times New Roman" w:cs="Times New Roman"/>
          <w:sz w:val="20"/>
          <w:szCs w:val="20"/>
        </w:rPr>
        <w:t xml:space="preserve">, which has caused </w:t>
      </w:r>
      <w:r w:rsidR="00DC0FC0">
        <w:rPr>
          <w:rFonts w:ascii="Times New Roman" w:hAnsi="Times New Roman" w:cs="Times New Roman"/>
          <w:sz w:val="20"/>
          <w:szCs w:val="20"/>
        </w:rPr>
        <w:t xml:space="preserve">the per capita cost of development </w:t>
      </w:r>
      <w:r w:rsidR="00DC0FC0" w:rsidRPr="006029A1">
        <w:rPr>
          <w:rFonts w:ascii="Times New Roman" w:hAnsi="Times New Roman" w:cs="Times New Roman"/>
          <w:sz w:val="20"/>
          <w:szCs w:val="20"/>
        </w:rPr>
        <w:t xml:space="preserve">activities </w:t>
      </w:r>
      <w:r>
        <w:rPr>
          <w:rFonts w:ascii="Times New Roman" w:hAnsi="Times New Roman" w:cs="Times New Roman"/>
          <w:sz w:val="20"/>
          <w:szCs w:val="20"/>
        </w:rPr>
        <w:t>to rise in</w:t>
      </w:r>
      <w:r w:rsidRPr="006029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sparsely populated areas</w:t>
      </w:r>
      <w:r w:rsidR="00DC0FC0" w:rsidRPr="006029A1">
        <w:rPr>
          <w:rFonts w:ascii="Times New Roman" w:hAnsi="Times New Roman" w:cs="Times New Roman"/>
          <w:sz w:val="20"/>
          <w:szCs w:val="20"/>
        </w:rPr>
        <w:t xml:space="preserve">. Weak infrastructure increases difficulty of access. </w:t>
      </w:r>
      <w:r>
        <w:rPr>
          <w:rFonts w:ascii="Times New Roman" w:hAnsi="Times New Roman" w:cs="Times New Roman"/>
          <w:sz w:val="20"/>
          <w:szCs w:val="20"/>
        </w:rPr>
        <w:t>Furthermore, c</w:t>
      </w:r>
      <w:r w:rsidR="00DC0FC0" w:rsidRPr="006029A1">
        <w:rPr>
          <w:rFonts w:ascii="Times New Roman" w:hAnsi="Times New Roman" w:cs="Times New Roman"/>
          <w:sz w:val="20"/>
          <w:szCs w:val="20"/>
        </w:rPr>
        <w:t xml:space="preserve">ivil servants </w:t>
      </w:r>
      <w:r w:rsidR="004E425B">
        <w:rPr>
          <w:rFonts w:ascii="Times New Roman" w:hAnsi="Times New Roman" w:cs="Times New Roman"/>
          <w:sz w:val="20"/>
          <w:szCs w:val="20"/>
        </w:rPr>
        <w:t>(</w:t>
      </w:r>
      <w:r w:rsidR="00DC0FC0" w:rsidRPr="006029A1">
        <w:rPr>
          <w:rFonts w:ascii="Times New Roman" w:hAnsi="Times New Roman" w:cs="Times New Roman"/>
          <w:sz w:val="20"/>
          <w:szCs w:val="20"/>
        </w:rPr>
        <w:t xml:space="preserve">like </w:t>
      </w:r>
      <w:r w:rsidR="004E425B">
        <w:rPr>
          <w:rFonts w:ascii="Times New Roman" w:hAnsi="Times New Roman" w:cs="Times New Roman"/>
          <w:sz w:val="20"/>
          <w:szCs w:val="20"/>
        </w:rPr>
        <w:t>many others in</w:t>
      </w:r>
      <w:r w:rsidR="00DC0FC0" w:rsidRPr="006029A1">
        <w:rPr>
          <w:rFonts w:ascii="Times New Roman" w:hAnsi="Times New Roman" w:cs="Times New Roman"/>
          <w:sz w:val="20"/>
          <w:szCs w:val="20"/>
        </w:rPr>
        <w:t xml:space="preserve"> the </w:t>
      </w:r>
      <w:r w:rsidR="004E425B">
        <w:rPr>
          <w:rFonts w:ascii="Times New Roman" w:hAnsi="Times New Roman" w:cs="Times New Roman"/>
          <w:sz w:val="20"/>
          <w:szCs w:val="20"/>
        </w:rPr>
        <w:t>population)</w:t>
      </w:r>
      <w:r w:rsidR="00DC0FC0" w:rsidRPr="006029A1">
        <w:rPr>
          <w:rFonts w:ascii="Times New Roman" w:hAnsi="Times New Roman" w:cs="Times New Roman"/>
          <w:sz w:val="20"/>
          <w:szCs w:val="20"/>
        </w:rPr>
        <w:t xml:space="preserve"> have felt the pull </w:t>
      </w:r>
      <w:r w:rsidR="00B7624A">
        <w:rPr>
          <w:rFonts w:ascii="Times New Roman" w:hAnsi="Times New Roman" w:cs="Times New Roman"/>
          <w:sz w:val="20"/>
          <w:szCs w:val="20"/>
        </w:rPr>
        <w:t>to relocate</w:t>
      </w:r>
      <w:r>
        <w:rPr>
          <w:rFonts w:ascii="Times New Roman" w:hAnsi="Times New Roman" w:cs="Times New Roman"/>
          <w:sz w:val="20"/>
          <w:szCs w:val="20"/>
        </w:rPr>
        <w:t xml:space="preserve"> to the</w:t>
      </w:r>
      <w:r w:rsidR="00DC0FC0" w:rsidRPr="006029A1">
        <w:rPr>
          <w:rFonts w:ascii="Times New Roman" w:hAnsi="Times New Roman" w:cs="Times New Roman"/>
          <w:sz w:val="20"/>
          <w:szCs w:val="20"/>
        </w:rPr>
        <w:t xml:space="preserve"> four </w:t>
      </w:r>
      <w:r>
        <w:rPr>
          <w:rFonts w:ascii="Times New Roman" w:hAnsi="Times New Roman" w:cs="Times New Roman"/>
          <w:sz w:val="20"/>
          <w:szCs w:val="20"/>
        </w:rPr>
        <w:t>largest</w:t>
      </w:r>
      <w:r w:rsidRPr="006029A1">
        <w:rPr>
          <w:rFonts w:ascii="Times New Roman" w:hAnsi="Times New Roman" w:cs="Times New Roman"/>
          <w:sz w:val="20"/>
          <w:szCs w:val="20"/>
        </w:rPr>
        <w:t xml:space="preserve"> </w:t>
      </w:r>
      <w:r w:rsidR="00DC0FC0" w:rsidRPr="006029A1">
        <w:rPr>
          <w:rFonts w:ascii="Times New Roman" w:hAnsi="Times New Roman" w:cs="Times New Roman"/>
          <w:sz w:val="20"/>
          <w:szCs w:val="20"/>
        </w:rPr>
        <w:t>cities</w:t>
      </w:r>
      <w:r>
        <w:rPr>
          <w:rFonts w:ascii="Times New Roman" w:hAnsi="Times New Roman" w:cs="Times New Roman"/>
          <w:sz w:val="20"/>
          <w:szCs w:val="20"/>
        </w:rPr>
        <w:t xml:space="preserve"> in Gabon</w:t>
      </w:r>
      <w:r w:rsidR="00B5012C">
        <w:rPr>
          <w:rFonts w:ascii="Times New Roman" w:hAnsi="Times New Roman" w:cs="Times New Roman"/>
          <w:sz w:val="20"/>
          <w:szCs w:val="20"/>
        </w:rPr>
        <w:t>,</w:t>
      </w:r>
      <w:r w:rsidR="00DC0FC0" w:rsidRPr="006029A1">
        <w:rPr>
          <w:rFonts w:ascii="Times New Roman" w:hAnsi="Times New Roman" w:cs="Times New Roman"/>
          <w:sz w:val="20"/>
          <w:szCs w:val="20"/>
        </w:rPr>
        <w:t xml:space="preserve"> </w:t>
      </w:r>
      <w:r w:rsidR="004E425B">
        <w:rPr>
          <w:rFonts w:ascii="Times New Roman" w:hAnsi="Times New Roman" w:cs="Times New Roman"/>
          <w:sz w:val="20"/>
          <w:szCs w:val="20"/>
        </w:rPr>
        <w:t>making it</w:t>
      </w:r>
      <w:r w:rsidRPr="006029A1">
        <w:rPr>
          <w:rFonts w:ascii="Times New Roman" w:hAnsi="Times New Roman" w:cs="Times New Roman"/>
          <w:sz w:val="20"/>
          <w:szCs w:val="20"/>
        </w:rPr>
        <w:t xml:space="preserve"> </w:t>
      </w:r>
      <w:r w:rsidR="00DC0FC0" w:rsidRPr="006029A1">
        <w:rPr>
          <w:rFonts w:ascii="Times New Roman" w:hAnsi="Times New Roman" w:cs="Times New Roman"/>
          <w:sz w:val="20"/>
          <w:szCs w:val="20"/>
        </w:rPr>
        <w:t xml:space="preserve">difficult to attract and keep talent at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DC0FC0" w:rsidRPr="006029A1">
        <w:rPr>
          <w:rFonts w:ascii="Times New Roman" w:hAnsi="Times New Roman" w:cs="Times New Roman"/>
          <w:sz w:val="20"/>
          <w:szCs w:val="20"/>
        </w:rPr>
        <w:t>local level.</w:t>
      </w:r>
      <w:r w:rsidR="00DC0FC0" w:rsidRPr="00BC170F">
        <w:rPr>
          <w:rFonts w:ascii="Times New Roman" w:hAnsi="Times New Roman" w:cs="Times New Roman"/>
          <w:sz w:val="20"/>
          <w:szCs w:val="20"/>
          <w:vertAlign w:val="superscript"/>
        </w:rPr>
        <w:footnoteReference w:id="20"/>
      </w:r>
      <w:r w:rsidR="00DC0FC0" w:rsidRPr="00C90AC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A112D9" w14:textId="77777777" w:rsidR="00DC0FC0" w:rsidRPr="00BC170F" w:rsidRDefault="00DC0FC0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337B8D">
        <w:rPr>
          <w:rFonts w:ascii="Times New Roman" w:hAnsi="Times New Roman" w:cs="Times New Roman"/>
          <w:sz w:val="20"/>
          <w:szCs w:val="20"/>
        </w:rPr>
        <w:t xml:space="preserve">Inequality and poverty are </w:t>
      </w:r>
      <w:r w:rsidRPr="00BC170F">
        <w:rPr>
          <w:rFonts w:ascii="Times New Roman" w:hAnsi="Times New Roman" w:cs="Times New Roman"/>
          <w:sz w:val="20"/>
          <w:szCs w:val="20"/>
        </w:rPr>
        <w:t>exacerbated by the low effectiveness of governance institutions</w:t>
      </w:r>
      <w:r w:rsidRPr="0021752F">
        <w:rPr>
          <w:rFonts w:ascii="Times New Roman" w:hAnsi="Times New Roman" w:cs="Times New Roman"/>
          <w:sz w:val="20"/>
          <w:szCs w:val="20"/>
        </w:rPr>
        <w:t xml:space="preserve">. </w:t>
      </w:r>
      <w:r w:rsidR="0021752F" w:rsidRPr="008A4444">
        <w:rPr>
          <w:rFonts w:ascii="Times New Roman" w:hAnsi="Times New Roman" w:cs="Times New Roman"/>
          <w:sz w:val="20"/>
          <w:szCs w:val="20"/>
        </w:rPr>
        <w:t>The Mo Ibrahim Index (2016) ranked Gabon 32</w:t>
      </w:r>
      <w:r w:rsidR="00B521A2">
        <w:rPr>
          <w:rFonts w:ascii="Times New Roman" w:hAnsi="Times New Roman" w:cs="Times New Roman"/>
          <w:sz w:val="20"/>
          <w:szCs w:val="20"/>
        </w:rPr>
        <w:t xml:space="preserve"> </w:t>
      </w:r>
      <w:r w:rsidR="0021752F" w:rsidRPr="008A4444">
        <w:rPr>
          <w:rFonts w:ascii="Times New Roman" w:hAnsi="Times New Roman" w:cs="Times New Roman"/>
          <w:sz w:val="20"/>
          <w:szCs w:val="20"/>
        </w:rPr>
        <w:t xml:space="preserve">out of 54 countries in Africa on global governance, with a score of 48.8 (slightly below average). </w:t>
      </w:r>
      <w:r w:rsidR="00B67696">
        <w:rPr>
          <w:rFonts w:ascii="Times New Roman" w:hAnsi="Times New Roman" w:cs="Times New Roman"/>
          <w:sz w:val="20"/>
          <w:szCs w:val="20"/>
        </w:rPr>
        <w:t>R</w:t>
      </w:r>
      <w:r w:rsidRPr="00BC170F">
        <w:rPr>
          <w:rFonts w:ascii="Times New Roman" w:hAnsi="Times New Roman" w:cs="Times New Roman"/>
          <w:sz w:val="20"/>
          <w:szCs w:val="20"/>
        </w:rPr>
        <w:t>oot causes for governance challenges include lack of transparency</w:t>
      </w:r>
      <w:r w:rsidR="00B5012C">
        <w:rPr>
          <w:rFonts w:ascii="Times New Roman" w:hAnsi="Times New Roman" w:cs="Times New Roman"/>
          <w:sz w:val="20"/>
          <w:szCs w:val="20"/>
        </w:rPr>
        <w:t xml:space="preserve">, </w:t>
      </w:r>
      <w:r w:rsidRPr="00BC170F">
        <w:rPr>
          <w:rFonts w:ascii="Times New Roman" w:hAnsi="Times New Roman" w:cs="Times New Roman"/>
          <w:sz w:val="20"/>
          <w:szCs w:val="20"/>
        </w:rPr>
        <w:t>public policy monitoring and evaluation, weak citizen oversight mechanisms</w:t>
      </w:r>
      <w:r w:rsidR="00496B61">
        <w:rPr>
          <w:rFonts w:ascii="Times New Roman" w:hAnsi="Times New Roman" w:cs="Times New Roman"/>
          <w:sz w:val="20"/>
          <w:szCs w:val="20"/>
        </w:rPr>
        <w:t xml:space="preserve"> and </w:t>
      </w:r>
      <w:r w:rsidRPr="00BC170F">
        <w:rPr>
          <w:rFonts w:ascii="Times New Roman" w:hAnsi="Times New Roman" w:cs="Times New Roman"/>
          <w:sz w:val="20"/>
          <w:szCs w:val="20"/>
        </w:rPr>
        <w:lastRenderedPageBreak/>
        <w:t>democratic culture, and</w:t>
      </w:r>
      <w:r w:rsidR="00496B61">
        <w:rPr>
          <w:rFonts w:ascii="Times New Roman" w:hAnsi="Times New Roman" w:cs="Times New Roman"/>
          <w:sz w:val="20"/>
          <w:szCs w:val="20"/>
        </w:rPr>
        <w:t xml:space="preserve"> a</w:t>
      </w:r>
      <w:r w:rsidRPr="00BC170F">
        <w:rPr>
          <w:rFonts w:ascii="Times New Roman" w:hAnsi="Times New Roman" w:cs="Times New Roman"/>
          <w:sz w:val="20"/>
          <w:szCs w:val="20"/>
        </w:rPr>
        <w:t xml:space="preserve"> lack of institutional capacity to generate reliable data.</w:t>
      </w:r>
      <w:r w:rsidRPr="00BC170F">
        <w:rPr>
          <w:rFonts w:ascii="Times New Roman" w:hAnsi="Times New Roman" w:cs="Times New Roman"/>
          <w:sz w:val="20"/>
          <w:szCs w:val="20"/>
          <w:vertAlign w:val="superscript"/>
        </w:rPr>
        <w:footnoteReference w:id="21"/>
      </w:r>
      <w:r w:rsidRPr="00BC170F">
        <w:rPr>
          <w:rFonts w:ascii="Times New Roman" w:hAnsi="Times New Roman" w:cs="Times New Roman"/>
          <w:sz w:val="20"/>
          <w:szCs w:val="20"/>
        </w:rPr>
        <w:t xml:space="preserve"> At the local level, weaknesses </w:t>
      </w:r>
      <w:r w:rsidR="00496B61">
        <w:rPr>
          <w:rFonts w:ascii="Times New Roman" w:hAnsi="Times New Roman" w:cs="Times New Roman"/>
          <w:sz w:val="20"/>
          <w:szCs w:val="20"/>
        </w:rPr>
        <w:t>have</w:t>
      </w:r>
      <w:r w:rsidR="00496B61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be</w:t>
      </w:r>
      <w:r w:rsidR="00496B61">
        <w:rPr>
          <w:rFonts w:ascii="Times New Roman" w:hAnsi="Times New Roman" w:cs="Times New Roman"/>
          <w:sz w:val="20"/>
          <w:szCs w:val="20"/>
        </w:rPr>
        <w:t>en</w:t>
      </w:r>
      <w:r w:rsidRPr="00BC170F">
        <w:rPr>
          <w:rFonts w:ascii="Times New Roman" w:hAnsi="Times New Roman" w:cs="Times New Roman"/>
          <w:sz w:val="20"/>
          <w:szCs w:val="20"/>
        </w:rPr>
        <w:t xml:space="preserve"> identified at all stages of the planning, programming, budgeting, monitoring and evaluation cycle</w:t>
      </w:r>
      <w:r w:rsidR="00496B61">
        <w:rPr>
          <w:rFonts w:ascii="Times New Roman" w:hAnsi="Times New Roman" w:cs="Times New Roman"/>
          <w:sz w:val="20"/>
          <w:szCs w:val="20"/>
        </w:rPr>
        <w:t xml:space="preserve"> (</w:t>
      </w:r>
      <w:r w:rsidR="00496B61" w:rsidRPr="00BC170F">
        <w:rPr>
          <w:rFonts w:ascii="Times New Roman" w:hAnsi="Times New Roman" w:cs="Times New Roman"/>
          <w:sz w:val="20"/>
          <w:szCs w:val="20"/>
        </w:rPr>
        <w:t>PPPBSE</w:t>
      </w:r>
      <w:r w:rsidR="00496B61">
        <w:rPr>
          <w:rFonts w:ascii="Times New Roman" w:hAnsi="Times New Roman" w:cs="Times New Roman"/>
          <w:sz w:val="20"/>
          <w:szCs w:val="20"/>
        </w:rPr>
        <w:t>)</w:t>
      </w:r>
      <w:r w:rsidRPr="00BC170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 xml:space="preserve">Resources budgeted at the national level </w:t>
      </w:r>
      <w:r w:rsidR="00B5012C">
        <w:rPr>
          <w:rFonts w:ascii="Times New Roman" w:hAnsi="Times New Roman" w:cs="Times New Roman"/>
          <w:sz w:val="20"/>
          <w:szCs w:val="20"/>
        </w:rPr>
        <w:t xml:space="preserve">either </w:t>
      </w:r>
      <w:r w:rsidRPr="00BC170F">
        <w:rPr>
          <w:rFonts w:ascii="Times New Roman" w:hAnsi="Times New Roman" w:cs="Times New Roman"/>
          <w:sz w:val="20"/>
          <w:szCs w:val="20"/>
        </w:rPr>
        <w:t xml:space="preserve">arrive late or </w:t>
      </w:r>
      <w:r w:rsidR="00496B61">
        <w:rPr>
          <w:rFonts w:ascii="Times New Roman" w:hAnsi="Times New Roman" w:cs="Times New Roman"/>
          <w:sz w:val="20"/>
          <w:szCs w:val="20"/>
        </w:rPr>
        <w:t>are</w:t>
      </w:r>
      <w:r w:rsidR="00496B61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insufficient</w:t>
      </w:r>
      <w:r w:rsidR="00496B61">
        <w:rPr>
          <w:rFonts w:ascii="Times New Roman" w:hAnsi="Times New Roman" w:cs="Times New Roman"/>
          <w:sz w:val="20"/>
          <w:szCs w:val="20"/>
        </w:rPr>
        <w:t>, while r</w:t>
      </w:r>
      <w:r w:rsidRPr="00BC170F">
        <w:rPr>
          <w:rFonts w:ascii="Times New Roman" w:hAnsi="Times New Roman" w:cs="Times New Roman"/>
          <w:sz w:val="20"/>
          <w:szCs w:val="20"/>
        </w:rPr>
        <w:t>esources</w:t>
      </w:r>
      <w:r w:rsidR="00496B61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 xml:space="preserve">at the provincial level </w:t>
      </w:r>
      <w:r w:rsidR="00496B61">
        <w:rPr>
          <w:rFonts w:ascii="Times New Roman" w:hAnsi="Times New Roman" w:cs="Times New Roman"/>
          <w:sz w:val="20"/>
          <w:szCs w:val="20"/>
        </w:rPr>
        <w:t>are</w:t>
      </w:r>
      <w:r w:rsidR="00496B61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centralized and</w:t>
      </w:r>
      <w:r w:rsidR="00496B61">
        <w:rPr>
          <w:rFonts w:ascii="Times New Roman" w:hAnsi="Times New Roman" w:cs="Times New Roman"/>
          <w:sz w:val="20"/>
          <w:szCs w:val="20"/>
        </w:rPr>
        <w:t>/or</w:t>
      </w:r>
      <w:r w:rsidRPr="00BC170F">
        <w:rPr>
          <w:rFonts w:ascii="Times New Roman" w:hAnsi="Times New Roman" w:cs="Times New Roman"/>
          <w:sz w:val="20"/>
          <w:szCs w:val="20"/>
        </w:rPr>
        <w:t xml:space="preserve"> delivery capacity </w:t>
      </w:r>
      <w:r w:rsidR="00B5012C">
        <w:rPr>
          <w:rFonts w:ascii="Times New Roman" w:hAnsi="Times New Roman" w:cs="Times New Roman"/>
          <w:sz w:val="20"/>
          <w:szCs w:val="20"/>
        </w:rPr>
        <w:t>is</w:t>
      </w:r>
      <w:r w:rsidR="00B5012C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Pr="00BC170F">
        <w:rPr>
          <w:rFonts w:ascii="Times New Roman" w:hAnsi="Times New Roman" w:cs="Times New Roman"/>
          <w:sz w:val="20"/>
          <w:szCs w:val="20"/>
        </w:rPr>
        <w:t>low.</w:t>
      </w:r>
      <w:r w:rsidR="0021752F">
        <w:rPr>
          <w:rFonts w:ascii="Times New Roman" w:hAnsi="Times New Roman" w:cs="Times New Roman"/>
          <w:sz w:val="20"/>
          <w:szCs w:val="20"/>
        </w:rPr>
        <w:t xml:space="preserve"> </w:t>
      </w:r>
      <w:r w:rsidR="00304080">
        <w:rPr>
          <w:rFonts w:ascii="Times New Roman" w:hAnsi="Times New Roman" w:cs="Times New Roman"/>
          <w:sz w:val="20"/>
          <w:szCs w:val="20"/>
        </w:rPr>
        <w:t>In terms of</w:t>
      </w:r>
      <w:r w:rsidR="0021752F" w:rsidRPr="008A4444">
        <w:rPr>
          <w:rFonts w:ascii="Times New Roman" w:hAnsi="Times New Roman" w:cs="Times New Roman"/>
          <w:sz w:val="20"/>
          <w:szCs w:val="20"/>
        </w:rPr>
        <w:t xml:space="preserve"> economic governance, the World Bank </w:t>
      </w:r>
      <w:r w:rsidR="0021752F" w:rsidRPr="005C43B5">
        <w:rPr>
          <w:rFonts w:ascii="Times New Roman" w:hAnsi="Times New Roman" w:cs="Times New Roman"/>
          <w:i/>
          <w:sz w:val="20"/>
          <w:szCs w:val="20"/>
        </w:rPr>
        <w:t>Doing Business</w:t>
      </w:r>
      <w:r w:rsidR="0021752F" w:rsidRPr="008A4444">
        <w:rPr>
          <w:rFonts w:ascii="Times New Roman" w:hAnsi="Times New Roman" w:cs="Times New Roman"/>
          <w:sz w:val="20"/>
          <w:szCs w:val="20"/>
        </w:rPr>
        <w:t xml:space="preserve"> report </w:t>
      </w:r>
      <w:r w:rsidR="00496B61">
        <w:rPr>
          <w:rFonts w:ascii="Times New Roman" w:hAnsi="Times New Roman" w:cs="Times New Roman"/>
          <w:sz w:val="20"/>
          <w:szCs w:val="20"/>
        </w:rPr>
        <w:t xml:space="preserve">from </w:t>
      </w:r>
      <w:r w:rsidR="0021752F" w:rsidRPr="008A4444">
        <w:rPr>
          <w:rFonts w:ascii="Times New Roman" w:hAnsi="Times New Roman" w:cs="Times New Roman"/>
          <w:sz w:val="20"/>
          <w:szCs w:val="20"/>
        </w:rPr>
        <w:t>2016 highlighted business</w:t>
      </w:r>
      <w:r w:rsidR="00496B61">
        <w:rPr>
          <w:rFonts w:ascii="Times New Roman" w:hAnsi="Times New Roman" w:cs="Times New Roman"/>
          <w:sz w:val="20"/>
          <w:szCs w:val="20"/>
        </w:rPr>
        <w:t xml:space="preserve">-related challenges </w:t>
      </w:r>
      <w:r w:rsidR="0021752F" w:rsidRPr="008A4444">
        <w:rPr>
          <w:rFonts w:ascii="Times New Roman" w:hAnsi="Times New Roman" w:cs="Times New Roman"/>
          <w:sz w:val="20"/>
          <w:szCs w:val="20"/>
        </w:rPr>
        <w:t xml:space="preserve">in Gabon, ranking </w:t>
      </w:r>
      <w:r w:rsidR="00496B61">
        <w:rPr>
          <w:rFonts w:ascii="Times New Roman" w:hAnsi="Times New Roman" w:cs="Times New Roman"/>
          <w:sz w:val="20"/>
          <w:szCs w:val="20"/>
        </w:rPr>
        <w:t>the country at</w:t>
      </w:r>
      <w:r w:rsidR="00496B61" w:rsidRPr="008A4444">
        <w:rPr>
          <w:rFonts w:ascii="Times New Roman" w:hAnsi="Times New Roman" w:cs="Times New Roman"/>
          <w:sz w:val="20"/>
          <w:szCs w:val="20"/>
        </w:rPr>
        <w:t xml:space="preserve"> </w:t>
      </w:r>
      <w:r w:rsidR="0021752F" w:rsidRPr="008A4444">
        <w:rPr>
          <w:rFonts w:ascii="Times New Roman" w:hAnsi="Times New Roman" w:cs="Times New Roman"/>
          <w:sz w:val="20"/>
          <w:szCs w:val="20"/>
        </w:rPr>
        <w:t>162 out of 189 countries assessed.</w:t>
      </w:r>
    </w:p>
    <w:p w14:paraId="445CE7EC" w14:textId="77777777" w:rsidR="00DC0FC0" w:rsidRPr="00C877BD" w:rsidRDefault="00496B61" w:rsidP="00496B61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hanging="36"/>
        <w:jc w:val="both"/>
        <w:textAlignment w:val="baseline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DC0FC0" w:rsidRPr="00BC170F">
        <w:rPr>
          <w:rFonts w:ascii="Times New Roman" w:hAnsi="Times New Roman" w:cs="Times New Roman"/>
          <w:sz w:val="20"/>
          <w:szCs w:val="20"/>
        </w:rPr>
        <w:t xml:space="preserve">nstitutional challenges </w:t>
      </w:r>
      <w:r w:rsidR="0021752F">
        <w:rPr>
          <w:rFonts w:ascii="Times New Roman" w:hAnsi="Times New Roman" w:cs="Times New Roman"/>
          <w:sz w:val="20"/>
          <w:szCs w:val="20"/>
        </w:rPr>
        <w:t xml:space="preserve">are </w:t>
      </w:r>
      <w:r w:rsidR="00DC0FC0" w:rsidRPr="00BC170F">
        <w:rPr>
          <w:rFonts w:ascii="Times New Roman" w:hAnsi="Times New Roman" w:cs="Times New Roman"/>
          <w:sz w:val="20"/>
          <w:szCs w:val="20"/>
        </w:rPr>
        <w:t xml:space="preserve">exacerbated by the recent </w:t>
      </w:r>
      <w:r>
        <w:rPr>
          <w:rFonts w:ascii="Times New Roman" w:hAnsi="Times New Roman" w:cs="Times New Roman"/>
          <w:sz w:val="20"/>
          <w:szCs w:val="20"/>
        </w:rPr>
        <w:t xml:space="preserve">contraction of the </w:t>
      </w:r>
      <w:r w:rsidR="00DC0FC0" w:rsidRPr="00BC170F">
        <w:rPr>
          <w:rFonts w:ascii="Times New Roman" w:hAnsi="Times New Roman" w:cs="Times New Roman"/>
          <w:sz w:val="20"/>
          <w:szCs w:val="20"/>
        </w:rPr>
        <w:t>econom</w:t>
      </w:r>
      <w:r>
        <w:rPr>
          <w:rFonts w:ascii="Times New Roman" w:hAnsi="Times New Roman" w:cs="Times New Roman"/>
          <w:sz w:val="20"/>
          <w:szCs w:val="20"/>
        </w:rPr>
        <w:t>y</w:t>
      </w:r>
      <w:r w:rsidR="00DC0FC0" w:rsidRPr="00BC170F">
        <w:rPr>
          <w:rFonts w:ascii="Times New Roman" w:hAnsi="Times New Roman" w:cs="Times New Roman"/>
          <w:sz w:val="20"/>
          <w:szCs w:val="20"/>
        </w:rPr>
        <w:t>. Falling international oil prices reduced the ability</w:t>
      </w:r>
      <w:r>
        <w:rPr>
          <w:rFonts w:ascii="Times New Roman" w:hAnsi="Times New Roman" w:cs="Times New Roman"/>
          <w:sz w:val="20"/>
          <w:szCs w:val="20"/>
        </w:rPr>
        <w:t xml:space="preserve"> of the government</w:t>
      </w:r>
      <w:r w:rsidR="00DC0FC0" w:rsidRPr="00BC170F">
        <w:rPr>
          <w:rFonts w:ascii="Times New Roman" w:hAnsi="Times New Roman" w:cs="Times New Roman"/>
          <w:sz w:val="20"/>
          <w:szCs w:val="20"/>
        </w:rPr>
        <w:t xml:space="preserve"> to pursue its investment programme</w:t>
      </w:r>
      <w:r>
        <w:rPr>
          <w:rFonts w:ascii="Times New Roman" w:hAnsi="Times New Roman" w:cs="Times New Roman"/>
          <w:sz w:val="20"/>
          <w:szCs w:val="20"/>
        </w:rPr>
        <w:t>.</w:t>
      </w:r>
      <w:r w:rsidR="00DC0FC0" w:rsidRPr="00BC17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="00DC0FC0" w:rsidRPr="00BC170F">
        <w:rPr>
          <w:rFonts w:ascii="Times New Roman" w:hAnsi="Times New Roman" w:cs="Times New Roman"/>
          <w:sz w:val="20"/>
          <w:szCs w:val="20"/>
        </w:rPr>
        <w:t>ublic investment decreas</w:t>
      </w:r>
      <w:r>
        <w:rPr>
          <w:rFonts w:ascii="Times New Roman" w:hAnsi="Times New Roman" w:cs="Times New Roman"/>
          <w:sz w:val="20"/>
          <w:szCs w:val="20"/>
        </w:rPr>
        <w:t>ed</w:t>
      </w:r>
      <w:r w:rsidR="00DC0FC0" w:rsidRPr="00BC170F">
        <w:rPr>
          <w:rFonts w:ascii="Times New Roman" w:hAnsi="Times New Roman" w:cs="Times New Roman"/>
          <w:sz w:val="20"/>
          <w:szCs w:val="20"/>
        </w:rPr>
        <w:t xml:space="preserve"> from 6.7 per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0FC0" w:rsidRPr="00BC170F">
        <w:rPr>
          <w:rFonts w:ascii="Times New Roman" w:hAnsi="Times New Roman" w:cs="Times New Roman"/>
          <w:sz w:val="20"/>
          <w:szCs w:val="20"/>
        </w:rPr>
        <w:t xml:space="preserve">cent of </w:t>
      </w:r>
      <w:r>
        <w:rPr>
          <w:rFonts w:ascii="Times New Roman" w:hAnsi="Times New Roman" w:cs="Times New Roman"/>
          <w:sz w:val="20"/>
          <w:szCs w:val="20"/>
        </w:rPr>
        <w:t>gross domestic product (</w:t>
      </w:r>
      <w:r w:rsidR="00DC0FC0" w:rsidRPr="00BC170F">
        <w:rPr>
          <w:rFonts w:ascii="Times New Roman" w:hAnsi="Times New Roman" w:cs="Times New Roman"/>
          <w:sz w:val="20"/>
          <w:szCs w:val="20"/>
        </w:rPr>
        <w:t>GDP</w:t>
      </w:r>
      <w:r>
        <w:rPr>
          <w:rFonts w:ascii="Times New Roman" w:hAnsi="Times New Roman" w:cs="Times New Roman"/>
          <w:sz w:val="20"/>
          <w:szCs w:val="20"/>
        </w:rPr>
        <w:t>)</w:t>
      </w:r>
      <w:r w:rsidR="00DC0FC0" w:rsidRPr="00BC170F">
        <w:rPr>
          <w:rFonts w:ascii="Times New Roman" w:hAnsi="Times New Roman" w:cs="Times New Roman"/>
          <w:sz w:val="20"/>
          <w:szCs w:val="20"/>
        </w:rPr>
        <w:t xml:space="preserve"> in 2014 to 4.9 per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0FC0" w:rsidRPr="00BC170F">
        <w:rPr>
          <w:rFonts w:ascii="Times New Roman" w:hAnsi="Times New Roman" w:cs="Times New Roman"/>
          <w:sz w:val="20"/>
          <w:szCs w:val="20"/>
        </w:rPr>
        <w:t>cent in 2016</w:t>
      </w:r>
      <w:r>
        <w:rPr>
          <w:rFonts w:ascii="Times New Roman" w:hAnsi="Times New Roman" w:cs="Times New Roman"/>
          <w:sz w:val="20"/>
          <w:szCs w:val="20"/>
        </w:rPr>
        <w:t>.</w:t>
      </w:r>
      <w:r w:rsidR="00DC0FC0" w:rsidRPr="00BC170F">
        <w:rPr>
          <w:rFonts w:ascii="Times New Roman" w:hAnsi="Times New Roman" w:cs="Times New Roman"/>
          <w:sz w:val="20"/>
          <w:szCs w:val="20"/>
          <w:vertAlign w:val="superscript"/>
        </w:rPr>
        <w:footnoteReference w:id="22"/>
      </w:r>
      <w:r w:rsidR="00DC0FC0">
        <w:rPr>
          <w:rFonts w:ascii="Times New Roman" w:hAnsi="Times New Roman" w:cs="Times New Roman"/>
          <w:sz w:val="20"/>
          <w:szCs w:val="20"/>
        </w:rPr>
        <w:t xml:space="preserve"> </w:t>
      </w:r>
      <w:r w:rsidR="00B521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r</w:t>
      </w:r>
      <w:r w:rsidR="00DC0FC0" w:rsidRPr="00BC170F">
        <w:rPr>
          <w:rFonts w:ascii="Times New Roman" w:hAnsi="Times New Roman" w:cs="Times New Roman"/>
          <w:sz w:val="20"/>
          <w:szCs w:val="20"/>
        </w:rPr>
        <w:t>eal GDP growth rate dropped from 7.1 per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0FC0" w:rsidRPr="00BC170F">
        <w:rPr>
          <w:rFonts w:ascii="Times New Roman" w:hAnsi="Times New Roman" w:cs="Times New Roman"/>
          <w:sz w:val="20"/>
          <w:szCs w:val="20"/>
        </w:rPr>
        <w:t>cent in 2011</w:t>
      </w:r>
      <w:r w:rsidR="00DC0FC0" w:rsidRPr="00BC170F">
        <w:rPr>
          <w:rFonts w:ascii="Times New Roman" w:hAnsi="Times New Roman" w:cs="Times New Roman"/>
          <w:sz w:val="20"/>
          <w:szCs w:val="20"/>
          <w:vertAlign w:val="superscript"/>
        </w:rPr>
        <w:footnoteReference w:id="23"/>
      </w:r>
      <w:r w:rsidR="00DC0FC0" w:rsidRPr="00BC170F">
        <w:rPr>
          <w:rFonts w:ascii="Times New Roman" w:hAnsi="Times New Roman" w:cs="Times New Roman"/>
          <w:sz w:val="20"/>
          <w:szCs w:val="20"/>
        </w:rPr>
        <w:t xml:space="preserve"> to 2.1 per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0FC0" w:rsidRPr="00BC170F">
        <w:rPr>
          <w:rFonts w:ascii="Times New Roman" w:hAnsi="Times New Roman" w:cs="Times New Roman"/>
          <w:sz w:val="20"/>
          <w:szCs w:val="20"/>
        </w:rPr>
        <w:t>cent in 2016 and is expected to decline to 1.1 per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0FC0" w:rsidRPr="00BC170F">
        <w:rPr>
          <w:rFonts w:ascii="Times New Roman" w:hAnsi="Times New Roman" w:cs="Times New Roman"/>
          <w:sz w:val="20"/>
          <w:szCs w:val="20"/>
        </w:rPr>
        <w:t>cent in 2017</w:t>
      </w:r>
      <w:r>
        <w:rPr>
          <w:rFonts w:ascii="Times New Roman" w:hAnsi="Times New Roman" w:cs="Times New Roman"/>
          <w:sz w:val="20"/>
          <w:szCs w:val="20"/>
        </w:rPr>
        <w:t>.</w:t>
      </w:r>
      <w:r w:rsidR="00DC0FC0" w:rsidRPr="00BC170F">
        <w:rPr>
          <w:rFonts w:ascii="Times New Roman" w:hAnsi="Times New Roman" w:cs="Times New Roman"/>
          <w:sz w:val="20"/>
          <w:szCs w:val="20"/>
          <w:vertAlign w:val="superscript"/>
        </w:rPr>
        <w:footnoteReference w:id="24"/>
      </w:r>
      <w:r w:rsidR="00DC0FC0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B5012C">
        <w:rPr>
          <w:rFonts w:ascii="Times New Roman" w:hAnsi="Times New Roman" w:cs="Times New Roman"/>
          <w:sz w:val="20"/>
          <w:szCs w:val="20"/>
        </w:rPr>
        <w:t>R</w:t>
      </w:r>
      <w:r w:rsidR="00DC0FC0">
        <w:rPr>
          <w:rFonts w:ascii="Times New Roman" w:hAnsi="Times New Roman" w:cs="Times New Roman"/>
          <w:sz w:val="20"/>
          <w:szCs w:val="20"/>
        </w:rPr>
        <w:t xml:space="preserve">educed financial room for </w:t>
      </w:r>
      <w:r w:rsidR="0009121B">
        <w:rPr>
          <w:rFonts w:ascii="Times New Roman" w:hAnsi="Times New Roman" w:cs="Times New Roman"/>
          <w:sz w:val="20"/>
          <w:szCs w:val="20"/>
        </w:rPr>
        <w:t>maneuvering</w:t>
      </w:r>
      <w:r w:rsidR="00DC0FC0">
        <w:rPr>
          <w:rFonts w:ascii="Times New Roman" w:hAnsi="Times New Roman" w:cs="Times New Roman"/>
          <w:sz w:val="20"/>
          <w:szCs w:val="20"/>
        </w:rPr>
        <w:t xml:space="preserve"> has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0FC0">
        <w:rPr>
          <w:rFonts w:ascii="Times New Roman" w:hAnsi="Times New Roman" w:cs="Times New Roman"/>
          <w:sz w:val="20"/>
          <w:szCs w:val="20"/>
        </w:rPr>
        <w:t xml:space="preserve">led to strikes and rising tensions in the education </w:t>
      </w:r>
      <w:r>
        <w:rPr>
          <w:rFonts w:ascii="Times New Roman" w:hAnsi="Times New Roman" w:cs="Times New Roman"/>
          <w:sz w:val="20"/>
          <w:szCs w:val="20"/>
        </w:rPr>
        <w:t>and</w:t>
      </w:r>
      <w:r w:rsidR="00DC0FC0">
        <w:rPr>
          <w:rFonts w:ascii="Times New Roman" w:hAnsi="Times New Roman" w:cs="Times New Roman"/>
          <w:sz w:val="20"/>
          <w:szCs w:val="20"/>
        </w:rPr>
        <w:t xml:space="preserve"> financial </w:t>
      </w:r>
      <w:r>
        <w:rPr>
          <w:rFonts w:ascii="Times New Roman" w:hAnsi="Times New Roman" w:cs="Times New Roman"/>
          <w:sz w:val="20"/>
          <w:szCs w:val="20"/>
        </w:rPr>
        <w:t>sectors</w:t>
      </w:r>
      <w:r w:rsidR="00DC0FC0">
        <w:rPr>
          <w:rFonts w:ascii="Times New Roman" w:hAnsi="Times New Roman" w:cs="Times New Roman"/>
          <w:sz w:val="20"/>
          <w:szCs w:val="20"/>
        </w:rPr>
        <w:t xml:space="preserve">. </w:t>
      </w:r>
      <w:r w:rsidR="0021752F" w:rsidRPr="008A4444">
        <w:rPr>
          <w:rFonts w:ascii="Times New Roman" w:hAnsi="Times New Roman" w:cs="Times New Roman"/>
          <w:sz w:val="20"/>
          <w:szCs w:val="20"/>
        </w:rPr>
        <w:t xml:space="preserve">Meanwhile, Gabon is contending </w:t>
      </w:r>
      <w:r w:rsidR="0021752F" w:rsidRPr="003E2FDD">
        <w:rPr>
          <w:rFonts w:ascii="Times New Roman" w:hAnsi="Times New Roman" w:cs="Times New Roman"/>
          <w:sz w:val="20"/>
          <w:szCs w:val="20"/>
        </w:rPr>
        <w:t xml:space="preserve">with the aftermath of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E2FDD">
        <w:rPr>
          <w:rFonts w:ascii="Times New Roman" w:hAnsi="Times New Roman" w:cs="Times New Roman"/>
          <w:sz w:val="20"/>
          <w:szCs w:val="20"/>
        </w:rPr>
        <w:t xml:space="preserve"> </w:t>
      </w:r>
      <w:r w:rsidR="0021752F" w:rsidRPr="003E2FDD">
        <w:rPr>
          <w:rFonts w:ascii="Times New Roman" w:hAnsi="Times New Roman" w:cs="Times New Roman"/>
          <w:sz w:val="20"/>
          <w:szCs w:val="20"/>
        </w:rPr>
        <w:t xml:space="preserve">political crisis that followed the </w:t>
      </w:r>
      <w:r w:rsidR="001B497C" w:rsidRPr="00C877BD">
        <w:rPr>
          <w:rFonts w:ascii="Times New Roman" w:hAnsi="Times New Roman" w:cs="Times New Roman"/>
          <w:sz w:val="20"/>
          <w:szCs w:val="20"/>
          <w:lang w:val="en-GB"/>
        </w:rPr>
        <w:t xml:space="preserve">disputed </w:t>
      </w:r>
      <w:r w:rsidR="0021752F" w:rsidRPr="003E2FDD">
        <w:rPr>
          <w:rFonts w:ascii="Times New Roman" w:hAnsi="Times New Roman" w:cs="Times New Roman"/>
          <w:sz w:val="20"/>
          <w:szCs w:val="20"/>
        </w:rPr>
        <w:t xml:space="preserve">2016 elections. In response, the </w:t>
      </w:r>
      <w:r>
        <w:rPr>
          <w:rFonts w:ascii="Times New Roman" w:hAnsi="Times New Roman" w:cs="Times New Roman"/>
          <w:sz w:val="20"/>
          <w:szCs w:val="20"/>
        </w:rPr>
        <w:t>g</w:t>
      </w:r>
      <w:r w:rsidR="0021752F" w:rsidRPr="003E2FDD">
        <w:rPr>
          <w:rFonts w:ascii="Times New Roman" w:hAnsi="Times New Roman" w:cs="Times New Roman"/>
          <w:sz w:val="20"/>
          <w:szCs w:val="20"/>
        </w:rPr>
        <w:t>overnment launched a national dialogue in May 2017. Legislative elections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1752F" w:rsidRPr="003E2FDD">
        <w:rPr>
          <w:rFonts w:ascii="Times New Roman" w:hAnsi="Times New Roman" w:cs="Times New Roman"/>
          <w:sz w:val="20"/>
          <w:szCs w:val="20"/>
        </w:rPr>
        <w:t xml:space="preserve">planned for July 2017 have been postponed to 2018. </w:t>
      </w:r>
    </w:p>
    <w:p w14:paraId="3B3A2173" w14:textId="77777777" w:rsidR="009223EF" w:rsidRPr="00680516" w:rsidRDefault="00496B61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E5E3B" w:rsidRPr="00680516">
        <w:rPr>
          <w:rFonts w:ascii="Times New Roman" w:hAnsi="Times New Roman" w:cs="Times New Roman"/>
          <w:sz w:val="20"/>
          <w:szCs w:val="20"/>
        </w:rPr>
        <w:t>In response to these development challenges</w:t>
      </w:r>
      <w:r w:rsidRPr="00680516">
        <w:rPr>
          <w:rFonts w:ascii="Times New Roman" w:hAnsi="Times New Roman" w:cs="Times New Roman"/>
          <w:sz w:val="20"/>
          <w:szCs w:val="20"/>
        </w:rPr>
        <w:t>,</w:t>
      </w:r>
      <w:r w:rsidR="005E5E3B" w:rsidRPr="00680516">
        <w:rPr>
          <w:rFonts w:ascii="Times New Roman" w:hAnsi="Times New Roman" w:cs="Times New Roman"/>
          <w:sz w:val="20"/>
          <w:szCs w:val="20"/>
        </w:rPr>
        <w:t xml:space="preserve"> the</w:t>
      </w:r>
      <w:r w:rsidR="0008177C" w:rsidRPr="00680516">
        <w:rPr>
          <w:rFonts w:ascii="Times New Roman" w:hAnsi="Times New Roman" w:cs="Times New Roman"/>
          <w:sz w:val="20"/>
          <w:szCs w:val="20"/>
        </w:rPr>
        <w:t xml:space="preserve"> </w:t>
      </w:r>
      <w:r w:rsidRPr="00680516">
        <w:rPr>
          <w:rFonts w:ascii="Times New Roman" w:hAnsi="Times New Roman" w:cs="Times New Roman"/>
          <w:sz w:val="20"/>
          <w:szCs w:val="20"/>
        </w:rPr>
        <w:t xml:space="preserve">Strategic Plan for </w:t>
      </w:r>
      <w:r w:rsidR="0008177C" w:rsidRPr="00680516">
        <w:rPr>
          <w:rFonts w:ascii="Times New Roman" w:hAnsi="Times New Roman" w:cs="Times New Roman"/>
          <w:sz w:val="20"/>
          <w:szCs w:val="20"/>
        </w:rPr>
        <w:t xml:space="preserve">an Emerging </w:t>
      </w:r>
      <w:r w:rsidRPr="00680516">
        <w:rPr>
          <w:rFonts w:ascii="Times New Roman" w:hAnsi="Times New Roman" w:cs="Times New Roman"/>
          <w:sz w:val="20"/>
          <w:szCs w:val="20"/>
        </w:rPr>
        <w:t>Gabon</w:t>
      </w:r>
      <w:r w:rsidR="005E5E3B" w:rsidRPr="00680516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680516">
        <w:rPr>
          <w:rFonts w:ascii="Times New Roman" w:hAnsi="Times New Roman" w:cs="Times New Roman"/>
          <w:sz w:val="20"/>
          <w:szCs w:val="20"/>
        </w:rPr>
        <w:t>(PSGE) 2011-2025 and its sub-programme</w:t>
      </w:r>
      <w:r w:rsidR="000F75F9" w:rsidRPr="00680516">
        <w:rPr>
          <w:rFonts w:ascii="Times New Roman" w:hAnsi="Times New Roman" w:cs="Times New Roman"/>
          <w:sz w:val="20"/>
          <w:szCs w:val="20"/>
        </w:rPr>
        <w:t>,</w:t>
      </w:r>
      <w:r w:rsidR="002F684B" w:rsidRPr="00680516">
        <w:rPr>
          <w:rFonts w:ascii="Times New Roman" w:hAnsi="Times New Roman" w:cs="Times New Roman"/>
          <w:sz w:val="20"/>
          <w:szCs w:val="20"/>
        </w:rPr>
        <w:t xml:space="preserve"> the </w:t>
      </w:r>
      <w:r w:rsidRPr="00680516">
        <w:rPr>
          <w:rFonts w:ascii="Times New Roman" w:hAnsi="Times New Roman" w:cs="Times New Roman"/>
          <w:sz w:val="20"/>
          <w:szCs w:val="20"/>
        </w:rPr>
        <w:t xml:space="preserve">Equal Opportunities Programme </w:t>
      </w:r>
      <w:r w:rsidR="002F684B" w:rsidRPr="00680516">
        <w:rPr>
          <w:rFonts w:ascii="Times New Roman" w:hAnsi="Times New Roman" w:cs="Times New Roman"/>
          <w:sz w:val="20"/>
          <w:szCs w:val="20"/>
        </w:rPr>
        <w:t>2016-2020</w:t>
      </w:r>
      <w:r w:rsidR="000F75F9" w:rsidRPr="00680516">
        <w:rPr>
          <w:rFonts w:ascii="Times New Roman" w:hAnsi="Times New Roman" w:cs="Times New Roman"/>
          <w:sz w:val="20"/>
          <w:szCs w:val="20"/>
        </w:rPr>
        <w:t>,</w:t>
      </w:r>
      <w:r w:rsidR="002F684B" w:rsidRPr="00680516">
        <w:rPr>
          <w:rFonts w:ascii="Times New Roman" w:hAnsi="Times New Roman" w:cs="Times New Roman"/>
          <w:sz w:val="20"/>
          <w:szCs w:val="20"/>
        </w:rPr>
        <w:t xml:space="preserve"> are </w:t>
      </w:r>
      <w:r w:rsidRPr="00680516">
        <w:rPr>
          <w:rFonts w:ascii="Times New Roman" w:hAnsi="Times New Roman" w:cs="Times New Roman"/>
          <w:sz w:val="20"/>
          <w:szCs w:val="20"/>
        </w:rPr>
        <w:t>government</w:t>
      </w:r>
      <w:r w:rsidR="00B5012C" w:rsidRPr="00680516">
        <w:rPr>
          <w:rFonts w:ascii="Times New Roman" w:hAnsi="Times New Roman" w:cs="Times New Roman"/>
          <w:sz w:val="20"/>
          <w:szCs w:val="20"/>
        </w:rPr>
        <w:t>-established</w:t>
      </w:r>
      <w:r w:rsidRPr="00680516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680516">
        <w:rPr>
          <w:rFonts w:ascii="Times New Roman" w:hAnsi="Times New Roman" w:cs="Times New Roman"/>
          <w:sz w:val="20"/>
          <w:szCs w:val="20"/>
        </w:rPr>
        <w:t xml:space="preserve">initiatives </w:t>
      </w:r>
      <w:r w:rsidR="002F684B" w:rsidRPr="006805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that demonstrate a commitment to making prosperity inclusive, </w:t>
      </w:r>
      <w:r w:rsidR="00B5012C" w:rsidRPr="006805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 </w:t>
      </w:r>
      <w:r w:rsidR="002F684B" w:rsidRPr="006805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aligned with </w:t>
      </w:r>
      <w:r w:rsidR="002F684B" w:rsidRPr="00680516">
        <w:rPr>
          <w:rFonts w:ascii="Times New Roman" w:hAnsi="Times New Roman" w:cs="Times New Roman"/>
          <w:sz w:val="20"/>
          <w:szCs w:val="20"/>
        </w:rPr>
        <w:t>the Sustainable Development Goals (SDGs) and Agenda 2063 of the African Union.</w:t>
      </w:r>
      <w:r w:rsidR="00533E16" w:rsidRPr="00680516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680516">
        <w:rPr>
          <w:rFonts w:ascii="Times New Roman" w:hAnsi="Times New Roman" w:cs="Times New Roman"/>
          <w:sz w:val="20"/>
          <w:szCs w:val="20"/>
        </w:rPr>
        <w:t xml:space="preserve">The </w:t>
      </w:r>
      <w:r w:rsidRPr="00680516">
        <w:rPr>
          <w:rFonts w:ascii="Times New Roman" w:hAnsi="Times New Roman" w:cs="Times New Roman"/>
          <w:sz w:val="20"/>
          <w:szCs w:val="20"/>
        </w:rPr>
        <w:t>g</w:t>
      </w:r>
      <w:r w:rsidR="002F684B" w:rsidRPr="00680516">
        <w:rPr>
          <w:rFonts w:ascii="Times New Roman" w:hAnsi="Times New Roman" w:cs="Times New Roman"/>
          <w:sz w:val="20"/>
          <w:szCs w:val="20"/>
        </w:rPr>
        <w:t xml:space="preserve">overnment initiated a process to mainstream the SDGs </w:t>
      </w:r>
      <w:r w:rsidRPr="00680516">
        <w:rPr>
          <w:rFonts w:ascii="Times New Roman" w:hAnsi="Times New Roman" w:cs="Times New Roman"/>
          <w:sz w:val="20"/>
          <w:szCs w:val="20"/>
        </w:rPr>
        <w:t>and</w:t>
      </w:r>
      <w:r w:rsidR="002F684B" w:rsidRPr="00680516">
        <w:rPr>
          <w:rFonts w:ascii="Times New Roman" w:hAnsi="Times New Roman" w:cs="Times New Roman"/>
          <w:sz w:val="20"/>
          <w:szCs w:val="20"/>
        </w:rPr>
        <w:t xml:space="preserve"> Agenda 2063 with the </w:t>
      </w:r>
      <w:r w:rsidR="002E33B0" w:rsidRPr="00680516">
        <w:rPr>
          <w:rFonts w:ascii="Times New Roman" w:hAnsi="Times New Roman" w:cs="Times New Roman"/>
          <w:sz w:val="20"/>
          <w:szCs w:val="20"/>
        </w:rPr>
        <w:t>second phase of the PSGE</w:t>
      </w:r>
      <w:r w:rsidR="002F684B" w:rsidRPr="00680516">
        <w:rPr>
          <w:rFonts w:ascii="Times New Roman" w:hAnsi="Times New Roman" w:cs="Times New Roman"/>
          <w:sz w:val="20"/>
          <w:szCs w:val="20"/>
        </w:rPr>
        <w:t xml:space="preserve">. The PSGE </w:t>
      </w:r>
      <w:r w:rsidRPr="00680516">
        <w:rPr>
          <w:rFonts w:ascii="Times New Roman" w:hAnsi="Times New Roman" w:cs="Times New Roman"/>
          <w:sz w:val="20"/>
          <w:szCs w:val="20"/>
        </w:rPr>
        <w:t>is</w:t>
      </w:r>
      <w:r w:rsidR="002F684B" w:rsidRPr="00680516">
        <w:rPr>
          <w:rFonts w:ascii="Times New Roman" w:hAnsi="Times New Roman" w:cs="Times New Roman"/>
          <w:sz w:val="20"/>
          <w:szCs w:val="20"/>
        </w:rPr>
        <w:t xml:space="preserve"> </w:t>
      </w:r>
      <w:r w:rsidRPr="00680516">
        <w:rPr>
          <w:rFonts w:ascii="Times New Roman" w:hAnsi="Times New Roman" w:cs="Times New Roman"/>
          <w:sz w:val="20"/>
          <w:szCs w:val="20"/>
        </w:rPr>
        <w:t>focused on the</w:t>
      </w:r>
      <w:r w:rsidR="002F684B" w:rsidRPr="00680516">
        <w:rPr>
          <w:rFonts w:ascii="Times New Roman" w:hAnsi="Times New Roman" w:cs="Times New Roman"/>
          <w:sz w:val="20"/>
          <w:szCs w:val="20"/>
        </w:rPr>
        <w:t xml:space="preserve"> economic emergence </w:t>
      </w:r>
      <w:r w:rsidRPr="00680516">
        <w:rPr>
          <w:rFonts w:ascii="Times New Roman" w:hAnsi="Times New Roman" w:cs="Times New Roman"/>
          <w:sz w:val="20"/>
          <w:szCs w:val="20"/>
        </w:rPr>
        <w:t xml:space="preserve">of </w:t>
      </w:r>
      <w:r w:rsidR="002F684B" w:rsidRPr="00680516">
        <w:rPr>
          <w:rFonts w:ascii="Times New Roman" w:hAnsi="Times New Roman" w:cs="Times New Roman"/>
          <w:sz w:val="20"/>
          <w:szCs w:val="20"/>
        </w:rPr>
        <w:t>Gabon by 2025</w:t>
      </w:r>
      <w:r w:rsidRPr="00680516">
        <w:rPr>
          <w:rFonts w:ascii="Times New Roman" w:hAnsi="Times New Roman" w:cs="Times New Roman"/>
          <w:sz w:val="20"/>
          <w:szCs w:val="20"/>
        </w:rPr>
        <w:t>,</w:t>
      </w:r>
      <w:r w:rsidR="002F684B" w:rsidRPr="00680516">
        <w:rPr>
          <w:rFonts w:ascii="Times New Roman" w:hAnsi="Times New Roman" w:cs="Times New Roman"/>
          <w:sz w:val="20"/>
          <w:szCs w:val="20"/>
        </w:rPr>
        <w:t xml:space="preserve"> </w:t>
      </w:r>
      <w:r w:rsidRPr="00680516">
        <w:rPr>
          <w:rFonts w:ascii="Times New Roman" w:hAnsi="Times New Roman" w:cs="Times New Roman"/>
          <w:sz w:val="20"/>
          <w:szCs w:val="20"/>
        </w:rPr>
        <w:t xml:space="preserve">along with </w:t>
      </w:r>
      <w:r w:rsidR="002F684B" w:rsidRPr="00680516">
        <w:rPr>
          <w:rFonts w:ascii="Times New Roman" w:hAnsi="Times New Roman" w:cs="Times New Roman"/>
          <w:sz w:val="20"/>
          <w:szCs w:val="20"/>
        </w:rPr>
        <w:t>acceleration and economic diversification, poverty reduction</w:t>
      </w:r>
      <w:r w:rsidRPr="00680516">
        <w:rPr>
          <w:rFonts w:ascii="Times New Roman" w:hAnsi="Times New Roman" w:cs="Times New Roman"/>
          <w:sz w:val="20"/>
          <w:szCs w:val="20"/>
        </w:rPr>
        <w:t xml:space="preserve">, </w:t>
      </w:r>
      <w:r w:rsidR="002F684B" w:rsidRPr="00680516">
        <w:rPr>
          <w:rFonts w:ascii="Times New Roman" w:hAnsi="Times New Roman" w:cs="Times New Roman"/>
          <w:sz w:val="20"/>
          <w:szCs w:val="20"/>
        </w:rPr>
        <w:t xml:space="preserve">reducing societal inequalities, infrastructure development, and </w:t>
      </w:r>
      <w:r w:rsidRPr="00680516">
        <w:rPr>
          <w:rFonts w:ascii="Times New Roman" w:hAnsi="Times New Roman" w:cs="Times New Roman"/>
          <w:sz w:val="20"/>
          <w:szCs w:val="20"/>
        </w:rPr>
        <w:t xml:space="preserve">the </w:t>
      </w:r>
      <w:r w:rsidR="002F684B" w:rsidRPr="00680516">
        <w:rPr>
          <w:rFonts w:ascii="Times New Roman" w:hAnsi="Times New Roman" w:cs="Times New Roman"/>
          <w:sz w:val="20"/>
          <w:szCs w:val="20"/>
        </w:rPr>
        <w:t>sustainable management of resources for future generations.</w:t>
      </w:r>
      <w:r w:rsidR="00533E16" w:rsidRPr="006805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221504" w14:textId="77777777" w:rsidR="002F684B" w:rsidRPr="00BC170F" w:rsidRDefault="00496B61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680516">
        <w:rPr>
          <w:rFonts w:ascii="Times New Roman" w:hAnsi="Times New Roman" w:cs="Times New Roman"/>
          <w:sz w:val="20"/>
          <w:szCs w:val="20"/>
        </w:rPr>
        <w:t xml:space="preserve">  </w:t>
      </w:r>
      <w:r w:rsidR="009223EF" w:rsidRPr="00680516">
        <w:rPr>
          <w:rFonts w:ascii="Times New Roman" w:hAnsi="Times New Roman" w:cs="Times New Roman"/>
          <w:sz w:val="20"/>
          <w:szCs w:val="20"/>
        </w:rPr>
        <w:t xml:space="preserve">While strong development policy and planning frameworks are in place at the national level, </w:t>
      </w:r>
      <w:r w:rsidR="00AC107A" w:rsidRPr="00680516">
        <w:rPr>
          <w:rFonts w:ascii="Times New Roman" w:hAnsi="Times New Roman" w:cs="Times New Roman"/>
          <w:sz w:val="20"/>
          <w:szCs w:val="20"/>
        </w:rPr>
        <w:t>using them to</w:t>
      </w:r>
      <w:r w:rsidRPr="00680516">
        <w:rPr>
          <w:rFonts w:ascii="Times New Roman" w:hAnsi="Times New Roman" w:cs="Times New Roman"/>
          <w:sz w:val="20"/>
          <w:szCs w:val="20"/>
        </w:rPr>
        <w:t xml:space="preserve"> </w:t>
      </w:r>
      <w:r w:rsidR="009223EF" w:rsidRPr="00680516">
        <w:rPr>
          <w:rFonts w:ascii="Times New Roman" w:hAnsi="Times New Roman" w:cs="Times New Roman"/>
          <w:sz w:val="20"/>
          <w:szCs w:val="20"/>
        </w:rPr>
        <w:t>achiev</w:t>
      </w:r>
      <w:r w:rsidR="00AC107A" w:rsidRPr="00680516">
        <w:rPr>
          <w:rFonts w:ascii="Times New Roman" w:hAnsi="Times New Roman" w:cs="Times New Roman"/>
          <w:sz w:val="20"/>
          <w:szCs w:val="20"/>
        </w:rPr>
        <w:t>e</w:t>
      </w:r>
      <w:r w:rsidR="009223EF" w:rsidRPr="00680516">
        <w:rPr>
          <w:rFonts w:ascii="Times New Roman" w:hAnsi="Times New Roman" w:cs="Times New Roman"/>
          <w:sz w:val="20"/>
          <w:szCs w:val="20"/>
        </w:rPr>
        <w:t xml:space="preserve"> greater coherence in policy formulation, particularly </w:t>
      </w:r>
      <w:r w:rsidRPr="00680516">
        <w:rPr>
          <w:rFonts w:ascii="Times New Roman" w:hAnsi="Times New Roman" w:cs="Times New Roman"/>
          <w:sz w:val="20"/>
          <w:szCs w:val="20"/>
        </w:rPr>
        <w:t>SDG and Agenda</w:t>
      </w:r>
      <w:r w:rsidR="009223EF" w:rsidRPr="00680516">
        <w:rPr>
          <w:rFonts w:ascii="Times New Roman" w:hAnsi="Times New Roman" w:cs="Times New Roman"/>
          <w:sz w:val="20"/>
          <w:szCs w:val="20"/>
        </w:rPr>
        <w:t xml:space="preserve"> 2063 </w:t>
      </w:r>
      <w:r w:rsidRPr="00680516">
        <w:rPr>
          <w:rFonts w:ascii="Times New Roman" w:hAnsi="Times New Roman" w:cs="Times New Roman"/>
          <w:sz w:val="20"/>
          <w:szCs w:val="20"/>
        </w:rPr>
        <w:t>integration</w:t>
      </w:r>
      <w:r w:rsidR="009223EF" w:rsidRPr="00680516">
        <w:rPr>
          <w:rFonts w:ascii="Times New Roman" w:hAnsi="Times New Roman" w:cs="Times New Roman"/>
          <w:sz w:val="20"/>
          <w:szCs w:val="20"/>
        </w:rPr>
        <w:t xml:space="preserve"> into the PSGE</w:t>
      </w:r>
      <w:r w:rsidRPr="00680516">
        <w:rPr>
          <w:rFonts w:ascii="Times New Roman" w:hAnsi="Times New Roman" w:cs="Times New Roman"/>
          <w:sz w:val="20"/>
          <w:szCs w:val="20"/>
        </w:rPr>
        <w:t xml:space="preserve">, is </w:t>
      </w:r>
      <w:r w:rsidR="009223EF" w:rsidRPr="00680516">
        <w:rPr>
          <w:rFonts w:ascii="Times New Roman" w:hAnsi="Times New Roman" w:cs="Times New Roman"/>
          <w:sz w:val="20"/>
          <w:szCs w:val="20"/>
        </w:rPr>
        <w:t xml:space="preserve">a challenge. </w:t>
      </w:r>
      <w:r w:rsidRPr="00680516">
        <w:rPr>
          <w:rFonts w:ascii="Times New Roman" w:hAnsi="Times New Roman" w:cs="Times New Roman"/>
          <w:sz w:val="20"/>
          <w:szCs w:val="20"/>
        </w:rPr>
        <w:t>S</w:t>
      </w:r>
      <w:r w:rsidR="00B91CE1" w:rsidRPr="00680516">
        <w:rPr>
          <w:rFonts w:ascii="Times New Roman" w:hAnsi="Times New Roman" w:cs="Times New Roman"/>
          <w:sz w:val="20"/>
          <w:szCs w:val="20"/>
        </w:rPr>
        <w:t>trong</w:t>
      </w:r>
      <w:r w:rsidRPr="00680516">
        <w:rPr>
          <w:rFonts w:ascii="Times New Roman" w:hAnsi="Times New Roman" w:cs="Times New Roman"/>
          <w:sz w:val="20"/>
          <w:szCs w:val="20"/>
        </w:rPr>
        <w:t>er</w:t>
      </w:r>
      <w:r w:rsidR="00B91CE1" w:rsidRPr="00680516">
        <w:rPr>
          <w:rFonts w:ascii="Times New Roman" w:hAnsi="Times New Roman" w:cs="Times New Roman"/>
          <w:sz w:val="20"/>
          <w:szCs w:val="20"/>
        </w:rPr>
        <w:t xml:space="preserve"> </w:t>
      </w:r>
      <w:r w:rsidR="009223EF" w:rsidRPr="00680516">
        <w:rPr>
          <w:rFonts w:ascii="Times New Roman" w:hAnsi="Times New Roman" w:cs="Times New Roman"/>
          <w:sz w:val="20"/>
          <w:szCs w:val="20"/>
        </w:rPr>
        <w:t>link</w:t>
      </w:r>
      <w:r w:rsidRPr="00680516">
        <w:rPr>
          <w:rFonts w:ascii="Times New Roman" w:hAnsi="Times New Roman" w:cs="Times New Roman"/>
          <w:sz w:val="20"/>
          <w:szCs w:val="20"/>
        </w:rPr>
        <w:t>s are needed</w:t>
      </w:r>
      <w:r w:rsidR="009223EF" w:rsidRPr="00680516">
        <w:rPr>
          <w:rFonts w:ascii="Times New Roman" w:hAnsi="Times New Roman" w:cs="Times New Roman"/>
          <w:sz w:val="20"/>
          <w:szCs w:val="20"/>
        </w:rPr>
        <w:t xml:space="preserve"> between national and local levels </w:t>
      </w:r>
      <w:r w:rsidRPr="00680516">
        <w:rPr>
          <w:rFonts w:ascii="Times New Roman" w:hAnsi="Times New Roman" w:cs="Times New Roman"/>
          <w:sz w:val="20"/>
          <w:szCs w:val="20"/>
        </w:rPr>
        <w:t xml:space="preserve">for the </w:t>
      </w:r>
      <w:r w:rsidR="009223EF" w:rsidRPr="00680516">
        <w:rPr>
          <w:rFonts w:ascii="Times New Roman" w:hAnsi="Times New Roman" w:cs="Times New Roman"/>
          <w:sz w:val="20"/>
          <w:szCs w:val="20"/>
        </w:rPr>
        <w:t>planning and implementation</w:t>
      </w:r>
      <w:r w:rsidRPr="00680516">
        <w:rPr>
          <w:rFonts w:ascii="Times New Roman" w:hAnsi="Times New Roman" w:cs="Times New Roman"/>
          <w:sz w:val="20"/>
          <w:szCs w:val="20"/>
        </w:rPr>
        <w:t xml:space="preserve"> of programmes</w:t>
      </w:r>
      <w:r w:rsidR="009223EF" w:rsidRPr="00680516">
        <w:rPr>
          <w:rFonts w:ascii="Times New Roman" w:hAnsi="Times New Roman" w:cs="Times New Roman"/>
          <w:sz w:val="20"/>
          <w:szCs w:val="20"/>
        </w:rPr>
        <w:t xml:space="preserve">. </w:t>
      </w:r>
      <w:r w:rsidRPr="00680516">
        <w:rPr>
          <w:rFonts w:ascii="Times New Roman" w:hAnsi="Times New Roman" w:cs="Times New Roman"/>
          <w:sz w:val="20"/>
          <w:szCs w:val="20"/>
        </w:rPr>
        <w:t>Additionally,</w:t>
      </w:r>
      <w:r w:rsidR="009223EF" w:rsidRPr="00680516">
        <w:rPr>
          <w:rFonts w:ascii="Times New Roman" w:hAnsi="Times New Roman" w:cs="Times New Roman"/>
          <w:sz w:val="20"/>
          <w:szCs w:val="20"/>
        </w:rPr>
        <w:t xml:space="preserve"> high-level policy advice</w:t>
      </w:r>
      <w:r w:rsidR="009223EF">
        <w:rPr>
          <w:rFonts w:ascii="Times New Roman" w:hAnsi="Times New Roman" w:cs="Times New Roman"/>
          <w:sz w:val="20"/>
          <w:szCs w:val="20"/>
        </w:rPr>
        <w:t xml:space="preserve"> on </w:t>
      </w:r>
      <w:r w:rsidR="009223EF" w:rsidRPr="00A135BF">
        <w:rPr>
          <w:rFonts w:ascii="Times New Roman" w:hAnsi="Times New Roman" w:cs="Times New Roman"/>
          <w:sz w:val="20"/>
          <w:szCs w:val="20"/>
        </w:rPr>
        <w:t xml:space="preserve">economic diversification and social services </w:t>
      </w:r>
      <w:r>
        <w:rPr>
          <w:rFonts w:ascii="Times New Roman" w:hAnsi="Times New Roman" w:cs="Times New Roman"/>
          <w:sz w:val="20"/>
          <w:szCs w:val="20"/>
        </w:rPr>
        <w:t>is</w:t>
      </w:r>
      <w:r w:rsidR="009223EF">
        <w:rPr>
          <w:rFonts w:ascii="Times New Roman" w:hAnsi="Times New Roman" w:cs="Times New Roman"/>
          <w:sz w:val="20"/>
          <w:szCs w:val="20"/>
        </w:rPr>
        <w:t xml:space="preserve"> required.</w:t>
      </w:r>
    </w:p>
    <w:p w14:paraId="768D04EE" w14:textId="77777777" w:rsidR="002F684B" w:rsidRPr="00BC170F" w:rsidRDefault="00496B61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UNDP </w:t>
      </w:r>
      <w:r w:rsidR="00CF5AB7">
        <w:rPr>
          <w:rFonts w:ascii="Times New Roman" w:hAnsi="Times New Roman" w:cs="Times New Roman"/>
          <w:sz w:val="20"/>
          <w:szCs w:val="20"/>
        </w:rPr>
        <w:t>support</w:t>
      </w:r>
      <w:r w:rsidR="00CF5AB7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over the last several years has focused on the local level </w:t>
      </w:r>
      <w:r w:rsidR="002F28AB">
        <w:rPr>
          <w:rFonts w:ascii="Times New Roman" w:hAnsi="Times New Roman" w:cs="Times New Roman"/>
          <w:sz w:val="20"/>
          <w:szCs w:val="20"/>
        </w:rPr>
        <w:t xml:space="preserve">and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strengthening </w:t>
      </w:r>
      <w:r w:rsidR="002F28AB">
        <w:rPr>
          <w:rFonts w:ascii="Times New Roman" w:hAnsi="Times New Roman" w:cs="Times New Roman"/>
          <w:sz w:val="20"/>
          <w:szCs w:val="20"/>
        </w:rPr>
        <w:t xml:space="preserve">the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capacities of institutions. The 2017 evaluation of </w:t>
      </w:r>
      <w:r w:rsidR="002F28AB">
        <w:rPr>
          <w:rFonts w:ascii="Times New Roman" w:hAnsi="Times New Roman" w:cs="Times New Roman"/>
          <w:sz w:val="20"/>
          <w:szCs w:val="20"/>
        </w:rPr>
        <w:t xml:space="preserve">the </w:t>
      </w:r>
      <w:r w:rsidR="002F684B" w:rsidRPr="00BC170F">
        <w:rPr>
          <w:rFonts w:ascii="Times New Roman" w:hAnsi="Times New Roman" w:cs="Times New Roman"/>
          <w:sz w:val="20"/>
          <w:szCs w:val="20"/>
        </w:rPr>
        <w:t>UNDP</w:t>
      </w:r>
      <w:r w:rsidR="002F28AB">
        <w:rPr>
          <w:rFonts w:ascii="Times New Roman" w:hAnsi="Times New Roman" w:cs="Times New Roman"/>
          <w:sz w:val="20"/>
          <w:szCs w:val="20"/>
        </w:rPr>
        <w:t xml:space="preserve">-Government of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Gabon flagship </w:t>
      </w:r>
      <w:r w:rsidR="002F28AB">
        <w:rPr>
          <w:rFonts w:ascii="Times New Roman" w:hAnsi="Times New Roman" w:cs="Times New Roman"/>
          <w:sz w:val="20"/>
          <w:szCs w:val="20"/>
        </w:rPr>
        <w:t>project</w:t>
      </w:r>
      <w:r w:rsidR="00124967">
        <w:rPr>
          <w:rFonts w:ascii="Times New Roman" w:hAnsi="Times New Roman" w:cs="Times New Roman"/>
          <w:sz w:val="20"/>
          <w:szCs w:val="20"/>
        </w:rPr>
        <w:t>,</w:t>
      </w:r>
      <w:r w:rsidR="002F28AB">
        <w:rPr>
          <w:rFonts w:ascii="Times New Roman" w:hAnsi="Times New Roman" w:cs="Times New Roman"/>
          <w:sz w:val="20"/>
          <w:szCs w:val="20"/>
        </w:rPr>
        <w:t xml:space="preserve"> </w:t>
      </w:r>
      <w:r w:rsidR="00124967" w:rsidRPr="00124967">
        <w:rPr>
          <w:rFonts w:ascii="Times New Roman" w:hAnsi="Times New Roman" w:cs="Times New Roman"/>
          <w:sz w:val="20"/>
          <w:szCs w:val="20"/>
        </w:rPr>
        <w:t>Articulation of Territorial and Thematic Networks for Governance and Local D</w:t>
      </w:r>
      <w:r w:rsidR="00124967" w:rsidRPr="0053227F">
        <w:rPr>
          <w:rFonts w:ascii="Times New Roman" w:hAnsi="Times New Roman" w:cs="Times New Roman"/>
          <w:sz w:val="20"/>
          <w:szCs w:val="20"/>
        </w:rPr>
        <w:t>evelopment</w:t>
      </w:r>
      <w:r w:rsidR="00124967">
        <w:rPr>
          <w:rFonts w:ascii="Times New Roman" w:hAnsi="Times New Roman" w:cs="Times New Roman"/>
          <w:sz w:val="20"/>
          <w:szCs w:val="20"/>
        </w:rPr>
        <w:t xml:space="preserve"> (</w:t>
      </w:r>
      <w:r w:rsidR="00124967" w:rsidRPr="00BC170F">
        <w:rPr>
          <w:rFonts w:ascii="Times New Roman" w:hAnsi="Times New Roman" w:cs="Times New Roman"/>
          <w:sz w:val="20"/>
          <w:szCs w:val="20"/>
        </w:rPr>
        <w:t>ART GOLD</w:t>
      </w:r>
      <w:r w:rsidR="00124967">
        <w:rPr>
          <w:rFonts w:ascii="Times New Roman" w:hAnsi="Times New Roman" w:cs="Times New Roman"/>
          <w:sz w:val="20"/>
          <w:szCs w:val="20"/>
        </w:rPr>
        <w:t>),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highlighted </w:t>
      </w:r>
      <w:r w:rsidR="00124967">
        <w:rPr>
          <w:rFonts w:ascii="Times New Roman" w:hAnsi="Times New Roman" w:cs="Times New Roman"/>
          <w:sz w:val="20"/>
          <w:szCs w:val="20"/>
        </w:rPr>
        <w:t>the</w:t>
      </w:r>
      <w:r w:rsidR="00124967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positive contribution</w:t>
      </w:r>
      <w:r w:rsidR="00124967">
        <w:rPr>
          <w:rFonts w:ascii="Times New Roman" w:hAnsi="Times New Roman" w:cs="Times New Roman"/>
          <w:sz w:val="20"/>
          <w:szCs w:val="20"/>
        </w:rPr>
        <w:t xml:space="preserve"> made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to strengthening basic social infrastructure and services in target areas. ART GOLD helped the </w:t>
      </w:r>
      <w:r w:rsidR="00124967">
        <w:rPr>
          <w:rFonts w:ascii="Times New Roman" w:hAnsi="Times New Roman" w:cs="Times New Roman"/>
          <w:sz w:val="20"/>
          <w:szCs w:val="20"/>
        </w:rPr>
        <w:t>government</w:t>
      </w:r>
      <w:r w:rsidR="00124967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124967">
        <w:rPr>
          <w:rFonts w:ascii="Times New Roman" w:hAnsi="Times New Roman" w:cs="Times New Roman"/>
          <w:sz w:val="20"/>
          <w:szCs w:val="20"/>
        </w:rPr>
        <w:t xml:space="preserve">rapidly </w:t>
      </w:r>
      <w:r w:rsidR="002F684B" w:rsidRPr="00BC170F">
        <w:rPr>
          <w:rFonts w:ascii="Times New Roman" w:hAnsi="Times New Roman" w:cs="Times New Roman"/>
          <w:sz w:val="20"/>
          <w:szCs w:val="20"/>
        </w:rPr>
        <w:t>respond to local needs by</w:t>
      </w:r>
      <w:r w:rsidR="00124967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providing classrooms, di</w:t>
      </w:r>
      <w:r w:rsidR="006F3006" w:rsidRPr="00BC170F">
        <w:rPr>
          <w:rFonts w:ascii="Times New Roman" w:hAnsi="Times New Roman" w:cs="Times New Roman"/>
          <w:sz w:val="20"/>
          <w:szCs w:val="20"/>
        </w:rPr>
        <w:t>spensaries</w:t>
      </w:r>
      <w:r w:rsidR="00124967">
        <w:rPr>
          <w:rFonts w:ascii="Times New Roman" w:hAnsi="Times New Roman" w:cs="Times New Roman"/>
          <w:sz w:val="20"/>
          <w:szCs w:val="20"/>
        </w:rPr>
        <w:t>,</w:t>
      </w:r>
      <w:r w:rsidR="006F3006" w:rsidRPr="00BC170F">
        <w:rPr>
          <w:rFonts w:ascii="Times New Roman" w:hAnsi="Times New Roman" w:cs="Times New Roman"/>
          <w:sz w:val="20"/>
          <w:szCs w:val="20"/>
        </w:rPr>
        <w:t xml:space="preserve"> and drinking water. </w:t>
      </w:r>
      <w:r w:rsidR="002F684B" w:rsidRPr="00BC170F">
        <w:rPr>
          <w:rFonts w:ascii="Times New Roman" w:hAnsi="Times New Roman" w:cs="Times New Roman"/>
          <w:sz w:val="20"/>
          <w:szCs w:val="20"/>
        </w:rPr>
        <w:t>UNDP-</w:t>
      </w:r>
      <w:r w:rsidR="00126FA1" w:rsidRPr="00BC170F">
        <w:rPr>
          <w:rFonts w:ascii="Times New Roman" w:hAnsi="Times New Roman" w:cs="Times New Roman"/>
          <w:sz w:val="20"/>
          <w:szCs w:val="20"/>
        </w:rPr>
        <w:t xml:space="preserve">supported projects </w:t>
      </w:r>
      <w:r w:rsidR="00124967">
        <w:rPr>
          <w:rFonts w:ascii="Times New Roman" w:hAnsi="Times New Roman" w:cs="Times New Roman"/>
          <w:sz w:val="20"/>
          <w:szCs w:val="20"/>
        </w:rPr>
        <w:t>assisted more than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126FA1" w:rsidRPr="00BC170F">
        <w:rPr>
          <w:rFonts w:ascii="Times New Roman" w:hAnsi="Times New Roman" w:cs="Times New Roman"/>
          <w:sz w:val="20"/>
          <w:szCs w:val="20"/>
        </w:rPr>
        <w:t>5,000 people (60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per</w:t>
      </w:r>
      <w:r w:rsidR="00124967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cent</w:t>
      </w:r>
      <w:r w:rsidR="00126FA1" w:rsidRPr="00BC170F">
        <w:rPr>
          <w:rFonts w:ascii="Times New Roman" w:hAnsi="Times New Roman" w:cs="Times New Roman"/>
          <w:sz w:val="20"/>
          <w:szCs w:val="20"/>
        </w:rPr>
        <w:t xml:space="preserve"> women and 10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per</w:t>
      </w:r>
      <w:r w:rsidR="00124967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cent</w:t>
      </w:r>
      <w:r w:rsidR="00126FA1" w:rsidRPr="00BC170F">
        <w:rPr>
          <w:rFonts w:ascii="Times New Roman" w:hAnsi="Times New Roman" w:cs="Times New Roman"/>
          <w:sz w:val="20"/>
          <w:szCs w:val="20"/>
        </w:rPr>
        <w:t xml:space="preserve"> children</w:t>
      </w:r>
      <w:r w:rsidR="00124967">
        <w:rPr>
          <w:rFonts w:ascii="Times New Roman" w:hAnsi="Times New Roman" w:cs="Times New Roman"/>
          <w:sz w:val="20"/>
          <w:szCs w:val="20"/>
        </w:rPr>
        <w:t xml:space="preserve">), and </w:t>
      </w:r>
      <w:r w:rsidR="002F684B" w:rsidRPr="00BC170F">
        <w:rPr>
          <w:rFonts w:ascii="Times New Roman" w:hAnsi="Times New Roman" w:cs="Times New Roman"/>
          <w:sz w:val="20"/>
          <w:szCs w:val="20"/>
        </w:rPr>
        <w:t>1,536 people (42 per</w:t>
      </w:r>
      <w:r w:rsidR="00124967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cent women) benefitted directly from UNDP livelihood interventions</w:t>
      </w:r>
      <w:r w:rsidR="00124967">
        <w:rPr>
          <w:rFonts w:ascii="Times New Roman" w:hAnsi="Times New Roman" w:cs="Times New Roman"/>
          <w:sz w:val="20"/>
          <w:szCs w:val="20"/>
        </w:rPr>
        <w:t>. Over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700 people enjoyed improved access to energy</w:t>
      </w:r>
      <w:r w:rsidR="00124967">
        <w:rPr>
          <w:rFonts w:ascii="Times New Roman" w:hAnsi="Times New Roman" w:cs="Times New Roman"/>
          <w:sz w:val="20"/>
          <w:szCs w:val="20"/>
        </w:rPr>
        <w:t xml:space="preserve"> services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B030D6F" w14:textId="77777777" w:rsidR="00016192" w:rsidRPr="00BC170F" w:rsidRDefault="00124967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84B" w:rsidRPr="00BC170F">
        <w:rPr>
          <w:rFonts w:ascii="Times New Roman" w:hAnsi="Times New Roman" w:cs="Times New Roman"/>
          <w:sz w:val="20"/>
          <w:szCs w:val="20"/>
        </w:rPr>
        <w:t>Th</w:t>
      </w:r>
      <w:r w:rsidR="00126FA1" w:rsidRPr="00BC170F">
        <w:rPr>
          <w:rFonts w:ascii="Times New Roman" w:hAnsi="Times New Roman" w:cs="Times New Roman"/>
          <w:sz w:val="20"/>
          <w:szCs w:val="20"/>
        </w:rPr>
        <w:t xml:space="preserve">e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ART GOLD evaluation documented achievements in building the capacity of local elected representatives and other stakeholders. </w:t>
      </w:r>
      <w:r w:rsidR="00A970F5">
        <w:rPr>
          <w:rFonts w:ascii="Times New Roman" w:hAnsi="Times New Roman" w:cs="Times New Roman"/>
          <w:sz w:val="20"/>
          <w:szCs w:val="20"/>
        </w:rPr>
        <w:t>Thirty-one</w:t>
      </w:r>
      <w:r w:rsidR="006F3006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803E39">
        <w:rPr>
          <w:rFonts w:ascii="Times New Roman" w:hAnsi="Times New Roman" w:cs="Times New Roman"/>
          <w:sz w:val="20"/>
          <w:szCs w:val="20"/>
        </w:rPr>
        <w:t>local development plans (</w:t>
      </w:r>
      <w:r w:rsidR="006F3006" w:rsidRPr="00BC170F">
        <w:rPr>
          <w:rFonts w:ascii="Times New Roman" w:hAnsi="Times New Roman" w:cs="Times New Roman"/>
          <w:sz w:val="20"/>
          <w:szCs w:val="20"/>
        </w:rPr>
        <w:t>LDPs</w:t>
      </w:r>
      <w:r w:rsidR="00803E39">
        <w:rPr>
          <w:rFonts w:ascii="Times New Roman" w:hAnsi="Times New Roman" w:cs="Times New Roman"/>
          <w:sz w:val="20"/>
          <w:szCs w:val="20"/>
        </w:rPr>
        <w:t>)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were developed in</w:t>
      </w:r>
      <w:r w:rsidR="00126FA1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five </w:t>
      </w:r>
      <w:r w:rsidR="00EA6860">
        <w:rPr>
          <w:rFonts w:ascii="Times New Roman" w:hAnsi="Times New Roman" w:cs="Times New Roman"/>
          <w:sz w:val="20"/>
          <w:szCs w:val="20"/>
        </w:rPr>
        <w:t>(</w:t>
      </w:r>
      <w:r w:rsidR="002F684B" w:rsidRPr="00BC170F">
        <w:rPr>
          <w:rFonts w:ascii="Times New Roman" w:hAnsi="Times New Roman" w:cs="Times New Roman"/>
          <w:sz w:val="20"/>
          <w:szCs w:val="20"/>
        </w:rPr>
        <w:t>out of nine</w:t>
      </w:r>
      <w:r w:rsidR="00EA6860">
        <w:rPr>
          <w:rFonts w:ascii="Times New Roman" w:hAnsi="Times New Roman" w:cs="Times New Roman"/>
          <w:sz w:val="20"/>
          <w:szCs w:val="20"/>
        </w:rPr>
        <w:t>)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provinces</w:t>
      </w:r>
      <w:r w:rsidR="00126FA1" w:rsidRPr="00BC170F">
        <w:rPr>
          <w:rFonts w:ascii="Times New Roman" w:hAnsi="Times New Roman" w:cs="Times New Roman"/>
          <w:sz w:val="20"/>
          <w:szCs w:val="20"/>
        </w:rPr>
        <w:t xml:space="preserve">. </w:t>
      </w:r>
      <w:r w:rsidR="002F684B" w:rsidRPr="00BC170F">
        <w:rPr>
          <w:rFonts w:ascii="Times New Roman" w:hAnsi="Times New Roman" w:cs="Times New Roman"/>
          <w:sz w:val="20"/>
          <w:szCs w:val="20"/>
        </w:rPr>
        <w:t>The government subsequently requested UNDP scale up the programme to include all provinces in the country</w:t>
      </w:r>
      <w:r w:rsidR="00074007" w:rsidRPr="00BC170F">
        <w:rPr>
          <w:rFonts w:ascii="Times New Roman" w:hAnsi="Times New Roman" w:cs="Times New Roman"/>
          <w:sz w:val="20"/>
          <w:szCs w:val="20"/>
        </w:rPr>
        <w:t>,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particularly peri-urban areas and </w:t>
      </w:r>
      <w:r w:rsidR="00EA6860">
        <w:rPr>
          <w:rFonts w:ascii="Times New Roman" w:hAnsi="Times New Roman" w:cs="Times New Roman"/>
          <w:sz w:val="20"/>
          <w:szCs w:val="20"/>
        </w:rPr>
        <w:t xml:space="preserve">the </w:t>
      </w:r>
      <w:r w:rsidR="00AC107A">
        <w:rPr>
          <w:rFonts w:ascii="Times New Roman" w:hAnsi="Times New Roman" w:cs="Times New Roman"/>
          <w:sz w:val="20"/>
          <w:szCs w:val="20"/>
        </w:rPr>
        <w:t>remote localities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. The </w:t>
      </w:r>
      <w:r w:rsidR="00EA6860">
        <w:rPr>
          <w:rFonts w:ascii="Times New Roman" w:hAnsi="Times New Roman" w:cs="Times New Roman"/>
          <w:sz w:val="20"/>
          <w:szCs w:val="20"/>
        </w:rPr>
        <w:t xml:space="preserve">main </w:t>
      </w:r>
      <w:r w:rsidR="002F684B" w:rsidRPr="00BC170F">
        <w:rPr>
          <w:rFonts w:ascii="Times New Roman" w:hAnsi="Times New Roman" w:cs="Times New Roman"/>
          <w:sz w:val="20"/>
          <w:szCs w:val="20"/>
        </w:rPr>
        <w:t>challenge is to respond adequately and strategically to this priority in the face of fiscal constraints.</w:t>
      </w:r>
    </w:p>
    <w:p w14:paraId="5F270F3F" w14:textId="77777777" w:rsidR="00016192" w:rsidRDefault="00EA6860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The Assessment of Development Results (ADR) found UNDP contributed to the preparation </w:t>
      </w:r>
      <w:r w:rsidR="002F684B" w:rsidRPr="00BC170F">
        <w:rPr>
          <w:rFonts w:ascii="Times New Roman" w:hAnsi="Times New Roman" w:cs="Times New Roman"/>
          <w:sz w:val="20"/>
          <w:szCs w:val="20"/>
        </w:rPr>
        <w:lastRenderedPageBreak/>
        <w:t xml:space="preserve">of policy documents in the areas of environmental governance, decentralization policy, HIV/AIDS response, and gender. </w:t>
      </w:r>
      <w:r>
        <w:rPr>
          <w:rFonts w:ascii="Times New Roman" w:hAnsi="Times New Roman" w:cs="Times New Roman"/>
          <w:sz w:val="20"/>
          <w:szCs w:val="20"/>
        </w:rPr>
        <w:t>Other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positive attributes highlighted were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2F684B" w:rsidRPr="00BC170F">
        <w:rPr>
          <w:rFonts w:ascii="Times New Roman" w:hAnsi="Times New Roman" w:cs="Times New Roman"/>
          <w:sz w:val="20"/>
          <w:szCs w:val="20"/>
        </w:rPr>
        <w:t>reputation and comparative advantage</w:t>
      </w:r>
      <w:r>
        <w:rPr>
          <w:rFonts w:ascii="Times New Roman" w:hAnsi="Times New Roman" w:cs="Times New Roman"/>
          <w:sz w:val="20"/>
          <w:szCs w:val="20"/>
        </w:rPr>
        <w:t xml:space="preserve"> of UNDP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, based on </w:t>
      </w:r>
      <w:r>
        <w:rPr>
          <w:rFonts w:ascii="Times New Roman" w:hAnsi="Times New Roman" w:cs="Times New Roman"/>
          <w:sz w:val="20"/>
          <w:szCs w:val="20"/>
        </w:rPr>
        <w:t xml:space="preserve">its </w:t>
      </w:r>
      <w:r w:rsidR="002F684B" w:rsidRPr="00BC170F">
        <w:rPr>
          <w:rFonts w:ascii="Times New Roman" w:hAnsi="Times New Roman" w:cs="Times New Roman"/>
          <w:sz w:val="20"/>
          <w:szCs w:val="20"/>
        </w:rPr>
        <w:t>proven expertise in the areas of governance, enviro</w:t>
      </w:r>
      <w:r w:rsidR="006F3006" w:rsidRPr="00BC170F">
        <w:rPr>
          <w:rFonts w:ascii="Times New Roman" w:hAnsi="Times New Roman" w:cs="Times New Roman"/>
          <w:sz w:val="20"/>
          <w:szCs w:val="20"/>
        </w:rPr>
        <w:t>nment</w:t>
      </w:r>
      <w:r w:rsidR="00AC107A">
        <w:rPr>
          <w:rFonts w:ascii="Times New Roman" w:hAnsi="Times New Roman" w:cs="Times New Roman"/>
          <w:sz w:val="20"/>
          <w:szCs w:val="20"/>
        </w:rPr>
        <w:t>,</w:t>
      </w:r>
      <w:r w:rsidR="006F3006" w:rsidRPr="00BC170F">
        <w:rPr>
          <w:rFonts w:ascii="Times New Roman" w:hAnsi="Times New Roman" w:cs="Times New Roman"/>
          <w:sz w:val="20"/>
          <w:szCs w:val="20"/>
        </w:rPr>
        <w:t xml:space="preserve"> and poverty reduction. </w:t>
      </w:r>
      <w:r>
        <w:rPr>
          <w:rFonts w:ascii="Times New Roman" w:hAnsi="Times New Roman" w:cs="Times New Roman"/>
          <w:sz w:val="20"/>
          <w:szCs w:val="20"/>
        </w:rPr>
        <w:t>This has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AC107A">
        <w:rPr>
          <w:rFonts w:ascii="Times New Roman" w:hAnsi="Times New Roman" w:cs="Times New Roman"/>
          <w:sz w:val="20"/>
          <w:szCs w:val="20"/>
        </w:rPr>
        <w:t>allowed</w:t>
      </w:r>
      <w:r w:rsidR="00AC107A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 xml:space="preserve">country </w:t>
      </w:r>
      <w:r w:rsidR="002F684B" w:rsidRPr="00BC170F">
        <w:rPr>
          <w:rFonts w:ascii="Times New Roman" w:hAnsi="Times New Roman" w:cs="Times New Roman"/>
          <w:sz w:val="20"/>
          <w:szCs w:val="20"/>
        </w:rPr>
        <w:t>office to raise programm</w:t>
      </w:r>
      <w:r w:rsidR="00803E39">
        <w:rPr>
          <w:rFonts w:ascii="Times New Roman" w:hAnsi="Times New Roman" w:cs="Times New Roman"/>
          <w:sz w:val="20"/>
          <w:szCs w:val="20"/>
        </w:rPr>
        <w:t>e funds from multiple part</w:t>
      </w:r>
      <w:r w:rsidR="00803E39">
        <w:rPr>
          <w:rFonts w:ascii="Times New Roman" w:hAnsi="Times New Roman" w:cs="Times New Roman"/>
          <w:sz w:val="20"/>
          <w:szCs w:val="20"/>
        </w:rPr>
        <w:softHyphen/>
        <w:t>ners.</w:t>
      </w:r>
      <w:r w:rsidR="002F684B" w:rsidRPr="00BC170F">
        <w:rPr>
          <w:rFonts w:ascii="Times New Roman" w:hAnsi="Times New Roman" w:cs="Times New Roman"/>
          <w:sz w:val="20"/>
          <w:szCs w:val="20"/>
          <w:vertAlign w:val="superscript"/>
        </w:rPr>
        <w:footnoteReference w:id="25"/>
      </w:r>
      <w:r w:rsidR="006F3006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primary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recommendation </w:t>
      </w:r>
      <w:r w:rsidR="00AC107A">
        <w:rPr>
          <w:rFonts w:ascii="Times New Roman" w:hAnsi="Times New Roman" w:cs="Times New Roman"/>
          <w:sz w:val="20"/>
          <w:szCs w:val="20"/>
        </w:rPr>
        <w:t xml:space="preserve">was for UNDP to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reengage partners and the government </w:t>
      </w:r>
      <w:r>
        <w:rPr>
          <w:rFonts w:ascii="Times New Roman" w:hAnsi="Times New Roman" w:cs="Times New Roman"/>
          <w:sz w:val="20"/>
          <w:szCs w:val="20"/>
        </w:rPr>
        <w:t>in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AC107A">
        <w:rPr>
          <w:rFonts w:ascii="Times New Roman" w:hAnsi="Times New Roman" w:cs="Times New Roman"/>
          <w:sz w:val="20"/>
          <w:szCs w:val="20"/>
        </w:rPr>
        <w:t>securing</w:t>
      </w:r>
      <w:r w:rsidR="00AC107A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environment</w:t>
      </w:r>
      <w:r>
        <w:rPr>
          <w:rFonts w:ascii="Times New Roman" w:hAnsi="Times New Roman" w:cs="Times New Roman"/>
          <w:sz w:val="20"/>
          <w:szCs w:val="20"/>
        </w:rPr>
        <w:t>al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and climate change funding opportunities, and to use state fund</w:t>
      </w:r>
      <w:r w:rsidR="00AC107A">
        <w:rPr>
          <w:rFonts w:ascii="Times New Roman" w:hAnsi="Times New Roman" w:cs="Times New Roman"/>
          <w:sz w:val="20"/>
          <w:szCs w:val="20"/>
        </w:rPr>
        <w:t>s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(through a government cost-sharing modality) for the devel</w:t>
      </w:r>
      <w:r w:rsidR="002F684B" w:rsidRPr="00BC170F">
        <w:rPr>
          <w:rFonts w:ascii="Times New Roman" w:hAnsi="Times New Roman" w:cs="Times New Roman"/>
          <w:sz w:val="20"/>
          <w:szCs w:val="20"/>
        </w:rPr>
        <w:softHyphen/>
        <w:t>opment of national capacit</w:t>
      </w:r>
      <w:r>
        <w:rPr>
          <w:rFonts w:ascii="Times New Roman" w:hAnsi="Times New Roman" w:cs="Times New Roman"/>
          <w:sz w:val="20"/>
          <w:szCs w:val="20"/>
        </w:rPr>
        <w:t>ies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880DF5E" w14:textId="77777777" w:rsidR="00CF5AB7" w:rsidRPr="00BC170F" w:rsidRDefault="00EA6860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F5AB7">
        <w:rPr>
          <w:rFonts w:ascii="Times New Roman" w:hAnsi="Times New Roman" w:cs="Times New Roman"/>
          <w:sz w:val="20"/>
          <w:szCs w:val="20"/>
        </w:rPr>
        <w:t xml:space="preserve">This Country Programme builds on the </w:t>
      </w:r>
      <w:r w:rsidR="00BE1391">
        <w:rPr>
          <w:rFonts w:ascii="Times New Roman" w:hAnsi="Times New Roman" w:cs="Times New Roman"/>
          <w:sz w:val="20"/>
          <w:szCs w:val="20"/>
        </w:rPr>
        <w:t xml:space="preserve">results </w:t>
      </w:r>
      <w:r w:rsidR="00CF5AB7">
        <w:rPr>
          <w:rFonts w:ascii="Times New Roman" w:hAnsi="Times New Roman" w:cs="Times New Roman"/>
          <w:sz w:val="20"/>
          <w:szCs w:val="20"/>
        </w:rPr>
        <w:t>and lessons learned from the previous programme</w:t>
      </w:r>
      <w:r>
        <w:rPr>
          <w:rFonts w:ascii="Times New Roman" w:hAnsi="Times New Roman" w:cs="Times New Roman"/>
          <w:sz w:val="20"/>
          <w:szCs w:val="20"/>
        </w:rPr>
        <w:t>,</w:t>
      </w:r>
      <w:r w:rsidR="00A31255">
        <w:rPr>
          <w:rFonts w:ascii="Times New Roman" w:hAnsi="Times New Roman" w:cs="Times New Roman"/>
          <w:sz w:val="20"/>
          <w:szCs w:val="20"/>
        </w:rPr>
        <w:t xml:space="preserve"> and</w:t>
      </w:r>
      <w:r w:rsidR="00CF5AB7">
        <w:rPr>
          <w:rFonts w:ascii="Times New Roman" w:hAnsi="Times New Roman" w:cs="Times New Roman"/>
          <w:sz w:val="20"/>
          <w:szCs w:val="20"/>
        </w:rPr>
        <w:t xml:space="preserve"> </w:t>
      </w:r>
      <w:r w:rsidR="00BE1391">
        <w:rPr>
          <w:rFonts w:ascii="Times New Roman" w:hAnsi="Times New Roman" w:cs="Times New Roman"/>
          <w:sz w:val="20"/>
          <w:szCs w:val="20"/>
        </w:rPr>
        <w:t>continue</w:t>
      </w:r>
      <w:r w:rsidR="00BF7739">
        <w:rPr>
          <w:rFonts w:ascii="Times New Roman" w:hAnsi="Times New Roman" w:cs="Times New Roman"/>
          <w:sz w:val="20"/>
          <w:szCs w:val="20"/>
        </w:rPr>
        <w:t>s</w:t>
      </w:r>
      <w:r w:rsidR="00BE1391">
        <w:rPr>
          <w:rFonts w:ascii="Times New Roman" w:hAnsi="Times New Roman" w:cs="Times New Roman"/>
          <w:sz w:val="20"/>
          <w:szCs w:val="20"/>
        </w:rPr>
        <w:t xml:space="preserve"> to scale up support to the local level</w:t>
      </w:r>
      <w:r w:rsidR="00CF5AB7">
        <w:rPr>
          <w:rFonts w:ascii="Times New Roman" w:hAnsi="Times New Roman" w:cs="Times New Roman"/>
          <w:sz w:val="20"/>
          <w:szCs w:val="20"/>
        </w:rPr>
        <w:t xml:space="preserve"> </w:t>
      </w:r>
      <w:r w:rsidR="00A31255">
        <w:rPr>
          <w:rFonts w:ascii="Times New Roman" w:hAnsi="Times New Roman" w:cs="Times New Roman"/>
          <w:sz w:val="20"/>
          <w:szCs w:val="20"/>
        </w:rPr>
        <w:t xml:space="preserve">to ensure inclusive services </w:t>
      </w:r>
      <w:r w:rsidR="00AC107A">
        <w:rPr>
          <w:rFonts w:ascii="Times New Roman" w:hAnsi="Times New Roman" w:cs="Times New Roman"/>
          <w:sz w:val="20"/>
          <w:szCs w:val="20"/>
        </w:rPr>
        <w:t xml:space="preserve">are provided to </w:t>
      </w:r>
      <w:r w:rsidR="00A31255">
        <w:rPr>
          <w:rFonts w:ascii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hAnsi="Times New Roman" w:cs="Times New Roman"/>
          <w:sz w:val="20"/>
          <w:szCs w:val="20"/>
        </w:rPr>
        <w:t xml:space="preserve">members of the </w:t>
      </w:r>
      <w:r w:rsidR="00A31255">
        <w:rPr>
          <w:rFonts w:ascii="Times New Roman" w:hAnsi="Times New Roman" w:cs="Times New Roman"/>
          <w:sz w:val="20"/>
          <w:szCs w:val="20"/>
        </w:rPr>
        <w:t xml:space="preserve">population. </w:t>
      </w:r>
      <w:r>
        <w:rPr>
          <w:rFonts w:ascii="Times New Roman" w:hAnsi="Times New Roman" w:cs="Times New Roman"/>
          <w:sz w:val="20"/>
          <w:szCs w:val="20"/>
        </w:rPr>
        <w:t>T</w:t>
      </w:r>
      <w:r w:rsidR="00A31255">
        <w:rPr>
          <w:rFonts w:ascii="Times New Roman" w:hAnsi="Times New Roman" w:cs="Times New Roman"/>
          <w:sz w:val="20"/>
          <w:szCs w:val="20"/>
        </w:rPr>
        <w:t xml:space="preserve">he Country Programme will support the </w:t>
      </w:r>
      <w:r>
        <w:rPr>
          <w:rFonts w:ascii="Times New Roman" w:hAnsi="Times New Roman" w:cs="Times New Roman"/>
          <w:sz w:val="20"/>
          <w:szCs w:val="20"/>
        </w:rPr>
        <w:t>g</w:t>
      </w:r>
      <w:r w:rsidR="00A31255">
        <w:rPr>
          <w:rFonts w:ascii="Times New Roman" w:hAnsi="Times New Roman" w:cs="Times New Roman"/>
          <w:sz w:val="20"/>
          <w:szCs w:val="20"/>
        </w:rPr>
        <w:t xml:space="preserve">overnment in </w:t>
      </w:r>
      <w:r w:rsidR="00CF5AB7">
        <w:rPr>
          <w:rFonts w:ascii="Times New Roman" w:hAnsi="Times New Roman" w:cs="Times New Roman"/>
          <w:sz w:val="20"/>
          <w:szCs w:val="20"/>
        </w:rPr>
        <w:t xml:space="preserve">responding to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CF5AB7">
        <w:rPr>
          <w:rFonts w:ascii="Times New Roman" w:hAnsi="Times New Roman" w:cs="Times New Roman"/>
          <w:sz w:val="20"/>
          <w:szCs w:val="20"/>
        </w:rPr>
        <w:t>evolving context</w:t>
      </w:r>
      <w:r w:rsidR="0053227F">
        <w:rPr>
          <w:rFonts w:ascii="Times New Roman" w:hAnsi="Times New Roman" w:cs="Times New Roman"/>
          <w:sz w:val="20"/>
          <w:szCs w:val="20"/>
        </w:rPr>
        <w:t xml:space="preserve"> by engaging with partners </w:t>
      </w:r>
      <w:r w:rsidR="00A31255">
        <w:rPr>
          <w:rFonts w:ascii="Times New Roman" w:hAnsi="Times New Roman" w:cs="Times New Roman"/>
          <w:sz w:val="20"/>
          <w:szCs w:val="20"/>
        </w:rPr>
        <w:t>at the national policy level to streamline national and local capacities</w:t>
      </w:r>
      <w:r w:rsidR="00BE1391">
        <w:rPr>
          <w:rFonts w:ascii="Times New Roman" w:hAnsi="Times New Roman" w:cs="Times New Roman"/>
          <w:sz w:val="20"/>
          <w:szCs w:val="20"/>
        </w:rPr>
        <w:t>.</w:t>
      </w:r>
    </w:p>
    <w:p w14:paraId="0306002E" w14:textId="77777777" w:rsidR="002F684B" w:rsidRPr="00F2277F" w:rsidRDefault="002F684B" w:rsidP="00212B46">
      <w:pPr>
        <w:pStyle w:val="Heading2"/>
        <w:ind w:left="1170" w:hanging="360"/>
        <w:rPr>
          <w:sz w:val="28"/>
        </w:rPr>
      </w:pPr>
      <w:bookmarkStart w:id="4" w:name="_Toc367384729"/>
      <w:bookmarkStart w:id="5" w:name="_Toc493510412"/>
      <w:r w:rsidRPr="00F2277F">
        <w:rPr>
          <w:sz w:val="28"/>
        </w:rPr>
        <w:t>Programme priorities and partnerships</w:t>
      </w:r>
      <w:bookmarkEnd w:id="4"/>
      <w:bookmarkEnd w:id="5"/>
      <w:r w:rsidRPr="00F2277F">
        <w:rPr>
          <w:sz w:val="28"/>
        </w:rPr>
        <w:t xml:space="preserve"> </w:t>
      </w:r>
    </w:p>
    <w:p w14:paraId="18418EE6" w14:textId="77777777" w:rsidR="00125C49" w:rsidRPr="00BC170F" w:rsidRDefault="00EA6860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C4736">
        <w:rPr>
          <w:rFonts w:ascii="Times New Roman" w:hAnsi="Times New Roman" w:cs="Times New Roman"/>
          <w:sz w:val="20"/>
          <w:szCs w:val="20"/>
        </w:rPr>
        <w:t>The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theory of change assumes strengthening participatory local and provincial planning, fiscal resource management</w:t>
      </w:r>
      <w:r>
        <w:rPr>
          <w:rFonts w:ascii="Times New Roman" w:hAnsi="Times New Roman" w:cs="Times New Roman"/>
          <w:sz w:val="20"/>
          <w:szCs w:val="20"/>
        </w:rPr>
        <w:t>,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and implementation capacit</w:t>
      </w:r>
      <w:r w:rsidR="00AC107A">
        <w:rPr>
          <w:rFonts w:ascii="Times New Roman" w:hAnsi="Times New Roman" w:cs="Times New Roman"/>
          <w:sz w:val="20"/>
          <w:szCs w:val="20"/>
        </w:rPr>
        <w:t>ies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will ensure </w:t>
      </w:r>
      <w:r>
        <w:rPr>
          <w:rFonts w:ascii="Times New Roman" w:hAnsi="Times New Roman" w:cs="Times New Roman"/>
          <w:sz w:val="20"/>
          <w:szCs w:val="20"/>
        </w:rPr>
        <w:t xml:space="preserve">people from all segments of the population have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inclusive access to basic social services, sustainable livelihoods and job creation, and sustainable use of natural resources, </w:t>
      </w:r>
      <w:r w:rsidR="00740DC5">
        <w:rPr>
          <w:rFonts w:ascii="Times New Roman" w:hAnsi="Times New Roman" w:cs="Times New Roman"/>
          <w:sz w:val="20"/>
          <w:szCs w:val="20"/>
        </w:rPr>
        <w:t xml:space="preserve">all of which </w:t>
      </w:r>
      <w:r w:rsidR="00AC107A">
        <w:rPr>
          <w:rFonts w:ascii="Times New Roman" w:hAnsi="Times New Roman" w:cs="Times New Roman"/>
          <w:sz w:val="20"/>
          <w:szCs w:val="20"/>
        </w:rPr>
        <w:t>may</w:t>
      </w:r>
      <w:r w:rsidR="00AC107A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contribut</w:t>
      </w:r>
      <w:r w:rsidR="00740DC5">
        <w:rPr>
          <w:rFonts w:ascii="Times New Roman" w:hAnsi="Times New Roman" w:cs="Times New Roman"/>
          <w:sz w:val="20"/>
          <w:szCs w:val="20"/>
        </w:rPr>
        <w:t>e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to ending multidimensional poverty in rural and peripheral </w:t>
      </w:r>
      <w:r w:rsidR="00AC107A">
        <w:rPr>
          <w:rFonts w:ascii="Times New Roman" w:hAnsi="Times New Roman" w:cs="Times New Roman"/>
          <w:sz w:val="20"/>
          <w:szCs w:val="20"/>
        </w:rPr>
        <w:t>regions</w:t>
      </w:r>
      <w:r w:rsidR="00AC107A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of Gabon. </w:t>
      </w:r>
    </w:p>
    <w:p w14:paraId="2613CB26" w14:textId="77777777" w:rsidR="002F684B" w:rsidRPr="00BC170F" w:rsidRDefault="00EA6860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9121B">
        <w:rPr>
          <w:rFonts w:ascii="Times New Roman" w:hAnsi="Times New Roman" w:cs="Times New Roman"/>
          <w:sz w:val="20"/>
          <w:szCs w:val="20"/>
        </w:rPr>
        <w:t xml:space="preserve">The </w:t>
      </w:r>
      <w:r w:rsidR="0009121B" w:rsidRPr="00BC170F">
        <w:rPr>
          <w:rFonts w:ascii="Times New Roman" w:hAnsi="Times New Roman" w:cs="Times New Roman"/>
          <w:sz w:val="20"/>
          <w:szCs w:val="20"/>
        </w:rPr>
        <w:t xml:space="preserve">UNDP strategy will help the Government of Gabon translate national development priorities </w:t>
      </w:r>
      <w:r w:rsidR="0009121B">
        <w:rPr>
          <w:rFonts w:ascii="Times New Roman" w:hAnsi="Times New Roman" w:cs="Times New Roman"/>
          <w:sz w:val="20"/>
          <w:szCs w:val="20"/>
        </w:rPr>
        <w:t xml:space="preserve">so they are effective at the </w:t>
      </w:r>
      <w:r w:rsidR="0009121B" w:rsidRPr="00BC170F">
        <w:rPr>
          <w:rFonts w:ascii="Times New Roman" w:hAnsi="Times New Roman" w:cs="Times New Roman"/>
          <w:sz w:val="20"/>
          <w:szCs w:val="20"/>
        </w:rPr>
        <w:t>local and community</w:t>
      </w:r>
      <w:r w:rsidR="0009121B">
        <w:rPr>
          <w:rFonts w:ascii="Times New Roman" w:hAnsi="Times New Roman" w:cs="Times New Roman"/>
          <w:sz w:val="20"/>
          <w:szCs w:val="20"/>
        </w:rPr>
        <w:t xml:space="preserve"> levels</w:t>
      </w:r>
      <w:r w:rsidR="0009121B" w:rsidRPr="00BC170F">
        <w:rPr>
          <w:rFonts w:ascii="Times New Roman" w:hAnsi="Times New Roman" w:cs="Times New Roman"/>
          <w:sz w:val="20"/>
          <w:szCs w:val="20"/>
        </w:rPr>
        <w:t>.</w:t>
      </w:r>
      <w:r w:rsidR="0009121B">
        <w:rPr>
          <w:rFonts w:ascii="Times New Roman" w:hAnsi="Times New Roman" w:cs="Times New Roman"/>
          <w:sz w:val="20"/>
          <w:szCs w:val="20"/>
        </w:rPr>
        <w:t xml:space="preserve"> </w:t>
      </w:r>
      <w:r w:rsidR="00740DC5">
        <w:rPr>
          <w:rFonts w:ascii="Times New Roman" w:hAnsi="Times New Roman" w:cs="Times New Roman"/>
          <w:sz w:val="20"/>
          <w:szCs w:val="20"/>
        </w:rPr>
        <w:t>The assumption is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a </w:t>
      </w:r>
      <w:r w:rsidR="00740DC5">
        <w:rPr>
          <w:rFonts w:ascii="Times New Roman" w:hAnsi="Times New Roman" w:cs="Times New Roman"/>
          <w:sz w:val="20"/>
          <w:szCs w:val="20"/>
        </w:rPr>
        <w:t>p</w:t>
      </w:r>
      <w:r w:rsidR="006C2E27">
        <w:rPr>
          <w:rFonts w:ascii="Times New Roman" w:hAnsi="Times New Roman" w:cs="Times New Roman"/>
          <w:sz w:val="20"/>
          <w:szCs w:val="20"/>
        </w:rPr>
        <w:t>rogramme</w:t>
      </w:r>
      <w:r w:rsidR="006C2E27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740DC5">
        <w:rPr>
          <w:rFonts w:ascii="Times New Roman" w:hAnsi="Times New Roman" w:cs="Times New Roman"/>
          <w:sz w:val="20"/>
          <w:szCs w:val="20"/>
        </w:rPr>
        <w:t>that</w:t>
      </w:r>
      <w:r w:rsidR="00740DC5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works at the national and local levels</w:t>
      </w:r>
      <w:r w:rsidR="00740DC5">
        <w:rPr>
          <w:rFonts w:ascii="Times New Roman" w:hAnsi="Times New Roman" w:cs="Times New Roman"/>
          <w:sz w:val="20"/>
          <w:szCs w:val="20"/>
        </w:rPr>
        <w:t>—by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combining national level policy support with governance and capacity building at the local level</w:t>
      </w:r>
      <w:r w:rsidR="00740DC5">
        <w:rPr>
          <w:rFonts w:ascii="Times New Roman" w:hAnsi="Times New Roman" w:cs="Times New Roman"/>
          <w:sz w:val="20"/>
          <w:szCs w:val="20"/>
        </w:rPr>
        <w:t>—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will provide </w:t>
      </w:r>
      <w:r w:rsidR="00740DC5">
        <w:rPr>
          <w:rFonts w:ascii="Times New Roman" w:hAnsi="Times New Roman" w:cs="Times New Roman"/>
          <w:sz w:val="20"/>
          <w:szCs w:val="20"/>
        </w:rPr>
        <w:t>an ideal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platform </w:t>
      </w:r>
      <w:r w:rsidR="00740DC5">
        <w:rPr>
          <w:rFonts w:ascii="Times New Roman" w:hAnsi="Times New Roman" w:cs="Times New Roman"/>
          <w:sz w:val="20"/>
          <w:szCs w:val="20"/>
        </w:rPr>
        <w:t>for</w:t>
      </w:r>
      <w:r w:rsidR="00740DC5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address</w:t>
      </w:r>
      <w:r w:rsidR="00740DC5">
        <w:rPr>
          <w:rFonts w:ascii="Times New Roman" w:hAnsi="Times New Roman" w:cs="Times New Roman"/>
          <w:sz w:val="20"/>
          <w:szCs w:val="20"/>
        </w:rPr>
        <w:t>ing the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inter-related issues of inclusion, economic diversification, service delivery, livelihoods, and environment</w:t>
      </w:r>
      <w:r w:rsidR="000275FA" w:rsidRPr="00BC170F">
        <w:rPr>
          <w:rFonts w:ascii="Times New Roman" w:hAnsi="Times New Roman" w:cs="Times New Roman"/>
          <w:sz w:val="20"/>
          <w:szCs w:val="20"/>
        </w:rPr>
        <w:t>al prot</w:t>
      </w:r>
      <w:r w:rsidR="00AB6C19">
        <w:rPr>
          <w:rFonts w:ascii="Times New Roman" w:hAnsi="Times New Roman" w:cs="Times New Roman"/>
          <w:sz w:val="20"/>
          <w:szCs w:val="20"/>
        </w:rPr>
        <w:t>ection/climate change mitigation for an emerging and prosperous Gabon.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AC107A">
        <w:rPr>
          <w:rFonts w:ascii="Times New Roman" w:hAnsi="Times New Roman" w:cs="Times New Roman"/>
          <w:sz w:val="20"/>
          <w:szCs w:val="20"/>
        </w:rPr>
        <w:t>Improving</w:t>
      </w:r>
      <w:r w:rsidR="00AC107A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capacit</w:t>
      </w:r>
      <w:r w:rsidR="00AC107A">
        <w:rPr>
          <w:rFonts w:ascii="Times New Roman" w:hAnsi="Times New Roman" w:cs="Times New Roman"/>
          <w:sz w:val="20"/>
          <w:szCs w:val="20"/>
        </w:rPr>
        <w:t>ies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and policy, planning and programme</w:t>
      </w:r>
      <w:r w:rsidR="00AC107A">
        <w:rPr>
          <w:rFonts w:ascii="Times New Roman" w:hAnsi="Times New Roman" w:cs="Times New Roman"/>
          <w:sz w:val="20"/>
          <w:szCs w:val="20"/>
        </w:rPr>
        <w:t xml:space="preserve"> effectiveness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at </w:t>
      </w:r>
      <w:r w:rsidR="00740DC5">
        <w:rPr>
          <w:rFonts w:ascii="Times New Roman" w:hAnsi="Times New Roman" w:cs="Times New Roman"/>
          <w:sz w:val="20"/>
          <w:szCs w:val="20"/>
        </w:rPr>
        <w:t xml:space="preserve">the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local level (particularly in rural areas) will </w:t>
      </w:r>
      <w:r w:rsidR="00AC107A">
        <w:rPr>
          <w:rFonts w:ascii="Times New Roman" w:hAnsi="Times New Roman" w:cs="Times New Roman"/>
          <w:sz w:val="20"/>
          <w:szCs w:val="20"/>
        </w:rPr>
        <w:t>lead to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the provision of inclusive services and c</w:t>
      </w:r>
      <w:r w:rsidR="006F3006" w:rsidRPr="00BC170F">
        <w:rPr>
          <w:rFonts w:ascii="Times New Roman" w:hAnsi="Times New Roman" w:cs="Times New Roman"/>
          <w:sz w:val="20"/>
          <w:szCs w:val="20"/>
        </w:rPr>
        <w:t xml:space="preserve">reation of equal opportunities.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Given </w:t>
      </w:r>
      <w:r w:rsidR="00AC107A">
        <w:rPr>
          <w:rFonts w:ascii="Times New Roman" w:hAnsi="Times New Roman" w:cs="Times New Roman"/>
          <w:sz w:val="20"/>
          <w:szCs w:val="20"/>
        </w:rPr>
        <w:t xml:space="preserve">the </w:t>
      </w:r>
      <w:r w:rsidR="002F684B" w:rsidRPr="00BC170F">
        <w:rPr>
          <w:rFonts w:ascii="Times New Roman" w:hAnsi="Times New Roman" w:cs="Times New Roman"/>
          <w:sz w:val="20"/>
          <w:szCs w:val="20"/>
        </w:rPr>
        <w:t>unequal levels of development across the country</w:t>
      </w:r>
      <w:r w:rsidR="00AC107A">
        <w:rPr>
          <w:rFonts w:ascii="Times New Roman" w:hAnsi="Times New Roman" w:cs="Times New Roman"/>
          <w:sz w:val="20"/>
          <w:szCs w:val="20"/>
        </w:rPr>
        <w:t>,</w:t>
      </w:r>
      <w:r w:rsidR="00853139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UNDP will focus </w:t>
      </w:r>
      <w:r w:rsidR="00AC107A">
        <w:rPr>
          <w:rFonts w:ascii="Times New Roman" w:hAnsi="Times New Roman" w:cs="Times New Roman"/>
          <w:sz w:val="20"/>
          <w:szCs w:val="20"/>
        </w:rPr>
        <w:t xml:space="preserve">on implementing </w:t>
      </w:r>
      <w:r w:rsidR="002F684B" w:rsidRPr="00BC170F">
        <w:rPr>
          <w:rFonts w:ascii="Times New Roman" w:hAnsi="Times New Roman" w:cs="Times New Roman"/>
          <w:sz w:val="20"/>
          <w:szCs w:val="20"/>
        </w:rPr>
        <w:t>programm</w:t>
      </w:r>
      <w:r w:rsidR="00AC107A">
        <w:rPr>
          <w:rFonts w:ascii="Times New Roman" w:hAnsi="Times New Roman" w:cs="Times New Roman"/>
          <w:sz w:val="20"/>
          <w:szCs w:val="20"/>
        </w:rPr>
        <w:t xml:space="preserve">es </w:t>
      </w:r>
      <w:r w:rsidR="002F684B" w:rsidRPr="00BC170F">
        <w:rPr>
          <w:rFonts w:ascii="Times New Roman" w:hAnsi="Times New Roman" w:cs="Times New Roman"/>
          <w:sz w:val="20"/>
          <w:szCs w:val="20"/>
        </w:rPr>
        <w:t>in non-coastal and mineral-</w:t>
      </w:r>
      <w:r w:rsidR="00740DC5">
        <w:rPr>
          <w:rFonts w:ascii="Times New Roman" w:hAnsi="Times New Roman" w:cs="Times New Roman"/>
          <w:sz w:val="20"/>
          <w:szCs w:val="20"/>
        </w:rPr>
        <w:t>poor</w:t>
      </w:r>
      <w:r w:rsidR="00AB6C19">
        <w:rPr>
          <w:rFonts w:ascii="Times New Roman" w:hAnsi="Times New Roman" w:cs="Times New Roman"/>
          <w:sz w:val="20"/>
          <w:szCs w:val="20"/>
        </w:rPr>
        <w:t xml:space="preserve"> provinces</w:t>
      </w:r>
      <w:r w:rsidR="00AC107A">
        <w:rPr>
          <w:rFonts w:ascii="Times New Roman" w:hAnsi="Times New Roman" w:cs="Times New Roman"/>
          <w:sz w:val="20"/>
          <w:szCs w:val="20"/>
        </w:rPr>
        <w:t xml:space="preserve"> although </w:t>
      </w:r>
      <w:r w:rsidR="00AB6C19">
        <w:rPr>
          <w:rFonts w:ascii="Times New Roman" w:hAnsi="Times New Roman" w:cs="Times New Roman"/>
          <w:sz w:val="20"/>
          <w:szCs w:val="20"/>
        </w:rPr>
        <w:t>coverage</w:t>
      </w:r>
      <w:r w:rsidR="00AC107A">
        <w:rPr>
          <w:rFonts w:ascii="Times New Roman" w:hAnsi="Times New Roman" w:cs="Times New Roman"/>
          <w:sz w:val="20"/>
          <w:szCs w:val="20"/>
        </w:rPr>
        <w:t xml:space="preserve"> will be safeguarded</w:t>
      </w:r>
      <w:r w:rsidR="00AB6C19">
        <w:rPr>
          <w:rFonts w:ascii="Times New Roman" w:hAnsi="Times New Roman" w:cs="Times New Roman"/>
          <w:sz w:val="20"/>
          <w:szCs w:val="20"/>
        </w:rPr>
        <w:t xml:space="preserve"> across all nine provinces.</w:t>
      </w:r>
    </w:p>
    <w:p w14:paraId="6065471F" w14:textId="783C4014" w:rsidR="000F64AA" w:rsidRPr="00BC170F" w:rsidRDefault="00740DC5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g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overnment will be the </w:t>
      </w:r>
      <w:r>
        <w:rPr>
          <w:rFonts w:ascii="Times New Roman" w:hAnsi="Times New Roman" w:cs="Times New Roman"/>
          <w:sz w:val="20"/>
          <w:szCs w:val="20"/>
        </w:rPr>
        <w:t>primary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substantive, technical</w:t>
      </w:r>
      <w:r>
        <w:rPr>
          <w:rFonts w:ascii="Times New Roman" w:hAnsi="Times New Roman" w:cs="Times New Roman"/>
          <w:sz w:val="20"/>
          <w:szCs w:val="20"/>
        </w:rPr>
        <w:t>,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and financial partner</w:t>
      </w:r>
      <w:r w:rsidR="00AC107A">
        <w:rPr>
          <w:rFonts w:ascii="Times New Roman" w:hAnsi="Times New Roman" w:cs="Times New Roman"/>
          <w:sz w:val="20"/>
          <w:szCs w:val="20"/>
        </w:rPr>
        <w:t>—</w:t>
      </w:r>
      <w:r>
        <w:rPr>
          <w:rFonts w:ascii="Times New Roman" w:hAnsi="Times New Roman" w:cs="Times New Roman"/>
          <w:sz w:val="20"/>
          <w:szCs w:val="20"/>
        </w:rPr>
        <w:t>vis-à-vis a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government cost-sharing model.</w:t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  <w:r w:rsidR="000F7080" w:rsidRPr="00BC170F">
        <w:rPr>
          <w:rFonts w:ascii="Times New Roman" w:hAnsi="Times New Roman" w:cs="Times New Roman"/>
          <w:sz w:val="20"/>
          <w:szCs w:val="20"/>
        </w:rPr>
        <w:t xml:space="preserve">As a </w:t>
      </w:r>
      <w:bookmarkStart w:id="6" w:name="_Hlk497131862"/>
      <w:r w:rsidR="00BD1794">
        <w:rPr>
          <w:rFonts w:ascii="Times New Roman" w:hAnsi="Times New Roman" w:cs="Times New Roman"/>
          <w:sz w:val="20"/>
          <w:szCs w:val="20"/>
        </w:rPr>
        <w:t>m</w:t>
      </w:r>
      <w:r w:rsidR="000F7080" w:rsidRPr="00BC170F">
        <w:rPr>
          <w:rFonts w:ascii="Times New Roman" w:hAnsi="Times New Roman" w:cs="Times New Roman"/>
          <w:sz w:val="20"/>
          <w:szCs w:val="20"/>
        </w:rPr>
        <w:t>iddle</w:t>
      </w:r>
      <w:r w:rsidR="00BD1794">
        <w:rPr>
          <w:rFonts w:ascii="Times New Roman" w:hAnsi="Times New Roman" w:cs="Times New Roman"/>
          <w:sz w:val="20"/>
          <w:szCs w:val="20"/>
        </w:rPr>
        <w:t>-i</w:t>
      </w:r>
      <w:r w:rsidR="000F7080" w:rsidRPr="00BC170F">
        <w:rPr>
          <w:rFonts w:ascii="Times New Roman" w:hAnsi="Times New Roman" w:cs="Times New Roman"/>
          <w:sz w:val="20"/>
          <w:szCs w:val="20"/>
        </w:rPr>
        <w:t xml:space="preserve">ncome </w:t>
      </w:r>
      <w:r w:rsidR="00BD1794">
        <w:rPr>
          <w:rFonts w:ascii="Times New Roman" w:hAnsi="Times New Roman" w:cs="Times New Roman"/>
          <w:sz w:val="20"/>
          <w:szCs w:val="20"/>
        </w:rPr>
        <w:t>c</w:t>
      </w:r>
      <w:r w:rsidR="000F7080" w:rsidRPr="00BC170F">
        <w:rPr>
          <w:rFonts w:ascii="Times New Roman" w:hAnsi="Times New Roman" w:cs="Times New Roman"/>
          <w:sz w:val="20"/>
          <w:szCs w:val="20"/>
        </w:rPr>
        <w:t>ountry</w:t>
      </w:r>
      <w:bookmarkEnd w:id="6"/>
      <w:r w:rsidR="000F7080" w:rsidRPr="00BC170F">
        <w:rPr>
          <w:rFonts w:ascii="Times New Roman" w:hAnsi="Times New Roman" w:cs="Times New Roman"/>
          <w:sz w:val="20"/>
          <w:szCs w:val="20"/>
        </w:rPr>
        <w:t xml:space="preserve">, Gabon </w:t>
      </w:r>
      <w:r>
        <w:rPr>
          <w:rFonts w:ascii="Times New Roman" w:hAnsi="Times New Roman" w:cs="Times New Roman"/>
          <w:sz w:val="20"/>
          <w:szCs w:val="20"/>
        </w:rPr>
        <w:t>has few</w:t>
      </w:r>
      <w:r w:rsidR="000F7080" w:rsidRPr="00BC170F">
        <w:rPr>
          <w:rFonts w:ascii="Times New Roman" w:hAnsi="Times New Roman" w:cs="Times New Roman"/>
          <w:sz w:val="20"/>
          <w:szCs w:val="20"/>
        </w:rPr>
        <w:t xml:space="preserve"> ‘traditional’ donor partners</w:t>
      </w:r>
      <w:r w:rsidR="00AC107A">
        <w:rPr>
          <w:rFonts w:ascii="Times New Roman" w:hAnsi="Times New Roman" w:cs="Times New Roman"/>
          <w:sz w:val="20"/>
          <w:szCs w:val="20"/>
        </w:rPr>
        <w:t>; therefore,</w:t>
      </w:r>
      <w:r>
        <w:rPr>
          <w:rFonts w:ascii="Times New Roman" w:hAnsi="Times New Roman" w:cs="Times New Roman"/>
          <w:sz w:val="20"/>
          <w:szCs w:val="20"/>
        </w:rPr>
        <w:t xml:space="preserve"> t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he scope of the programme </w:t>
      </w:r>
      <w:r w:rsidR="00AC107A">
        <w:rPr>
          <w:rFonts w:ascii="Times New Roman" w:hAnsi="Times New Roman" w:cs="Times New Roman"/>
          <w:sz w:val="20"/>
          <w:szCs w:val="20"/>
        </w:rPr>
        <w:t>is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dependent on the </w:t>
      </w:r>
      <w:r>
        <w:rPr>
          <w:rFonts w:ascii="Times New Roman" w:hAnsi="Times New Roman" w:cs="Times New Roman"/>
          <w:sz w:val="20"/>
          <w:szCs w:val="20"/>
        </w:rPr>
        <w:t>g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overnment’s continued prioritization of local development and </w:t>
      </w:r>
      <w:r>
        <w:rPr>
          <w:rFonts w:ascii="Times New Roman" w:hAnsi="Times New Roman" w:cs="Times New Roman"/>
          <w:sz w:val="20"/>
          <w:szCs w:val="20"/>
        </w:rPr>
        <w:t>allocation of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resources towards delivering proposed CPD outputs</w:t>
      </w:r>
      <w:r>
        <w:rPr>
          <w:rFonts w:ascii="Times New Roman" w:hAnsi="Times New Roman" w:cs="Times New Roman"/>
          <w:sz w:val="20"/>
          <w:szCs w:val="20"/>
        </w:rPr>
        <w:t>. Another critical factor is the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ability</w:t>
      </w:r>
      <w:r>
        <w:rPr>
          <w:rFonts w:ascii="Times New Roman" w:hAnsi="Times New Roman" w:cs="Times New Roman"/>
          <w:sz w:val="20"/>
          <w:szCs w:val="20"/>
        </w:rPr>
        <w:t xml:space="preserve"> of UNDP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to mobilize support from ‘non-traditional’ sources, including vertical funds, the private sector, </w:t>
      </w:r>
      <w:r w:rsidR="0009121B" w:rsidRPr="00BC170F">
        <w:rPr>
          <w:rFonts w:ascii="Times New Roman" w:hAnsi="Times New Roman" w:cs="Times New Roman"/>
          <w:sz w:val="20"/>
          <w:szCs w:val="20"/>
        </w:rPr>
        <w:t>emergin</w:t>
      </w:r>
      <w:r w:rsidR="0009121B">
        <w:rPr>
          <w:rFonts w:ascii="Times New Roman" w:hAnsi="Times New Roman" w:cs="Times New Roman"/>
          <w:sz w:val="20"/>
          <w:szCs w:val="20"/>
        </w:rPr>
        <w:t>g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partners</w:t>
      </w:r>
      <w:r>
        <w:rPr>
          <w:rFonts w:ascii="Times New Roman" w:hAnsi="Times New Roman" w:cs="Times New Roman"/>
          <w:sz w:val="20"/>
          <w:szCs w:val="20"/>
        </w:rPr>
        <w:t>,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and South-South cooperation.</w:t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 w:rsidR="002F684B" w:rsidRPr="00BC170F">
        <w:rPr>
          <w:rFonts w:ascii="Times New Roman" w:hAnsi="Times New Roman" w:cs="Times New Roman"/>
          <w:sz w:val="20"/>
          <w:szCs w:val="20"/>
        </w:rPr>
        <w:t>ffort</w:t>
      </w:r>
      <w:r>
        <w:rPr>
          <w:rFonts w:ascii="Times New Roman" w:hAnsi="Times New Roman" w:cs="Times New Roman"/>
          <w:sz w:val="20"/>
          <w:szCs w:val="20"/>
        </w:rPr>
        <w:t>s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to </w:t>
      </w:r>
      <w:r w:rsidR="0040139D">
        <w:rPr>
          <w:rFonts w:ascii="Times New Roman" w:hAnsi="Times New Roman" w:cs="Times New Roman"/>
          <w:sz w:val="20"/>
          <w:szCs w:val="20"/>
        </w:rPr>
        <w:t>strengthen</w:t>
      </w:r>
      <w:r w:rsidR="0040139D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local capacities will draw on sharing tools and experiences across provinces and with partners in the Global South. </w:t>
      </w:r>
    </w:p>
    <w:p w14:paraId="286653B1" w14:textId="77777777" w:rsidR="000F64AA" w:rsidRPr="00BC170F" w:rsidRDefault="00740DC5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 </w:t>
      </w:r>
      <w:r w:rsidR="002F684B"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UNDP will capitalize on </w:t>
      </w:r>
      <w:r w:rsidR="00AC107A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>good</w:t>
      </w:r>
      <w:r w:rsidR="00AC107A"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 </w:t>
      </w:r>
      <w:r w:rsidR="002F684B"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local development </w:t>
      </w:r>
      <w:r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practices </w:t>
      </w:r>
      <w:r w:rsidR="002F684B"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>in Africa</w:t>
      </w:r>
      <w:r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, </w:t>
      </w:r>
      <w:r w:rsidR="002F684B"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>such as the</w:t>
      </w:r>
      <w:r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 Community Development Emergency Programme</w:t>
      </w:r>
      <w:r w:rsidR="002F684B"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>(</w:t>
      </w:r>
      <w:r w:rsidR="002F684B"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>PUDC</w:t>
      </w:r>
      <w:r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>)</w:t>
      </w:r>
      <w:r w:rsidR="002F684B"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 approach in Senegal</w:t>
      </w:r>
      <w:r w:rsidR="00AA3D21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, </w:t>
      </w:r>
      <w:r w:rsidR="002F684B"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Togo, </w:t>
      </w:r>
      <w:r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and parts of </w:t>
      </w:r>
      <w:r w:rsidR="002F684B"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Asia and Latin America. Planning, budgeting, implementation, monitoring and evaluation </w:t>
      </w:r>
      <w:r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>are</w:t>
      </w:r>
      <w:r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 </w:t>
      </w:r>
      <w:r w:rsidR="002F684B"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at the core of </w:t>
      </w:r>
      <w:r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UNDP </w:t>
      </w:r>
      <w:r w:rsidR="002F684B"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>capacity building support.</w:t>
      </w:r>
      <w:r w:rsidR="00533E16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 </w:t>
      </w:r>
      <w:r w:rsidR="002F684B"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Local authorities will </w:t>
      </w:r>
      <w:r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>receive</w:t>
      </w:r>
      <w:r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 </w:t>
      </w:r>
      <w:r w:rsidR="002F684B"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technical support </w:t>
      </w:r>
      <w:r w:rsidR="00AA3D21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>in preparing</w:t>
      </w:r>
      <w:r w:rsidR="002F684B"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>each</w:t>
      </w:r>
      <w:r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 </w:t>
      </w:r>
      <w:r w:rsidR="006F3006"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>LDP</w:t>
      </w:r>
      <w:r w:rsidR="002F684B"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>so they are in line</w:t>
      </w:r>
      <w:r w:rsidR="002F684B"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 with the PSGE and requirements of the provincial fund put in place by the government.</w:t>
      </w:r>
      <w:r w:rsidR="00083A78"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 Furthermore, </w:t>
      </w:r>
      <w:r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>local authorities</w:t>
      </w:r>
      <w:r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 </w:t>
      </w:r>
      <w:r w:rsidR="00083A78"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will benefit from </w:t>
      </w:r>
      <w:r w:rsidR="002F684B"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the </w:t>
      </w:r>
      <w:r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>exchange of information</w:t>
      </w:r>
      <w:r w:rsidR="002F684B"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>from</w:t>
      </w:r>
      <w:r w:rsidR="002F684B" w:rsidRPr="00BC170F">
        <w:rPr>
          <w:rFonts w:ascii="Times New Roman" w:eastAsiaTheme="minorHAnsi" w:hAnsi="Times New Roman" w:cs="Times New Roman"/>
          <w:spacing w:val="4"/>
          <w:w w:val="103"/>
          <w:kern w:val="14"/>
          <w:sz w:val="20"/>
          <w:szCs w:val="20"/>
        </w:rPr>
        <w:t xml:space="preserve"> counterparts in other countries, such as Togo and Senegal. </w:t>
      </w:r>
    </w:p>
    <w:p w14:paraId="78A5888F" w14:textId="77777777" w:rsidR="000F64AA" w:rsidRPr="00BC170F" w:rsidRDefault="00740DC5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55BBE" w:rsidRPr="00BC170F">
        <w:rPr>
          <w:rFonts w:ascii="Times New Roman" w:hAnsi="Times New Roman" w:cs="Times New Roman"/>
          <w:sz w:val="20"/>
          <w:szCs w:val="20"/>
        </w:rPr>
        <w:t xml:space="preserve">Where possible, the programme will </w:t>
      </w:r>
      <w:r>
        <w:rPr>
          <w:rFonts w:ascii="Times New Roman" w:hAnsi="Times New Roman" w:cs="Times New Roman"/>
          <w:sz w:val="20"/>
          <w:szCs w:val="20"/>
        </w:rPr>
        <w:t>focus on</w:t>
      </w:r>
      <w:r w:rsidR="00055BBE" w:rsidRPr="00BC170F">
        <w:rPr>
          <w:rFonts w:ascii="Times New Roman" w:hAnsi="Times New Roman" w:cs="Times New Roman"/>
          <w:sz w:val="20"/>
          <w:szCs w:val="20"/>
        </w:rPr>
        <w:t xml:space="preserve"> gender issues at the local level</w:t>
      </w:r>
      <w:r>
        <w:rPr>
          <w:rFonts w:ascii="Times New Roman" w:hAnsi="Times New Roman" w:cs="Times New Roman"/>
          <w:sz w:val="20"/>
          <w:szCs w:val="20"/>
        </w:rPr>
        <w:t xml:space="preserve">, specifically </w:t>
      </w:r>
      <w:r w:rsidR="002F684B" w:rsidRPr="00BC170F">
        <w:rPr>
          <w:rFonts w:ascii="Times New Roman" w:hAnsi="Times New Roman" w:cs="Times New Roman"/>
          <w:sz w:val="20"/>
          <w:szCs w:val="20"/>
        </w:rPr>
        <w:t>w</w:t>
      </w:r>
      <w:r w:rsidR="00055BBE" w:rsidRPr="00BC170F">
        <w:rPr>
          <w:rFonts w:ascii="Times New Roman" w:hAnsi="Times New Roman" w:cs="Times New Roman"/>
          <w:sz w:val="20"/>
          <w:szCs w:val="20"/>
        </w:rPr>
        <w:t>omen’s skills development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. UNDP will partner with </w:t>
      </w:r>
      <w:r w:rsidR="00055BBE" w:rsidRPr="00BC170F">
        <w:rPr>
          <w:rFonts w:ascii="Times New Roman" w:hAnsi="Times New Roman" w:cs="Times New Roman"/>
          <w:sz w:val="20"/>
          <w:szCs w:val="20"/>
        </w:rPr>
        <w:t xml:space="preserve">established women’s </w:t>
      </w:r>
      <w:r>
        <w:rPr>
          <w:rFonts w:ascii="Times New Roman" w:hAnsi="Times New Roman" w:cs="Times New Roman"/>
          <w:sz w:val="20"/>
          <w:szCs w:val="20"/>
        </w:rPr>
        <w:t>networks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, local </w:t>
      </w:r>
      <w:r w:rsidR="002F684B" w:rsidRPr="00BC170F">
        <w:rPr>
          <w:rFonts w:ascii="Times New Roman" w:hAnsi="Times New Roman" w:cs="Times New Roman"/>
          <w:sz w:val="20"/>
          <w:szCs w:val="20"/>
        </w:rPr>
        <w:lastRenderedPageBreak/>
        <w:t>women’s associations</w:t>
      </w:r>
      <w:r>
        <w:rPr>
          <w:rFonts w:ascii="Times New Roman" w:hAnsi="Times New Roman" w:cs="Times New Roman"/>
          <w:sz w:val="20"/>
          <w:szCs w:val="20"/>
        </w:rPr>
        <w:t>,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and women’s cooperatives.</w:t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approac</w:t>
      </w:r>
      <w:r>
        <w:rPr>
          <w:rFonts w:ascii="Times New Roman" w:hAnsi="Times New Roman" w:cs="Times New Roman"/>
          <w:sz w:val="20"/>
          <w:szCs w:val="20"/>
        </w:rPr>
        <w:t>h</w:t>
      </w:r>
      <w:r w:rsidR="00055BBE" w:rsidRPr="00BC170F">
        <w:rPr>
          <w:rFonts w:ascii="Times New Roman" w:hAnsi="Times New Roman" w:cs="Times New Roman"/>
          <w:sz w:val="20"/>
          <w:szCs w:val="20"/>
        </w:rPr>
        <w:t xml:space="preserve"> will ensure </w:t>
      </w:r>
      <w:r>
        <w:rPr>
          <w:rFonts w:ascii="Times New Roman" w:hAnsi="Times New Roman" w:cs="Times New Roman"/>
          <w:sz w:val="20"/>
          <w:szCs w:val="20"/>
        </w:rPr>
        <w:t xml:space="preserve">women </w:t>
      </w:r>
      <w:r w:rsidR="009B1129">
        <w:rPr>
          <w:rFonts w:ascii="Times New Roman" w:hAnsi="Times New Roman" w:cs="Times New Roman"/>
          <w:sz w:val="20"/>
          <w:szCs w:val="20"/>
        </w:rPr>
        <w:t xml:space="preserve">play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055BBE" w:rsidRPr="00BC170F">
        <w:rPr>
          <w:rFonts w:ascii="Times New Roman" w:hAnsi="Times New Roman" w:cs="Times New Roman"/>
          <w:sz w:val="20"/>
          <w:szCs w:val="20"/>
        </w:rPr>
        <w:t>lead role in the elabor</w:t>
      </w:r>
      <w:r w:rsidR="006F3006" w:rsidRPr="00BC170F">
        <w:rPr>
          <w:rFonts w:ascii="Times New Roman" w:hAnsi="Times New Roman" w:cs="Times New Roman"/>
          <w:sz w:val="20"/>
          <w:szCs w:val="20"/>
        </w:rPr>
        <w:t>ati</w:t>
      </w:r>
      <w:r w:rsidR="00523180">
        <w:rPr>
          <w:rFonts w:ascii="Times New Roman" w:hAnsi="Times New Roman" w:cs="Times New Roman"/>
          <w:sz w:val="20"/>
          <w:szCs w:val="20"/>
        </w:rPr>
        <w:t xml:space="preserve">ng </w:t>
      </w:r>
      <w:r w:rsidR="006F3006" w:rsidRPr="00BC170F">
        <w:rPr>
          <w:rFonts w:ascii="Times New Roman" w:hAnsi="Times New Roman" w:cs="Times New Roman"/>
          <w:sz w:val="20"/>
          <w:szCs w:val="20"/>
        </w:rPr>
        <w:t>LDPs</w:t>
      </w:r>
      <w:r w:rsidR="00055BBE" w:rsidRPr="00BC170F">
        <w:rPr>
          <w:rFonts w:ascii="Times New Roman" w:hAnsi="Times New Roman" w:cs="Times New Roman"/>
          <w:sz w:val="20"/>
          <w:szCs w:val="20"/>
        </w:rPr>
        <w:t xml:space="preserve"> and manag</w:t>
      </w:r>
      <w:r w:rsidR="00523180">
        <w:rPr>
          <w:rFonts w:ascii="Times New Roman" w:hAnsi="Times New Roman" w:cs="Times New Roman"/>
          <w:sz w:val="20"/>
          <w:szCs w:val="20"/>
        </w:rPr>
        <w:t xml:space="preserve">ing </w:t>
      </w:r>
      <w:r w:rsidR="00055BBE" w:rsidRPr="00BC170F">
        <w:rPr>
          <w:rFonts w:ascii="Times New Roman" w:hAnsi="Times New Roman" w:cs="Times New Roman"/>
          <w:sz w:val="20"/>
          <w:szCs w:val="20"/>
        </w:rPr>
        <w:t>resulting projects.</w:t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74DF4C" w14:textId="77777777" w:rsidR="002F684B" w:rsidRDefault="00523180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en-ZA"/>
        </w:rPr>
        <w:t xml:space="preserve"> A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lthough </w:t>
      </w:r>
      <w:r>
        <w:rPr>
          <w:rFonts w:ascii="Times New Roman" w:hAnsi="Times New Roman" w:cs="Times New Roman"/>
          <w:sz w:val="20"/>
          <w:szCs w:val="20"/>
          <w:lang w:eastAsia="en-ZA"/>
        </w:rPr>
        <w:t>the programme focuses</w:t>
      </w:r>
      <w:r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on a single UNDAF outcome</w:t>
      </w:r>
      <w:r>
        <w:rPr>
          <w:rFonts w:ascii="Times New Roman" w:hAnsi="Times New Roman" w:cs="Times New Roman"/>
          <w:sz w:val="20"/>
          <w:szCs w:val="20"/>
          <w:lang w:eastAsia="en-ZA"/>
        </w:rPr>
        <w:t>, it is comprised of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five </w:t>
      </w:r>
      <w:r w:rsidR="002F684B" w:rsidRPr="00680516">
        <w:rPr>
          <w:rFonts w:ascii="Times New Roman" w:hAnsi="Times New Roman" w:cs="Times New Roman"/>
          <w:sz w:val="20"/>
          <w:szCs w:val="20"/>
          <w:lang w:eastAsia="en-ZA"/>
        </w:rPr>
        <w:t>compone</w:t>
      </w:r>
      <w:r w:rsidR="000D6B3B" w:rsidRPr="00680516">
        <w:rPr>
          <w:rFonts w:ascii="Times New Roman" w:hAnsi="Times New Roman" w:cs="Times New Roman"/>
          <w:sz w:val="20"/>
          <w:szCs w:val="20"/>
          <w:lang w:eastAsia="en-ZA"/>
        </w:rPr>
        <w:t>nts</w:t>
      </w:r>
      <w:r w:rsidR="002B310D" w:rsidRPr="00680516">
        <w:rPr>
          <w:rFonts w:ascii="Times New Roman" w:hAnsi="Times New Roman" w:cs="Times New Roman"/>
          <w:sz w:val="20"/>
          <w:szCs w:val="20"/>
          <w:lang w:eastAsia="en-ZA"/>
        </w:rPr>
        <w:t>:</w:t>
      </w:r>
      <w:r w:rsidR="000D6B3B" w:rsidRPr="00680516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Pr="00680516">
        <w:rPr>
          <w:rFonts w:ascii="Times New Roman" w:hAnsi="Times New Roman" w:cs="Times New Roman"/>
          <w:sz w:val="20"/>
          <w:szCs w:val="20"/>
          <w:lang w:eastAsia="en-ZA"/>
        </w:rPr>
        <w:t xml:space="preserve">(i) </w:t>
      </w:r>
      <w:r w:rsidR="0040139D" w:rsidRPr="00680516">
        <w:rPr>
          <w:rFonts w:ascii="Times New Roman" w:hAnsi="Times New Roman" w:cs="Times New Roman"/>
          <w:sz w:val="20"/>
          <w:szCs w:val="20"/>
          <w:lang w:eastAsia="en-ZA"/>
        </w:rPr>
        <w:t xml:space="preserve">improved </w:t>
      </w:r>
      <w:r w:rsidR="000D6B3B" w:rsidRPr="00680516">
        <w:rPr>
          <w:rFonts w:ascii="Times New Roman" w:hAnsi="Times New Roman" w:cs="Times New Roman"/>
          <w:sz w:val="20"/>
          <w:szCs w:val="20"/>
          <w:lang w:eastAsia="en-ZA"/>
        </w:rPr>
        <w:t>technical and financial capacit</w:t>
      </w:r>
      <w:r w:rsidR="009B1129" w:rsidRPr="00680516">
        <w:rPr>
          <w:rFonts w:ascii="Times New Roman" w:hAnsi="Times New Roman" w:cs="Times New Roman"/>
          <w:sz w:val="20"/>
          <w:szCs w:val="20"/>
          <w:lang w:eastAsia="en-ZA"/>
        </w:rPr>
        <w:t>ies</w:t>
      </w:r>
      <w:r w:rsidR="000D6B3B" w:rsidRPr="00680516">
        <w:rPr>
          <w:rFonts w:ascii="Times New Roman" w:hAnsi="Times New Roman" w:cs="Times New Roman"/>
          <w:sz w:val="20"/>
          <w:szCs w:val="20"/>
          <w:lang w:eastAsia="en-ZA"/>
        </w:rPr>
        <w:t xml:space="preserve"> for national and loc</w:t>
      </w:r>
      <w:r w:rsidR="00032D5A" w:rsidRPr="00680516">
        <w:rPr>
          <w:rFonts w:ascii="Times New Roman" w:hAnsi="Times New Roman" w:cs="Times New Roman"/>
          <w:sz w:val="20"/>
          <w:szCs w:val="20"/>
          <w:lang w:eastAsia="en-ZA"/>
        </w:rPr>
        <w:t>al</w:t>
      </w:r>
      <w:r w:rsidR="000D6B3B" w:rsidRPr="00680516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680516">
        <w:rPr>
          <w:rFonts w:ascii="Times New Roman" w:hAnsi="Times New Roman" w:cs="Times New Roman"/>
          <w:sz w:val="20"/>
          <w:szCs w:val="20"/>
          <w:lang w:eastAsia="en-ZA"/>
        </w:rPr>
        <w:t>institutions</w:t>
      </w:r>
      <w:r w:rsidR="000D6B3B" w:rsidRPr="00680516">
        <w:rPr>
          <w:rFonts w:ascii="Times New Roman" w:hAnsi="Times New Roman" w:cs="Times New Roman"/>
          <w:sz w:val="20"/>
          <w:szCs w:val="20"/>
          <w:lang w:eastAsia="en-ZA"/>
        </w:rPr>
        <w:t xml:space="preserve"> engaged in development planning; </w:t>
      </w:r>
      <w:r w:rsidRPr="00680516">
        <w:rPr>
          <w:rFonts w:ascii="Times New Roman" w:hAnsi="Times New Roman" w:cs="Times New Roman"/>
          <w:sz w:val="20"/>
          <w:szCs w:val="20"/>
          <w:lang w:eastAsia="en-ZA"/>
        </w:rPr>
        <w:t xml:space="preserve">(ii) </w:t>
      </w:r>
      <w:r w:rsidR="002F684B" w:rsidRPr="00680516">
        <w:rPr>
          <w:rFonts w:ascii="Times New Roman" w:hAnsi="Times New Roman" w:cs="Times New Roman"/>
          <w:sz w:val="20"/>
          <w:szCs w:val="20"/>
          <w:lang w:eastAsia="en-ZA"/>
        </w:rPr>
        <w:t xml:space="preserve">effective national and </w:t>
      </w:r>
      <w:r w:rsidR="00105E08" w:rsidRPr="00680516">
        <w:rPr>
          <w:rFonts w:ascii="Times New Roman" w:hAnsi="Times New Roman" w:cs="Times New Roman"/>
          <w:sz w:val="20"/>
          <w:szCs w:val="20"/>
          <w:lang w:eastAsia="en-ZA"/>
        </w:rPr>
        <w:t xml:space="preserve">local </w:t>
      </w:r>
      <w:r w:rsidR="002F684B" w:rsidRPr="00680516">
        <w:rPr>
          <w:rFonts w:ascii="Times New Roman" w:hAnsi="Times New Roman" w:cs="Times New Roman"/>
          <w:sz w:val="20"/>
          <w:szCs w:val="20"/>
          <w:lang w:eastAsia="en-ZA"/>
        </w:rPr>
        <w:t xml:space="preserve">governance for the implementation of the SDGs and </w:t>
      </w:r>
      <w:r w:rsidRPr="00680516">
        <w:rPr>
          <w:rFonts w:ascii="Times New Roman" w:hAnsi="Times New Roman" w:cs="Times New Roman"/>
          <w:sz w:val="20"/>
          <w:szCs w:val="20"/>
          <w:lang w:eastAsia="en-ZA"/>
        </w:rPr>
        <w:t xml:space="preserve">Agenda </w:t>
      </w:r>
      <w:r w:rsidR="002F684B" w:rsidRPr="00680516">
        <w:rPr>
          <w:rFonts w:ascii="Times New Roman" w:hAnsi="Times New Roman" w:cs="Times New Roman"/>
          <w:sz w:val="20"/>
          <w:szCs w:val="20"/>
          <w:lang w:eastAsia="en-ZA"/>
        </w:rPr>
        <w:t>2063 at the national and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local levels; </w:t>
      </w:r>
      <w:r>
        <w:rPr>
          <w:rFonts w:ascii="Times New Roman" w:hAnsi="Times New Roman" w:cs="Times New Roman"/>
          <w:sz w:val="20"/>
          <w:szCs w:val="20"/>
          <w:lang w:eastAsia="en-ZA"/>
        </w:rPr>
        <w:t xml:space="preserve">(iii)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increased provision of basic social services; </w:t>
      </w:r>
      <w:r w:rsidR="00906726">
        <w:rPr>
          <w:rFonts w:ascii="Times New Roman" w:hAnsi="Times New Roman" w:cs="Times New Roman"/>
          <w:sz w:val="20"/>
          <w:szCs w:val="20"/>
          <w:lang w:eastAsia="en-ZA"/>
        </w:rPr>
        <w:t xml:space="preserve">(iv)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strengthening of value chains for employment</w:t>
      </w:r>
      <w:r w:rsidR="00906726">
        <w:rPr>
          <w:rFonts w:ascii="Times New Roman" w:hAnsi="Times New Roman" w:cs="Times New Roman"/>
          <w:sz w:val="20"/>
          <w:szCs w:val="20"/>
          <w:lang w:eastAsia="en-ZA"/>
        </w:rPr>
        <w:t>, and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906726">
        <w:rPr>
          <w:rFonts w:ascii="Times New Roman" w:hAnsi="Times New Roman" w:cs="Times New Roman"/>
          <w:sz w:val="20"/>
          <w:szCs w:val="20"/>
          <w:lang w:eastAsia="en-ZA"/>
        </w:rPr>
        <w:t xml:space="preserve">(v)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sustainability of the development process and increased </w:t>
      </w:r>
      <w:r w:rsidR="009266F9">
        <w:rPr>
          <w:rFonts w:ascii="Times New Roman" w:hAnsi="Times New Roman" w:cs="Times New Roman"/>
          <w:sz w:val="20"/>
          <w:szCs w:val="20"/>
          <w:lang w:eastAsia="en-ZA"/>
        </w:rPr>
        <w:t xml:space="preserve">government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capacity </w:t>
      </w:r>
      <w:r w:rsidR="009B1129">
        <w:rPr>
          <w:rFonts w:ascii="Times New Roman" w:hAnsi="Times New Roman" w:cs="Times New Roman"/>
          <w:sz w:val="20"/>
          <w:szCs w:val="20"/>
          <w:lang w:eastAsia="en-ZA"/>
        </w:rPr>
        <w:t>to adapt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to climate change</w:t>
      </w:r>
      <w:r w:rsidR="00906726">
        <w:rPr>
          <w:rFonts w:ascii="Times New Roman" w:hAnsi="Times New Roman" w:cs="Times New Roman"/>
          <w:sz w:val="20"/>
          <w:szCs w:val="20"/>
          <w:lang w:eastAsia="en-ZA"/>
        </w:rPr>
        <w:t xml:space="preserve"> risks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.</w:t>
      </w:r>
      <w:r w:rsidR="00533E16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B310D">
        <w:rPr>
          <w:rFonts w:ascii="Times New Roman" w:hAnsi="Times New Roman" w:cs="Times New Roman"/>
          <w:sz w:val="20"/>
          <w:szCs w:val="20"/>
          <w:lang w:eastAsia="en-ZA"/>
        </w:rPr>
        <w:t xml:space="preserve">Two cross-cutting pillars underpin the </w:t>
      </w:r>
      <w:r w:rsidR="00906726">
        <w:rPr>
          <w:rFonts w:ascii="Times New Roman" w:hAnsi="Times New Roman" w:cs="Times New Roman"/>
          <w:sz w:val="20"/>
          <w:szCs w:val="20"/>
          <w:lang w:eastAsia="en-ZA"/>
        </w:rPr>
        <w:t>p</w:t>
      </w:r>
      <w:r w:rsidR="002B310D">
        <w:rPr>
          <w:rFonts w:ascii="Times New Roman" w:hAnsi="Times New Roman" w:cs="Times New Roman"/>
          <w:sz w:val="20"/>
          <w:szCs w:val="20"/>
          <w:lang w:eastAsia="en-ZA"/>
        </w:rPr>
        <w:t>rogramme</w:t>
      </w:r>
      <w:r w:rsidR="00A9243D">
        <w:rPr>
          <w:rFonts w:ascii="Times New Roman" w:hAnsi="Times New Roman" w:cs="Times New Roman"/>
          <w:sz w:val="20"/>
          <w:szCs w:val="20"/>
          <w:lang w:eastAsia="en-ZA"/>
        </w:rPr>
        <w:t xml:space="preserve">: </w:t>
      </w:r>
      <w:r w:rsidR="002B310D">
        <w:rPr>
          <w:rFonts w:ascii="Times New Roman" w:hAnsi="Times New Roman" w:cs="Times New Roman"/>
          <w:sz w:val="20"/>
          <w:szCs w:val="20"/>
          <w:lang w:eastAsia="en-ZA"/>
        </w:rPr>
        <w:t>building institutional capacities</w:t>
      </w:r>
      <w:r w:rsidR="002B5AE4">
        <w:rPr>
          <w:rFonts w:ascii="Times New Roman" w:hAnsi="Times New Roman" w:cs="Times New Roman"/>
          <w:sz w:val="20"/>
          <w:szCs w:val="20"/>
          <w:lang w:eastAsia="en-ZA"/>
        </w:rPr>
        <w:t xml:space="preserve"> for planning processes</w:t>
      </w:r>
      <w:r w:rsidR="00906726">
        <w:rPr>
          <w:rFonts w:ascii="Times New Roman" w:hAnsi="Times New Roman" w:cs="Times New Roman"/>
          <w:sz w:val="20"/>
          <w:szCs w:val="20"/>
          <w:lang w:eastAsia="en-ZA"/>
        </w:rPr>
        <w:t>,</w:t>
      </w:r>
      <w:r w:rsidR="002B310D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A9243D">
        <w:rPr>
          <w:rFonts w:ascii="Times New Roman" w:hAnsi="Times New Roman" w:cs="Times New Roman"/>
          <w:sz w:val="20"/>
          <w:szCs w:val="20"/>
          <w:lang w:eastAsia="en-ZA"/>
        </w:rPr>
        <w:t xml:space="preserve">and </w:t>
      </w:r>
      <w:r w:rsidR="009B1129">
        <w:rPr>
          <w:rFonts w:ascii="Times New Roman" w:hAnsi="Times New Roman" w:cs="Times New Roman"/>
          <w:sz w:val="20"/>
          <w:szCs w:val="20"/>
          <w:lang w:eastAsia="en-ZA"/>
        </w:rPr>
        <w:t xml:space="preserve">provision of </w:t>
      </w:r>
      <w:r w:rsidR="00830CD9">
        <w:rPr>
          <w:rFonts w:ascii="Times New Roman" w:hAnsi="Times New Roman" w:cs="Times New Roman"/>
          <w:sz w:val="20"/>
          <w:szCs w:val="20"/>
          <w:lang w:eastAsia="en-ZA"/>
        </w:rPr>
        <w:t xml:space="preserve">capacity </w:t>
      </w:r>
      <w:r w:rsidR="002B310D">
        <w:rPr>
          <w:rFonts w:ascii="Times New Roman" w:hAnsi="Times New Roman" w:cs="Times New Roman"/>
          <w:sz w:val="20"/>
          <w:szCs w:val="20"/>
          <w:lang w:eastAsia="en-ZA"/>
        </w:rPr>
        <w:t xml:space="preserve">support for inclusive and sustainable growth. </w:t>
      </w:r>
      <w:r w:rsidR="009B1129">
        <w:rPr>
          <w:rFonts w:ascii="Times New Roman" w:hAnsi="Times New Roman" w:cs="Times New Roman"/>
          <w:sz w:val="20"/>
          <w:szCs w:val="20"/>
          <w:lang w:eastAsia="en-ZA"/>
        </w:rPr>
        <w:t>I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n this way, the CPD is aligned with the PSGE priority areas </w:t>
      </w:r>
      <w:r w:rsidR="009B1129">
        <w:rPr>
          <w:rFonts w:ascii="Times New Roman" w:hAnsi="Times New Roman" w:cs="Times New Roman"/>
          <w:sz w:val="20"/>
          <w:szCs w:val="20"/>
          <w:lang w:eastAsia="en-ZA"/>
        </w:rPr>
        <w:t>of</w:t>
      </w:r>
      <w:r w:rsidR="00906726">
        <w:rPr>
          <w:rFonts w:ascii="Times New Roman" w:hAnsi="Times New Roman" w:cs="Times New Roman"/>
          <w:sz w:val="20"/>
          <w:szCs w:val="20"/>
          <w:lang w:eastAsia="en-ZA"/>
        </w:rPr>
        <w:t xml:space="preserve"> governance, sustainable de</w:t>
      </w:r>
      <w:r w:rsidR="007D5F31">
        <w:rPr>
          <w:rFonts w:ascii="Times New Roman" w:hAnsi="Times New Roman" w:cs="Times New Roman"/>
          <w:sz w:val="20"/>
          <w:szCs w:val="20"/>
          <w:lang w:eastAsia="en-ZA"/>
        </w:rPr>
        <w:t>velopment, a ‘Green Gabon’, and a</w:t>
      </w:r>
      <w:r w:rsidR="002B310D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3D6CEB">
        <w:rPr>
          <w:rFonts w:ascii="Times New Roman" w:hAnsi="Times New Roman" w:cs="Times New Roman"/>
          <w:sz w:val="20"/>
          <w:szCs w:val="20"/>
          <w:lang w:eastAsia="en-ZA"/>
        </w:rPr>
        <w:t>‘Gabon of the Service Sector</w:t>
      </w:r>
      <w:r w:rsidR="00782A2A">
        <w:rPr>
          <w:rFonts w:ascii="Times New Roman" w:hAnsi="Times New Roman" w:cs="Times New Roman"/>
          <w:sz w:val="20"/>
          <w:szCs w:val="20"/>
          <w:lang w:eastAsia="en-ZA"/>
        </w:rPr>
        <w:t>’</w:t>
      </w:r>
    </w:p>
    <w:p w14:paraId="7BA71822" w14:textId="77777777" w:rsidR="002F684B" w:rsidRPr="00F65E55" w:rsidRDefault="002F684B" w:rsidP="00212B46">
      <w:pPr>
        <w:ind w:left="1170"/>
        <w:rPr>
          <w:rFonts w:ascii="Times New Roman" w:hAnsi="Times New Roman" w:cs="Times New Roman"/>
          <w:b/>
          <w:szCs w:val="20"/>
        </w:rPr>
      </w:pPr>
      <w:r w:rsidRPr="00F65E55">
        <w:rPr>
          <w:rFonts w:ascii="Times New Roman" w:hAnsi="Times New Roman" w:cs="Times New Roman"/>
          <w:b/>
          <w:szCs w:val="20"/>
        </w:rPr>
        <w:t xml:space="preserve">Pillar I: Enhanced national and local capacities for planning and </w:t>
      </w:r>
      <w:r w:rsidR="006F3006" w:rsidRPr="00F65E55">
        <w:rPr>
          <w:rFonts w:ascii="Times New Roman" w:hAnsi="Times New Roman" w:cs="Times New Roman"/>
          <w:b/>
          <w:szCs w:val="20"/>
        </w:rPr>
        <w:t>SDG mainstreaming</w:t>
      </w:r>
    </w:p>
    <w:p w14:paraId="5455D307" w14:textId="77777777" w:rsidR="00C23D38" w:rsidRPr="00B93C1C" w:rsidRDefault="00A53A2B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en-ZA"/>
        </w:rPr>
      </w:pPr>
      <w:r>
        <w:rPr>
          <w:rFonts w:ascii="Times New Roman" w:hAnsi="Times New Roman" w:cs="Times New Roman"/>
          <w:sz w:val="20"/>
          <w:szCs w:val="20"/>
          <w:lang w:eastAsia="en-ZA"/>
        </w:rPr>
        <w:t xml:space="preserve">  </w:t>
      </w:r>
      <w:r w:rsidR="00125C49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UNDP </w:t>
      </w:r>
      <w:r w:rsidR="002F684B" w:rsidRPr="00B93C1C">
        <w:rPr>
          <w:rFonts w:ascii="Times New Roman" w:hAnsi="Times New Roman" w:cs="Times New Roman"/>
          <w:sz w:val="20"/>
          <w:szCs w:val="20"/>
          <w:lang w:eastAsia="en-ZA"/>
        </w:rPr>
        <w:t>will provide</w:t>
      </w:r>
      <w:r w:rsidR="00125C49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 leadership </w:t>
      </w:r>
      <w:r>
        <w:rPr>
          <w:rFonts w:ascii="Times New Roman" w:hAnsi="Times New Roman" w:cs="Times New Roman"/>
          <w:sz w:val="20"/>
          <w:szCs w:val="20"/>
          <w:lang w:eastAsia="en-ZA"/>
        </w:rPr>
        <w:t xml:space="preserve">on the </w:t>
      </w:r>
      <w:r w:rsidR="00125C49" w:rsidRPr="00B93C1C">
        <w:rPr>
          <w:rFonts w:ascii="Times New Roman" w:hAnsi="Times New Roman" w:cs="Times New Roman"/>
          <w:sz w:val="20"/>
          <w:szCs w:val="20"/>
          <w:lang w:eastAsia="en-ZA"/>
        </w:rPr>
        <w:t>SDG</w:t>
      </w:r>
      <w:r w:rsidR="002F684B" w:rsidRPr="00B93C1C">
        <w:rPr>
          <w:rFonts w:ascii="Times New Roman" w:hAnsi="Times New Roman" w:cs="Times New Roman"/>
          <w:sz w:val="20"/>
          <w:szCs w:val="20"/>
          <w:lang w:eastAsia="en-ZA"/>
        </w:rPr>
        <w:t>s</w:t>
      </w:r>
      <w:r w:rsidR="00125C49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 through the Mainstreaming, Acceleration and Policy Support</w:t>
      </w:r>
      <w:r w:rsidR="002F684B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 (</w:t>
      </w:r>
      <w:r w:rsidR="00125C49" w:rsidRPr="00B93C1C">
        <w:rPr>
          <w:rFonts w:ascii="Times New Roman" w:hAnsi="Times New Roman" w:cs="Times New Roman"/>
          <w:sz w:val="20"/>
          <w:szCs w:val="20"/>
          <w:lang w:eastAsia="en-ZA"/>
        </w:rPr>
        <w:t>MAPS) approach</w:t>
      </w:r>
      <w:r w:rsidR="002F684B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. To complement </w:t>
      </w:r>
      <w:r>
        <w:rPr>
          <w:rFonts w:ascii="Times New Roman" w:hAnsi="Times New Roman" w:cs="Times New Roman"/>
          <w:sz w:val="20"/>
          <w:szCs w:val="20"/>
          <w:lang w:eastAsia="en-ZA"/>
        </w:rPr>
        <w:t>this</w:t>
      </w:r>
      <w:r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high-level mainstreaming work, UNDP will </w:t>
      </w:r>
      <w:r>
        <w:rPr>
          <w:rFonts w:ascii="Times New Roman" w:hAnsi="Times New Roman" w:cs="Times New Roman"/>
          <w:sz w:val="20"/>
          <w:szCs w:val="20"/>
          <w:lang w:eastAsia="en-ZA"/>
        </w:rPr>
        <w:t>facilitate the creation of</w:t>
      </w:r>
      <w:r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B93C1C">
        <w:rPr>
          <w:rFonts w:ascii="Times New Roman" w:hAnsi="Times New Roman" w:cs="Times New Roman"/>
          <w:sz w:val="20"/>
          <w:szCs w:val="20"/>
          <w:lang w:eastAsia="en-ZA"/>
        </w:rPr>
        <w:t>essential</w:t>
      </w:r>
      <w:r w:rsidR="00125C49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 link</w:t>
      </w:r>
      <w:r w:rsidR="00B01B3E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s </w:t>
      </w:r>
      <w:r w:rsidR="00125C49" w:rsidRPr="00B93C1C">
        <w:rPr>
          <w:rFonts w:ascii="Times New Roman" w:hAnsi="Times New Roman" w:cs="Times New Roman"/>
          <w:sz w:val="20"/>
          <w:szCs w:val="20"/>
          <w:lang w:eastAsia="en-ZA"/>
        </w:rPr>
        <w:t>between national and local policy planning and implementation</w:t>
      </w:r>
      <w:r w:rsidR="002F684B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 processes</w:t>
      </w:r>
      <w:r w:rsidR="00125C49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. </w:t>
      </w:r>
      <w:r w:rsidR="00C23D38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The aim </w:t>
      </w:r>
      <w:r>
        <w:rPr>
          <w:rFonts w:ascii="Times New Roman" w:hAnsi="Times New Roman" w:cs="Times New Roman"/>
          <w:sz w:val="20"/>
          <w:szCs w:val="20"/>
          <w:lang w:eastAsia="en-ZA"/>
        </w:rPr>
        <w:t>is</w:t>
      </w:r>
      <w:r w:rsidR="00C23D38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 to strengthen ongoing policy support on the SDGs</w:t>
      </w:r>
      <w:r>
        <w:rPr>
          <w:rFonts w:ascii="Times New Roman" w:hAnsi="Times New Roman" w:cs="Times New Roman"/>
          <w:sz w:val="20"/>
          <w:szCs w:val="20"/>
          <w:lang w:eastAsia="en-ZA"/>
        </w:rPr>
        <w:t>,</w:t>
      </w:r>
      <w:r w:rsidR="00C23D38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 and </w:t>
      </w:r>
      <w:r w:rsidR="009B1129">
        <w:rPr>
          <w:rFonts w:ascii="Times New Roman" w:hAnsi="Times New Roman" w:cs="Times New Roman"/>
          <w:sz w:val="20"/>
          <w:szCs w:val="20"/>
          <w:lang w:eastAsia="en-ZA"/>
        </w:rPr>
        <w:t>create</w:t>
      </w:r>
      <w:r w:rsidR="009B1129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C23D38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a foundation </w:t>
      </w:r>
      <w:r>
        <w:rPr>
          <w:rFonts w:ascii="Times New Roman" w:hAnsi="Times New Roman" w:cs="Times New Roman"/>
          <w:sz w:val="20"/>
          <w:szCs w:val="20"/>
          <w:lang w:eastAsia="en-ZA"/>
        </w:rPr>
        <w:t>upon</w:t>
      </w:r>
      <w:r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C23D38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which to build local policies and programmes that are inclusive and sustainable. </w:t>
      </w:r>
      <w:r w:rsidR="00125C49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This will be done </w:t>
      </w:r>
      <w:r w:rsidR="000D1F35">
        <w:rPr>
          <w:rFonts w:ascii="Times New Roman" w:hAnsi="Times New Roman" w:cs="Times New Roman"/>
          <w:sz w:val="20"/>
          <w:szCs w:val="20"/>
          <w:lang w:eastAsia="en-ZA"/>
        </w:rPr>
        <w:t>by</w:t>
      </w:r>
      <w:r w:rsidR="000D1F35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125C49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building the capacities of national public institutions involved in </w:t>
      </w:r>
      <w:r w:rsidR="002F684B" w:rsidRPr="00B93C1C">
        <w:rPr>
          <w:rFonts w:ascii="Times New Roman" w:hAnsi="Times New Roman" w:cs="Times New Roman"/>
          <w:sz w:val="20"/>
          <w:szCs w:val="20"/>
          <w:lang w:eastAsia="en-ZA"/>
        </w:rPr>
        <w:t>the policy-</w:t>
      </w:r>
      <w:r w:rsidR="00125C49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making process </w:t>
      </w:r>
      <w:r w:rsidR="000D1F35">
        <w:rPr>
          <w:rFonts w:ascii="Times New Roman" w:hAnsi="Times New Roman" w:cs="Times New Roman"/>
          <w:sz w:val="20"/>
          <w:szCs w:val="20"/>
          <w:lang w:eastAsia="en-ZA"/>
        </w:rPr>
        <w:t>to better</w:t>
      </w:r>
      <w:r w:rsidR="000D1F35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125C49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craft and implement development plans, and build partnerships for </w:t>
      </w:r>
      <w:r w:rsidR="000D1F35">
        <w:rPr>
          <w:rFonts w:ascii="Times New Roman" w:hAnsi="Times New Roman" w:cs="Times New Roman"/>
          <w:sz w:val="20"/>
          <w:szCs w:val="20"/>
          <w:lang w:eastAsia="en-ZA"/>
        </w:rPr>
        <w:t>the</w:t>
      </w:r>
      <w:r w:rsidR="00125C49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 effective implementation of the 2030</w:t>
      </w:r>
      <w:r w:rsidR="000D1F35">
        <w:rPr>
          <w:rFonts w:ascii="Times New Roman" w:hAnsi="Times New Roman" w:cs="Times New Roman"/>
          <w:sz w:val="20"/>
          <w:szCs w:val="20"/>
          <w:lang w:eastAsia="en-ZA"/>
        </w:rPr>
        <w:t xml:space="preserve"> and 2063 agendas</w:t>
      </w:r>
      <w:r w:rsidR="00125C49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. </w:t>
      </w:r>
      <w:r w:rsidR="00C23D38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In </w:t>
      </w:r>
      <w:r w:rsidR="000D1F35">
        <w:rPr>
          <w:rFonts w:ascii="Times New Roman" w:hAnsi="Times New Roman" w:cs="Times New Roman"/>
          <w:sz w:val="20"/>
          <w:szCs w:val="20"/>
          <w:lang w:eastAsia="en-ZA"/>
        </w:rPr>
        <w:t>collaboration</w:t>
      </w:r>
      <w:r w:rsidR="000D1F35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C23D38" w:rsidRPr="00B93C1C">
        <w:rPr>
          <w:rFonts w:ascii="Times New Roman" w:hAnsi="Times New Roman" w:cs="Times New Roman"/>
          <w:sz w:val="20"/>
          <w:szCs w:val="20"/>
          <w:lang w:eastAsia="en-ZA"/>
        </w:rPr>
        <w:t>with the U</w:t>
      </w:r>
      <w:r w:rsidR="000D1F35">
        <w:rPr>
          <w:rFonts w:ascii="Times New Roman" w:hAnsi="Times New Roman" w:cs="Times New Roman"/>
          <w:sz w:val="20"/>
          <w:szCs w:val="20"/>
          <w:lang w:eastAsia="en-ZA"/>
        </w:rPr>
        <w:t xml:space="preserve">nited </w:t>
      </w:r>
      <w:r w:rsidR="00C23D38" w:rsidRPr="00B93C1C">
        <w:rPr>
          <w:rFonts w:ascii="Times New Roman" w:hAnsi="Times New Roman" w:cs="Times New Roman"/>
          <w:sz w:val="20"/>
          <w:szCs w:val="20"/>
          <w:lang w:eastAsia="en-ZA"/>
        </w:rPr>
        <w:t>N</w:t>
      </w:r>
      <w:r w:rsidR="000D1F35">
        <w:rPr>
          <w:rFonts w:ascii="Times New Roman" w:hAnsi="Times New Roman" w:cs="Times New Roman"/>
          <w:sz w:val="20"/>
          <w:szCs w:val="20"/>
          <w:lang w:eastAsia="en-ZA"/>
        </w:rPr>
        <w:t>ations</w:t>
      </w:r>
      <w:r w:rsidR="00C23D38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 Country Team</w:t>
      </w:r>
      <w:r w:rsidR="000D1F35">
        <w:rPr>
          <w:rFonts w:ascii="Times New Roman" w:hAnsi="Times New Roman" w:cs="Times New Roman"/>
          <w:sz w:val="20"/>
          <w:szCs w:val="20"/>
          <w:lang w:eastAsia="en-ZA"/>
        </w:rPr>
        <w:t xml:space="preserve"> (UNCT)</w:t>
      </w:r>
      <w:r w:rsidR="00C23D38" w:rsidRPr="00B93C1C">
        <w:rPr>
          <w:rFonts w:ascii="Times New Roman" w:hAnsi="Times New Roman" w:cs="Times New Roman"/>
          <w:sz w:val="20"/>
          <w:szCs w:val="20"/>
          <w:lang w:eastAsia="en-ZA"/>
        </w:rPr>
        <w:t>, support will</w:t>
      </w:r>
      <w:r w:rsidR="00607045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C23D38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strengthen </w:t>
      </w:r>
      <w:r w:rsidR="000D1F35">
        <w:rPr>
          <w:rFonts w:ascii="Times New Roman" w:hAnsi="Times New Roman" w:cs="Times New Roman"/>
          <w:sz w:val="20"/>
          <w:szCs w:val="20"/>
          <w:lang w:eastAsia="en-ZA"/>
        </w:rPr>
        <w:t>national</w:t>
      </w:r>
      <w:r w:rsidR="00C23D38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 statistical capacit</w:t>
      </w:r>
      <w:r w:rsidR="009B1129">
        <w:rPr>
          <w:rFonts w:ascii="Times New Roman" w:hAnsi="Times New Roman" w:cs="Times New Roman"/>
          <w:sz w:val="20"/>
          <w:szCs w:val="20"/>
          <w:lang w:eastAsia="en-ZA"/>
        </w:rPr>
        <w:t>ies</w:t>
      </w:r>
      <w:r w:rsidR="00C23D38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 to measure progress towards SDG targets and indicators. </w:t>
      </w:r>
      <w:r w:rsidR="000D1F35">
        <w:rPr>
          <w:rFonts w:ascii="Times New Roman" w:hAnsi="Times New Roman" w:cs="Times New Roman"/>
          <w:sz w:val="20"/>
          <w:szCs w:val="20"/>
          <w:lang w:eastAsia="en-ZA"/>
        </w:rPr>
        <w:t>Furthermore, d</w:t>
      </w:r>
      <w:r w:rsidR="00C23D38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edicated </w:t>
      </w:r>
      <w:r w:rsidR="000D1F35">
        <w:rPr>
          <w:rFonts w:ascii="Times New Roman" w:hAnsi="Times New Roman" w:cs="Times New Roman"/>
          <w:sz w:val="20"/>
          <w:szCs w:val="20"/>
          <w:lang w:eastAsia="en-ZA"/>
        </w:rPr>
        <w:t>assistance</w:t>
      </w:r>
      <w:r w:rsidR="000D1F35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0D1F35">
        <w:rPr>
          <w:rFonts w:ascii="Times New Roman" w:hAnsi="Times New Roman" w:cs="Times New Roman"/>
          <w:sz w:val="20"/>
          <w:szCs w:val="20"/>
          <w:lang w:eastAsia="en-ZA"/>
        </w:rPr>
        <w:t>is needed</w:t>
      </w:r>
      <w:r w:rsidR="000D1F35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0D1F35">
        <w:rPr>
          <w:rFonts w:ascii="Times New Roman" w:hAnsi="Times New Roman" w:cs="Times New Roman"/>
          <w:sz w:val="20"/>
          <w:szCs w:val="20"/>
          <w:lang w:eastAsia="en-ZA"/>
        </w:rPr>
        <w:t>for the government to develop the</w:t>
      </w:r>
      <w:r w:rsidR="00C23D38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 Gabon SDG report. UNDP will </w:t>
      </w:r>
      <w:r w:rsidR="000D1F35">
        <w:rPr>
          <w:rFonts w:ascii="Times New Roman" w:hAnsi="Times New Roman" w:cs="Times New Roman"/>
          <w:sz w:val="20"/>
          <w:szCs w:val="20"/>
          <w:lang w:eastAsia="en-ZA"/>
        </w:rPr>
        <w:t>provide</w:t>
      </w:r>
      <w:r w:rsidR="00C23D38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 technical support on data collection and </w:t>
      </w:r>
      <w:r w:rsidR="009B5985">
        <w:rPr>
          <w:rFonts w:ascii="Times New Roman" w:hAnsi="Times New Roman" w:cs="Times New Roman"/>
          <w:sz w:val="20"/>
          <w:szCs w:val="20"/>
          <w:lang w:eastAsia="en-ZA"/>
        </w:rPr>
        <w:t>analysis</w:t>
      </w:r>
      <w:r w:rsidR="00C23D38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, particularly data-disaggregation by sex. </w:t>
      </w:r>
      <w:r w:rsidR="009B5985">
        <w:rPr>
          <w:rFonts w:ascii="Times New Roman" w:hAnsi="Times New Roman" w:cs="Times New Roman"/>
          <w:sz w:val="20"/>
          <w:szCs w:val="20"/>
          <w:lang w:eastAsia="en-ZA"/>
        </w:rPr>
        <w:t>L</w:t>
      </w:r>
      <w:r w:rsidR="00B93C1C" w:rsidRPr="00B93C1C">
        <w:rPr>
          <w:rFonts w:ascii="Times New Roman" w:hAnsi="Times New Roman" w:cs="Times New Roman"/>
          <w:sz w:val="20"/>
          <w:szCs w:val="20"/>
          <w:lang w:eastAsia="en-ZA"/>
        </w:rPr>
        <w:t>ocal development approach</w:t>
      </w:r>
      <w:r w:rsidR="009B5985">
        <w:rPr>
          <w:rFonts w:ascii="Times New Roman" w:hAnsi="Times New Roman" w:cs="Times New Roman"/>
          <w:sz w:val="20"/>
          <w:szCs w:val="20"/>
          <w:lang w:eastAsia="en-ZA"/>
        </w:rPr>
        <w:t>es</w:t>
      </w:r>
      <w:r w:rsidR="00B93C1C" w:rsidRPr="00B93C1C">
        <w:rPr>
          <w:rFonts w:ascii="Times New Roman" w:hAnsi="Times New Roman" w:cs="Times New Roman"/>
          <w:sz w:val="20"/>
          <w:szCs w:val="20"/>
          <w:lang w:eastAsia="en-ZA"/>
        </w:rPr>
        <w:t xml:space="preserve"> will address SDGs 1 to 10, 13, 15 and 16.</w:t>
      </w:r>
    </w:p>
    <w:p w14:paraId="7B8D9087" w14:textId="77777777" w:rsidR="002F684B" w:rsidRPr="00C23D38" w:rsidRDefault="009B5985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en-ZA"/>
        </w:rPr>
      </w:pPr>
      <w:r>
        <w:rPr>
          <w:rFonts w:ascii="Times New Roman" w:hAnsi="Times New Roman" w:cs="Times New Roman"/>
          <w:sz w:val="20"/>
          <w:szCs w:val="20"/>
          <w:lang w:eastAsia="en-ZA"/>
        </w:rPr>
        <w:t xml:space="preserve">  </w:t>
      </w:r>
      <w:r w:rsidR="000D6B3B" w:rsidRPr="00C23D38">
        <w:rPr>
          <w:rFonts w:ascii="Times New Roman" w:hAnsi="Times New Roman" w:cs="Times New Roman"/>
          <w:sz w:val="20"/>
          <w:szCs w:val="20"/>
          <w:lang w:eastAsia="en-ZA"/>
        </w:rPr>
        <w:t xml:space="preserve">UNDP will provide support </w:t>
      </w:r>
      <w:r w:rsidR="002F684B" w:rsidRPr="00C23D38">
        <w:rPr>
          <w:rFonts w:ascii="Times New Roman" w:hAnsi="Times New Roman" w:cs="Times New Roman"/>
          <w:sz w:val="20"/>
          <w:szCs w:val="20"/>
          <w:lang w:eastAsia="en-ZA"/>
        </w:rPr>
        <w:t xml:space="preserve">on strategic planning, policy formulation, targeting of beneficiaries, project development, and monitoring and evaluation </w:t>
      </w:r>
      <w:r w:rsidR="009B1129">
        <w:rPr>
          <w:rFonts w:ascii="Times New Roman" w:hAnsi="Times New Roman" w:cs="Times New Roman"/>
          <w:sz w:val="20"/>
          <w:szCs w:val="20"/>
          <w:lang w:eastAsia="en-ZA"/>
        </w:rPr>
        <w:t>for</w:t>
      </w:r>
      <w:r w:rsidR="009B1129" w:rsidRPr="00C23D38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C23D38">
        <w:rPr>
          <w:rFonts w:ascii="Times New Roman" w:hAnsi="Times New Roman" w:cs="Times New Roman"/>
          <w:sz w:val="20"/>
          <w:szCs w:val="20"/>
          <w:lang w:eastAsia="en-ZA"/>
        </w:rPr>
        <w:t xml:space="preserve">the </w:t>
      </w:r>
      <w:r w:rsidR="000D6B3B" w:rsidRPr="00C23D38">
        <w:rPr>
          <w:rFonts w:ascii="Times New Roman" w:hAnsi="Times New Roman" w:cs="Times New Roman"/>
          <w:sz w:val="20"/>
          <w:szCs w:val="20"/>
          <w:lang w:eastAsia="en-ZA"/>
        </w:rPr>
        <w:t xml:space="preserve">Ministry of the Economy, Ministry of Environment, </w:t>
      </w:r>
      <w:r w:rsidR="002F684B" w:rsidRPr="00C23D38">
        <w:rPr>
          <w:rFonts w:ascii="Times New Roman" w:hAnsi="Times New Roman" w:cs="Times New Roman"/>
          <w:sz w:val="20"/>
          <w:szCs w:val="20"/>
          <w:lang w:eastAsia="en-ZA"/>
        </w:rPr>
        <w:t>the National Climate Council</w:t>
      </w:r>
      <w:r w:rsidR="000D6B3B" w:rsidRPr="00C23D38">
        <w:rPr>
          <w:rFonts w:ascii="Times New Roman" w:hAnsi="Times New Roman" w:cs="Times New Roman"/>
          <w:sz w:val="20"/>
          <w:szCs w:val="20"/>
          <w:lang w:eastAsia="en-ZA"/>
        </w:rPr>
        <w:t xml:space="preserve">, </w:t>
      </w:r>
      <w:r w:rsidR="002F684B" w:rsidRPr="00C23D38">
        <w:rPr>
          <w:rFonts w:ascii="Times New Roman" w:hAnsi="Times New Roman" w:cs="Times New Roman"/>
          <w:sz w:val="20"/>
          <w:szCs w:val="20"/>
          <w:lang w:eastAsia="en-ZA"/>
        </w:rPr>
        <w:t xml:space="preserve">the </w:t>
      </w:r>
      <w:r w:rsidR="000D6B3B" w:rsidRPr="00C23D38">
        <w:rPr>
          <w:rFonts w:ascii="Times New Roman" w:hAnsi="Times New Roman" w:cs="Times New Roman"/>
          <w:sz w:val="20"/>
          <w:szCs w:val="20"/>
          <w:lang w:eastAsia="en-ZA"/>
        </w:rPr>
        <w:t xml:space="preserve">newly created </w:t>
      </w:r>
      <w:r w:rsidR="002F684B" w:rsidRPr="00C23D38">
        <w:rPr>
          <w:rFonts w:ascii="Times New Roman" w:hAnsi="Times New Roman" w:cs="Times New Roman"/>
          <w:sz w:val="20"/>
          <w:szCs w:val="20"/>
          <w:lang w:eastAsia="en-ZA"/>
        </w:rPr>
        <w:t>Sustainable Development Authority and National Council for Sustainable Development, relevant</w:t>
      </w:r>
      <w:r w:rsidR="000D6B3B" w:rsidRPr="00C23D38">
        <w:rPr>
          <w:rFonts w:ascii="Times New Roman" w:hAnsi="Times New Roman" w:cs="Times New Roman"/>
          <w:sz w:val="20"/>
          <w:szCs w:val="20"/>
          <w:lang w:eastAsia="en-ZA"/>
        </w:rPr>
        <w:t xml:space="preserve"> sectorial ministries</w:t>
      </w:r>
      <w:r>
        <w:rPr>
          <w:rFonts w:ascii="Times New Roman" w:hAnsi="Times New Roman" w:cs="Times New Roman"/>
          <w:sz w:val="20"/>
          <w:szCs w:val="20"/>
          <w:lang w:eastAsia="en-ZA"/>
        </w:rPr>
        <w:t>,</w:t>
      </w:r>
      <w:r w:rsidR="002F684B" w:rsidRPr="00C23D38">
        <w:rPr>
          <w:rFonts w:ascii="Times New Roman" w:hAnsi="Times New Roman" w:cs="Times New Roman"/>
          <w:sz w:val="20"/>
          <w:szCs w:val="20"/>
          <w:lang w:eastAsia="en-ZA"/>
        </w:rPr>
        <w:t xml:space="preserve"> and local authorities.</w:t>
      </w:r>
      <w:r w:rsidR="00533E16" w:rsidRPr="00C23D38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40139D">
        <w:rPr>
          <w:rFonts w:ascii="Times New Roman" w:hAnsi="Times New Roman" w:cs="Times New Roman"/>
          <w:sz w:val="20"/>
          <w:szCs w:val="20"/>
          <w:lang w:eastAsia="en-ZA"/>
        </w:rPr>
        <w:t>Improved capacities</w:t>
      </w:r>
      <w:r w:rsidR="000D6B3B" w:rsidRPr="00C23D38">
        <w:rPr>
          <w:rFonts w:ascii="Times New Roman" w:hAnsi="Times New Roman" w:cs="Times New Roman"/>
          <w:sz w:val="20"/>
          <w:szCs w:val="20"/>
          <w:lang w:eastAsia="en-ZA"/>
        </w:rPr>
        <w:t xml:space="preserve"> of national and local institutions will lead to </w:t>
      </w:r>
      <w:r w:rsidR="0040139D">
        <w:rPr>
          <w:rFonts w:ascii="Times New Roman" w:hAnsi="Times New Roman" w:cs="Times New Roman"/>
          <w:sz w:val="20"/>
          <w:szCs w:val="20"/>
          <w:lang w:eastAsia="en-ZA"/>
        </w:rPr>
        <w:t xml:space="preserve">better </w:t>
      </w:r>
      <w:r w:rsidR="000D6B3B" w:rsidRPr="00C23D38">
        <w:rPr>
          <w:rFonts w:ascii="Times New Roman" w:hAnsi="Times New Roman" w:cs="Times New Roman"/>
          <w:sz w:val="20"/>
          <w:szCs w:val="20"/>
          <w:lang w:eastAsia="en-ZA"/>
        </w:rPr>
        <w:t>development and implement</w:t>
      </w:r>
      <w:r w:rsidR="007213EB" w:rsidRPr="00C23D38">
        <w:rPr>
          <w:rFonts w:ascii="Times New Roman" w:hAnsi="Times New Roman" w:cs="Times New Roman"/>
          <w:sz w:val="20"/>
          <w:szCs w:val="20"/>
          <w:lang w:eastAsia="en-ZA"/>
        </w:rPr>
        <w:t>ation of LDPs</w:t>
      </w:r>
      <w:r w:rsidR="000D6B3B" w:rsidRPr="00C23D38">
        <w:rPr>
          <w:rFonts w:ascii="Times New Roman" w:hAnsi="Times New Roman" w:cs="Times New Roman"/>
          <w:sz w:val="20"/>
          <w:szCs w:val="20"/>
          <w:lang w:eastAsia="en-ZA"/>
        </w:rPr>
        <w:t>, and ensure better management of public resources and inclusive services at decentralized level</w:t>
      </w:r>
      <w:r>
        <w:rPr>
          <w:rFonts w:ascii="Times New Roman" w:hAnsi="Times New Roman" w:cs="Times New Roman"/>
          <w:sz w:val="20"/>
          <w:szCs w:val="20"/>
          <w:lang w:eastAsia="en-ZA"/>
        </w:rPr>
        <w:t>s</w:t>
      </w:r>
      <w:r w:rsidR="000D6B3B" w:rsidRPr="00C23D38">
        <w:rPr>
          <w:rFonts w:ascii="Times New Roman" w:hAnsi="Times New Roman" w:cs="Times New Roman"/>
          <w:sz w:val="20"/>
          <w:szCs w:val="20"/>
          <w:lang w:eastAsia="en-ZA"/>
        </w:rPr>
        <w:t>.</w:t>
      </w:r>
      <w:r w:rsidR="00533E16" w:rsidRPr="00C23D38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C23D38">
        <w:rPr>
          <w:rFonts w:ascii="Times New Roman" w:hAnsi="Times New Roman" w:cs="Times New Roman"/>
          <w:sz w:val="20"/>
          <w:szCs w:val="20"/>
          <w:lang w:eastAsia="en-ZA"/>
        </w:rPr>
        <w:t>Due to t</w:t>
      </w:r>
      <w:r w:rsidR="000D6B3B" w:rsidRPr="00C23D38">
        <w:rPr>
          <w:rFonts w:ascii="Times New Roman" w:hAnsi="Times New Roman" w:cs="Times New Roman"/>
          <w:sz w:val="20"/>
          <w:szCs w:val="20"/>
          <w:lang w:eastAsia="en-ZA"/>
        </w:rPr>
        <w:t>he scarcity of qualified human resources</w:t>
      </w:r>
      <w:r w:rsidR="002F684B" w:rsidRPr="00C23D38">
        <w:rPr>
          <w:rFonts w:ascii="Times New Roman" w:hAnsi="Times New Roman" w:cs="Times New Roman"/>
          <w:sz w:val="20"/>
          <w:szCs w:val="20"/>
          <w:lang w:eastAsia="en-ZA"/>
        </w:rPr>
        <w:t xml:space="preserve">, UNDP will </w:t>
      </w:r>
      <w:r w:rsidR="009B1129">
        <w:rPr>
          <w:rFonts w:ascii="Times New Roman" w:hAnsi="Times New Roman" w:cs="Times New Roman"/>
          <w:sz w:val="20"/>
          <w:szCs w:val="20"/>
          <w:lang w:eastAsia="en-ZA"/>
        </w:rPr>
        <w:t xml:space="preserve">launch </w:t>
      </w:r>
      <w:r w:rsidR="002F684B" w:rsidRPr="00C23D38">
        <w:rPr>
          <w:rFonts w:ascii="Times New Roman" w:hAnsi="Times New Roman" w:cs="Times New Roman"/>
          <w:sz w:val="20"/>
          <w:szCs w:val="20"/>
          <w:lang w:eastAsia="en-ZA"/>
        </w:rPr>
        <w:t>joint planning and implementation units across concerned ministries at local and/or provincial level</w:t>
      </w:r>
      <w:r>
        <w:rPr>
          <w:rFonts w:ascii="Times New Roman" w:hAnsi="Times New Roman" w:cs="Times New Roman"/>
          <w:sz w:val="20"/>
          <w:szCs w:val="20"/>
          <w:lang w:eastAsia="en-ZA"/>
        </w:rPr>
        <w:t>s</w:t>
      </w:r>
      <w:r w:rsidR="002F684B" w:rsidRPr="00C23D38">
        <w:rPr>
          <w:rFonts w:ascii="Times New Roman" w:hAnsi="Times New Roman" w:cs="Times New Roman"/>
          <w:sz w:val="20"/>
          <w:szCs w:val="20"/>
          <w:lang w:eastAsia="en-ZA"/>
        </w:rPr>
        <w:t>.</w:t>
      </w:r>
      <w:r w:rsidR="00533E16" w:rsidRPr="00C23D38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C23D38">
        <w:rPr>
          <w:rFonts w:ascii="Times New Roman" w:hAnsi="Times New Roman" w:cs="Times New Roman"/>
          <w:sz w:val="20"/>
          <w:szCs w:val="20"/>
          <w:lang w:eastAsia="en-ZA"/>
        </w:rPr>
        <w:t xml:space="preserve">This will </w:t>
      </w:r>
      <w:r w:rsidR="009B1129">
        <w:rPr>
          <w:rFonts w:ascii="Times New Roman" w:hAnsi="Times New Roman" w:cs="Times New Roman"/>
          <w:sz w:val="20"/>
          <w:szCs w:val="20"/>
          <w:lang w:eastAsia="en-ZA"/>
        </w:rPr>
        <w:t>involve</w:t>
      </w:r>
      <w:r>
        <w:rPr>
          <w:rFonts w:ascii="Times New Roman" w:hAnsi="Times New Roman" w:cs="Times New Roman"/>
          <w:sz w:val="20"/>
          <w:szCs w:val="20"/>
          <w:lang w:eastAsia="en-ZA"/>
        </w:rPr>
        <w:t xml:space="preserve"> a special</w:t>
      </w:r>
      <w:r w:rsidR="002F684B" w:rsidRPr="00C23D38">
        <w:rPr>
          <w:rFonts w:ascii="Times New Roman" w:hAnsi="Times New Roman" w:cs="Times New Roman"/>
          <w:sz w:val="20"/>
          <w:szCs w:val="20"/>
          <w:lang w:eastAsia="en-ZA"/>
        </w:rPr>
        <w:t xml:space="preserve"> partnership with</w:t>
      </w:r>
      <w:r w:rsidR="000D6B3B" w:rsidRPr="00C23D38">
        <w:rPr>
          <w:rFonts w:ascii="Times New Roman" w:hAnsi="Times New Roman" w:cs="Times New Roman"/>
          <w:sz w:val="20"/>
          <w:szCs w:val="20"/>
          <w:lang w:eastAsia="en-ZA"/>
        </w:rPr>
        <w:t xml:space="preserve"> the Ministry of Interior and of Decentralization. </w:t>
      </w:r>
    </w:p>
    <w:p w14:paraId="00EE74D9" w14:textId="77777777" w:rsidR="002F684B" w:rsidRDefault="009B5985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en-ZA"/>
        </w:rPr>
      </w:pPr>
      <w:r>
        <w:rPr>
          <w:rFonts w:ascii="Times New Roman" w:hAnsi="Times New Roman" w:cs="Times New Roman"/>
          <w:sz w:val="20"/>
          <w:szCs w:val="20"/>
          <w:lang w:eastAsia="en-ZA"/>
        </w:rPr>
        <w:t xml:space="preserve">  </w:t>
      </w:r>
      <w:r w:rsidR="002F684B" w:rsidRPr="00680516">
        <w:rPr>
          <w:rFonts w:ascii="Times New Roman" w:hAnsi="Times New Roman" w:cs="Times New Roman"/>
          <w:sz w:val="20"/>
          <w:szCs w:val="20"/>
          <w:lang w:eastAsia="en-ZA"/>
        </w:rPr>
        <w:t xml:space="preserve">Cooperating with the Economic Community of Central African States (ECCAS) in Libreville, UNDP will intensify technical support </w:t>
      </w:r>
      <w:r w:rsidRPr="00680516">
        <w:rPr>
          <w:rFonts w:ascii="Times New Roman" w:hAnsi="Times New Roman" w:cs="Times New Roman"/>
          <w:sz w:val="20"/>
          <w:szCs w:val="20"/>
          <w:lang w:eastAsia="en-ZA"/>
        </w:rPr>
        <w:t xml:space="preserve">for </w:t>
      </w:r>
      <w:r w:rsidR="002F684B" w:rsidRPr="00680516">
        <w:rPr>
          <w:rFonts w:ascii="Times New Roman" w:hAnsi="Times New Roman" w:cs="Times New Roman"/>
          <w:sz w:val="20"/>
          <w:szCs w:val="20"/>
          <w:lang w:eastAsia="en-ZA"/>
        </w:rPr>
        <w:t>the preparation of the regional report on progress to</w:t>
      </w:r>
      <w:r w:rsidR="00592098" w:rsidRPr="00680516">
        <w:rPr>
          <w:rFonts w:ascii="Times New Roman" w:hAnsi="Times New Roman" w:cs="Times New Roman"/>
          <w:sz w:val="20"/>
          <w:szCs w:val="20"/>
          <w:lang w:eastAsia="en-ZA"/>
        </w:rPr>
        <w:t>wards the SDGs and A</w:t>
      </w:r>
      <w:r w:rsidR="002F684B" w:rsidRPr="00680516">
        <w:rPr>
          <w:rFonts w:ascii="Times New Roman" w:hAnsi="Times New Roman" w:cs="Times New Roman"/>
          <w:sz w:val="20"/>
          <w:szCs w:val="20"/>
          <w:lang w:eastAsia="en-ZA"/>
        </w:rPr>
        <w:t>genda</w:t>
      </w:r>
      <w:r w:rsidR="00FB22A1" w:rsidRPr="00680516">
        <w:rPr>
          <w:rFonts w:ascii="Times New Roman" w:hAnsi="Times New Roman" w:cs="Times New Roman"/>
          <w:sz w:val="20"/>
          <w:szCs w:val="20"/>
          <w:lang w:eastAsia="en-ZA"/>
        </w:rPr>
        <w:t xml:space="preserve"> 2063</w:t>
      </w:r>
      <w:r w:rsidR="002F684B" w:rsidRPr="00680516">
        <w:rPr>
          <w:rFonts w:ascii="Times New Roman" w:hAnsi="Times New Roman" w:cs="Times New Roman"/>
          <w:sz w:val="20"/>
          <w:szCs w:val="20"/>
          <w:lang w:eastAsia="en-ZA"/>
        </w:rPr>
        <w:t>.</w:t>
      </w:r>
      <w:r w:rsidR="00533E16" w:rsidRPr="00680516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680516">
        <w:rPr>
          <w:rFonts w:ascii="Times New Roman" w:hAnsi="Times New Roman" w:cs="Times New Roman"/>
          <w:sz w:val="20"/>
          <w:szCs w:val="20"/>
          <w:lang w:eastAsia="en-ZA"/>
        </w:rPr>
        <w:t xml:space="preserve">UNDP will </w:t>
      </w:r>
      <w:r w:rsidR="0009121B" w:rsidRPr="00680516">
        <w:rPr>
          <w:rFonts w:ascii="Times New Roman" w:hAnsi="Times New Roman" w:cs="Times New Roman"/>
          <w:sz w:val="20"/>
          <w:szCs w:val="20"/>
          <w:lang w:eastAsia="en-ZA"/>
        </w:rPr>
        <w:t>strengthen</w:t>
      </w:r>
      <w:r w:rsidRPr="00680516">
        <w:rPr>
          <w:rFonts w:ascii="Times New Roman" w:hAnsi="Times New Roman" w:cs="Times New Roman"/>
          <w:sz w:val="20"/>
          <w:szCs w:val="20"/>
          <w:lang w:eastAsia="en-ZA"/>
        </w:rPr>
        <w:t xml:space="preserve"> its</w:t>
      </w:r>
      <w:r w:rsidR="002F684B" w:rsidRPr="00680516">
        <w:rPr>
          <w:rFonts w:ascii="Times New Roman" w:hAnsi="Times New Roman" w:cs="Times New Roman"/>
          <w:sz w:val="20"/>
          <w:szCs w:val="20"/>
          <w:lang w:eastAsia="en-ZA"/>
        </w:rPr>
        <w:t xml:space="preserve"> partnership with the European Union</w:t>
      </w:r>
      <w:r w:rsidRPr="00680516">
        <w:rPr>
          <w:rFonts w:ascii="Times New Roman" w:hAnsi="Times New Roman" w:cs="Times New Roman"/>
          <w:sz w:val="20"/>
          <w:szCs w:val="20"/>
          <w:lang w:eastAsia="en-ZA"/>
        </w:rPr>
        <w:t>—</w:t>
      </w:r>
      <w:r w:rsidR="002F684B" w:rsidRPr="00680516">
        <w:rPr>
          <w:rFonts w:ascii="Times New Roman" w:hAnsi="Times New Roman" w:cs="Times New Roman"/>
          <w:sz w:val="20"/>
          <w:szCs w:val="20"/>
          <w:lang w:eastAsia="en-ZA"/>
        </w:rPr>
        <w:t>the main funder of ECCAS</w:t>
      </w:r>
      <w:r w:rsidRPr="00680516">
        <w:rPr>
          <w:rFonts w:ascii="Times New Roman" w:hAnsi="Times New Roman" w:cs="Times New Roman"/>
          <w:sz w:val="20"/>
          <w:szCs w:val="20"/>
          <w:lang w:eastAsia="en-ZA"/>
        </w:rPr>
        <w:t>—t</w:t>
      </w:r>
      <w:r w:rsidR="002F684B" w:rsidRPr="00680516">
        <w:rPr>
          <w:rFonts w:ascii="Times New Roman" w:hAnsi="Times New Roman" w:cs="Times New Roman"/>
          <w:sz w:val="20"/>
          <w:szCs w:val="20"/>
          <w:lang w:eastAsia="en-ZA"/>
        </w:rPr>
        <w:t xml:space="preserve">o meet regional requirements. At the local level, stakeholders will be sensitized to the SDGs and </w:t>
      </w:r>
      <w:r w:rsidR="003B7A8C" w:rsidRPr="00680516">
        <w:rPr>
          <w:rFonts w:ascii="Times New Roman" w:hAnsi="Times New Roman" w:cs="Times New Roman"/>
          <w:sz w:val="20"/>
          <w:szCs w:val="20"/>
          <w:lang w:eastAsia="en-ZA"/>
        </w:rPr>
        <w:t>Agenda 2063</w:t>
      </w:r>
      <w:r w:rsidRPr="00680516">
        <w:rPr>
          <w:rFonts w:ascii="Times New Roman" w:hAnsi="Times New Roman" w:cs="Times New Roman"/>
          <w:sz w:val="20"/>
          <w:szCs w:val="20"/>
          <w:lang w:eastAsia="en-ZA"/>
        </w:rPr>
        <w:t>,</w:t>
      </w:r>
      <w:r w:rsidR="002F684B" w:rsidRPr="00680516">
        <w:rPr>
          <w:rFonts w:ascii="Times New Roman" w:hAnsi="Times New Roman" w:cs="Times New Roman"/>
          <w:sz w:val="20"/>
          <w:szCs w:val="20"/>
          <w:lang w:eastAsia="en-ZA"/>
        </w:rPr>
        <w:t xml:space="preserve"> and their</w:t>
      </w:r>
      <w:r w:rsidR="00592098" w:rsidRPr="00680516">
        <w:rPr>
          <w:rFonts w:ascii="Times New Roman" w:hAnsi="Times New Roman" w:cs="Times New Roman"/>
          <w:sz w:val="20"/>
          <w:szCs w:val="20"/>
          <w:lang w:eastAsia="en-ZA"/>
        </w:rPr>
        <w:t xml:space="preserve"> capacities</w:t>
      </w:r>
      <w:r>
        <w:rPr>
          <w:rFonts w:ascii="Times New Roman" w:hAnsi="Times New Roman" w:cs="Times New Roman"/>
          <w:sz w:val="20"/>
          <w:szCs w:val="20"/>
          <w:lang w:eastAsia="en-ZA"/>
        </w:rPr>
        <w:t xml:space="preserve"> will be</w:t>
      </w:r>
      <w:r w:rsidR="00592098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strengthened for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effective</w:t>
      </w:r>
      <w:r w:rsidR="00592098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integration, implementation and reporting.</w:t>
      </w:r>
    </w:p>
    <w:p w14:paraId="5705483A" w14:textId="77777777" w:rsidR="002F684B" w:rsidRPr="00F65E55" w:rsidRDefault="002F684B" w:rsidP="00212B46">
      <w:pPr>
        <w:ind w:left="1170"/>
        <w:rPr>
          <w:rFonts w:ascii="Times New Roman" w:hAnsi="Times New Roman" w:cs="Times New Roman"/>
          <w:b/>
          <w:szCs w:val="20"/>
        </w:rPr>
      </w:pPr>
      <w:r w:rsidRPr="00F65E55">
        <w:rPr>
          <w:rFonts w:ascii="Times New Roman" w:hAnsi="Times New Roman" w:cs="Times New Roman"/>
          <w:b/>
          <w:szCs w:val="20"/>
        </w:rPr>
        <w:t>Pillar II</w:t>
      </w:r>
      <w:r w:rsidR="009B5985" w:rsidRPr="00F65E55">
        <w:rPr>
          <w:rFonts w:ascii="Times New Roman" w:hAnsi="Times New Roman" w:cs="Times New Roman"/>
          <w:b/>
          <w:szCs w:val="20"/>
        </w:rPr>
        <w:t>:</w:t>
      </w:r>
      <w:r w:rsidRPr="00F65E55">
        <w:rPr>
          <w:rFonts w:ascii="Times New Roman" w:hAnsi="Times New Roman" w:cs="Times New Roman"/>
          <w:b/>
          <w:szCs w:val="20"/>
        </w:rPr>
        <w:t xml:space="preserve"> Inclusive and </w:t>
      </w:r>
      <w:r w:rsidR="009B5985" w:rsidRPr="00F65E55">
        <w:rPr>
          <w:rFonts w:ascii="Times New Roman" w:hAnsi="Times New Roman" w:cs="Times New Roman"/>
          <w:b/>
          <w:szCs w:val="20"/>
        </w:rPr>
        <w:t>s</w:t>
      </w:r>
      <w:r w:rsidRPr="00F65E55">
        <w:rPr>
          <w:rFonts w:ascii="Times New Roman" w:hAnsi="Times New Roman" w:cs="Times New Roman"/>
          <w:b/>
          <w:szCs w:val="20"/>
        </w:rPr>
        <w:t xml:space="preserve">ustainable </w:t>
      </w:r>
      <w:r w:rsidR="009B5985" w:rsidRPr="00F65E55">
        <w:rPr>
          <w:rFonts w:ascii="Times New Roman" w:hAnsi="Times New Roman" w:cs="Times New Roman"/>
          <w:b/>
          <w:szCs w:val="20"/>
        </w:rPr>
        <w:t>g</w:t>
      </w:r>
      <w:r w:rsidRPr="00F65E55">
        <w:rPr>
          <w:rFonts w:ascii="Times New Roman" w:hAnsi="Times New Roman" w:cs="Times New Roman"/>
          <w:b/>
          <w:szCs w:val="20"/>
        </w:rPr>
        <w:t>rowth</w:t>
      </w:r>
    </w:p>
    <w:p w14:paraId="00B0B709" w14:textId="77777777" w:rsidR="002F684B" w:rsidRPr="00BC170F" w:rsidRDefault="009B5985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en-ZA"/>
        </w:rPr>
      </w:pPr>
      <w:r>
        <w:rPr>
          <w:rFonts w:ascii="Times New Roman" w:hAnsi="Times New Roman" w:cs="Times New Roman"/>
          <w:sz w:val="20"/>
          <w:szCs w:val="20"/>
          <w:lang w:eastAsia="en-ZA"/>
        </w:rPr>
        <w:t xml:space="preserve"> 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The government-led local development planning process will </w:t>
      </w:r>
      <w:r w:rsidR="00B32938">
        <w:rPr>
          <w:rFonts w:ascii="Times New Roman" w:hAnsi="Times New Roman" w:cs="Times New Roman"/>
          <w:sz w:val="20"/>
          <w:szCs w:val="20"/>
          <w:lang w:eastAsia="en-ZA"/>
        </w:rPr>
        <w:t xml:space="preserve">inform detailed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interventions at the local level.</w:t>
      </w:r>
      <w:r w:rsidR="00533E16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These will help focus resources and interventions on the </w:t>
      </w:r>
      <w:r>
        <w:rPr>
          <w:rFonts w:ascii="Times New Roman" w:hAnsi="Times New Roman" w:cs="Times New Roman"/>
          <w:sz w:val="20"/>
          <w:szCs w:val="20"/>
          <w:lang w:eastAsia="en-ZA"/>
        </w:rPr>
        <w:t>most</w:t>
      </w:r>
      <w:r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9E46E6">
        <w:rPr>
          <w:rFonts w:ascii="Times New Roman" w:hAnsi="Times New Roman" w:cs="Times New Roman"/>
          <w:sz w:val="20"/>
          <w:szCs w:val="20"/>
          <w:lang w:eastAsia="en-ZA"/>
        </w:rPr>
        <w:t>vulnerable and excluded population</w:t>
      </w:r>
      <w:r>
        <w:rPr>
          <w:rFonts w:ascii="Times New Roman" w:hAnsi="Times New Roman" w:cs="Times New Roman"/>
          <w:sz w:val="20"/>
          <w:szCs w:val="20"/>
          <w:lang w:eastAsia="en-ZA"/>
        </w:rPr>
        <w:t xml:space="preserve">s </w:t>
      </w:r>
      <w:r w:rsidR="00041A1E" w:rsidRPr="00BC170F">
        <w:rPr>
          <w:rFonts w:ascii="Times New Roman" w:hAnsi="Times New Roman" w:cs="Times New Roman"/>
          <w:sz w:val="20"/>
          <w:szCs w:val="20"/>
          <w:lang w:eastAsia="en-ZA"/>
        </w:rPr>
        <w:t>and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provinces. UNDP will hold regular policy dialogues </w:t>
      </w:r>
      <w:r>
        <w:rPr>
          <w:rFonts w:ascii="Times New Roman" w:hAnsi="Times New Roman" w:cs="Times New Roman"/>
          <w:sz w:val="20"/>
          <w:szCs w:val="20"/>
          <w:lang w:eastAsia="en-ZA"/>
        </w:rPr>
        <w:t>with</w:t>
      </w:r>
      <w:r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local authorit</w:t>
      </w:r>
      <w:r>
        <w:rPr>
          <w:rFonts w:ascii="Times New Roman" w:hAnsi="Times New Roman" w:cs="Times New Roman"/>
          <w:sz w:val="20"/>
          <w:szCs w:val="20"/>
          <w:lang w:eastAsia="en-ZA"/>
        </w:rPr>
        <w:t>ies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eastAsia="en-ZA"/>
        </w:rPr>
        <w:t xml:space="preserve">e.g. mayors,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provincial </w:t>
      </w:r>
      <w:r>
        <w:rPr>
          <w:rFonts w:ascii="Times New Roman" w:hAnsi="Times New Roman" w:cs="Times New Roman"/>
          <w:sz w:val="20"/>
          <w:szCs w:val="20"/>
          <w:lang w:eastAsia="en-ZA"/>
        </w:rPr>
        <w:t>civil servants, etc.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eastAsia="en-ZA"/>
        </w:rPr>
        <w:t>on</w:t>
      </w:r>
      <w:r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issues that </w:t>
      </w:r>
      <w:r>
        <w:rPr>
          <w:rFonts w:ascii="Times New Roman" w:hAnsi="Times New Roman" w:cs="Times New Roman"/>
          <w:sz w:val="20"/>
          <w:szCs w:val="20"/>
          <w:lang w:eastAsia="en-ZA"/>
        </w:rPr>
        <w:t>may</w:t>
      </w:r>
      <w:r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40139D">
        <w:rPr>
          <w:rFonts w:ascii="Times New Roman" w:hAnsi="Times New Roman" w:cs="Times New Roman"/>
          <w:sz w:val="20"/>
          <w:szCs w:val="20"/>
          <w:lang w:eastAsia="en-ZA"/>
        </w:rPr>
        <w:t>affect</w:t>
      </w:r>
      <w:r w:rsidR="0040139D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the welfare of </w:t>
      </w:r>
      <w:r>
        <w:rPr>
          <w:rFonts w:ascii="Times New Roman" w:hAnsi="Times New Roman" w:cs="Times New Roman"/>
          <w:sz w:val="20"/>
          <w:szCs w:val="20"/>
          <w:lang w:eastAsia="en-ZA"/>
        </w:rPr>
        <w:t>community members,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CC016B">
        <w:rPr>
          <w:rFonts w:ascii="Times New Roman" w:hAnsi="Times New Roman" w:cs="Times New Roman"/>
          <w:sz w:val="20"/>
          <w:szCs w:val="20"/>
          <w:lang w:eastAsia="en-ZA"/>
        </w:rPr>
        <w:t>on how</w:t>
      </w:r>
      <w:r>
        <w:rPr>
          <w:rFonts w:ascii="Times New Roman" w:hAnsi="Times New Roman" w:cs="Times New Roman"/>
          <w:sz w:val="20"/>
          <w:szCs w:val="20"/>
          <w:lang w:eastAsia="en-ZA"/>
        </w:rPr>
        <w:t xml:space="preserve"> to improve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participatory planning process</w:t>
      </w:r>
      <w:r>
        <w:rPr>
          <w:rFonts w:ascii="Times New Roman" w:hAnsi="Times New Roman" w:cs="Times New Roman"/>
          <w:sz w:val="20"/>
          <w:szCs w:val="20"/>
          <w:lang w:eastAsia="en-ZA"/>
        </w:rPr>
        <w:t>es</w:t>
      </w:r>
      <w:r w:rsidR="002C406D">
        <w:rPr>
          <w:rFonts w:ascii="Times New Roman" w:hAnsi="Times New Roman" w:cs="Times New Roman"/>
          <w:sz w:val="20"/>
          <w:szCs w:val="20"/>
          <w:lang w:eastAsia="en-ZA"/>
        </w:rPr>
        <w:t xml:space="preserve"> so they </w:t>
      </w:r>
      <w:r>
        <w:rPr>
          <w:rFonts w:ascii="Times New Roman" w:hAnsi="Times New Roman" w:cs="Times New Roman"/>
          <w:sz w:val="20"/>
          <w:szCs w:val="20"/>
          <w:lang w:eastAsia="en-ZA"/>
        </w:rPr>
        <w:t xml:space="preserve">are </w:t>
      </w:r>
      <w:r w:rsidR="009E46E6">
        <w:rPr>
          <w:rFonts w:ascii="Times New Roman" w:hAnsi="Times New Roman" w:cs="Times New Roman"/>
          <w:sz w:val="20"/>
          <w:szCs w:val="20"/>
          <w:lang w:eastAsia="en-ZA"/>
        </w:rPr>
        <w:t xml:space="preserve">inclusive and </w:t>
      </w:r>
      <w:r w:rsidR="002C406D">
        <w:rPr>
          <w:rFonts w:ascii="Times New Roman" w:hAnsi="Times New Roman" w:cs="Times New Roman"/>
          <w:sz w:val="20"/>
          <w:szCs w:val="20"/>
          <w:lang w:eastAsia="en-ZA"/>
        </w:rPr>
        <w:t xml:space="preserve">can be used to </w:t>
      </w:r>
      <w:r w:rsidR="009E46E6">
        <w:rPr>
          <w:rFonts w:ascii="Times New Roman" w:hAnsi="Times New Roman" w:cs="Times New Roman"/>
          <w:sz w:val="20"/>
          <w:szCs w:val="20"/>
          <w:lang w:eastAsia="en-ZA"/>
        </w:rPr>
        <w:t>identify</w:t>
      </w:r>
      <w:r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D03A05">
        <w:rPr>
          <w:rFonts w:ascii="Times New Roman" w:hAnsi="Times New Roman" w:cs="Times New Roman"/>
          <w:sz w:val="20"/>
          <w:szCs w:val="20"/>
          <w:lang w:eastAsia="en-ZA"/>
        </w:rPr>
        <w:t xml:space="preserve">responses </w:t>
      </w:r>
      <w:r w:rsidR="009E46E6">
        <w:rPr>
          <w:rFonts w:ascii="Times New Roman" w:hAnsi="Times New Roman" w:cs="Times New Roman"/>
          <w:sz w:val="20"/>
          <w:szCs w:val="20"/>
          <w:lang w:eastAsia="en-ZA"/>
        </w:rPr>
        <w:t xml:space="preserve">for unemployment or lack of access to services. </w:t>
      </w:r>
      <w:r w:rsidR="004565E1">
        <w:rPr>
          <w:rFonts w:ascii="Times New Roman" w:hAnsi="Times New Roman" w:cs="Times New Roman"/>
          <w:sz w:val="20"/>
          <w:szCs w:val="20"/>
          <w:lang w:eastAsia="en-ZA"/>
        </w:rPr>
        <w:t>Although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the ultimate orientation of programming will be determined by beneficiaries and local authorities</w:t>
      </w:r>
      <w:r w:rsidR="00D03A05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D03A05">
        <w:rPr>
          <w:rFonts w:ascii="Times New Roman" w:hAnsi="Times New Roman" w:cs="Times New Roman"/>
          <w:sz w:val="20"/>
          <w:szCs w:val="20"/>
          <w:lang w:eastAsia="en-ZA"/>
        </w:rPr>
        <w:lastRenderedPageBreak/>
        <w:t xml:space="preserve">(and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build on the experience of ART GOLD</w:t>
      </w:r>
      <w:r w:rsidR="00D03A05">
        <w:rPr>
          <w:rFonts w:ascii="Times New Roman" w:hAnsi="Times New Roman" w:cs="Times New Roman"/>
          <w:sz w:val="20"/>
          <w:szCs w:val="20"/>
          <w:lang w:eastAsia="en-ZA"/>
        </w:rPr>
        <w:t>)</w:t>
      </w:r>
      <w:r w:rsidR="002C406D">
        <w:rPr>
          <w:rFonts w:ascii="Times New Roman" w:hAnsi="Times New Roman" w:cs="Times New Roman"/>
          <w:sz w:val="20"/>
          <w:szCs w:val="20"/>
          <w:lang w:eastAsia="en-ZA"/>
        </w:rPr>
        <w:t>,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efforts</w:t>
      </w:r>
      <w:r w:rsidR="00D03A05">
        <w:rPr>
          <w:rFonts w:ascii="Times New Roman" w:hAnsi="Times New Roman" w:cs="Times New Roman"/>
          <w:sz w:val="20"/>
          <w:szCs w:val="20"/>
          <w:lang w:eastAsia="en-ZA"/>
        </w:rPr>
        <w:t xml:space="preserve"> are likely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D03A05">
        <w:rPr>
          <w:rFonts w:ascii="Times New Roman" w:hAnsi="Times New Roman" w:cs="Times New Roman"/>
          <w:sz w:val="20"/>
          <w:szCs w:val="20"/>
          <w:lang w:eastAsia="en-ZA"/>
        </w:rPr>
        <w:t>to be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concentrate</w:t>
      </w:r>
      <w:r w:rsidR="00D03A05">
        <w:rPr>
          <w:rFonts w:ascii="Times New Roman" w:hAnsi="Times New Roman" w:cs="Times New Roman"/>
          <w:sz w:val="20"/>
          <w:szCs w:val="20"/>
          <w:lang w:eastAsia="en-ZA"/>
        </w:rPr>
        <w:t>d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in water, sanitation, education, health services, energy, and basic infrastructure</w:t>
      </w:r>
      <w:r w:rsidR="002C406D">
        <w:rPr>
          <w:rFonts w:ascii="Times New Roman" w:hAnsi="Times New Roman" w:cs="Times New Roman"/>
          <w:sz w:val="20"/>
          <w:szCs w:val="20"/>
          <w:lang w:eastAsia="en-ZA"/>
        </w:rPr>
        <w:t xml:space="preserve"> sectors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in rural and peri-urban areas. </w:t>
      </w:r>
    </w:p>
    <w:p w14:paraId="166A8AAC" w14:textId="77777777" w:rsidR="002F684B" w:rsidRPr="00BC170F" w:rsidRDefault="00D03A05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en-ZA"/>
        </w:rPr>
      </w:pPr>
      <w:r>
        <w:rPr>
          <w:rFonts w:ascii="Times New Roman" w:hAnsi="Times New Roman" w:cs="Times New Roman"/>
          <w:sz w:val="20"/>
          <w:szCs w:val="20"/>
          <w:lang w:eastAsia="en-ZA"/>
        </w:rPr>
        <w:t xml:space="preserve"> 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UNDP will promote access </w:t>
      </w:r>
      <w:r w:rsidR="00895178">
        <w:rPr>
          <w:rFonts w:ascii="Times New Roman" w:hAnsi="Times New Roman" w:cs="Times New Roman"/>
          <w:sz w:val="20"/>
          <w:szCs w:val="20"/>
          <w:lang w:eastAsia="en-ZA"/>
        </w:rPr>
        <w:t xml:space="preserve">to sustainable livelihoods for </w:t>
      </w:r>
      <w:r w:rsidR="008B67E7">
        <w:rPr>
          <w:rFonts w:ascii="Times New Roman" w:hAnsi="Times New Roman" w:cs="Times New Roman"/>
          <w:sz w:val="20"/>
          <w:szCs w:val="20"/>
          <w:lang w:eastAsia="en-ZA"/>
        </w:rPr>
        <w:t>disadvantaged</w:t>
      </w:r>
      <w:r w:rsidR="00895178">
        <w:rPr>
          <w:rFonts w:ascii="Times New Roman" w:hAnsi="Times New Roman" w:cs="Times New Roman"/>
          <w:sz w:val="20"/>
          <w:szCs w:val="20"/>
          <w:lang w:eastAsia="en-ZA"/>
        </w:rPr>
        <w:t xml:space="preserve"> population</w:t>
      </w:r>
      <w:r w:rsidR="00A06328">
        <w:rPr>
          <w:rFonts w:ascii="Times New Roman" w:hAnsi="Times New Roman" w:cs="Times New Roman"/>
          <w:sz w:val="20"/>
          <w:szCs w:val="20"/>
          <w:lang w:eastAsia="en-ZA"/>
        </w:rPr>
        <w:t>s</w:t>
      </w:r>
      <w:r w:rsidR="00895178">
        <w:rPr>
          <w:rFonts w:ascii="Times New Roman" w:hAnsi="Times New Roman" w:cs="Times New Roman"/>
          <w:sz w:val="20"/>
          <w:szCs w:val="20"/>
          <w:lang w:eastAsia="en-ZA"/>
        </w:rPr>
        <w:t>,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including</w:t>
      </w:r>
      <w:r w:rsidR="00533E16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women, youth, people with disabilities, and </w:t>
      </w:r>
      <w:r w:rsidR="00A06328">
        <w:rPr>
          <w:rFonts w:ascii="Times New Roman" w:hAnsi="Times New Roman" w:cs="Times New Roman"/>
          <w:sz w:val="20"/>
          <w:szCs w:val="20"/>
          <w:lang w:eastAsia="en-ZA"/>
        </w:rPr>
        <w:t xml:space="preserve">people living with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HIV/AIDS. This component of the programme </w:t>
      </w:r>
      <w:r w:rsidR="00A06328">
        <w:rPr>
          <w:rFonts w:ascii="Times New Roman" w:hAnsi="Times New Roman" w:cs="Times New Roman"/>
          <w:sz w:val="20"/>
          <w:szCs w:val="20"/>
          <w:lang w:eastAsia="en-ZA"/>
        </w:rPr>
        <w:t>will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develop value chains </w:t>
      </w:r>
      <w:r w:rsidR="00091F97" w:rsidRPr="00BC170F">
        <w:rPr>
          <w:rFonts w:ascii="Times New Roman" w:hAnsi="Times New Roman" w:cs="Times New Roman"/>
          <w:sz w:val="20"/>
          <w:szCs w:val="20"/>
          <w:lang w:eastAsia="en-ZA"/>
        </w:rPr>
        <w:t>through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A06328">
        <w:rPr>
          <w:rFonts w:ascii="Times New Roman" w:hAnsi="Times New Roman" w:cs="Times New Roman"/>
          <w:sz w:val="20"/>
          <w:szCs w:val="20"/>
          <w:lang w:eastAsia="en-ZA"/>
        </w:rPr>
        <w:t xml:space="preserve">the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analysis of business opportunities, training of target groups and, as necessary, provision of tools and equipment. UNDP support on value chains will target rural areas</w:t>
      </w:r>
      <w:r w:rsidR="005B508B">
        <w:rPr>
          <w:rFonts w:ascii="Times New Roman" w:hAnsi="Times New Roman" w:cs="Times New Roman"/>
          <w:sz w:val="20"/>
          <w:szCs w:val="20"/>
          <w:lang w:eastAsia="en-ZA"/>
        </w:rPr>
        <w:t xml:space="preserve"> and address</w:t>
      </w:r>
      <w:r w:rsidR="00895178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5B508B">
        <w:rPr>
          <w:rFonts w:ascii="Times New Roman" w:hAnsi="Times New Roman" w:cs="Times New Roman"/>
          <w:sz w:val="20"/>
          <w:szCs w:val="20"/>
          <w:lang w:eastAsia="en-ZA"/>
        </w:rPr>
        <w:t xml:space="preserve">root causes </w:t>
      </w:r>
      <w:r w:rsidR="00A06328">
        <w:rPr>
          <w:rFonts w:ascii="Times New Roman" w:hAnsi="Times New Roman" w:cs="Times New Roman"/>
          <w:sz w:val="20"/>
          <w:szCs w:val="20"/>
          <w:lang w:eastAsia="en-ZA"/>
        </w:rPr>
        <w:t>of</w:t>
      </w:r>
      <w:r w:rsidR="005B508B">
        <w:rPr>
          <w:rFonts w:ascii="Times New Roman" w:hAnsi="Times New Roman" w:cs="Times New Roman"/>
          <w:sz w:val="20"/>
          <w:szCs w:val="20"/>
          <w:lang w:eastAsia="en-ZA"/>
        </w:rPr>
        <w:t xml:space="preserve"> unemployment, such as lack of qualification</w:t>
      </w:r>
      <w:r w:rsidR="002C406D">
        <w:rPr>
          <w:rFonts w:ascii="Times New Roman" w:hAnsi="Times New Roman" w:cs="Times New Roman"/>
          <w:sz w:val="20"/>
          <w:szCs w:val="20"/>
          <w:lang w:eastAsia="en-ZA"/>
        </w:rPr>
        <w:t>s</w:t>
      </w:r>
      <w:r w:rsidR="005B508B">
        <w:rPr>
          <w:rFonts w:ascii="Times New Roman" w:hAnsi="Times New Roman" w:cs="Times New Roman"/>
          <w:sz w:val="20"/>
          <w:szCs w:val="20"/>
          <w:lang w:eastAsia="en-ZA"/>
        </w:rPr>
        <w:t xml:space="preserve"> or discrimination</w:t>
      </w:r>
      <w:r w:rsidR="00F30D97">
        <w:rPr>
          <w:rFonts w:ascii="Times New Roman" w:hAnsi="Times New Roman" w:cs="Times New Roman"/>
          <w:sz w:val="20"/>
          <w:szCs w:val="20"/>
          <w:lang w:eastAsia="en-ZA"/>
        </w:rPr>
        <w:t>.</w:t>
      </w:r>
    </w:p>
    <w:p w14:paraId="10569705" w14:textId="77777777" w:rsidR="002F684B" w:rsidRPr="00BC170F" w:rsidRDefault="00D03A05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en-ZA"/>
        </w:rPr>
      </w:pPr>
      <w:r>
        <w:rPr>
          <w:rFonts w:ascii="Times New Roman" w:hAnsi="Times New Roman" w:cs="Times New Roman"/>
          <w:sz w:val="20"/>
          <w:szCs w:val="20"/>
          <w:lang w:eastAsia="en-ZA"/>
        </w:rPr>
        <w:t xml:space="preserve"> 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UNDP will work with other members of the UNCT</w:t>
      </w:r>
      <w:r w:rsidR="002C406D">
        <w:rPr>
          <w:rFonts w:ascii="Times New Roman" w:hAnsi="Times New Roman" w:cs="Times New Roman"/>
          <w:sz w:val="20"/>
          <w:szCs w:val="20"/>
          <w:lang w:eastAsia="en-ZA"/>
        </w:rPr>
        <w:t xml:space="preserve">—the 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>United Nations Children’s Fund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>(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UNICEF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>)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,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 xml:space="preserve"> the World Health Organization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>(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WHO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>)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,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 xml:space="preserve"> the Food and Agriculture Organization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>(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FAO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>),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and UNFPA</w:t>
      </w:r>
      <w:r w:rsidR="002C406D">
        <w:rPr>
          <w:rFonts w:ascii="Times New Roman" w:hAnsi="Times New Roman" w:cs="Times New Roman"/>
          <w:sz w:val="20"/>
          <w:szCs w:val="20"/>
          <w:lang w:eastAsia="en-ZA"/>
        </w:rPr>
        <w:t>—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on social service elements and seek 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>complimentary areas of work</w:t>
      </w:r>
      <w:r w:rsidR="00A45FBE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with the World Bank, </w:t>
      </w:r>
      <w:r w:rsidR="00690651">
        <w:rPr>
          <w:rFonts w:ascii="Times New Roman" w:hAnsi="Times New Roman" w:cs="Times New Roman"/>
          <w:sz w:val="20"/>
          <w:szCs w:val="20"/>
          <w:lang w:eastAsia="en-ZA"/>
        </w:rPr>
        <w:t>African Development Bank</w:t>
      </w:r>
      <w:r w:rsidR="002C406D">
        <w:rPr>
          <w:rFonts w:ascii="Times New Roman" w:hAnsi="Times New Roman" w:cs="Times New Roman"/>
          <w:sz w:val="20"/>
          <w:szCs w:val="20"/>
          <w:lang w:eastAsia="en-ZA"/>
        </w:rPr>
        <w:t>,</w:t>
      </w:r>
      <w:r w:rsidR="00533E16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and Islamic Development Bank </w:t>
      </w:r>
      <w:r w:rsidR="000235CF" w:rsidRPr="00BC170F">
        <w:rPr>
          <w:rFonts w:ascii="Times New Roman" w:hAnsi="Times New Roman" w:cs="Times New Roman"/>
          <w:sz w:val="20"/>
          <w:szCs w:val="20"/>
          <w:lang w:eastAsia="en-ZA"/>
        </w:rPr>
        <w:t>on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you</w:t>
      </w:r>
      <w:r w:rsidR="00041A1E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th employment and social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service</w:t>
      </w:r>
      <w:r w:rsidR="002C406D">
        <w:rPr>
          <w:rFonts w:ascii="Times New Roman" w:hAnsi="Times New Roman" w:cs="Times New Roman"/>
          <w:sz w:val="20"/>
          <w:szCs w:val="20"/>
          <w:lang w:eastAsia="en-ZA"/>
        </w:rPr>
        <w:t xml:space="preserve"> issues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.</w:t>
      </w:r>
      <w:r w:rsidR="00533E16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C406D">
        <w:rPr>
          <w:rFonts w:ascii="Times New Roman" w:hAnsi="Times New Roman" w:cs="Times New Roman"/>
          <w:sz w:val="20"/>
          <w:szCs w:val="20"/>
          <w:lang w:eastAsia="en-ZA"/>
        </w:rPr>
        <w:t>With regards to</w:t>
      </w:r>
      <w:r w:rsidR="002C406D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service delivery, UNDP will 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>use</w:t>
      </w:r>
      <w:r w:rsidR="00A45FBE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>its</w:t>
      </w:r>
      <w:r w:rsidR="00A45FBE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expertise and best practices </w:t>
      </w:r>
      <w:r w:rsidR="002C406D">
        <w:rPr>
          <w:rFonts w:ascii="Times New Roman" w:hAnsi="Times New Roman" w:cs="Times New Roman"/>
          <w:sz w:val="20"/>
          <w:szCs w:val="20"/>
          <w:lang w:eastAsia="en-ZA"/>
        </w:rPr>
        <w:t xml:space="preserve">for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planning,</w:t>
      </w:r>
      <w:r w:rsidR="00170FD5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SDG mainstreaming,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project management, </w:t>
      </w:r>
      <w:r w:rsidR="00170FD5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and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fund management</w:t>
      </w:r>
      <w:r w:rsidR="00170FD5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. 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>Other United Nations organizations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will contribute 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>by</w:t>
      </w:r>
      <w:r w:rsidR="00A45FBE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strengthening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 xml:space="preserve"> the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technical and quality dimensions of relevant sector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>s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.</w:t>
      </w:r>
      <w:r w:rsidR="00533E16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</w:p>
    <w:p w14:paraId="64EC5213" w14:textId="77777777" w:rsidR="002F684B" w:rsidRPr="00026652" w:rsidRDefault="00D03A05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en-ZA"/>
        </w:rPr>
      </w:pPr>
      <w:r>
        <w:rPr>
          <w:rFonts w:ascii="Times New Roman" w:hAnsi="Times New Roman" w:cs="Times New Roman"/>
          <w:sz w:val="20"/>
          <w:szCs w:val="20"/>
          <w:lang w:eastAsia="en-ZA"/>
        </w:rPr>
        <w:t xml:space="preserve">  </w:t>
      </w:r>
      <w:r w:rsidR="002B5AE4" w:rsidRPr="00026652">
        <w:rPr>
          <w:rFonts w:ascii="Times New Roman" w:hAnsi="Times New Roman" w:cs="Times New Roman"/>
          <w:sz w:val="20"/>
          <w:szCs w:val="20"/>
          <w:lang w:eastAsia="en-ZA"/>
        </w:rPr>
        <w:t>To foster sustainable growth, b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>uilding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 xml:space="preserve"> the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capacities of national institutions and local communities 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>is</w:t>
      </w:r>
      <w:r w:rsidR="00A45FBE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central </w:t>
      </w:r>
      <w:r w:rsidR="00015710" w:rsidRPr="00026652">
        <w:rPr>
          <w:rFonts w:ascii="Times New Roman" w:hAnsi="Times New Roman" w:cs="Times New Roman"/>
          <w:sz w:val="20"/>
          <w:szCs w:val="20"/>
          <w:lang w:eastAsia="en-ZA"/>
        </w:rPr>
        <w:t>to ensuring</w:t>
      </w:r>
      <w:r w:rsidR="002B5AE4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 xml:space="preserve">the </w:t>
      </w:r>
      <w:r w:rsidR="002B5AE4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sustainable management of resources. This 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>requires</w:t>
      </w:r>
      <w:r w:rsidR="00A45FBE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>the co</w:t>
      </w:r>
      <w:r w:rsidR="002B5AE4" w:rsidRPr="00026652">
        <w:rPr>
          <w:rFonts w:ascii="Times New Roman" w:hAnsi="Times New Roman" w:cs="Times New Roman"/>
          <w:sz w:val="20"/>
          <w:szCs w:val="20"/>
          <w:lang w:eastAsia="en-ZA"/>
        </w:rPr>
        <w:t>nservation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>, sharing, and</w:t>
      </w:r>
      <w:r w:rsidR="002B5AE4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sustainable use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 xml:space="preserve"> of natural resources</w:t>
      </w:r>
      <w:r w:rsidR="002B5AE4" w:rsidRPr="00026652">
        <w:rPr>
          <w:rFonts w:ascii="Times New Roman" w:hAnsi="Times New Roman" w:cs="Times New Roman"/>
          <w:sz w:val="20"/>
          <w:szCs w:val="20"/>
          <w:lang w:eastAsia="en-ZA"/>
        </w:rPr>
        <w:t>,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>biodiversity and ecosystems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>,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and build</w:t>
      </w:r>
      <w:r w:rsidR="00015710" w:rsidRPr="00026652">
        <w:rPr>
          <w:rFonts w:ascii="Times New Roman" w:hAnsi="Times New Roman" w:cs="Times New Roman"/>
          <w:sz w:val="20"/>
          <w:szCs w:val="20"/>
          <w:lang w:eastAsia="en-ZA"/>
        </w:rPr>
        <w:t>ing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a contingency plan for natural disasters</w:t>
      </w:r>
      <w:r w:rsidR="002B5AE4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C406D">
        <w:rPr>
          <w:rFonts w:ascii="Times New Roman" w:hAnsi="Times New Roman" w:cs="Times New Roman"/>
          <w:sz w:val="20"/>
          <w:szCs w:val="20"/>
          <w:lang w:eastAsia="en-ZA"/>
        </w:rPr>
        <w:t>that</w:t>
      </w:r>
      <w:r w:rsidR="002B5AE4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reduce</w:t>
      </w:r>
      <w:r w:rsidR="002C406D">
        <w:rPr>
          <w:rFonts w:ascii="Times New Roman" w:hAnsi="Times New Roman" w:cs="Times New Roman"/>
          <w:sz w:val="20"/>
          <w:szCs w:val="20"/>
          <w:lang w:eastAsia="en-ZA"/>
        </w:rPr>
        <w:t>s</w:t>
      </w:r>
      <w:r w:rsidR="002B5AE4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 xml:space="preserve">community </w:t>
      </w:r>
      <w:r w:rsidR="002B5AE4" w:rsidRPr="00026652">
        <w:rPr>
          <w:rFonts w:ascii="Times New Roman" w:hAnsi="Times New Roman" w:cs="Times New Roman"/>
          <w:sz w:val="20"/>
          <w:szCs w:val="20"/>
          <w:lang w:eastAsia="en-ZA"/>
        </w:rPr>
        <w:t>vulnerabili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>ty</w:t>
      </w:r>
      <w:r w:rsidR="002B5AE4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and increase resilience 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>to</w:t>
      </w:r>
      <w:r w:rsidR="002B5AE4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shocks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. </w:t>
      </w:r>
      <w:r w:rsidR="00015710" w:rsidRPr="00026652">
        <w:rPr>
          <w:rFonts w:ascii="Times New Roman" w:hAnsi="Times New Roman" w:cs="Times New Roman"/>
          <w:sz w:val="20"/>
          <w:szCs w:val="20"/>
          <w:lang w:eastAsia="en-ZA"/>
        </w:rPr>
        <w:t>UNDP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 xml:space="preserve"> will help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formulat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 xml:space="preserve">e 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>practical responses to specific and local environmental and climate challenges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>,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and raise 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 xml:space="preserve">the 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awareness of 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>communities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, especially those 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>situated close to</w:t>
      </w:r>
      <w:r w:rsidR="00A45FBE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>parks and reserves, on the principles</w:t>
      </w:r>
      <w:r w:rsidR="00110803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9E30A1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of sustainable development. </w:t>
      </w:r>
    </w:p>
    <w:p w14:paraId="59158E63" w14:textId="77777777" w:rsidR="002F684B" w:rsidRPr="00026652" w:rsidRDefault="00D03A05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en-ZA"/>
        </w:rPr>
      </w:pPr>
      <w:r>
        <w:rPr>
          <w:rFonts w:ascii="Times New Roman" w:hAnsi="Times New Roman" w:cs="Times New Roman"/>
          <w:sz w:val="20"/>
          <w:szCs w:val="20"/>
          <w:lang w:eastAsia="en-ZA"/>
        </w:rPr>
        <w:t xml:space="preserve">  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Disaster risk reduction 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>is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A45FBE">
        <w:rPr>
          <w:rFonts w:ascii="Times New Roman" w:hAnsi="Times New Roman" w:cs="Times New Roman"/>
          <w:sz w:val="20"/>
          <w:szCs w:val="20"/>
          <w:lang w:eastAsia="en-ZA"/>
        </w:rPr>
        <w:t>critical</w:t>
      </w:r>
      <w:r w:rsidR="00A45FBE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>in peri-urban and rural areas affected by floods and landslides</w:t>
      </w:r>
      <w:r w:rsidR="000C1A96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D3204C">
        <w:rPr>
          <w:rFonts w:ascii="Times New Roman" w:hAnsi="Times New Roman" w:cs="Times New Roman"/>
          <w:sz w:val="20"/>
          <w:szCs w:val="20"/>
          <w:lang w:eastAsia="en-ZA"/>
        </w:rPr>
        <w:t>(</w:t>
      </w:r>
      <w:r w:rsidR="000C1A96" w:rsidRPr="00026652">
        <w:rPr>
          <w:rFonts w:ascii="Times New Roman" w:hAnsi="Times New Roman" w:cs="Times New Roman"/>
          <w:sz w:val="20"/>
          <w:szCs w:val="20"/>
          <w:lang w:eastAsia="en-ZA"/>
        </w:rPr>
        <w:t>climate change</w:t>
      </w:r>
      <w:r w:rsidR="00D3204C">
        <w:rPr>
          <w:rFonts w:ascii="Times New Roman" w:hAnsi="Times New Roman" w:cs="Times New Roman"/>
          <w:sz w:val="20"/>
          <w:szCs w:val="20"/>
          <w:lang w:eastAsia="en-ZA"/>
        </w:rPr>
        <w:t xml:space="preserve"> related)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. </w:t>
      </w:r>
      <w:r w:rsidR="00D3204C">
        <w:rPr>
          <w:rFonts w:ascii="Times New Roman" w:hAnsi="Times New Roman" w:cs="Times New Roman"/>
          <w:sz w:val="20"/>
          <w:szCs w:val="20"/>
          <w:lang w:eastAsia="en-ZA"/>
        </w:rPr>
        <w:t>C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oastal areas </w:t>
      </w:r>
      <w:r w:rsidR="002C406D">
        <w:rPr>
          <w:rFonts w:ascii="Times New Roman" w:hAnsi="Times New Roman" w:cs="Times New Roman"/>
          <w:sz w:val="20"/>
          <w:szCs w:val="20"/>
          <w:lang w:eastAsia="en-ZA"/>
        </w:rPr>
        <w:t xml:space="preserve">at </w:t>
      </w:r>
      <w:r w:rsidR="00D3204C">
        <w:rPr>
          <w:rFonts w:ascii="Times New Roman" w:hAnsi="Times New Roman" w:cs="Times New Roman"/>
          <w:sz w:val="20"/>
          <w:szCs w:val="20"/>
          <w:lang w:eastAsia="en-ZA"/>
        </w:rPr>
        <w:t>higher risk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D3204C" w:rsidRPr="00026652">
        <w:rPr>
          <w:rFonts w:ascii="Times New Roman" w:hAnsi="Times New Roman" w:cs="Times New Roman"/>
          <w:sz w:val="20"/>
          <w:szCs w:val="20"/>
          <w:lang w:eastAsia="en-ZA"/>
        </w:rPr>
        <w:t>(800 km</w:t>
      </w:r>
      <w:r w:rsidR="00D3204C">
        <w:rPr>
          <w:rFonts w:ascii="Times New Roman" w:hAnsi="Times New Roman" w:cs="Times New Roman"/>
          <w:sz w:val="20"/>
          <w:szCs w:val="20"/>
          <w:lang w:eastAsia="en-ZA"/>
        </w:rPr>
        <w:t xml:space="preserve"> worth</w:t>
      </w:r>
      <w:r w:rsidR="00D3204C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) </w:t>
      </w:r>
      <w:r w:rsidR="00E75C83" w:rsidRPr="00026652">
        <w:rPr>
          <w:rFonts w:ascii="Times New Roman" w:hAnsi="Times New Roman" w:cs="Times New Roman"/>
          <w:sz w:val="20"/>
          <w:szCs w:val="20"/>
          <w:lang w:eastAsia="en-ZA"/>
        </w:rPr>
        <w:t>require detailed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analysis for the implementation of climate change adaptation action plans. </w:t>
      </w:r>
      <w:r w:rsidR="00D3204C">
        <w:rPr>
          <w:rFonts w:ascii="Times New Roman" w:hAnsi="Times New Roman" w:cs="Times New Roman"/>
          <w:sz w:val="20"/>
          <w:szCs w:val="20"/>
          <w:lang w:eastAsia="en-ZA"/>
        </w:rPr>
        <w:t>To this end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, UNDP has been approached by </w:t>
      </w:r>
      <w:r w:rsidR="00D3204C">
        <w:rPr>
          <w:rFonts w:ascii="Times New Roman" w:hAnsi="Times New Roman" w:cs="Times New Roman"/>
          <w:sz w:val="20"/>
          <w:szCs w:val="20"/>
          <w:lang w:eastAsia="en-ZA"/>
        </w:rPr>
        <w:t xml:space="preserve">the 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Government of Gabon to support </w:t>
      </w:r>
      <w:r w:rsidR="00D3204C">
        <w:rPr>
          <w:rFonts w:ascii="Times New Roman" w:hAnsi="Times New Roman" w:cs="Times New Roman"/>
          <w:sz w:val="20"/>
          <w:szCs w:val="20"/>
          <w:lang w:eastAsia="en-ZA"/>
        </w:rPr>
        <w:t>the development of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a national climate change adaptation plan for</w:t>
      </w:r>
      <w:r w:rsidR="009E049D">
        <w:rPr>
          <w:rFonts w:ascii="Times New Roman" w:hAnsi="Times New Roman" w:cs="Times New Roman"/>
          <w:sz w:val="20"/>
          <w:szCs w:val="20"/>
          <w:lang w:eastAsia="en-ZA"/>
        </w:rPr>
        <w:t xml:space="preserve"> submission to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the Green Climate Fund</w:t>
      </w:r>
      <w:r w:rsidR="00D3204C">
        <w:rPr>
          <w:rFonts w:ascii="Times New Roman" w:hAnsi="Times New Roman" w:cs="Times New Roman"/>
          <w:sz w:val="20"/>
          <w:szCs w:val="20"/>
          <w:lang w:eastAsia="en-ZA"/>
        </w:rPr>
        <w:t>. T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he Ministry of Economy is a </w:t>
      </w:r>
      <w:r w:rsidR="00D3204C">
        <w:rPr>
          <w:rFonts w:ascii="Times New Roman" w:hAnsi="Times New Roman" w:cs="Times New Roman"/>
          <w:sz w:val="20"/>
          <w:szCs w:val="20"/>
          <w:lang w:eastAsia="en-ZA"/>
        </w:rPr>
        <w:t xml:space="preserve">primary 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>partner</w:t>
      </w:r>
      <w:r w:rsidR="00D3204C">
        <w:rPr>
          <w:rFonts w:ascii="Times New Roman" w:hAnsi="Times New Roman" w:cs="Times New Roman"/>
          <w:sz w:val="20"/>
          <w:szCs w:val="20"/>
          <w:lang w:eastAsia="en-ZA"/>
        </w:rPr>
        <w:t xml:space="preserve"> in the development of this plan, and UNDP c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onsultations with the </w:t>
      </w:r>
      <w:r w:rsidR="00D3204C">
        <w:rPr>
          <w:rFonts w:ascii="Times New Roman" w:hAnsi="Times New Roman" w:cs="Times New Roman"/>
          <w:sz w:val="20"/>
          <w:szCs w:val="20"/>
          <w:lang w:eastAsia="en-ZA"/>
        </w:rPr>
        <w:t>g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overnment </w:t>
      </w:r>
      <w:r w:rsidR="00D3204C">
        <w:rPr>
          <w:rFonts w:ascii="Times New Roman" w:hAnsi="Times New Roman" w:cs="Times New Roman"/>
          <w:sz w:val="20"/>
          <w:szCs w:val="20"/>
          <w:lang w:eastAsia="en-ZA"/>
        </w:rPr>
        <w:t>have</w:t>
      </w:r>
      <w:r w:rsidR="00D3204C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>begun</w:t>
      </w:r>
      <w:r w:rsidR="00D3204C">
        <w:rPr>
          <w:rFonts w:ascii="Times New Roman" w:hAnsi="Times New Roman" w:cs="Times New Roman"/>
          <w:sz w:val="20"/>
          <w:szCs w:val="20"/>
          <w:lang w:eastAsia="en-ZA"/>
        </w:rPr>
        <w:t>,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with support from </w:t>
      </w:r>
      <w:r w:rsidR="00D3204C">
        <w:rPr>
          <w:rFonts w:ascii="Times New Roman" w:hAnsi="Times New Roman" w:cs="Times New Roman"/>
          <w:sz w:val="20"/>
          <w:szCs w:val="20"/>
          <w:lang w:eastAsia="en-ZA"/>
        </w:rPr>
        <w:t>r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>egional</w:t>
      </w:r>
      <w:r w:rsidR="00D3204C">
        <w:rPr>
          <w:rFonts w:ascii="Times New Roman" w:hAnsi="Times New Roman" w:cs="Times New Roman"/>
          <w:sz w:val="20"/>
          <w:szCs w:val="20"/>
          <w:lang w:eastAsia="en-ZA"/>
        </w:rPr>
        <w:t xml:space="preserve"> h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ubs in Addis </w:t>
      </w:r>
      <w:r w:rsidR="00D3204C">
        <w:rPr>
          <w:rFonts w:ascii="Times New Roman" w:hAnsi="Times New Roman" w:cs="Times New Roman"/>
          <w:sz w:val="20"/>
          <w:szCs w:val="20"/>
          <w:lang w:eastAsia="en-ZA"/>
        </w:rPr>
        <w:t xml:space="preserve">Ababa 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>and Bangkok</w:t>
      </w:r>
      <w:r w:rsidR="00D3204C">
        <w:rPr>
          <w:rFonts w:ascii="Times New Roman" w:hAnsi="Times New Roman" w:cs="Times New Roman"/>
          <w:sz w:val="20"/>
          <w:szCs w:val="20"/>
          <w:lang w:eastAsia="en-ZA"/>
        </w:rPr>
        <w:t>.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D3204C">
        <w:rPr>
          <w:rFonts w:ascii="Times New Roman" w:hAnsi="Times New Roman" w:cs="Times New Roman"/>
          <w:sz w:val="20"/>
          <w:szCs w:val="20"/>
          <w:lang w:eastAsia="en-ZA"/>
        </w:rPr>
        <w:t>The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D3204C">
        <w:rPr>
          <w:rFonts w:ascii="Times New Roman" w:hAnsi="Times New Roman" w:cs="Times New Roman"/>
          <w:sz w:val="20"/>
          <w:szCs w:val="20"/>
          <w:lang w:eastAsia="en-ZA"/>
        </w:rPr>
        <w:t>g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>overnment</w:t>
      </w:r>
      <w:r w:rsidR="00D3204C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C406D">
        <w:rPr>
          <w:rFonts w:ascii="Times New Roman" w:hAnsi="Times New Roman" w:cs="Times New Roman"/>
          <w:sz w:val="20"/>
          <w:szCs w:val="20"/>
          <w:lang w:eastAsia="en-ZA"/>
        </w:rPr>
        <w:t xml:space="preserve">plans </w:t>
      </w:r>
      <w:r w:rsidR="00D3204C">
        <w:rPr>
          <w:rFonts w:ascii="Times New Roman" w:hAnsi="Times New Roman" w:cs="Times New Roman"/>
          <w:sz w:val="20"/>
          <w:szCs w:val="20"/>
          <w:lang w:eastAsia="en-ZA"/>
        </w:rPr>
        <w:t>to submit a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proposal to the </w:t>
      </w:r>
      <w:r w:rsidR="0038698D">
        <w:rPr>
          <w:rFonts w:ascii="Times New Roman" w:hAnsi="Times New Roman" w:cs="Times New Roman"/>
          <w:sz w:val="20"/>
          <w:szCs w:val="20"/>
          <w:lang w:eastAsia="en-ZA"/>
        </w:rPr>
        <w:t>Green Climate Fund</w:t>
      </w:r>
      <w:r w:rsidR="0038698D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026652">
        <w:rPr>
          <w:rFonts w:ascii="Times New Roman" w:hAnsi="Times New Roman" w:cs="Times New Roman"/>
          <w:sz w:val="20"/>
          <w:szCs w:val="20"/>
          <w:lang w:eastAsia="en-ZA"/>
        </w:rPr>
        <w:t>in early 2018.</w:t>
      </w:r>
      <w:r w:rsidR="00533E16" w:rsidRPr="00026652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</w:p>
    <w:p w14:paraId="2B044847" w14:textId="77777777" w:rsidR="00C73DDC" w:rsidRPr="00F2277F" w:rsidRDefault="002F684B" w:rsidP="00731064">
      <w:pPr>
        <w:pStyle w:val="Heading2"/>
        <w:ind w:left="1170" w:hanging="450"/>
        <w:rPr>
          <w:sz w:val="28"/>
        </w:rPr>
      </w:pPr>
      <w:bookmarkStart w:id="7" w:name="_Toc367384730"/>
      <w:bookmarkStart w:id="8" w:name="_Toc493510413"/>
      <w:r w:rsidRPr="00F2277F">
        <w:rPr>
          <w:sz w:val="28"/>
        </w:rPr>
        <w:t>Programme and risk management</w:t>
      </w:r>
      <w:bookmarkEnd w:id="7"/>
      <w:bookmarkEnd w:id="8"/>
      <w:r w:rsidRPr="00F2277F">
        <w:rPr>
          <w:sz w:val="28"/>
        </w:rPr>
        <w:t xml:space="preserve"> </w:t>
      </w:r>
    </w:p>
    <w:p w14:paraId="5E559D3D" w14:textId="77777777" w:rsidR="002F684B" w:rsidRPr="00BC170F" w:rsidRDefault="00D3204C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  <w:lang w:eastAsia="en-ZA"/>
        </w:rPr>
      </w:pPr>
      <w:r>
        <w:rPr>
          <w:rFonts w:ascii="Times New Roman" w:hAnsi="Times New Roman" w:cs="Times New Roman"/>
          <w:sz w:val="20"/>
          <w:szCs w:val="20"/>
          <w:lang w:eastAsia="en-ZA"/>
        </w:rPr>
        <w:t xml:space="preserve"> 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This country programme document outlines UNDP contributions to national results and serves as the primary unit of accountability to the Executive Board. Accountabilities of managers at the country, regional</w:t>
      </w:r>
      <w:r w:rsidR="00FF628C">
        <w:rPr>
          <w:rFonts w:ascii="Times New Roman" w:hAnsi="Times New Roman" w:cs="Times New Roman"/>
          <w:sz w:val="20"/>
          <w:szCs w:val="20"/>
          <w:lang w:eastAsia="en-ZA"/>
        </w:rPr>
        <w:t>,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and headquarter levels</w:t>
      </w:r>
      <w:r w:rsidR="00FF628C">
        <w:rPr>
          <w:rFonts w:ascii="Times New Roman" w:hAnsi="Times New Roman" w:cs="Times New Roman"/>
          <w:sz w:val="20"/>
          <w:szCs w:val="20"/>
          <w:lang w:eastAsia="en-ZA"/>
        </w:rPr>
        <w:t>,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with respect to country programmes</w:t>
      </w:r>
      <w:r w:rsidR="00FF628C">
        <w:rPr>
          <w:rFonts w:ascii="Times New Roman" w:hAnsi="Times New Roman" w:cs="Times New Roman"/>
          <w:sz w:val="20"/>
          <w:szCs w:val="20"/>
          <w:lang w:eastAsia="en-ZA"/>
        </w:rPr>
        <w:t>,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are </w:t>
      </w:r>
      <w:r w:rsidR="00FF628C">
        <w:rPr>
          <w:rFonts w:ascii="Times New Roman" w:hAnsi="Times New Roman" w:cs="Times New Roman"/>
          <w:sz w:val="20"/>
          <w:szCs w:val="20"/>
          <w:lang w:eastAsia="en-ZA"/>
        </w:rPr>
        <w:t>outlined</w:t>
      </w:r>
      <w:r w:rsidR="00FF628C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in the organization</w:t>
      </w:r>
      <w:r w:rsidR="00FF628C">
        <w:rPr>
          <w:rFonts w:ascii="Times New Roman" w:hAnsi="Times New Roman" w:cs="Times New Roman"/>
          <w:sz w:val="20"/>
          <w:szCs w:val="20"/>
          <w:lang w:eastAsia="en-ZA"/>
        </w:rPr>
        <w:t>al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hyperlink r:id="rId13" w:history="1">
        <w:r w:rsidR="002F684B" w:rsidRPr="00BC170F">
          <w:rPr>
            <w:rFonts w:ascii="Times New Roman" w:hAnsi="Times New Roman" w:cs="Times New Roman"/>
            <w:sz w:val="20"/>
            <w:szCs w:val="20"/>
            <w:lang w:eastAsia="en-ZA"/>
          </w:rPr>
          <w:t>programme and operations policies and procedures</w:t>
        </w:r>
      </w:hyperlink>
      <w:r w:rsidR="00FF628C">
        <w:rPr>
          <w:rFonts w:ascii="Times New Roman" w:hAnsi="Times New Roman" w:cs="Times New Roman"/>
          <w:sz w:val="20"/>
          <w:szCs w:val="20"/>
          <w:lang w:eastAsia="en-ZA"/>
        </w:rPr>
        <w:t>,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and the </w:t>
      </w:r>
      <w:hyperlink r:id="rId14" w:history="1">
        <w:r w:rsidR="002F684B" w:rsidRPr="00BC170F">
          <w:rPr>
            <w:rFonts w:ascii="Times New Roman" w:hAnsi="Times New Roman" w:cs="Times New Roman"/>
            <w:sz w:val="20"/>
            <w:szCs w:val="20"/>
            <w:lang w:eastAsia="en-ZA"/>
          </w:rPr>
          <w:t>internal controls framework</w:t>
        </w:r>
      </w:hyperlink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. This programme is the result of a consultative process with government and other national stakeholders.</w:t>
      </w:r>
    </w:p>
    <w:p w14:paraId="157E1803" w14:textId="77777777" w:rsidR="000F64AA" w:rsidRPr="00BC170F" w:rsidRDefault="00D3204C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en-ZA"/>
        </w:rPr>
        <w:t xml:space="preserve"> 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The programme will be nationally executed and </w:t>
      </w:r>
      <w:r w:rsidR="00FF628C">
        <w:rPr>
          <w:rFonts w:ascii="Times New Roman" w:hAnsi="Times New Roman" w:cs="Times New Roman"/>
          <w:sz w:val="20"/>
          <w:szCs w:val="20"/>
          <w:lang w:eastAsia="en-ZA"/>
        </w:rPr>
        <w:t>rely</w:t>
      </w:r>
      <w:r w:rsidR="00FF628C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9A2394">
        <w:rPr>
          <w:rFonts w:ascii="Times New Roman" w:hAnsi="Times New Roman" w:cs="Times New Roman"/>
          <w:sz w:val="20"/>
          <w:szCs w:val="20"/>
          <w:lang w:eastAsia="en-ZA"/>
        </w:rPr>
        <w:t xml:space="preserve">on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a mix of implementation modalities. </w:t>
      </w:r>
      <w:r w:rsidR="00FF628C">
        <w:rPr>
          <w:rFonts w:ascii="Times New Roman" w:hAnsi="Times New Roman" w:cs="Times New Roman"/>
          <w:sz w:val="20"/>
          <w:szCs w:val="20"/>
          <w:lang w:eastAsia="en-ZA"/>
        </w:rPr>
        <w:t xml:space="preserve">A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Direct Implementation Modality (DIM) may be explored or maintained for ongoing and approved projects. As per Executive Board decision 2013/9, costs defined and classified as programme and development effectiveness will be charged to concerned projects. </w:t>
      </w:r>
      <w:r w:rsidR="00C50CB0">
        <w:rPr>
          <w:rFonts w:ascii="Times New Roman" w:hAnsi="Times New Roman" w:cs="Times New Roman"/>
          <w:sz w:val="20"/>
          <w:szCs w:val="20"/>
          <w:lang w:eastAsia="en-ZA"/>
        </w:rPr>
        <w:t>The h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armonized </w:t>
      </w:r>
      <w:r w:rsidR="00C50CB0">
        <w:rPr>
          <w:rFonts w:ascii="Times New Roman" w:hAnsi="Times New Roman" w:cs="Times New Roman"/>
          <w:sz w:val="20"/>
          <w:szCs w:val="20"/>
          <w:lang w:eastAsia="en-ZA"/>
        </w:rPr>
        <w:t>a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pproach to </w:t>
      </w:r>
      <w:r w:rsidR="00C50CB0">
        <w:rPr>
          <w:rFonts w:ascii="Times New Roman" w:hAnsi="Times New Roman" w:cs="Times New Roman"/>
          <w:sz w:val="20"/>
          <w:szCs w:val="20"/>
          <w:lang w:eastAsia="en-ZA"/>
        </w:rPr>
        <w:t>c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ash </w:t>
      </w:r>
      <w:r w:rsidR="00C50CB0">
        <w:rPr>
          <w:rFonts w:ascii="Times New Roman" w:hAnsi="Times New Roman" w:cs="Times New Roman"/>
          <w:sz w:val="20"/>
          <w:szCs w:val="20"/>
          <w:lang w:eastAsia="en-ZA"/>
        </w:rPr>
        <w:t>t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ransfers (HACT) will be used in a coordinated fashion with other </w:t>
      </w:r>
      <w:r w:rsidR="00C50CB0">
        <w:rPr>
          <w:rFonts w:ascii="Times New Roman" w:hAnsi="Times New Roman" w:cs="Times New Roman"/>
          <w:sz w:val="20"/>
          <w:szCs w:val="20"/>
          <w:lang w:eastAsia="en-ZA"/>
        </w:rPr>
        <w:t>United Nations organizations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manag</w:t>
      </w:r>
      <w:r w:rsidR="00C50CB0">
        <w:rPr>
          <w:rFonts w:ascii="Times New Roman" w:hAnsi="Times New Roman" w:cs="Times New Roman"/>
          <w:sz w:val="20"/>
          <w:szCs w:val="20"/>
          <w:lang w:eastAsia="en-ZA"/>
        </w:rPr>
        <w:t>ing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financial risks. UNDP, in collaboration with the UNCT, will conduct a macro-assessment of the public finance management system</w:t>
      </w:r>
      <w:r w:rsidR="00622BE8">
        <w:rPr>
          <w:rFonts w:ascii="Times New Roman" w:hAnsi="Times New Roman" w:cs="Times New Roman"/>
          <w:sz w:val="20"/>
          <w:szCs w:val="20"/>
          <w:lang w:eastAsia="en-ZA"/>
        </w:rPr>
        <w:t>, as well as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622BE8">
        <w:rPr>
          <w:rFonts w:ascii="Times New Roman" w:hAnsi="Times New Roman" w:cs="Times New Roman"/>
          <w:sz w:val="20"/>
          <w:szCs w:val="20"/>
          <w:lang w:eastAsia="en-ZA"/>
        </w:rPr>
        <w:t xml:space="preserve">a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micro</w:t>
      </w:r>
      <w:r w:rsidR="00C50CB0">
        <w:rPr>
          <w:rFonts w:ascii="Times New Roman" w:hAnsi="Times New Roman" w:cs="Times New Roman"/>
          <w:sz w:val="20"/>
          <w:szCs w:val="20"/>
          <w:lang w:eastAsia="en-ZA"/>
        </w:rPr>
        <w:t>-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assessment for relevant government bodies and civil society organizations to identify potential risks related to the management of public resources</w:t>
      </w:r>
      <w:r w:rsidR="00622BE8">
        <w:rPr>
          <w:rFonts w:ascii="Times New Roman" w:hAnsi="Times New Roman" w:cs="Times New Roman"/>
          <w:sz w:val="20"/>
          <w:szCs w:val="20"/>
          <w:lang w:eastAsia="en-ZA"/>
        </w:rPr>
        <w:t xml:space="preserve">. UNDP will help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assess the capacit</w:t>
      </w:r>
      <w:r w:rsidR="00C50CB0">
        <w:rPr>
          <w:rFonts w:ascii="Times New Roman" w:hAnsi="Times New Roman" w:cs="Times New Roman"/>
          <w:sz w:val="20"/>
          <w:szCs w:val="20"/>
          <w:lang w:eastAsia="en-ZA"/>
        </w:rPr>
        <w:t>ies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of implementing partners as part of the </w:t>
      </w:r>
      <w:r w:rsidR="00C50CB0">
        <w:rPr>
          <w:rFonts w:ascii="Times New Roman" w:hAnsi="Times New Roman" w:cs="Times New Roman"/>
          <w:sz w:val="20"/>
          <w:szCs w:val="20"/>
          <w:lang w:eastAsia="en-ZA"/>
        </w:rPr>
        <w:t>HACT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. </w:t>
      </w:r>
      <w:r w:rsidR="00622BE8">
        <w:rPr>
          <w:rFonts w:ascii="Times New Roman" w:hAnsi="Times New Roman" w:cs="Times New Roman"/>
          <w:sz w:val="20"/>
          <w:szCs w:val="20"/>
          <w:lang w:eastAsia="en-ZA"/>
        </w:rPr>
        <w:t>Throughout the process, UNDP will encourage the</w:t>
      </w:r>
      <w:r w:rsidR="00622BE8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use of other shared and harmonized instruments for operations and programming, such as the </w:t>
      </w:r>
      <w:r w:rsidR="00701BEF">
        <w:rPr>
          <w:rFonts w:ascii="Times New Roman" w:hAnsi="Times New Roman" w:cs="Times New Roman"/>
          <w:sz w:val="20"/>
          <w:szCs w:val="20"/>
          <w:lang w:eastAsia="en-ZA"/>
        </w:rPr>
        <w:lastRenderedPageBreak/>
        <w:t>United Nations Development Assistance F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ramework</w:t>
      </w:r>
      <w:r w:rsidR="00701BEF">
        <w:rPr>
          <w:rFonts w:ascii="Times New Roman" w:hAnsi="Times New Roman" w:cs="Times New Roman"/>
          <w:sz w:val="20"/>
          <w:szCs w:val="20"/>
          <w:lang w:eastAsia="en-ZA"/>
        </w:rPr>
        <w:t xml:space="preserve"> (UNDAF)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and Business Operations Strategies.</w:t>
      </w:r>
    </w:p>
    <w:p w14:paraId="216BDF51" w14:textId="77777777" w:rsidR="000F64AA" w:rsidRPr="00BC170F" w:rsidRDefault="00701BEF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en-ZA"/>
        </w:rPr>
        <w:t xml:space="preserve"> S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ignificant programme risks are </w:t>
      </w:r>
      <w:r w:rsidR="000C4E34" w:rsidRPr="00BC170F">
        <w:rPr>
          <w:rFonts w:ascii="Times New Roman" w:hAnsi="Times New Roman" w:cs="Times New Roman"/>
          <w:sz w:val="20"/>
          <w:szCs w:val="20"/>
          <w:lang w:eastAsia="en-ZA"/>
        </w:rPr>
        <w:t>related to</w:t>
      </w:r>
      <w:r>
        <w:rPr>
          <w:rFonts w:ascii="Times New Roman" w:hAnsi="Times New Roman" w:cs="Times New Roman"/>
          <w:sz w:val="20"/>
          <w:szCs w:val="20"/>
          <w:lang w:eastAsia="en-ZA"/>
        </w:rPr>
        <w:t>:</w:t>
      </w:r>
      <w:r w:rsidR="000C4E34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(a) the political environment</w:t>
      </w:r>
      <w:r>
        <w:rPr>
          <w:rFonts w:ascii="Times New Roman" w:hAnsi="Times New Roman" w:cs="Times New Roman"/>
          <w:sz w:val="20"/>
          <w:szCs w:val="20"/>
          <w:lang w:eastAsia="en-ZA"/>
        </w:rPr>
        <w:t>,</w:t>
      </w:r>
      <w:r w:rsidR="000C4E34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in </w:t>
      </w:r>
      <w:r>
        <w:rPr>
          <w:rFonts w:ascii="Times New Roman" w:hAnsi="Times New Roman" w:cs="Times New Roman"/>
          <w:sz w:val="20"/>
          <w:szCs w:val="20"/>
          <w:lang w:eastAsia="en-ZA"/>
        </w:rPr>
        <w:t>the event outcomes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ZA"/>
        </w:rPr>
        <w:t>from</w:t>
      </w:r>
      <w:r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the recent “</w:t>
      </w:r>
      <w:r>
        <w:rPr>
          <w:rFonts w:ascii="Times New Roman" w:hAnsi="Times New Roman" w:cs="Times New Roman"/>
          <w:sz w:val="20"/>
          <w:szCs w:val="20"/>
          <w:lang w:eastAsia="en-ZA"/>
        </w:rPr>
        <w:t>n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ational </w:t>
      </w:r>
      <w:r>
        <w:rPr>
          <w:rFonts w:ascii="Times New Roman" w:hAnsi="Times New Roman" w:cs="Times New Roman"/>
          <w:sz w:val="20"/>
          <w:szCs w:val="20"/>
          <w:lang w:eastAsia="en-ZA"/>
        </w:rPr>
        <w:t>d</w:t>
      </w:r>
      <w:r w:rsidR="000C4E34" w:rsidRPr="00BC170F">
        <w:rPr>
          <w:rFonts w:ascii="Times New Roman" w:hAnsi="Times New Roman" w:cs="Times New Roman"/>
          <w:sz w:val="20"/>
          <w:szCs w:val="20"/>
          <w:lang w:eastAsia="en-ZA"/>
        </w:rPr>
        <w:t>ialogue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”</w:t>
      </w:r>
      <w:r w:rsidR="000C4E34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ZA"/>
        </w:rPr>
        <w:t>do</w:t>
      </w:r>
      <w:r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0C4E34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not resolve underlying issues </w:t>
      </w:r>
      <w:r>
        <w:rPr>
          <w:rFonts w:ascii="Times New Roman" w:hAnsi="Times New Roman" w:cs="Times New Roman"/>
          <w:sz w:val="20"/>
          <w:szCs w:val="20"/>
          <w:lang w:eastAsia="en-ZA"/>
        </w:rPr>
        <w:t>that affect</w:t>
      </w:r>
      <w:r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 w:rsidR="000C4E34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social cohesion, (b)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a lower than hoped-for</w:t>
      </w:r>
      <w:r w:rsidR="000C4E34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level of government </w:t>
      </w:r>
      <w:r w:rsidR="0022449B">
        <w:rPr>
          <w:rFonts w:ascii="Times New Roman" w:hAnsi="Times New Roman" w:cs="Times New Roman"/>
          <w:sz w:val="20"/>
          <w:szCs w:val="20"/>
          <w:lang w:eastAsia="en-ZA"/>
        </w:rPr>
        <w:t>cost-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sharing</w:t>
      </w:r>
      <w:r w:rsidR="000C4E34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, and (c) </w:t>
      </w:r>
      <w:r>
        <w:rPr>
          <w:rFonts w:ascii="Times New Roman" w:hAnsi="Times New Roman" w:cs="Times New Roman"/>
          <w:sz w:val="20"/>
          <w:szCs w:val="20"/>
          <w:lang w:eastAsia="en-ZA"/>
        </w:rPr>
        <w:t xml:space="preserve">UNDP and national partner </w:t>
      </w:r>
      <w:r w:rsidR="000C4E34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capacity to implement 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>initiatives.</w:t>
      </w:r>
      <w:r w:rsidR="000C4E34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ZA"/>
        </w:rPr>
        <w:t>T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hese risks could have </w:t>
      </w:r>
      <w:r w:rsidR="0040139D">
        <w:rPr>
          <w:rFonts w:ascii="Times New Roman" w:hAnsi="Times New Roman" w:cs="Times New Roman"/>
          <w:sz w:val="20"/>
          <w:szCs w:val="20"/>
          <w:lang w:eastAsia="en-ZA"/>
        </w:rPr>
        <w:t>adverse effects</w:t>
      </w:r>
      <w:r w:rsidR="002F684B" w:rsidRPr="00BC170F">
        <w:rPr>
          <w:rFonts w:ascii="Times New Roman" w:hAnsi="Times New Roman" w:cs="Times New Roman"/>
          <w:sz w:val="20"/>
          <w:szCs w:val="20"/>
          <w:lang w:eastAsia="en-ZA"/>
        </w:rPr>
        <w:t xml:space="preserve"> on UNDP activities in Gabon. Proactive dialogue </w:t>
      </w:r>
      <w:r w:rsidR="00622BE8">
        <w:rPr>
          <w:rFonts w:ascii="Times New Roman" w:hAnsi="Times New Roman" w:cs="Times New Roman"/>
          <w:sz w:val="20"/>
          <w:szCs w:val="20"/>
          <w:lang w:eastAsia="en-ZA"/>
        </w:rPr>
        <w:t>is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essential to ensure all projects, particularly those </w:t>
      </w:r>
      <w:r w:rsidR="00622BE8">
        <w:rPr>
          <w:rFonts w:ascii="Times New Roman" w:hAnsi="Times New Roman" w:cs="Times New Roman"/>
          <w:sz w:val="20"/>
          <w:szCs w:val="20"/>
        </w:rPr>
        <w:t>for</w:t>
      </w:r>
      <w:r w:rsidR="00622BE8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local and community development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622BE8">
        <w:rPr>
          <w:rFonts w:ascii="Times New Roman" w:hAnsi="Times New Roman" w:cs="Times New Roman"/>
          <w:sz w:val="20"/>
          <w:szCs w:val="20"/>
        </w:rPr>
        <w:t xml:space="preserve">are built on </w:t>
      </w:r>
      <w:r>
        <w:rPr>
          <w:rFonts w:ascii="Times New Roman" w:hAnsi="Times New Roman" w:cs="Times New Roman"/>
          <w:sz w:val="20"/>
          <w:szCs w:val="20"/>
        </w:rPr>
        <w:t>proper foundations</w:t>
      </w:r>
      <w:r w:rsidR="002F684B" w:rsidRPr="00BC170F">
        <w:rPr>
          <w:rFonts w:ascii="Times New Roman" w:hAnsi="Times New Roman" w:cs="Times New Roman"/>
          <w:sz w:val="20"/>
          <w:szCs w:val="20"/>
        </w:rPr>
        <w:t>.</w:t>
      </w:r>
    </w:p>
    <w:p w14:paraId="4262F10E" w14:textId="77777777" w:rsidR="002F684B" w:rsidRPr="00670F5D" w:rsidRDefault="00701BEF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To mitigate risks related to the political environment, UNDP will develop a contingency plan and support national dialogue </w:t>
      </w:r>
      <w:r>
        <w:rPr>
          <w:rFonts w:ascii="Times New Roman" w:hAnsi="Times New Roman" w:cs="Times New Roman"/>
          <w:sz w:val="20"/>
          <w:szCs w:val="20"/>
        </w:rPr>
        <w:t>processes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and reforms</w:t>
      </w:r>
      <w:r>
        <w:rPr>
          <w:rFonts w:ascii="Times New Roman" w:hAnsi="Times New Roman" w:cs="Times New Roman"/>
          <w:sz w:val="20"/>
          <w:szCs w:val="20"/>
        </w:rPr>
        <w:t>, provided they are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feasible and congruent with </w:t>
      </w:r>
      <w:r>
        <w:rPr>
          <w:rFonts w:ascii="Times New Roman" w:hAnsi="Times New Roman" w:cs="Times New Roman"/>
          <w:sz w:val="20"/>
          <w:szCs w:val="20"/>
        </w:rPr>
        <w:t>the UNDP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mandate. </w:t>
      </w:r>
      <w:r w:rsidR="00622BE8">
        <w:rPr>
          <w:rFonts w:ascii="Times New Roman" w:hAnsi="Times New Roman" w:cs="Times New Roman"/>
          <w:sz w:val="20"/>
          <w:szCs w:val="20"/>
        </w:rPr>
        <w:t>L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ocal development will </w:t>
      </w:r>
      <w:r w:rsidR="00622BE8">
        <w:rPr>
          <w:rFonts w:ascii="Times New Roman" w:hAnsi="Times New Roman" w:cs="Times New Roman"/>
          <w:sz w:val="20"/>
          <w:szCs w:val="20"/>
        </w:rPr>
        <w:t>serve as an</w:t>
      </w:r>
      <w:r w:rsidR="00622BE8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entry point for improving social cohesion and inclusion at the local level. UNDP consulted </w:t>
      </w:r>
      <w:r w:rsidR="006351A6">
        <w:rPr>
          <w:rFonts w:ascii="Times New Roman" w:hAnsi="Times New Roman" w:cs="Times New Roman"/>
          <w:sz w:val="20"/>
          <w:szCs w:val="20"/>
        </w:rPr>
        <w:t xml:space="preserve">with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the Government of Gabon and national stakeholders </w:t>
      </w:r>
      <w:r w:rsidR="006351A6">
        <w:rPr>
          <w:rFonts w:ascii="Times New Roman" w:hAnsi="Times New Roman" w:cs="Times New Roman"/>
          <w:sz w:val="20"/>
          <w:szCs w:val="20"/>
        </w:rPr>
        <w:t>on</w:t>
      </w:r>
      <w:r w:rsidR="006351A6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the elaboration of this CPD to minimize risks related to </w:t>
      </w:r>
      <w:r>
        <w:rPr>
          <w:rFonts w:ascii="Times New Roman" w:hAnsi="Times New Roman" w:cs="Times New Roman"/>
          <w:sz w:val="20"/>
          <w:szCs w:val="20"/>
        </w:rPr>
        <w:t>g</w:t>
      </w:r>
      <w:r w:rsidR="002F684B" w:rsidRPr="00BC170F">
        <w:rPr>
          <w:rFonts w:ascii="Times New Roman" w:hAnsi="Times New Roman" w:cs="Times New Roman"/>
          <w:sz w:val="20"/>
          <w:szCs w:val="20"/>
        </w:rPr>
        <w:t>overnment commitment, especially on financial contributions.</w:t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g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overnment approached UNDP for support </w:t>
      </w:r>
      <w:r>
        <w:rPr>
          <w:rFonts w:ascii="Times New Roman" w:hAnsi="Times New Roman" w:cs="Times New Roman"/>
          <w:sz w:val="20"/>
          <w:szCs w:val="20"/>
        </w:rPr>
        <w:t>in the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design</w:t>
      </w:r>
      <w:r>
        <w:rPr>
          <w:rFonts w:ascii="Times New Roman" w:hAnsi="Times New Roman" w:cs="Times New Roman"/>
          <w:sz w:val="20"/>
          <w:szCs w:val="20"/>
        </w:rPr>
        <w:t xml:space="preserve"> of the plan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 to its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submission to the Green Climate Fund.</w:t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UNDP will capitalize on this </w:t>
      </w:r>
      <w:r>
        <w:rPr>
          <w:rFonts w:ascii="Times New Roman" w:hAnsi="Times New Roman" w:cs="Times New Roman"/>
          <w:sz w:val="20"/>
          <w:szCs w:val="20"/>
        </w:rPr>
        <w:t>request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to reactivate partnerships </w:t>
      </w:r>
      <w:r w:rsidR="00670F5D">
        <w:rPr>
          <w:rFonts w:ascii="Times New Roman" w:hAnsi="Times New Roman" w:cs="Times New Roman"/>
          <w:sz w:val="20"/>
          <w:szCs w:val="20"/>
        </w:rPr>
        <w:t>with</w:t>
      </w:r>
      <w:r w:rsidR="00670F5D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other vertical </w:t>
      </w:r>
      <w:r>
        <w:rPr>
          <w:rFonts w:ascii="Times New Roman" w:hAnsi="Times New Roman" w:cs="Times New Roman"/>
          <w:sz w:val="20"/>
          <w:szCs w:val="20"/>
        </w:rPr>
        <w:t>donors</w:t>
      </w:r>
      <w:r w:rsidR="002F684B" w:rsidRPr="00BC170F">
        <w:rPr>
          <w:rFonts w:ascii="Times New Roman" w:hAnsi="Times New Roman" w:cs="Times New Roman"/>
          <w:sz w:val="20"/>
          <w:szCs w:val="20"/>
        </w:rPr>
        <w:t>, such as</w:t>
      </w:r>
      <w:r w:rsidR="00A81A3A">
        <w:rPr>
          <w:rFonts w:ascii="Times New Roman" w:hAnsi="Times New Roman" w:cs="Times New Roman"/>
          <w:sz w:val="20"/>
          <w:szCs w:val="20"/>
        </w:rPr>
        <w:t xml:space="preserve"> the Global Environment Facility (</w:t>
      </w:r>
      <w:r w:rsidR="002F684B" w:rsidRPr="00BC170F">
        <w:rPr>
          <w:rFonts w:ascii="Times New Roman" w:hAnsi="Times New Roman" w:cs="Times New Roman"/>
          <w:sz w:val="20"/>
          <w:szCs w:val="20"/>
        </w:rPr>
        <w:t>GEF</w:t>
      </w:r>
      <w:r w:rsidR="00A81A3A">
        <w:rPr>
          <w:rFonts w:ascii="Times New Roman" w:hAnsi="Times New Roman" w:cs="Times New Roman"/>
          <w:sz w:val="20"/>
          <w:szCs w:val="20"/>
        </w:rPr>
        <w:t>)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, that </w:t>
      </w:r>
      <w:r>
        <w:rPr>
          <w:rFonts w:ascii="Times New Roman" w:hAnsi="Times New Roman" w:cs="Times New Roman"/>
          <w:sz w:val="20"/>
          <w:szCs w:val="20"/>
        </w:rPr>
        <w:t>were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discontinued in the past.</w:t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  <w:r w:rsidR="001F1320">
        <w:rPr>
          <w:rFonts w:ascii="Times New Roman" w:hAnsi="Times New Roman" w:cs="Times New Roman"/>
          <w:sz w:val="20"/>
          <w:szCs w:val="20"/>
        </w:rPr>
        <w:t xml:space="preserve">New partnerships will be explored with development institutions and </w:t>
      </w:r>
      <w:r w:rsidR="008B49C4">
        <w:rPr>
          <w:rFonts w:ascii="Times New Roman" w:hAnsi="Times New Roman" w:cs="Times New Roman"/>
          <w:sz w:val="20"/>
          <w:szCs w:val="20"/>
        </w:rPr>
        <w:t xml:space="preserve">the </w:t>
      </w:r>
      <w:r w:rsidR="001F1320">
        <w:rPr>
          <w:rFonts w:ascii="Times New Roman" w:hAnsi="Times New Roman" w:cs="Times New Roman"/>
          <w:sz w:val="20"/>
          <w:szCs w:val="20"/>
        </w:rPr>
        <w:t>private sector</w:t>
      </w:r>
      <w:r w:rsidR="008B49C4">
        <w:rPr>
          <w:rFonts w:ascii="Times New Roman" w:hAnsi="Times New Roman" w:cs="Times New Roman"/>
          <w:sz w:val="20"/>
          <w:szCs w:val="20"/>
        </w:rPr>
        <w:t xml:space="preserve"> (th</w:t>
      </w:r>
      <w:r w:rsidR="008B39AB">
        <w:rPr>
          <w:rFonts w:ascii="Times New Roman" w:hAnsi="Times New Roman" w:cs="Times New Roman"/>
          <w:sz w:val="20"/>
          <w:szCs w:val="20"/>
        </w:rPr>
        <w:t xml:space="preserve">is includes </w:t>
      </w:r>
      <w:r w:rsidR="008B49C4">
        <w:rPr>
          <w:rFonts w:ascii="Times New Roman" w:hAnsi="Times New Roman" w:cs="Times New Roman"/>
          <w:sz w:val="20"/>
          <w:szCs w:val="20"/>
        </w:rPr>
        <w:t xml:space="preserve">oil </w:t>
      </w:r>
      <w:r w:rsidR="006351A6">
        <w:rPr>
          <w:rFonts w:ascii="Times New Roman" w:hAnsi="Times New Roman" w:cs="Times New Roman"/>
          <w:sz w:val="20"/>
          <w:szCs w:val="20"/>
        </w:rPr>
        <w:t xml:space="preserve">companies </w:t>
      </w:r>
      <w:r w:rsidR="008B39AB">
        <w:rPr>
          <w:rFonts w:ascii="Times New Roman" w:hAnsi="Times New Roman" w:cs="Times New Roman"/>
          <w:sz w:val="20"/>
          <w:szCs w:val="20"/>
        </w:rPr>
        <w:t>along with</w:t>
      </w:r>
      <w:r w:rsidR="008B49C4">
        <w:rPr>
          <w:rFonts w:ascii="Times New Roman" w:hAnsi="Times New Roman" w:cs="Times New Roman"/>
          <w:sz w:val="20"/>
          <w:szCs w:val="20"/>
        </w:rPr>
        <w:t xml:space="preserve"> new</w:t>
      </w:r>
      <w:r w:rsidR="006351A6">
        <w:rPr>
          <w:rFonts w:ascii="Times New Roman" w:hAnsi="Times New Roman" w:cs="Times New Roman"/>
          <w:sz w:val="20"/>
          <w:szCs w:val="20"/>
        </w:rPr>
        <w:t>er players</w:t>
      </w:r>
      <w:r w:rsidR="008B49C4">
        <w:rPr>
          <w:rFonts w:ascii="Times New Roman" w:hAnsi="Times New Roman" w:cs="Times New Roman"/>
          <w:sz w:val="20"/>
          <w:szCs w:val="20"/>
        </w:rPr>
        <w:t xml:space="preserve"> </w:t>
      </w:r>
      <w:r w:rsidR="006351A6">
        <w:rPr>
          <w:rFonts w:ascii="Times New Roman" w:hAnsi="Times New Roman" w:cs="Times New Roman"/>
          <w:sz w:val="20"/>
          <w:szCs w:val="20"/>
        </w:rPr>
        <w:t>in</w:t>
      </w:r>
      <w:r w:rsidR="008B49C4">
        <w:rPr>
          <w:rFonts w:ascii="Times New Roman" w:hAnsi="Times New Roman" w:cs="Times New Roman"/>
          <w:sz w:val="20"/>
          <w:szCs w:val="20"/>
        </w:rPr>
        <w:t xml:space="preserve"> private sector growth </w:t>
      </w:r>
      <w:r w:rsidR="006351A6">
        <w:rPr>
          <w:rFonts w:ascii="Times New Roman" w:hAnsi="Times New Roman" w:cs="Times New Roman"/>
          <w:sz w:val="20"/>
          <w:szCs w:val="20"/>
        </w:rPr>
        <w:t>like</w:t>
      </w:r>
      <w:r w:rsidR="008B49C4">
        <w:rPr>
          <w:rFonts w:ascii="Times New Roman" w:hAnsi="Times New Roman" w:cs="Times New Roman"/>
          <w:sz w:val="20"/>
          <w:szCs w:val="20"/>
        </w:rPr>
        <w:t xml:space="preserve"> telecommunications and agribusiness)</w:t>
      </w:r>
      <w:r w:rsidR="001F1320">
        <w:rPr>
          <w:rFonts w:ascii="Times New Roman" w:hAnsi="Times New Roman" w:cs="Times New Roman"/>
          <w:sz w:val="20"/>
          <w:szCs w:val="20"/>
        </w:rPr>
        <w:t xml:space="preserve">. </w:t>
      </w:r>
      <w:r w:rsidR="000A4982" w:rsidRPr="00BC170F">
        <w:rPr>
          <w:rFonts w:ascii="Times New Roman" w:hAnsi="Times New Roman" w:cs="Times New Roman"/>
          <w:sz w:val="20"/>
          <w:szCs w:val="20"/>
        </w:rPr>
        <w:t>D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uring the implementation phase, UNDP will </w:t>
      </w:r>
      <w:r w:rsidR="008B39AB">
        <w:rPr>
          <w:rFonts w:ascii="Times New Roman" w:hAnsi="Times New Roman" w:cs="Times New Roman"/>
          <w:sz w:val="20"/>
          <w:szCs w:val="20"/>
        </w:rPr>
        <w:t>foster</w:t>
      </w:r>
      <w:r w:rsidR="008B39AB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stakeholder engagement and co-ownership of the CPD through periodic reviews at </w:t>
      </w:r>
      <w:r w:rsidR="008B39AB">
        <w:rPr>
          <w:rFonts w:ascii="Times New Roman" w:hAnsi="Times New Roman" w:cs="Times New Roman"/>
          <w:sz w:val="20"/>
          <w:szCs w:val="20"/>
        </w:rPr>
        <w:t xml:space="preserve">the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outcome level and regular technical level discussions that allow for integrating lessons </w:t>
      </w:r>
      <w:r w:rsidR="008B39AB">
        <w:rPr>
          <w:rFonts w:ascii="Times New Roman" w:hAnsi="Times New Roman" w:cs="Times New Roman"/>
          <w:sz w:val="20"/>
          <w:szCs w:val="20"/>
        </w:rPr>
        <w:t xml:space="preserve">learned,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and </w:t>
      </w:r>
      <w:r w:rsidR="006351A6">
        <w:rPr>
          <w:rFonts w:ascii="Times New Roman" w:hAnsi="Times New Roman" w:cs="Times New Roman"/>
          <w:sz w:val="20"/>
          <w:szCs w:val="20"/>
        </w:rPr>
        <w:t xml:space="preserve">making </w:t>
      </w:r>
      <w:r w:rsidR="002F684B" w:rsidRPr="00BC170F">
        <w:rPr>
          <w:rFonts w:ascii="Times New Roman" w:hAnsi="Times New Roman" w:cs="Times New Roman"/>
          <w:sz w:val="20"/>
          <w:szCs w:val="20"/>
        </w:rPr>
        <w:t>course adjustments</w:t>
      </w:r>
      <w:r w:rsidR="008B39AB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in line with national priorities. </w:t>
      </w:r>
    </w:p>
    <w:p w14:paraId="68C67CA0" w14:textId="77777777" w:rsidR="00670F5D" w:rsidRPr="00EC06E3" w:rsidRDefault="008B39AB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70F5D">
        <w:rPr>
          <w:rFonts w:ascii="Times New Roman" w:hAnsi="Times New Roman" w:cs="Times New Roman"/>
          <w:sz w:val="20"/>
          <w:szCs w:val="20"/>
        </w:rPr>
        <w:t xml:space="preserve">In addition, UNDP Social and Environmental Standards will be applied across all projects to ensure risks (e.g. climate change, disaster, gender equality, biodiversity, </w:t>
      </w:r>
      <w:r w:rsidR="006351A6">
        <w:rPr>
          <w:rFonts w:ascii="Times New Roman" w:hAnsi="Times New Roman" w:cs="Times New Roman"/>
          <w:sz w:val="20"/>
          <w:szCs w:val="20"/>
        </w:rPr>
        <w:t xml:space="preserve">and </w:t>
      </w:r>
      <w:r w:rsidR="00670F5D">
        <w:rPr>
          <w:rFonts w:ascii="Times New Roman" w:hAnsi="Times New Roman" w:cs="Times New Roman"/>
          <w:sz w:val="20"/>
          <w:szCs w:val="20"/>
        </w:rPr>
        <w:t xml:space="preserve">meaningful participation) are effectively assessed and managed.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670F5D">
        <w:rPr>
          <w:rFonts w:ascii="Times New Roman" w:hAnsi="Times New Roman" w:cs="Times New Roman"/>
          <w:sz w:val="20"/>
          <w:szCs w:val="20"/>
        </w:rPr>
        <w:t>UNDP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="00670F5D">
        <w:rPr>
          <w:rFonts w:ascii="Times New Roman" w:hAnsi="Times New Roman" w:cs="Times New Roman"/>
          <w:sz w:val="20"/>
          <w:szCs w:val="20"/>
        </w:rPr>
        <w:t xml:space="preserve">ccountability </w:t>
      </w:r>
      <w:r>
        <w:rPr>
          <w:rFonts w:ascii="Times New Roman" w:hAnsi="Times New Roman" w:cs="Times New Roman"/>
          <w:sz w:val="20"/>
          <w:szCs w:val="20"/>
        </w:rPr>
        <w:t>m</w:t>
      </w:r>
      <w:r w:rsidR="00670F5D">
        <w:rPr>
          <w:rFonts w:ascii="Times New Roman" w:hAnsi="Times New Roman" w:cs="Times New Roman"/>
          <w:sz w:val="20"/>
          <w:szCs w:val="20"/>
        </w:rPr>
        <w:t xml:space="preserve">echanism provides a </w:t>
      </w:r>
      <w:r>
        <w:rPr>
          <w:rFonts w:ascii="Times New Roman" w:hAnsi="Times New Roman" w:cs="Times New Roman"/>
          <w:sz w:val="20"/>
          <w:szCs w:val="20"/>
        </w:rPr>
        <w:t xml:space="preserve">tool for planners to </w:t>
      </w:r>
      <w:r w:rsidR="00670F5D">
        <w:rPr>
          <w:rFonts w:ascii="Times New Roman" w:hAnsi="Times New Roman" w:cs="Times New Roman"/>
          <w:sz w:val="20"/>
          <w:szCs w:val="20"/>
        </w:rPr>
        <w:t>receive</w:t>
      </w:r>
      <w:r>
        <w:rPr>
          <w:rFonts w:ascii="Times New Roman" w:hAnsi="Times New Roman" w:cs="Times New Roman"/>
          <w:sz w:val="20"/>
          <w:szCs w:val="20"/>
        </w:rPr>
        <w:t>,</w:t>
      </w:r>
      <w:r w:rsidR="00670F5D">
        <w:rPr>
          <w:rFonts w:ascii="Times New Roman" w:hAnsi="Times New Roman" w:cs="Times New Roman"/>
          <w:sz w:val="20"/>
          <w:szCs w:val="20"/>
        </w:rPr>
        <w:t xml:space="preserve"> and respond to</w:t>
      </w:r>
      <w:r>
        <w:rPr>
          <w:rFonts w:ascii="Times New Roman" w:hAnsi="Times New Roman" w:cs="Times New Roman"/>
          <w:sz w:val="20"/>
          <w:szCs w:val="20"/>
        </w:rPr>
        <w:t>,</w:t>
      </w:r>
      <w:r w:rsidR="00670F5D">
        <w:rPr>
          <w:rFonts w:ascii="Times New Roman" w:hAnsi="Times New Roman" w:cs="Times New Roman"/>
          <w:sz w:val="20"/>
          <w:szCs w:val="20"/>
        </w:rPr>
        <w:t xml:space="preserve"> grievances from </w:t>
      </w:r>
      <w:r>
        <w:rPr>
          <w:rFonts w:ascii="Times New Roman" w:hAnsi="Times New Roman" w:cs="Times New Roman"/>
          <w:sz w:val="20"/>
          <w:szCs w:val="20"/>
        </w:rPr>
        <w:t>project beneficiaries</w:t>
      </w:r>
      <w:r w:rsidR="00670F5D">
        <w:rPr>
          <w:rFonts w:ascii="Times New Roman" w:hAnsi="Times New Roman" w:cs="Times New Roman"/>
          <w:sz w:val="20"/>
          <w:szCs w:val="20"/>
        </w:rPr>
        <w:t xml:space="preserve"> so issues can be identified and actively addressed.</w:t>
      </w:r>
    </w:p>
    <w:p w14:paraId="21A7FE76" w14:textId="77777777" w:rsidR="002F684B" w:rsidRPr="008B39AB" w:rsidRDefault="002F684B" w:rsidP="00731064">
      <w:pPr>
        <w:pStyle w:val="Heading2"/>
        <w:ind w:left="1170" w:hanging="540"/>
        <w:rPr>
          <w:sz w:val="28"/>
        </w:rPr>
      </w:pPr>
      <w:bookmarkStart w:id="9" w:name="_Toc367384731"/>
      <w:bookmarkStart w:id="10" w:name="_Toc493510414"/>
      <w:r w:rsidRPr="008B39AB">
        <w:rPr>
          <w:sz w:val="28"/>
        </w:rPr>
        <w:t>Monitoring and evaluation</w:t>
      </w:r>
      <w:bookmarkEnd w:id="9"/>
      <w:bookmarkEnd w:id="10"/>
    </w:p>
    <w:p w14:paraId="44D9C3C4" w14:textId="77777777" w:rsidR="002F684B" w:rsidRPr="00BC170F" w:rsidRDefault="008B39AB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Results and value for money are </w:t>
      </w:r>
      <w:r w:rsidR="006351A6" w:rsidRPr="00BC170F">
        <w:rPr>
          <w:rFonts w:ascii="Times New Roman" w:hAnsi="Times New Roman" w:cs="Times New Roman"/>
          <w:sz w:val="20"/>
          <w:szCs w:val="20"/>
        </w:rPr>
        <w:t>facets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of UNDP support to the </w:t>
      </w:r>
      <w:r>
        <w:rPr>
          <w:rFonts w:ascii="Times New Roman" w:hAnsi="Times New Roman" w:cs="Times New Roman"/>
          <w:sz w:val="20"/>
          <w:szCs w:val="20"/>
        </w:rPr>
        <w:t>g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overnment. UNDP will invest in </w:t>
      </w:r>
      <w:r>
        <w:rPr>
          <w:rFonts w:ascii="Times New Roman" w:hAnsi="Times New Roman" w:cs="Times New Roman"/>
          <w:sz w:val="20"/>
          <w:szCs w:val="20"/>
        </w:rPr>
        <w:t>robust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monitoring and evaluation of this programme</w:t>
      </w:r>
      <w:r>
        <w:rPr>
          <w:rFonts w:ascii="Times New Roman" w:hAnsi="Times New Roman" w:cs="Times New Roman"/>
          <w:sz w:val="20"/>
          <w:szCs w:val="20"/>
        </w:rPr>
        <w:t xml:space="preserve">, which includes aligning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CPD indicators with the PSGE and SDGs. </w:t>
      </w:r>
    </w:p>
    <w:p w14:paraId="71381A4E" w14:textId="77777777" w:rsidR="002F684B" w:rsidRPr="00BC170F" w:rsidRDefault="008B39AB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UNDP, in collaboration with partners </w:t>
      </w:r>
      <w:r>
        <w:rPr>
          <w:rFonts w:ascii="Times New Roman" w:hAnsi="Times New Roman" w:cs="Times New Roman"/>
          <w:sz w:val="20"/>
          <w:szCs w:val="20"/>
        </w:rPr>
        <w:t>(</w:t>
      </w:r>
      <w:r w:rsidR="002F684B" w:rsidRPr="00BC170F">
        <w:rPr>
          <w:rFonts w:ascii="Times New Roman" w:hAnsi="Times New Roman" w:cs="Times New Roman"/>
          <w:sz w:val="20"/>
          <w:szCs w:val="20"/>
        </w:rPr>
        <w:t>including universities and academia</w:t>
      </w:r>
      <w:r>
        <w:rPr>
          <w:rFonts w:ascii="Times New Roman" w:hAnsi="Times New Roman" w:cs="Times New Roman"/>
          <w:sz w:val="20"/>
          <w:szCs w:val="20"/>
        </w:rPr>
        <w:t>)</w:t>
      </w:r>
      <w:r w:rsidR="002F684B" w:rsidRPr="00BC170F">
        <w:rPr>
          <w:rFonts w:ascii="Times New Roman" w:hAnsi="Times New Roman" w:cs="Times New Roman"/>
          <w:sz w:val="20"/>
          <w:szCs w:val="20"/>
        </w:rPr>
        <w:t>, will support capacit</w:t>
      </w:r>
      <w:r>
        <w:rPr>
          <w:rFonts w:ascii="Times New Roman" w:hAnsi="Times New Roman" w:cs="Times New Roman"/>
          <w:sz w:val="20"/>
          <w:szCs w:val="20"/>
        </w:rPr>
        <w:t>y development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in data collection, monitoring and evaluation</w:t>
      </w:r>
      <w:r>
        <w:rPr>
          <w:rFonts w:ascii="Times New Roman" w:hAnsi="Times New Roman" w:cs="Times New Roman"/>
          <w:sz w:val="20"/>
          <w:szCs w:val="20"/>
        </w:rPr>
        <w:t>,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and research</w:t>
      </w:r>
      <w:r>
        <w:rPr>
          <w:rFonts w:ascii="Times New Roman" w:hAnsi="Times New Roman" w:cs="Times New Roman"/>
          <w:sz w:val="20"/>
          <w:szCs w:val="20"/>
        </w:rPr>
        <w:t xml:space="preserve">. UNDP will work with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the National Statistical Institute </w:t>
      </w:r>
      <w:r>
        <w:rPr>
          <w:rFonts w:ascii="Times New Roman" w:hAnsi="Times New Roman" w:cs="Times New Roman"/>
          <w:sz w:val="20"/>
          <w:szCs w:val="20"/>
        </w:rPr>
        <w:t>on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the production and regular dissemination of updated gender-disaggregated data on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SDGs. </w:t>
      </w:r>
      <w:r>
        <w:rPr>
          <w:rFonts w:ascii="Times New Roman" w:hAnsi="Times New Roman" w:cs="Times New Roman"/>
          <w:sz w:val="20"/>
          <w:szCs w:val="20"/>
        </w:rPr>
        <w:t xml:space="preserve">Additionally,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UNDP will develop an integrated monitoring and evaluation plan for the programme </w:t>
      </w:r>
      <w:r>
        <w:rPr>
          <w:rFonts w:ascii="Times New Roman" w:hAnsi="Times New Roman" w:cs="Times New Roman"/>
          <w:sz w:val="20"/>
          <w:szCs w:val="20"/>
        </w:rPr>
        <w:t>in order to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safeguard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rigorous monitoring of progress</w:t>
      </w:r>
      <w:r>
        <w:rPr>
          <w:rFonts w:ascii="Times New Roman" w:hAnsi="Times New Roman" w:cs="Times New Roman"/>
          <w:sz w:val="20"/>
          <w:szCs w:val="20"/>
        </w:rPr>
        <w:t>,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and achievement of development outcomes.</w:t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5615F4" w14:textId="77777777" w:rsidR="002F684B" w:rsidRPr="00BC170F" w:rsidRDefault="008B39AB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84B" w:rsidRPr="00BC170F">
        <w:rPr>
          <w:rFonts w:ascii="Times New Roman" w:hAnsi="Times New Roman" w:cs="Times New Roman"/>
          <w:sz w:val="20"/>
          <w:szCs w:val="20"/>
        </w:rPr>
        <w:t>The UNDP Strategic Plan Results and Resources Framework (SP</w:t>
      </w:r>
      <w:r w:rsidR="003E6DA9">
        <w:rPr>
          <w:rFonts w:ascii="Times New Roman" w:hAnsi="Times New Roman" w:cs="Times New Roman"/>
          <w:sz w:val="20"/>
          <w:szCs w:val="20"/>
        </w:rPr>
        <w:t>/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IRRF) will </w:t>
      </w:r>
      <w:r>
        <w:rPr>
          <w:rFonts w:ascii="Times New Roman" w:hAnsi="Times New Roman" w:cs="Times New Roman"/>
          <w:sz w:val="20"/>
          <w:szCs w:val="20"/>
        </w:rPr>
        <w:t>serve as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reference in setting outcome and output indicators </w:t>
      </w:r>
      <w:r>
        <w:rPr>
          <w:rFonts w:ascii="Times New Roman" w:hAnsi="Times New Roman" w:cs="Times New Roman"/>
          <w:sz w:val="20"/>
          <w:szCs w:val="20"/>
        </w:rPr>
        <w:t>for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the programme.</w:t>
      </w:r>
      <w:r w:rsidR="000600F7" w:rsidRPr="00BC17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 w:rsidR="000600F7" w:rsidRPr="00BC170F">
        <w:rPr>
          <w:rFonts w:ascii="Times New Roman" w:hAnsi="Times New Roman" w:cs="Times New Roman"/>
          <w:sz w:val="20"/>
          <w:szCs w:val="20"/>
        </w:rPr>
        <w:t>RRF output indicators will be revised, where relevant</w:t>
      </w:r>
      <w:r w:rsidR="00A81A3A">
        <w:rPr>
          <w:rFonts w:ascii="Times New Roman" w:hAnsi="Times New Roman" w:cs="Times New Roman"/>
          <w:sz w:val="20"/>
          <w:szCs w:val="20"/>
        </w:rPr>
        <w:t>,</w:t>
      </w:r>
      <w:r w:rsidR="000600F7" w:rsidRPr="00BC170F">
        <w:rPr>
          <w:rFonts w:ascii="Times New Roman" w:hAnsi="Times New Roman" w:cs="Times New Roman"/>
          <w:sz w:val="20"/>
          <w:szCs w:val="20"/>
        </w:rPr>
        <w:t xml:space="preserve"> to reflect updated indicators in the new </w:t>
      </w:r>
      <w:r w:rsidR="003E6DA9">
        <w:rPr>
          <w:rFonts w:ascii="Times New Roman" w:hAnsi="Times New Roman" w:cs="Times New Roman"/>
          <w:sz w:val="20"/>
          <w:szCs w:val="20"/>
        </w:rPr>
        <w:t>Strategic Plan</w:t>
      </w:r>
      <w:r w:rsidR="000600F7" w:rsidRPr="00BC170F">
        <w:rPr>
          <w:rFonts w:ascii="Times New Roman" w:hAnsi="Times New Roman" w:cs="Times New Roman"/>
          <w:sz w:val="20"/>
          <w:szCs w:val="20"/>
        </w:rPr>
        <w:t>.</w:t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  <w:r w:rsidR="00CE0DE6">
        <w:rPr>
          <w:rFonts w:ascii="Times New Roman" w:hAnsi="Times New Roman" w:cs="Times New Roman"/>
          <w:sz w:val="20"/>
          <w:szCs w:val="20"/>
        </w:rPr>
        <w:t xml:space="preserve">UNDP will explore </w:t>
      </w:r>
      <w:r w:rsidR="002F684B" w:rsidRPr="00BC170F">
        <w:rPr>
          <w:rFonts w:ascii="Times New Roman" w:hAnsi="Times New Roman" w:cs="Times New Roman"/>
          <w:sz w:val="20"/>
          <w:szCs w:val="20"/>
        </w:rPr>
        <w:t>South-</w:t>
      </w:r>
      <w:r w:rsidR="002F684B" w:rsidRPr="00680516">
        <w:rPr>
          <w:rFonts w:ascii="Times New Roman" w:hAnsi="Times New Roman" w:cs="Times New Roman"/>
          <w:sz w:val="20"/>
          <w:szCs w:val="20"/>
        </w:rPr>
        <w:t xml:space="preserve">South (including ECCAS, </w:t>
      </w:r>
      <w:r w:rsidR="003E6DA9" w:rsidRPr="00680516">
        <w:rPr>
          <w:rFonts w:ascii="Times New Roman" w:hAnsi="Times New Roman" w:cs="Times New Roman"/>
          <w:sz w:val="20"/>
          <w:szCs w:val="20"/>
        </w:rPr>
        <w:t>and countries in</w:t>
      </w:r>
      <w:r w:rsidR="002F684B" w:rsidRPr="00680516">
        <w:rPr>
          <w:rFonts w:ascii="Times New Roman" w:hAnsi="Times New Roman" w:cs="Times New Roman"/>
          <w:sz w:val="20"/>
          <w:szCs w:val="20"/>
        </w:rPr>
        <w:t xml:space="preserve"> West Africa that have successfully implemented the PUDC approach) and triangular cooperation </w:t>
      </w:r>
      <w:r w:rsidR="00CE0DE6" w:rsidRPr="00680516">
        <w:rPr>
          <w:rFonts w:ascii="Times New Roman" w:hAnsi="Times New Roman" w:cs="Times New Roman"/>
          <w:sz w:val="20"/>
          <w:szCs w:val="20"/>
        </w:rPr>
        <w:t>modalities</w:t>
      </w:r>
      <w:r w:rsidR="002F684B" w:rsidRPr="00680516">
        <w:rPr>
          <w:rFonts w:ascii="Times New Roman" w:hAnsi="Times New Roman" w:cs="Times New Roman"/>
          <w:sz w:val="20"/>
          <w:szCs w:val="20"/>
        </w:rPr>
        <w:t xml:space="preserve"> to establish a reliable data system on </w:t>
      </w:r>
      <w:r w:rsidR="00CE0DE6" w:rsidRPr="00680516">
        <w:rPr>
          <w:rFonts w:ascii="Times New Roman" w:hAnsi="Times New Roman" w:cs="Times New Roman"/>
          <w:sz w:val="20"/>
          <w:szCs w:val="20"/>
        </w:rPr>
        <w:t xml:space="preserve">the </w:t>
      </w:r>
      <w:r w:rsidR="002F684B" w:rsidRPr="00680516">
        <w:rPr>
          <w:rFonts w:ascii="Times New Roman" w:hAnsi="Times New Roman" w:cs="Times New Roman"/>
          <w:sz w:val="20"/>
          <w:szCs w:val="20"/>
        </w:rPr>
        <w:t xml:space="preserve">SDGs and </w:t>
      </w:r>
      <w:r w:rsidR="00DC0A28" w:rsidRPr="00680516">
        <w:rPr>
          <w:rFonts w:ascii="Times New Roman" w:hAnsi="Times New Roman" w:cs="Times New Roman"/>
          <w:sz w:val="20"/>
          <w:szCs w:val="20"/>
        </w:rPr>
        <w:t>Agenda 2063</w:t>
      </w:r>
      <w:r w:rsidR="002F684B" w:rsidRPr="00680516">
        <w:rPr>
          <w:rFonts w:ascii="Times New Roman" w:hAnsi="Times New Roman" w:cs="Times New Roman"/>
          <w:sz w:val="20"/>
          <w:szCs w:val="20"/>
        </w:rPr>
        <w:t xml:space="preserve">. The </w:t>
      </w:r>
      <w:r w:rsidR="00CE0DE6" w:rsidRPr="00680516">
        <w:rPr>
          <w:rFonts w:ascii="Times New Roman" w:hAnsi="Times New Roman" w:cs="Times New Roman"/>
          <w:sz w:val="20"/>
          <w:szCs w:val="20"/>
        </w:rPr>
        <w:t xml:space="preserve">country </w:t>
      </w:r>
      <w:r w:rsidR="002F684B" w:rsidRPr="00680516">
        <w:rPr>
          <w:rFonts w:ascii="Times New Roman" w:hAnsi="Times New Roman" w:cs="Times New Roman"/>
          <w:sz w:val="20"/>
          <w:szCs w:val="20"/>
        </w:rPr>
        <w:t>office will develop proxy indicators when monitoring</w:t>
      </w:r>
      <w:r w:rsidR="00CE0DE6" w:rsidRPr="00680516">
        <w:rPr>
          <w:rFonts w:ascii="Times New Roman" w:hAnsi="Times New Roman" w:cs="Times New Roman"/>
          <w:sz w:val="20"/>
          <w:szCs w:val="20"/>
        </w:rPr>
        <w:t xml:space="preserve"> is not feasible</w:t>
      </w:r>
      <w:r w:rsidR="002F684B" w:rsidRPr="00680516">
        <w:rPr>
          <w:rFonts w:ascii="Times New Roman" w:hAnsi="Times New Roman" w:cs="Times New Roman"/>
          <w:sz w:val="20"/>
          <w:szCs w:val="20"/>
        </w:rPr>
        <w:t xml:space="preserve"> and</w:t>
      </w:r>
      <w:r w:rsidR="00A81A3A" w:rsidRPr="00680516">
        <w:rPr>
          <w:rFonts w:ascii="Times New Roman" w:hAnsi="Times New Roman" w:cs="Times New Roman"/>
          <w:sz w:val="20"/>
          <w:szCs w:val="20"/>
        </w:rPr>
        <w:t>/or</w:t>
      </w:r>
      <w:r w:rsidR="002F684B" w:rsidRPr="00680516">
        <w:rPr>
          <w:rFonts w:ascii="Times New Roman" w:hAnsi="Times New Roman" w:cs="Times New Roman"/>
          <w:sz w:val="20"/>
          <w:szCs w:val="20"/>
        </w:rPr>
        <w:t xml:space="preserve"> data on outcome and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output indicators are not </w:t>
      </w:r>
      <w:r w:rsidR="00CE0DE6">
        <w:rPr>
          <w:rFonts w:ascii="Times New Roman" w:hAnsi="Times New Roman" w:cs="Times New Roman"/>
          <w:sz w:val="20"/>
          <w:szCs w:val="20"/>
        </w:rPr>
        <w:t>available</w:t>
      </w:r>
      <w:r w:rsidR="002F684B" w:rsidRPr="00BC170F">
        <w:rPr>
          <w:rFonts w:ascii="Times New Roman" w:hAnsi="Times New Roman" w:cs="Times New Roman"/>
          <w:sz w:val="20"/>
          <w:szCs w:val="20"/>
        </w:rPr>
        <w:t>.</w:t>
      </w:r>
    </w:p>
    <w:p w14:paraId="5194EF9B" w14:textId="77777777" w:rsidR="002F684B" w:rsidRPr="00BC170F" w:rsidRDefault="008B39AB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UNDP will ensure gender disaggregated data </w:t>
      </w:r>
      <w:r w:rsidR="00A81A3A">
        <w:rPr>
          <w:rFonts w:ascii="Times New Roman" w:hAnsi="Times New Roman" w:cs="Times New Roman"/>
          <w:sz w:val="20"/>
          <w:szCs w:val="20"/>
        </w:rPr>
        <w:t>is</w:t>
      </w:r>
      <w:r w:rsidR="00A81A3A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considered for project formulation, implementation</w:t>
      </w:r>
      <w:r w:rsidR="0006024D">
        <w:rPr>
          <w:rFonts w:ascii="Times New Roman" w:hAnsi="Times New Roman" w:cs="Times New Roman"/>
          <w:sz w:val="20"/>
          <w:szCs w:val="20"/>
        </w:rPr>
        <w:t>,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and monitoring.</w:t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Support will be provided to national institution</w:t>
      </w:r>
      <w:r w:rsidR="0006024D">
        <w:rPr>
          <w:rFonts w:ascii="Times New Roman" w:hAnsi="Times New Roman" w:cs="Times New Roman"/>
          <w:sz w:val="20"/>
          <w:szCs w:val="20"/>
        </w:rPr>
        <w:t>s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for the mainstreaming of gender issues in national statistics.</w:t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B8EF77" w14:textId="77777777" w:rsidR="002F684B" w:rsidRPr="00BC170F" w:rsidRDefault="008B39AB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84B" w:rsidRPr="00BC170F">
        <w:rPr>
          <w:rFonts w:ascii="Times New Roman" w:hAnsi="Times New Roman" w:cs="Times New Roman"/>
          <w:sz w:val="20"/>
          <w:szCs w:val="20"/>
        </w:rPr>
        <w:t>A</w:t>
      </w:r>
      <w:r w:rsidR="0006024D">
        <w:rPr>
          <w:rFonts w:ascii="Times New Roman" w:hAnsi="Times New Roman" w:cs="Times New Roman"/>
          <w:sz w:val="20"/>
          <w:szCs w:val="20"/>
        </w:rPr>
        <w:t>n a</w:t>
      </w:r>
      <w:r w:rsidR="002F684B" w:rsidRPr="00BC170F">
        <w:rPr>
          <w:rFonts w:ascii="Times New Roman" w:hAnsi="Times New Roman" w:cs="Times New Roman"/>
          <w:sz w:val="20"/>
          <w:szCs w:val="20"/>
        </w:rPr>
        <w:t>nnual</w:t>
      </w:r>
      <w:r w:rsidR="000600F7" w:rsidRPr="00BC170F">
        <w:rPr>
          <w:rFonts w:ascii="Times New Roman" w:hAnsi="Times New Roman" w:cs="Times New Roman"/>
          <w:sz w:val="20"/>
          <w:szCs w:val="20"/>
        </w:rPr>
        <w:t xml:space="preserve"> programme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review will be organized with the </w:t>
      </w:r>
      <w:r w:rsidR="0006024D">
        <w:rPr>
          <w:rFonts w:ascii="Times New Roman" w:hAnsi="Times New Roman" w:cs="Times New Roman"/>
          <w:sz w:val="20"/>
          <w:szCs w:val="20"/>
        </w:rPr>
        <w:t>g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overnment and </w:t>
      </w:r>
      <w:r w:rsidR="0006024D">
        <w:rPr>
          <w:rFonts w:ascii="Times New Roman" w:hAnsi="Times New Roman" w:cs="Times New Roman"/>
          <w:sz w:val="20"/>
          <w:szCs w:val="20"/>
        </w:rPr>
        <w:t xml:space="preserve">programme </w:t>
      </w:r>
      <w:r w:rsidR="002F684B" w:rsidRPr="00BC170F">
        <w:rPr>
          <w:rFonts w:ascii="Times New Roman" w:hAnsi="Times New Roman" w:cs="Times New Roman"/>
          <w:sz w:val="20"/>
          <w:szCs w:val="20"/>
        </w:rPr>
        <w:t>partners. Project board</w:t>
      </w:r>
      <w:r w:rsidR="000600F7" w:rsidRPr="00BC170F">
        <w:rPr>
          <w:rFonts w:ascii="Times New Roman" w:hAnsi="Times New Roman" w:cs="Times New Roman"/>
          <w:sz w:val="20"/>
          <w:szCs w:val="20"/>
        </w:rPr>
        <w:t>s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will be organized and include</w:t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national institutions, civil society, </w:t>
      </w:r>
      <w:r w:rsidR="0006024D">
        <w:rPr>
          <w:rFonts w:ascii="Times New Roman" w:hAnsi="Times New Roman" w:cs="Times New Roman"/>
          <w:sz w:val="20"/>
          <w:szCs w:val="20"/>
        </w:rPr>
        <w:t xml:space="preserve">the </w:t>
      </w:r>
      <w:r w:rsidR="002F684B" w:rsidRPr="00BC170F">
        <w:rPr>
          <w:rFonts w:ascii="Times New Roman" w:hAnsi="Times New Roman" w:cs="Times New Roman"/>
          <w:sz w:val="20"/>
          <w:szCs w:val="20"/>
        </w:rPr>
        <w:lastRenderedPageBreak/>
        <w:t>private sector, and development partners.</w:t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  <w:r w:rsidR="00912CC8">
        <w:rPr>
          <w:rFonts w:ascii="Times New Roman" w:hAnsi="Times New Roman" w:cs="Times New Roman"/>
          <w:sz w:val="20"/>
          <w:szCs w:val="20"/>
        </w:rPr>
        <w:t>Project quality assurance</w:t>
      </w:r>
      <w:r w:rsidR="004105BB">
        <w:rPr>
          <w:rFonts w:ascii="Times New Roman" w:hAnsi="Times New Roman" w:cs="Times New Roman"/>
          <w:sz w:val="20"/>
          <w:szCs w:val="20"/>
        </w:rPr>
        <w:t xml:space="preserve"> (PQA)</w:t>
      </w:r>
      <w:r w:rsidR="00912CC8">
        <w:rPr>
          <w:rFonts w:ascii="Times New Roman" w:hAnsi="Times New Roman" w:cs="Times New Roman"/>
          <w:sz w:val="20"/>
          <w:szCs w:val="20"/>
        </w:rPr>
        <w:t xml:space="preserve"> checks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will be held prior to </w:t>
      </w:r>
      <w:r w:rsidR="00DC0A28">
        <w:rPr>
          <w:rFonts w:ascii="Times New Roman" w:hAnsi="Times New Roman" w:cs="Times New Roman"/>
          <w:sz w:val="20"/>
          <w:szCs w:val="20"/>
        </w:rPr>
        <w:t>Local Planning and Appraisal Committee</w:t>
      </w:r>
      <w:r w:rsidR="00BA3243">
        <w:rPr>
          <w:rFonts w:ascii="Times New Roman" w:hAnsi="Times New Roman" w:cs="Times New Roman"/>
          <w:sz w:val="20"/>
          <w:szCs w:val="20"/>
        </w:rPr>
        <w:t>s</w:t>
      </w:r>
      <w:r w:rsidR="00DC0A28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and/or </w:t>
      </w:r>
      <w:r w:rsidR="0006024D">
        <w:rPr>
          <w:rFonts w:ascii="Times New Roman" w:hAnsi="Times New Roman" w:cs="Times New Roman"/>
          <w:sz w:val="20"/>
          <w:szCs w:val="20"/>
        </w:rPr>
        <w:t>p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roject boards as appropriate. </w:t>
      </w:r>
      <w:r w:rsidR="000600F7" w:rsidRPr="00BC170F">
        <w:rPr>
          <w:rFonts w:ascii="Times New Roman" w:hAnsi="Times New Roman" w:cs="Times New Roman"/>
          <w:sz w:val="20"/>
          <w:szCs w:val="20"/>
        </w:rPr>
        <w:t>Implementation of PQA management responses will be monitored.</w:t>
      </w:r>
    </w:p>
    <w:p w14:paraId="26C78020" w14:textId="77777777" w:rsidR="002F684B" w:rsidRPr="00BC170F" w:rsidRDefault="003E6DA9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84B" w:rsidRPr="00BC170F">
        <w:rPr>
          <w:rFonts w:ascii="Times New Roman" w:hAnsi="Times New Roman" w:cs="Times New Roman"/>
          <w:sz w:val="20"/>
          <w:szCs w:val="20"/>
        </w:rPr>
        <w:t>As part of development cooperation</w:t>
      </w:r>
      <w:r w:rsidR="00A81A3A">
        <w:rPr>
          <w:rFonts w:ascii="Times New Roman" w:hAnsi="Times New Roman" w:cs="Times New Roman"/>
          <w:sz w:val="20"/>
          <w:szCs w:val="20"/>
        </w:rPr>
        <w:t xml:space="preserve"> effectiveness</w:t>
      </w:r>
      <w:r w:rsidR="002F684B" w:rsidRPr="00BC170F">
        <w:rPr>
          <w:rFonts w:ascii="Times New Roman" w:hAnsi="Times New Roman" w:cs="Times New Roman"/>
          <w:sz w:val="20"/>
          <w:szCs w:val="20"/>
        </w:rPr>
        <w:t>, joint missions and field visits to review activities and results will be organized periodically</w:t>
      </w:r>
      <w:r w:rsidR="0006024D">
        <w:rPr>
          <w:rFonts w:ascii="Times New Roman" w:hAnsi="Times New Roman" w:cs="Times New Roman"/>
          <w:sz w:val="20"/>
          <w:szCs w:val="20"/>
        </w:rPr>
        <w:t xml:space="preserve"> with</w:t>
      </w:r>
      <w:r w:rsidR="0006024D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the government, technical and financial partners, civil society organizations, the private sector, and </w:t>
      </w:r>
      <w:r w:rsidR="0006024D">
        <w:rPr>
          <w:rFonts w:ascii="Times New Roman" w:hAnsi="Times New Roman" w:cs="Times New Roman"/>
          <w:sz w:val="20"/>
          <w:szCs w:val="20"/>
        </w:rPr>
        <w:t>local</w:t>
      </w:r>
      <w:r w:rsidR="0006024D"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communities. </w:t>
      </w:r>
    </w:p>
    <w:p w14:paraId="4E8B0193" w14:textId="77777777" w:rsidR="002F684B" w:rsidRPr="00BC170F" w:rsidRDefault="0006024D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84B" w:rsidRPr="00BC170F">
        <w:rPr>
          <w:rFonts w:ascii="Times New Roman" w:hAnsi="Times New Roman" w:cs="Times New Roman"/>
          <w:sz w:val="20"/>
          <w:szCs w:val="20"/>
        </w:rPr>
        <w:t>At least 5 per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cent of the programme budget will be allocated to monitoring and evaluation</w:t>
      </w:r>
      <w:r>
        <w:rPr>
          <w:rFonts w:ascii="Times New Roman" w:hAnsi="Times New Roman" w:cs="Times New Roman"/>
          <w:sz w:val="20"/>
          <w:szCs w:val="20"/>
        </w:rPr>
        <w:t xml:space="preserve"> activities</w:t>
      </w:r>
      <w:r w:rsidR="002F684B" w:rsidRPr="00BC170F">
        <w:rPr>
          <w:rFonts w:ascii="Times New Roman" w:hAnsi="Times New Roman" w:cs="Times New Roman"/>
          <w:sz w:val="20"/>
          <w:szCs w:val="20"/>
        </w:rPr>
        <w:t>. The programme will strengthen the monitoring and data collection capacities of implementing partners</w:t>
      </w:r>
      <w:r>
        <w:rPr>
          <w:rFonts w:ascii="Times New Roman" w:hAnsi="Times New Roman" w:cs="Times New Roman"/>
          <w:sz w:val="20"/>
          <w:szCs w:val="20"/>
        </w:rPr>
        <w:t>,</w:t>
      </w:r>
      <w:r w:rsidR="002F684B" w:rsidRPr="00BC170F">
        <w:rPr>
          <w:rFonts w:ascii="Times New Roman" w:hAnsi="Times New Roman" w:cs="Times New Roman"/>
          <w:sz w:val="20"/>
          <w:szCs w:val="20"/>
        </w:rPr>
        <w:t xml:space="preserve"> and other stakeholders. </w:t>
      </w:r>
    </w:p>
    <w:p w14:paraId="45C835D9" w14:textId="77777777" w:rsidR="002F684B" w:rsidRDefault="0006024D" w:rsidP="00212B46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1170" w:right="65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84B" w:rsidRPr="00BC170F">
        <w:rPr>
          <w:rFonts w:ascii="Times New Roman" w:hAnsi="Times New Roman" w:cs="Times New Roman"/>
          <w:sz w:val="20"/>
          <w:szCs w:val="20"/>
        </w:rPr>
        <w:t>As part of the evaluation plan, UNDP will conduct a mid-term evaluation and final evaluation (using the criteria of the Development Assistance Committee of the Organization for Economic Co-operation and Development) of programme outcomes six months before the end of the programme.</w:t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Country office staff will seek support and</w:t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  <w:r w:rsidR="002F684B" w:rsidRPr="00BC170F">
        <w:rPr>
          <w:rFonts w:ascii="Times New Roman" w:hAnsi="Times New Roman" w:cs="Times New Roman"/>
          <w:sz w:val="20"/>
          <w:szCs w:val="20"/>
        </w:rPr>
        <w:t>share experien</w:t>
      </w:r>
      <w:r w:rsidR="00E369A2" w:rsidRPr="00BC170F">
        <w:rPr>
          <w:rFonts w:ascii="Times New Roman" w:hAnsi="Times New Roman" w:cs="Times New Roman"/>
          <w:sz w:val="20"/>
          <w:szCs w:val="20"/>
        </w:rPr>
        <w:t>ce</w:t>
      </w:r>
      <w:r w:rsidR="00A81A3A">
        <w:rPr>
          <w:rFonts w:ascii="Times New Roman" w:hAnsi="Times New Roman" w:cs="Times New Roman"/>
          <w:sz w:val="20"/>
          <w:szCs w:val="20"/>
        </w:rPr>
        <w:t>s</w:t>
      </w:r>
      <w:r w:rsidR="00E369A2" w:rsidRPr="00BC170F">
        <w:rPr>
          <w:rFonts w:ascii="Times New Roman" w:hAnsi="Times New Roman" w:cs="Times New Roman"/>
          <w:sz w:val="20"/>
          <w:szCs w:val="20"/>
        </w:rPr>
        <w:t xml:space="preserve"> with</w:t>
      </w:r>
      <w:r w:rsidR="00533E16">
        <w:rPr>
          <w:rFonts w:ascii="Times New Roman" w:hAnsi="Times New Roman" w:cs="Times New Roman"/>
          <w:sz w:val="20"/>
          <w:szCs w:val="20"/>
        </w:rPr>
        <w:t xml:space="preserve"> </w:t>
      </w:r>
      <w:r w:rsidR="00E369A2" w:rsidRPr="00BC170F">
        <w:rPr>
          <w:rFonts w:ascii="Times New Roman" w:hAnsi="Times New Roman" w:cs="Times New Roman"/>
          <w:sz w:val="20"/>
          <w:szCs w:val="20"/>
        </w:rPr>
        <w:t xml:space="preserve">other </w:t>
      </w:r>
      <w:r>
        <w:rPr>
          <w:rFonts w:ascii="Times New Roman" w:hAnsi="Times New Roman" w:cs="Times New Roman"/>
          <w:sz w:val="20"/>
          <w:szCs w:val="20"/>
        </w:rPr>
        <w:t>country offices</w:t>
      </w:r>
      <w:r w:rsidRPr="00BC170F">
        <w:rPr>
          <w:rFonts w:ascii="Times New Roman" w:hAnsi="Times New Roman" w:cs="Times New Roman"/>
          <w:sz w:val="20"/>
          <w:szCs w:val="20"/>
        </w:rPr>
        <w:t xml:space="preserve"> </w:t>
      </w:r>
      <w:r w:rsidR="00E369A2" w:rsidRPr="00BC170F">
        <w:rPr>
          <w:rFonts w:ascii="Times New Roman" w:hAnsi="Times New Roman" w:cs="Times New Roman"/>
          <w:sz w:val="20"/>
          <w:szCs w:val="20"/>
        </w:rPr>
        <w:t xml:space="preserve">implementing </w:t>
      </w:r>
      <w:r w:rsidR="006C596B">
        <w:rPr>
          <w:rFonts w:ascii="Times New Roman" w:hAnsi="Times New Roman" w:cs="Times New Roman"/>
          <w:sz w:val="20"/>
          <w:szCs w:val="20"/>
        </w:rPr>
        <w:t>similar programmes.</w:t>
      </w:r>
      <w:r w:rsidR="009B112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C6B0AE" w14:textId="77777777" w:rsidR="006C596B" w:rsidRDefault="006C596B" w:rsidP="006C596B">
      <w:pPr>
        <w:widowControl w:val="0"/>
        <w:adjustRightInd w:val="0"/>
        <w:ind w:right="65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D74DDCC" w14:textId="77777777" w:rsidR="006C596B" w:rsidRPr="00BC170F" w:rsidRDefault="006C596B" w:rsidP="006C596B">
      <w:pPr>
        <w:widowControl w:val="0"/>
        <w:adjustRightInd w:val="0"/>
        <w:ind w:right="65"/>
        <w:jc w:val="both"/>
        <w:textAlignment w:val="baseline"/>
        <w:rPr>
          <w:rFonts w:ascii="Times New Roman" w:hAnsi="Times New Roman" w:cs="Times New Roman"/>
          <w:sz w:val="20"/>
          <w:szCs w:val="20"/>
        </w:rPr>
        <w:sectPr w:rsidR="006C596B" w:rsidRPr="00BC170F" w:rsidSect="00212B4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type w:val="continuous"/>
          <w:pgSz w:w="12240" w:h="15840" w:code="1"/>
          <w:pgMar w:top="1166" w:right="2070" w:bottom="1440" w:left="1195" w:header="576" w:footer="1030" w:gutter="0"/>
          <w:pgNumType w:start="1"/>
          <w:cols w:space="720"/>
          <w:noEndnote/>
          <w:titlePg/>
          <w:docGrid w:linePitch="326"/>
        </w:sectPr>
      </w:pPr>
    </w:p>
    <w:p w14:paraId="676DCC19" w14:textId="2E23B507" w:rsidR="006661A8" w:rsidRPr="00F2277F" w:rsidRDefault="00F2277F" w:rsidP="006661A8">
      <w:pPr>
        <w:keepNext/>
        <w:tabs>
          <w:tab w:val="left" w:pos="1800"/>
        </w:tabs>
        <w:spacing w:before="0"/>
        <w:outlineLvl w:val="3"/>
        <w:rPr>
          <w:rFonts w:ascii="Times New Roman" w:eastAsia="Times New Roman" w:hAnsi="Times New Roman" w:cs="Times New Roman"/>
          <w:b/>
          <w:sz w:val="28"/>
          <w:lang w:val="en-GB"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en-GB" w:eastAsia="fr-FR"/>
        </w:rPr>
        <w:lastRenderedPageBreak/>
        <w:t>Annex</w:t>
      </w:r>
      <w:r w:rsidR="00867F5D">
        <w:rPr>
          <w:rFonts w:ascii="Times New Roman" w:eastAsia="Times New Roman" w:hAnsi="Times New Roman" w:cs="Times New Roman"/>
          <w:b/>
          <w:bCs/>
          <w:color w:val="000000"/>
          <w:sz w:val="28"/>
          <w:lang w:val="en-GB" w:eastAsia="fr-FR"/>
        </w:rPr>
        <w:t>.</w:t>
      </w:r>
      <w:r w:rsidR="006661A8" w:rsidRPr="00F2277F">
        <w:rPr>
          <w:rFonts w:ascii="Times New Roman" w:eastAsia="Times New Roman" w:hAnsi="Times New Roman" w:cs="Times New Roman"/>
          <w:b/>
          <w:bCs/>
          <w:color w:val="000000"/>
          <w:sz w:val="28"/>
          <w:lang w:val="en-GB" w:eastAsia="fr-FR"/>
        </w:rPr>
        <w:t xml:space="preserve"> </w:t>
      </w:r>
      <w:r w:rsidR="006661A8" w:rsidRPr="00F2277F">
        <w:rPr>
          <w:rFonts w:ascii="Times New Roman" w:eastAsia="Times New Roman" w:hAnsi="Times New Roman" w:cs="Times New Roman"/>
          <w:b/>
          <w:bCs/>
          <w:color w:val="000000"/>
          <w:kern w:val="14"/>
          <w:sz w:val="28"/>
          <w:lang w:val="en-GB" w:eastAsia="fr-FR"/>
        </w:rPr>
        <w:t>Results and resources framework for Gabon (2018-</w:t>
      </w:r>
      <w:r w:rsidR="006661A8" w:rsidRPr="00F2277F">
        <w:rPr>
          <w:rFonts w:ascii="Times New Roman" w:eastAsia="Times New Roman" w:hAnsi="Times New Roman" w:cs="Times New Roman"/>
          <w:b/>
          <w:bCs/>
          <w:kern w:val="14"/>
          <w:sz w:val="28"/>
          <w:lang w:val="en-GB" w:eastAsia="fr-FR"/>
        </w:rPr>
        <w:t>2022)</w:t>
      </w:r>
    </w:p>
    <w:tbl>
      <w:tblPr>
        <w:tblW w:w="5456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249"/>
        <w:gridCol w:w="2075"/>
        <w:gridCol w:w="7067"/>
        <w:gridCol w:w="1931"/>
        <w:gridCol w:w="1438"/>
      </w:tblGrid>
      <w:tr w:rsidR="002F684B" w:rsidRPr="0040184A" w14:paraId="64D9D6E1" w14:textId="77777777" w:rsidTr="006661A8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3BD7FC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NATIONAL PRIORITY OR GOAL: </w:t>
            </w:r>
            <w:r w:rsidRPr="0040184A">
              <w:rPr>
                <w:rFonts w:ascii="Times New Roman" w:hAnsi="Times New Roman" w:cs="Times New Roman"/>
                <w:bCs/>
                <w:iCs/>
                <w:color w:val="000000" w:themeColor="text1"/>
                <w:sz w:val="16"/>
                <w:szCs w:val="16"/>
              </w:rPr>
              <w:t xml:space="preserve">Shared Prosperity </w:t>
            </w:r>
            <w:r w:rsidRPr="00786048">
              <w:rPr>
                <w:rFonts w:ascii="Times New Roman" w:hAnsi="Times New Roman" w:cs="Times New Roman"/>
                <w:bCs/>
                <w:iCs/>
                <w:color w:val="000000" w:themeColor="text1"/>
                <w:sz w:val="16"/>
                <w:szCs w:val="16"/>
              </w:rPr>
              <w:t>(</w:t>
            </w:r>
            <w:r w:rsidRPr="00990EA9">
              <w:rPr>
                <w:rFonts w:ascii="Times New Roman" w:hAnsi="Times New Roman" w:cs="Times New Roman"/>
                <w:bCs/>
                <w:iCs/>
                <w:color w:val="000000" w:themeColor="text1"/>
                <w:sz w:val="16"/>
                <w:szCs w:val="16"/>
              </w:rPr>
              <w:t>PSGE</w:t>
            </w:r>
            <w:r w:rsidRPr="0078604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2F684B" w:rsidRPr="0040184A" w14:paraId="14BC82D9" w14:textId="77777777" w:rsidTr="006661A8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156B27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UNDAF Outcome:</w:t>
            </w:r>
            <w:r w:rsidR="00533E16" w:rsidRPr="0040184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018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By 2022, the quality of social sector budgeting is significantly improved and people, especially the most vulnerable, have made better use of quality basic social services</w:t>
            </w:r>
          </w:p>
        </w:tc>
      </w:tr>
      <w:tr w:rsidR="002F684B" w:rsidRPr="0040184A" w14:paraId="2572B41C" w14:textId="77777777" w:rsidTr="006661A8">
        <w:tc>
          <w:tcPr>
            <w:tcW w:w="5000" w:type="pct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F483D8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RELATED STRATEGIC PLAN OUTCO</w:t>
            </w:r>
            <w:r w:rsidRPr="004018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ME (2014-2017): 1) Growth and development are inclusive and sustainable, incorporating productive capacities that create employments and livelihoods for poor and excluded. </w:t>
            </w:r>
          </w:p>
        </w:tc>
      </w:tr>
      <w:tr w:rsidR="002F684B" w:rsidRPr="0040184A" w14:paraId="399D3CAC" w14:textId="77777777" w:rsidTr="006661A8">
        <w:tc>
          <w:tcPr>
            <w:tcW w:w="76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746A51" w14:textId="77777777" w:rsidR="002F684B" w:rsidRPr="0040184A" w:rsidRDefault="00EF7893" w:rsidP="0040184A">
            <w:pPr>
              <w:suppressAutoHyphens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UNDAF</w:t>
            </w:r>
            <w:r w:rsidRPr="0040184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outcome indicator(s), baselines, target(s)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591F7E97" w14:textId="77777777" w:rsidR="002F684B" w:rsidRPr="0040184A" w:rsidRDefault="00EF7893" w:rsidP="0040184A">
            <w:pPr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</w:t>
            </w:r>
            <w:r w:rsidRPr="004018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ata source and frequency of data collection, and responsibilities</w:t>
            </w:r>
          </w:p>
        </w:tc>
        <w:tc>
          <w:tcPr>
            <w:tcW w:w="239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48468A" w14:textId="77777777" w:rsidR="002F684B" w:rsidRPr="0040184A" w:rsidRDefault="00EF7893" w:rsidP="0040184A">
            <w:pPr>
              <w:suppressAutoHyphens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indicative country programme outputs </w:t>
            </w:r>
            <w:r w:rsidRPr="0040184A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6"/>
                <w:szCs w:val="16"/>
              </w:rPr>
              <w:t>(including indicators, baselines targets)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77C6F43F" w14:textId="77777777" w:rsidR="002F684B" w:rsidRPr="0040184A" w:rsidRDefault="006661A8" w:rsidP="0040184A">
            <w:pPr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M</w:t>
            </w:r>
            <w:r w:rsidR="00EF7893" w:rsidRPr="0040184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ajor partners/ partnerships</w:t>
            </w:r>
          </w:p>
          <w:p w14:paraId="2695061B" w14:textId="77777777" w:rsidR="002F684B" w:rsidRPr="0040184A" w:rsidRDefault="00EF7893" w:rsidP="0040184A">
            <w:pPr>
              <w:suppressAutoHyphens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frameworks</w:t>
            </w:r>
          </w:p>
        </w:tc>
        <w:tc>
          <w:tcPr>
            <w:tcW w:w="4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17FEF8" w14:textId="77777777" w:rsidR="002F684B" w:rsidRPr="0040184A" w:rsidRDefault="006661A8" w:rsidP="0040184A">
            <w:pPr>
              <w:suppressAutoHyphens/>
              <w:spacing w:before="0"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I</w:t>
            </w:r>
            <w:r w:rsidR="00EF7893" w:rsidRPr="0040184A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ndicative resources by outcome ($)</w:t>
            </w:r>
          </w:p>
        </w:tc>
      </w:tr>
      <w:tr w:rsidR="002F684B" w:rsidRPr="0040184A" w14:paraId="2A52E7CE" w14:textId="77777777" w:rsidTr="006661A8">
        <w:tc>
          <w:tcPr>
            <w:tcW w:w="762" w:type="pct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2D5E63" w14:textId="77777777" w:rsidR="002F684B" w:rsidRPr="0040184A" w:rsidRDefault="002F684B" w:rsidP="0040184A">
            <w:pPr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Indicator</w:t>
            </w:r>
            <w:r w:rsidRPr="004018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: </w:t>
            </w: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The Mo Ibrahim index</w:t>
            </w:r>
            <w:r w:rsidR="000B4893"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on </w:t>
            </w:r>
            <w:r w:rsidR="0009121B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s</w:t>
            </w:r>
            <w:r w:rsidR="0009121B"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ustainable</w:t>
            </w:r>
            <w:r w:rsidR="000B4893"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economic opportunity</w:t>
            </w:r>
          </w:p>
          <w:p w14:paraId="478AD5E1" w14:textId="77777777" w:rsidR="002F684B" w:rsidRPr="0040184A" w:rsidRDefault="002F684B" w:rsidP="0040184A">
            <w:pPr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43BF161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Baseline:</w:t>
            </w:r>
            <w:r w:rsidR="004A143F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B4893"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40.7</w:t>
            </w:r>
          </w:p>
          <w:p w14:paraId="7AA7EB81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1702A8D4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Target:</w:t>
            </w: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0B4893"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50</w:t>
            </w:r>
          </w:p>
          <w:p w14:paraId="5C139552" w14:textId="77777777" w:rsidR="00CE77D7" w:rsidRDefault="00CE77D7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76544F7D" w14:textId="77777777" w:rsidR="00CE77D7" w:rsidRDefault="00CE77D7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1B7A7369" w14:textId="77777777" w:rsidR="00CE77D7" w:rsidRDefault="00CE77D7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43AA4681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Indicator: Level of public confidence in the delivery of basic services, </w:t>
            </w:r>
          </w:p>
          <w:p w14:paraId="765FA803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4EBD8389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Baseline:</w:t>
            </w:r>
            <w:r w:rsidR="004A143F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26%</w:t>
            </w:r>
          </w:p>
          <w:p w14:paraId="576BEFC4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62DA199A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Target:</w:t>
            </w: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50%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64151C42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Data source: Mo Ibrahim Report </w:t>
            </w:r>
          </w:p>
          <w:p w14:paraId="18E9FEB9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63DDC484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Frequency: Annually </w:t>
            </w:r>
          </w:p>
          <w:p w14:paraId="4DC8D677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2CD87D41" w14:textId="77777777" w:rsidR="002F684B" w:rsidRPr="004A6C3A" w:rsidRDefault="00E75C83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Responsi</w:t>
            </w:r>
            <w:r w:rsidRPr="004A6C3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ble</w:t>
            </w:r>
            <w:r w:rsidR="002F684B" w:rsidRPr="004A6C3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: UNDP</w:t>
            </w:r>
          </w:p>
          <w:p w14:paraId="084A0148" w14:textId="77777777" w:rsidR="002F684B" w:rsidRPr="004A6C3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1A1FD264" w14:textId="77777777" w:rsidR="002F684B" w:rsidRPr="004A6C3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51D718C0" w14:textId="77777777" w:rsidR="002F684B" w:rsidRPr="004A6C3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43DD5019" w14:textId="77777777" w:rsidR="002F684B" w:rsidRPr="004A6C3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1C569A76" w14:textId="77777777" w:rsidR="002F684B" w:rsidRPr="004A6C3A" w:rsidRDefault="00786048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A6C3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Data Source</w:t>
            </w:r>
            <w:r w:rsidR="002F684B" w:rsidRPr="004A6C3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: </w:t>
            </w:r>
          </w:p>
          <w:p w14:paraId="4170705E" w14:textId="77777777" w:rsidR="002F684B" w:rsidRPr="00C9244E" w:rsidRDefault="0060309E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9244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Strategic Plan for an Emerging Gabon</w:t>
            </w:r>
          </w:p>
          <w:p w14:paraId="11939547" w14:textId="77777777" w:rsidR="002F684B" w:rsidRPr="00C9244E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65D27113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Frequency: Annually </w:t>
            </w:r>
          </w:p>
          <w:p w14:paraId="5548CD27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Responsible: Ministry of Economy </w:t>
            </w:r>
          </w:p>
          <w:p w14:paraId="64F3368B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94" w:type="pct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80697B" w14:textId="77777777" w:rsidR="002F684B" w:rsidRPr="00680516" w:rsidRDefault="002F684B" w:rsidP="0040184A">
            <w:pPr>
              <w:suppressAutoHyphens/>
              <w:spacing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68051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Output 1: </w:t>
            </w:r>
            <w:r w:rsidRPr="0068051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National and</w:t>
            </w:r>
            <w:r w:rsidRPr="006805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local institutions with enhanced technical and financial capacity to develop and implement local development plan</w:t>
            </w:r>
            <w:r w:rsidR="00A67D13" w:rsidRPr="00680516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680516">
              <w:rPr>
                <w:rFonts w:ascii="Times New Roman" w:hAnsi="Times New Roman" w:cs="Times New Roman"/>
                <w:b/>
                <w:sz w:val="16"/>
                <w:szCs w:val="16"/>
              </w:rPr>
              <w:t>, to ensure effective, efficient responsible and transparent management of public resources and services at decentralized level.</w:t>
            </w:r>
          </w:p>
          <w:p w14:paraId="165B7E9C" w14:textId="77777777" w:rsidR="002F684B" w:rsidRPr="00680516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F14E1DD" w14:textId="77777777" w:rsidR="002F684B" w:rsidRPr="00680516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Indicator 1.1: Level of capacity of sub-national governments/institutions to develop and implement local development plans.</w:t>
            </w:r>
          </w:p>
          <w:p w14:paraId="6F29C827" w14:textId="77777777" w:rsidR="002F684B" w:rsidRPr="00680516" w:rsidRDefault="00A67D13" w:rsidP="0040184A">
            <w:pPr>
              <w:spacing w:before="0" w:after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</w:t>
            </w:r>
            <w:r w:rsidR="002F684B"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aseline: 1, Target: </w:t>
            </w:r>
            <w:r w:rsidR="002F684B"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4</w:t>
            </w:r>
            <w:r w:rsidR="00507778" w:rsidRPr="00680516">
              <w:rPr>
                <w:rStyle w:val="FootnoteReference"/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footnoteReference w:id="26"/>
            </w:r>
          </w:p>
          <w:p w14:paraId="30F07D73" w14:textId="77777777" w:rsidR="002F684B" w:rsidRPr="00680516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Data source: </w:t>
            </w:r>
            <w:r w:rsidR="001D4AFA"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Ministry of Economy,</w:t>
            </w:r>
            <w:r w:rsidR="00794BDF"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Prospective and Sustainable Development Planning/</w:t>
            </w:r>
            <w:r w:rsidR="001D4AFA"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Ministry of Interior</w:t>
            </w:r>
            <w:r w:rsidR="00794BDF"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Security, in charge of </w:t>
            </w:r>
            <w:r w:rsidR="0061726D"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Decentralization</w:t>
            </w:r>
            <w:r w:rsidR="00794BDF"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and Local Development</w:t>
            </w:r>
            <w:r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Frequency: </w:t>
            </w:r>
            <w:r w:rsidR="00C54174"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  <w:r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nnually</w:t>
            </w:r>
          </w:p>
          <w:p w14:paraId="1509733B" w14:textId="77777777" w:rsidR="002F684B" w:rsidRPr="00680516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69658BB" w14:textId="77777777" w:rsidR="002F684B" w:rsidRPr="00680516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Indicator 1.2: Number of local development plans developed and implemented by national and local institutions. </w:t>
            </w:r>
          </w:p>
          <w:p w14:paraId="70D6BD8C" w14:textId="77777777" w:rsidR="002F684B" w:rsidRPr="00680516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Baseline: 31, Target: 90</w:t>
            </w:r>
          </w:p>
          <w:p w14:paraId="793285DD" w14:textId="77777777" w:rsidR="002F684B" w:rsidRPr="00680516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Data source:</w:t>
            </w:r>
            <w:r w:rsidR="00794BDF"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Ministry of Economy, Prospective and Sustainable Development Planning/Ministry of Interior, Security, in charge of </w:t>
            </w:r>
            <w:r w:rsidR="0061726D"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Decentralization</w:t>
            </w:r>
            <w:r w:rsidR="00794BDF"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and Local Development</w:t>
            </w:r>
            <w:r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; Frequency: </w:t>
            </w:r>
            <w:r w:rsidR="00C54174"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  <w:r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nnually</w:t>
            </w:r>
          </w:p>
          <w:p w14:paraId="22465F9B" w14:textId="77777777" w:rsidR="002F684B" w:rsidRPr="00680516" w:rsidRDefault="002F684B" w:rsidP="0040184A">
            <w:pPr>
              <w:suppressAutoHyphens/>
              <w:spacing w:before="0" w:after="0"/>
              <w:contextualSpacing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0CE7B94" w14:textId="77777777" w:rsidR="002F684B" w:rsidRPr="00680516" w:rsidRDefault="002F684B" w:rsidP="0040184A">
            <w:pPr>
              <w:spacing w:before="0"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Output 2: Public institutions at local and national levels have the technical capacities to mainstream, monitor and report on the S</w:t>
            </w:r>
            <w:r w:rsidR="00110803" w:rsidRPr="0068051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DGs and the 2063 African Union A</w:t>
            </w:r>
            <w:r w:rsidRPr="00680516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genda. </w:t>
            </w:r>
          </w:p>
          <w:p w14:paraId="0C678E12" w14:textId="77777777" w:rsidR="002F684B" w:rsidRPr="00680516" w:rsidRDefault="002F684B" w:rsidP="0040184A">
            <w:pPr>
              <w:spacing w:before="0" w:after="0"/>
              <w:ind w:left="17" w:right="-1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Indicator 2.1: Extent to which the SDGs and the </w:t>
            </w:r>
            <w:r w:rsidR="007D6AB8"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A</w:t>
            </w:r>
            <w:r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genda 2063 are mainstreamed and implemented at national and local levels.</w:t>
            </w:r>
          </w:p>
          <w:p w14:paraId="7BC20FF2" w14:textId="77777777" w:rsidR="002F684B" w:rsidRPr="00680516" w:rsidRDefault="002F684B" w:rsidP="0040184A">
            <w:pPr>
              <w:spacing w:before="0" w:after="0"/>
              <w:ind w:left="17" w:right="-1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Baseline: 1, Target</w:t>
            </w:r>
            <w:r w:rsidR="00690651"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: 5</w:t>
            </w:r>
            <w:r w:rsidR="00507778" w:rsidRPr="00680516">
              <w:rPr>
                <w:rStyle w:val="FootnoteReference"/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footnoteReference w:id="27"/>
            </w:r>
          </w:p>
          <w:p w14:paraId="5EEAA039" w14:textId="77777777" w:rsidR="002F684B" w:rsidRPr="00680516" w:rsidRDefault="002F684B" w:rsidP="0040184A">
            <w:pPr>
              <w:spacing w:before="0" w:after="0"/>
              <w:ind w:left="17" w:right="-1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Data source:</w:t>
            </w:r>
            <w:r w:rsidR="00794BDF"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Ministry of Economy, Prospective and Sustainable Development Planning/Ministry of Interior, Security, in charge of </w:t>
            </w:r>
            <w:r w:rsidR="0061726D"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Decentralization</w:t>
            </w:r>
            <w:r w:rsidR="00794BDF"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and Local </w:t>
            </w:r>
            <w:r w:rsidR="0061726D"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Development</w:t>
            </w:r>
            <w:r w:rsidR="0061726D"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. </w:t>
            </w:r>
          </w:p>
          <w:p w14:paraId="6A11A31D" w14:textId="77777777" w:rsidR="002F684B" w:rsidRPr="00680516" w:rsidRDefault="002F684B" w:rsidP="0040184A">
            <w:pPr>
              <w:spacing w:before="0" w:after="0"/>
              <w:ind w:left="17" w:right="-1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Frequency: </w:t>
            </w:r>
            <w:r w:rsidR="00C54174"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A</w:t>
            </w:r>
            <w:r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nnually </w:t>
            </w:r>
          </w:p>
          <w:p w14:paraId="41AB8BC4" w14:textId="77777777" w:rsidR="0040184A" w:rsidRPr="00680516" w:rsidRDefault="0040184A" w:rsidP="0040184A">
            <w:pPr>
              <w:spacing w:before="0" w:after="0"/>
              <w:ind w:left="17" w:right="-1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1DBE2F" w14:textId="77777777" w:rsidR="002F684B" w:rsidRPr="00680516" w:rsidRDefault="002F684B" w:rsidP="0040184A">
            <w:pPr>
              <w:spacing w:before="0" w:after="0"/>
              <w:ind w:left="17" w:right="-1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Indicator 2.2: Number of monitoring reports on the SDGs and 2063 </w:t>
            </w:r>
            <w:r w:rsidR="004A143F"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African Union A</w:t>
            </w:r>
            <w:r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genda with updated and disaggregated data, published by national institutions.</w:t>
            </w:r>
          </w:p>
          <w:p w14:paraId="29160511" w14:textId="77777777" w:rsidR="002F684B" w:rsidRPr="00680516" w:rsidRDefault="002F684B" w:rsidP="0040184A">
            <w:pPr>
              <w:spacing w:before="0" w:after="0"/>
              <w:ind w:left="17" w:right="-1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Baseline: 0, Target: 3</w:t>
            </w:r>
          </w:p>
          <w:p w14:paraId="4CCD178B" w14:textId="77777777" w:rsidR="002F684B" w:rsidRPr="00680516" w:rsidRDefault="002F684B" w:rsidP="0040184A">
            <w:pPr>
              <w:spacing w:before="0" w:after="0"/>
              <w:ind w:left="17" w:right="-1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Sourc</w:t>
            </w:r>
            <w:r w:rsidR="00794BDF"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e: Ministry of Economy, Prospective and Sustainable Development Planning</w:t>
            </w:r>
            <w:r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partners, U</w:t>
            </w:r>
            <w:r w:rsidR="00786048"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nited </w:t>
            </w:r>
            <w:r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</w:t>
            </w:r>
            <w:r w:rsidR="00786048"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ations</w:t>
            </w:r>
            <w:r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UNDP</w:t>
            </w:r>
          </w:p>
          <w:p w14:paraId="730D1C70" w14:textId="77777777" w:rsidR="002F684B" w:rsidRPr="00680516" w:rsidRDefault="002F684B" w:rsidP="0040184A">
            <w:pPr>
              <w:spacing w:before="0" w:after="0"/>
              <w:ind w:left="17" w:right="-1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Frequency: </w:t>
            </w:r>
            <w:r w:rsidR="00C54174"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</w:t>
            </w:r>
            <w:r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iannual</w:t>
            </w:r>
            <w:r w:rsidR="00C54174" w:rsidRPr="006805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ly</w:t>
            </w:r>
          </w:p>
        </w:tc>
        <w:tc>
          <w:tcPr>
            <w:tcW w:w="654" w:type="pct"/>
            <w:vMerge w:val="restart"/>
            <w:tcBorders>
              <w:bottom w:val="single" w:sz="4" w:space="0" w:color="auto"/>
            </w:tcBorders>
          </w:tcPr>
          <w:p w14:paraId="5908F8EF" w14:textId="77777777" w:rsidR="002F684B" w:rsidRPr="00680516" w:rsidRDefault="002F684B" w:rsidP="0040184A">
            <w:pPr>
              <w:suppressAutoHyphens/>
              <w:spacing w:before="0" w:after="0"/>
              <w:ind w:right="57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lastRenderedPageBreak/>
              <w:t xml:space="preserve">Ministries in charge of: </w:t>
            </w:r>
          </w:p>
          <w:p w14:paraId="4842D997" w14:textId="77777777" w:rsidR="002F684B" w:rsidRPr="00680516" w:rsidRDefault="002F684B" w:rsidP="0040184A">
            <w:pPr>
              <w:numPr>
                <w:ilvl w:val="0"/>
                <w:numId w:val="5"/>
              </w:numPr>
              <w:suppressAutoHyphens/>
              <w:spacing w:before="0" w:after="0"/>
              <w:ind w:left="340" w:hanging="17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Professional Planning and Youth; </w:t>
            </w:r>
          </w:p>
          <w:p w14:paraId="47A25DDB" w14:textId="77777777" w:rsidR="002F684B" w:rsidRPr="00680516" w:rsidRDefault="002F684B" w:rsidP="0040184A">
            <w:pPr>
              <w:numPr>
                <w:ilvl w:val="0"/>
                <w:numId w:val="5"/>
              </w:numPr>
              <w:suppressAutoHyphens/>
              <w:spacing w:before="0" w:after="0"/>
              <w:ind w:left="340" w:right="57" w:hanging="17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6805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Work and Employment;</w:t>
            </w:r>
          </w:p>
          <w:p w14:paraId="3AF778E5" w14:textId="77777777" w:rsidR="002F684B" w:rsidRPr="00680516" w:rsidRDefault="002F684B" w:rsidP="0040184A">
            <w:pPr>
              <w:numPr>
                <w:ilvl w:val="0"/>
                <w:numId w:val="5"/>
              </w:numPr>
              <w:suppressAutoHyphens/>
              <w:spacing w:before="0" w:after="0"/>
              <w:ind w:left="340" w:right="57" w:hanging="170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Social Affairs; </w:t>
            </w:r>
          </w:p>
          <w:p w14:paraId="42E5B6F8" w14:textId="77777777" w:rsidR="002F684B" w:rsidRPr="00680516" w:rsidRDefault="002F684B" w:rsidP="0040184A">
            <w:pPr>
              <w:numPr>
                <w:ilvl w:val="0"/>
                <w:numId w:val="5"/>
              </w:numPr>
              <w:suppressAutoHyphens/>
              <w:spacing w:before="0" w:after="0"/>
              <w:ind w:left="340" w:right="57" w:hanging="170"/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eastAsia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Economy and Finance; and sectoral ministries </w:t>
            </w:r>
          </w:p>
          <w:p w14:paraId="01A91067" w14:textId="77777777" w:rsidR="002F684B" w:rsidRPr="00680516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- </w:t>
            </w:r>
            <w:r w:rsidR="007D6AB8"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Food and Agriculture Organization</w:t>
            </w:r>
          </w:p>
          <w:p w14:paraId="4DE6FDC2" w14:textId="77777777" w:rsidR="002F684B" w:rsidRPr="00680516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- U</w:t>
            </w:r>
            <w:r w:rsidR="007D6AB8"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nited Nations Population Fund</w:t>
            </w:r>
          </w:p>
          <w:p w14:paraId="31A1DA1D" w14:textId="77777777" w:rsidR="002F684B" w:rsidRPr="00680516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- </w:t>
            </w:r>
            <w:r w:rsidR="007D6AB8"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Economic Community of Central African States</w:t>
            </w:r>
          </w:p>
          <w:p w14:paraId="29395949" w14:textId="77777777" w:rsidR="002F684B" w:rsidRPr="00680516" w:rsidRDefault="00C9244E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- United Nations Economic Commission for Africa</w:t>
            </w:r>
          </w:p>
          <w:p w14:paraId="18231BB1" w14:textId="77777777" w:rsidR="002F684B" w:rsidRPr="00680516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- World Bank </w:t>
            </w:r>
          </w:p>
          <w:p w14:paraId="15EA046F" w14:textId="77777777" w:rsidR="002F684B" w:rsidRPr="00680516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- African Development Bank</w:t>
            </w:r>
          </w:p>
          <w:p w14:paraId="4DB8D377" w14:textId="77777777" w:rsidR="002F684B" w:rsidRPr="00680516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- European Union</w:t>
            </w:r>
          </w:p>
          <w:p w14:paraId="46955E76" w14:textId="77777777" w:rsidR="002F684B" w:rsidRPr="00680516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Bilateral partners</w:t>
            </w:r>
          </w:p>
          <w:p w14:paraId="6B55B3B9" w14:textId="77777777" w:rsidR="002F684B" w:rsidRPr="00680516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G</w:t>
            </w:r>
            <w:r w:rsidR="007D6AB8"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lobal Environment Facility</w:t>
            </w:r>
          </w:p>
          <w:p w14:paraId="51DCBEC3" w14:textId="77777777" w:rsidR="002F684B" w:rsidRPr="00680516" w:rsidRDefault="00C9244E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World Wildlife Fund</w:t>
            </w:r>
          </w:p>
          <w:p w14:paraId="1C8F10BD" w14:textId="77777777" w:rsidR="002F684B" w:rsidRPr="00680516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Green Climate Fund</w:t>
            </w:r>
          </w:p>
          <w:p w14:paraId="3781EA98" w14:textId="77777777" w:rsidR="002F684B" w:rsidRPr="00680516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Ministry in charge of Forest Economy </w:t>
            </w:r>
          </w:p>
          <w:p w14:paraId="0E118B16" w14:textId="77777777" w:rsidR="002F684B" w:rsidRPr="00680516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52117181" w14:textId="77777777" w:rsidR="002F684B" w:rsidRPr="00680516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lastRenderedPageBreak/>
              <w:t xml:space="preserve">National Park Agency of Gabon </w:t>
            </w:r>
          </w:p>
          <w:p w14:paraId="023C49A5" w14:textId="77777777" w:rsidR="007D5F31" w:rsidRPr="00680516" w:rsidRDefault="007D5F31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5DE1E202" w14:textId="77777777" w:rsidR="002F684B" w:rsidRPr="00680516" w:rsidRDefault="003D6CE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The National Climate Council</w:t>
            </w:r>
          </w:p>
          <w:p w14:paraId="3DA840DE" w14:textId="77777777" w:rsidR="002F684B" w:rsidRPr="00680516" w:rsidRDefault="003D6CE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The Authority for Sustainable Development</w:t>
            </w:r>
            <w:r w:rsidR="002F684B"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14:paraId="7ACD62D4" w14:textId="77777777" w:rsidR="002F684B" w:rsidRPr="00680516" w:rsidRDefault="003D6CE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680516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The National Sustainable Development Council</w:t>
            </w:r>
          </w:p>
        </w:tc>
        <w:tc>
          <w:tcPr>
            <w:tcW w:w="487" w:type="pct"/>
            <w:vMerge w:val="restar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556B95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Regular: 691,000</w:t>
            </w:r>
          </w:p>
          <w:p w14:paraId="4C0D03AD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Other: 10,000,000</w:t>
            </w:r>
          </w:p>
        </w:tc>
      </w:tr>
      <w:tr w:rsidR="002F684B" w:rsidRPr="0040184A" w14:paraId="54EAA927" w14:textId="77777777" w:rsidTr="006661A8">
        <w:tc>
          <w:tcPr>
            <w:tcW w:w="762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938926" w14:textId="77777777" w:rsidR="002F684B" w:rsidRPr="0040184A" w:rsidRDefault="002F684B" w:rsidP="0040184A">
            <w:pPr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3C01634D" w14:textId="77777777" w:rsidR="002F684B" w:rsidRPr="0040184A" w:rsidRDefault="002F684B" w:rsidP="0040184A">
            <w:pPr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1C4B5B6A" w14:textId="77777777" w:rsidR="002F684B" w:rsidRPr="0040184A" w:rsidRDefault="002F684B" w:rsidP="0040184A">
            <w:pPr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11FEAE34" w14:textId="77777777" w:rsidR="002F684B" w:rsidRPr="0040184A" w:rsidRDefault="002F684B" w:rsidP="0040184A">
            <w:pPr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726DB94F" w14:textId="77777777" w:rsidR="002F684B" w:rsidRPr="0040184A" w:rsidRDefault="002F684B" w:rsidP="0040184A">
            <w:pPr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766B0348" w14:textId="77777777" w:rsidR="002F684B" w:rsidRPr="0040184A" w:rsidRDefault="002F684B" w:rsidP="0040184A">
            <w:pPr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0269DD77" w14:textId="77777777" w:rsidR="002F684B" w:rsidRPr="0040184A" w:rsidRDefault="002F684B" w:rsidP="0040184A">
            <w:pPr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Indicator: Human development index</w:t>
            </w:r>
          </w:p>
          <w:p w14:paraId="3261DEE5" w14:textId="77777777" w:rsidR="002F684B" w:rsidRPr="0040184A" w:rsidRDefault="002F684B" w:rsidP="0040184A">
            <w:pPr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6FB0C7AA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Baseline:</w:t>
            </w:r>
            <w:r w:rsidR="004A143F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0.697</w:t>
            </w:r>
          </w:p>
          <w:p w14:paraId="6BE8B8BF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5A04581E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Target:</w:t>
            </w: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0.800</w:t>
            </w:r>
          </w:p>
          <w:p w14:paraId="73B563EB" w14:textId="77777777" w:rsidR="002F684B" w:rsidRPr="0040184A" w:rsidRDefault="002F684B" w:rsidP="0040184A">
            <w:pPr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10C7133A" w14:textId="77777777" w:rsidR="00813932" w:rsidRDefault="00813932" w:rsidP="0040184A">
            <w:pPr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40395E6E" w14:textId="77777777" w:rsidR="00813932" w:rsidRDefault="00813932" w:rsidP="0040184A">
            <w:pPr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73E86AF0" w14:textId="77777777" w:rsidR="00CE77D7" w:rsidRDefault="00CE77D7" w:rsidP="0040184A">
            <w:pPr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365B763E" w14:textId="77777777" w:rsidR="00CE77D7" w:rsidRDefault="00CE77D7" w:rsidP="0040184A">
            <w:pPr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6DD40881" w14:textId="77777777" w:rsidR="002F684B" w:rsidRPr="0040184A" w:rsidRDefault="002F684B" w:rsidP="0040184A">
            <w:pPr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Rate of unemployment at local level</w:t>
            </w:r>
            <w:r w:rsidR="00D00360" w:rsidRPr="0040184A">
              <w:rPr>
                <w:rStyle w:val="FootnoteReference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ootnoteReference w:id="28"/>
            </w:r>
          </w:p>
          <w:p w14:paraId="7A5730D9" w14:textId="77777777" w:rsidR="002F684B" w:rsidRPr="0040184A" w:rsidRDefault="002F684B" w:rsidP="0040184A">
            <w:pPr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7DF9FBED" w14:textId="77777777" w:rsidR="002F684B" w:rsidRPr="0040184A" w:rsidRDefault="002F684B" w:rsidP="0040184A">
            <w:pPr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Baseline: 30</w:t>
            </w:r>
            <w:r w:rsidR="004A143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%</w:t>
            </w:r>
          </w:p>
          <w:p w14:paraId="7A42A01D" w14:textId="77777777" w:rsidR="002F684B" w:rsidRPr="0040184A" w:rsidRDefault="002F684B" w:rsidP="0040184A">
            <w:pPr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690583D3" w14:textId="77777777" w:rsidR="002F684B" w:rsidRPr="0040184A" w:rsidRDefault="002F684B" w:rsidP="0040184A">
            <w:pPr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Target: 22.5</w:t>
            </w:r>
            <w:r w:rsidR="004A143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%</w:t>
            </w:r>
          </w:p>
          <w:p w14:paraId="139F2945" w14:textId="77777777" w:rsidR="002F684B" w:rsidRDefault="002F684B" w:rsidP="0040184A">
            <w:pPr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5BFEF9F5" w14:textId="77777777" w:rsidR="002F684B" w:rsidRPr="0040184A" w:rsidRDefault="002F684B" w:rsidP="00E95DC9">
            <w:pPr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703" w:type="pct"/>
            <w:vMerge w:val="restart"/>
          </w:tcPr>
          <w:p w14:paraId="5FC80731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17C8BED1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0B4D0D81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260BBC78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2B4A20AF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55D4B24A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5BC89D1E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Data source: UNDP </w:t>
            </w:r>
            <w:r w:rsidR="004A143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Human Development Report</w:t>
            </w:r>
          </w:p>
          <w:p w14:paraId="3A4078BE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5664D9A1" w14:textId="77777777" w:rsidR="002F684B" w:rsidRPr="00990EA9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90EA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Frequency: Annual </w:t>
            </w:r>
          </w:p>
          <w:p w14:paraId="75FDCFB3" w14:textId="77777777" w:rsidR="002F684B" w:rsidRPr="00990EA9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2515FA8B" w14:textId="77777777" w:rsidR="002F684B" w:rsidRPr="00990EA9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90EA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Responsible: UNDP</w:t>
            </w:r>
            <w:r w:rsidR="00533E16" w:rsidRPr="00990EA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57396B5B" w14:textId="77777777" w:rsidR="00E95DC9" w:rsidRPr="00990EA9" w:rsidRDefault="00E95DC9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50D85920" w14:textId="77777777" w:rsidR="00E95DC9" w:rsidRPr="00990EA9" w:rsidRDefault="00E95DC9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16DFFD04" w14:textId="77777777" w:rsidR="00E95DC9" w:rsidRPr="00990EA9" w:rsidRDefault="00E95DC9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29FA3482" w14:textId="77777777" w:rsidR="00E95DC9" w:rsidRPr="00990EA9" w:rsidRDefault="00E95DC9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7EBD1F96" w14:textId="77777777" w:rsidR="00E95DC9" w:rsidRPr="00990EA9" w:rsidRDefault="00E95DC9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3871BED2" w14:textId="77777777" w:rsidR="00E95DC9" w:rsidRPr="00990EA9" w:rsidRDefault="00E95DC9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7EB2458B" w14:textId="77777777" w:rsidR="00E95DC9" w:rsidRPr="00990EA9" w:rsidRDefault="007D5F31" w:rsidP="00E95DC9">
            <w:pPr>
              <w:tabs>
                <w:tab w:val="left" w:pos="1620"/>
              </w:tabs>
              <w:suppressAutoHyphens/>
              <w:spacing w:before="0" w:after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Data source:</w:t>
            </w:r>
            <w:r w:rsidR="00E95DC9"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EB44AB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The Directorate General for Statistics</w:t>
            </w:r>
          </w:p>
          <w:p w14:paraId="1822DBBC" w14:textId="77777777" w:rsidR="00E95DC9" w:rsidRPr="00990EA9" w:rsidRDefault="00E95DC9" w:rsidP="00E95DC9">
            <w:pPr>
              <w:tabs>
                <w:tab w:val="left" w:pos="1620"/>
              </w:tabs>
              <w:suppressAutoHyphens/>
              <w:spacing w:before="0" w:after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0C54870E" w14:textId="77777777" w:rsidR="00E95DC9" w:rsidRPr="00BE077E" w:rsidRDefault="00E95DC9" w:rsidP="00E95DC9">
            <w:pPr>
              <w:tabs>
                <w:tab w:val="left" w:pos="1620"/>
              </w:tabs>
              <w:suppressAutoHyphens/>
              <w:spacing w:before="0" w:after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Frequency: A</w:t>
            </w:r>
            <w:r w:rsidRPr="00BE077E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nnual</w:t>
            </w:r>
          </w:p>
          <w:p w14:paraId="21CDC9B4" w14:textId="77777777" w:rsidR="00E95DC9" w:rsidRPr="0040184A" w:rsidRDefault="00E95DC9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39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BFB8E8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Output 3: Local authorities and NGOs have strengthened capacities to develop and implement mechanisms to ensure inclusive access to basic social services for women, youth and people with disabilities. </w:t>
            </w:r>
          </w:p>
          <w:p w14:paraId="4C25972A" w14:textId="77777777" w:rsidR="0040184A" w:rsidRDefault="0040184A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5924FBE6" w14:textId="77777777" w:rsidR="002F684B" w:rsidRPr="00990EA9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Indicator 3.1:</w:t>
            </w:r>
            <w:r w:rsidRPr="004018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18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Number of </w:t>
            </w:r>
            <w:r w:rsidR="00CE77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additional </w:t>
            </w:r>
            <w:r w:rsidR="00D1426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vulnerable </w:t>
            </w:r>
            <w:r w:rsidRPr="004018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people benefiting from basic social services disaggregated by sex, age and </w:t>
            </w:r>
            <w:r w:rsidRPr="00990E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people with disabilities</w:t>
            </w:r>
            <w:r w:rsidRPr="00990EA9" w:rsidDel="00E100AC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14:paraId="7AE097FE" w14:textId="77777777" w:rsidR="002F684B" w:rsidRPr="00990EA9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Baseline: </w:t>
            </w:r>
            <w:r w:rsidR="003C69CA"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0</w:t>
            </w:r>
            <w:r w:rsidR="00107834"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Target: 10,500 (6,000 </w:t>
            </w:r>
            <w:r w:rsidR="004A143F" w:rsidRPr="00990EA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women</w:t>
            </w:r>
            <w:r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; 4,000 youth</w:t>
            </w:r>
            <w:r w:rsidR="004A143F"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;</w:t>
            </w:r>
            <w:r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500 persons with disabilities)</w:t>
            </w:r>
          </w:p>
          <w:p w14:paraId="1533EBA1" w14:textId="77777777" w:rsidR="002F684B" w:rsidRPr="00990EA9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Data source:</w:t>
            </w:r>
            <w:r w:rsidR="00794BDF" w:rsidRPr="00990E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Ministry of Economy, Prospective and Sustainable Development Planning/Ministry of Interior, Security, in charge of </w:t>
            </w:r>
            <w:r w:rsidR="0061726D" w:rsidRPr="00990E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Decentralization</w:t>
            </w:r>
            <w:r w:rsidR="00794BDF" w:rsidRPr="00990E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and Local Development,</w:t>
            </w:r>
            <w:r w:rsidRPr="00990EA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UNDP progress report </w:t>
            </w:r>
          </w:p>
          <w:p w14:paraId="03E338D0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Frequency: </w:t>
            </w:r>
            <w:r w:rsidR="00C54174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A</w:t>
            </w:r>
            <w:r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nnually</w:t>
            </w:r>
          </w:p>
          <w:p w14:paraId="3F073551" w14:textId="77777777" w:rsidR="0040184A" w:rsidRDefault="0040184A" w:rsidP="0040184A">
            <w:pPr>
              <w:suppressAutoHyphens/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2952F48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Indicator 3.2: </w:t>
            </w:r>
            <w:r w:rsidR="00647220" w:rsidRPr="004018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Proportion of population living in households with access to basic services</w:t>
            </w:r>
          </w:p>
          <w:p w14:paraId="0043A23F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Baseline: </w:t>
            </w:r>
            <w:r w:rsidR="00886900" w:rsidRPr="004018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  <w:r w:rsidR="00C541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  <w:r w:rsidR="00886900" w:rsidRPr="004018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4018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Target: </w:t>
            </w:r>
            <w:r w:rsidR="00886900" w:rsidRPr="004018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 w:rsidR="00C541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  <w:r w:rsidR="00886900" w:rsidRPr="004018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3DB3EA22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Data source:</w:t>
            </w:r>
            <w:r w:rsidR="00533E16" w:rsidRPr="004018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4018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Government and UNDP</w:t>
            </w:r>
          </w:p>
          <w:p w14:paraId="3A29EA61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4018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Frequency: </w:t>
            </w:r>
            <w:r w:rsidR="00C541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</w:t>
            </w:r>
            <w:r w:rsidR="00E528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nce</w:t>
            </w:r>
            <w:r w:rsidRPr="004018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99448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every two years</w:t>
            </w:r>
            <w:r w:rsidRPr="0040184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654" w:type="pct"/>
            <w:vMerge/>
          </w:tcPr>
          <w:p w14:paraId="75114CCC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87" w:type="pct"/>
            <w:vMerge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BC2BD7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F684B" w:rsidRPr="0040184A" w14:paraId="46B32D65" w14:textId="77777777" w:rsidTr="006661A8">
        <w:tc>
          <w:tcPr>
            <w:tcW w:w="762" w:type="pct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681309" w14:textId="77777777" w:rsidR="002F684B" w:rsidRPr="0040184A" w:rsidRDefault="002F684B" w:rsidP="0040184A">
            <w:pPr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3" w:type="pct"/>
            <w:vMerge/>
          </w:tcPr>
          <w:p w14:paraId="38AF2041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394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752B3D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Output 4: Women and youth from disadvantaged areas are </w:t>
            </w:r>
            <w:r w:rsidR="006473AA" w:rsidRPr="004018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able</w:t>
            </w:r>
            <w:r w:rsidRPr="004018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to access sustainable livelihoods and employment initiatives</w:t>
            </w:r>
          </w:p>
          <w:p w14:paraId="7708A3E4" w14:textId="77777777" w:rsidR="0040184A" w:rsidRDefault="0040184A" w:rsidP="0040184A">
            <w:pPr>
              <w:tabs>
                <w:tab w:val="left" w:pos="1620"/>
              </w:tabs>
              <w:suppressAutoHyphens/>
              <w:spacing w:before="0" w:after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21844EC7" w14:textId="77777777" w:rsidR="002F684B" w:rsidRPr="0040184A" w:rsidRDefault="002F684B" w:rsidP="0040184A">
            <w:pPr>
              <w:tabs>
                <w:tab w:val="left" w:pos="1620"/>
              </w:tabs>
              <w:suppressAutoHyphens/>
              <w:spacing w:before="0" w:after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Indicator 4.1:</w:t>
            </w:r>
            <w:r w:rsidRPr="004018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Number of new full-time equivalent jobs created for women and men 15+ years old</w:t>
            </w:r>
          </w:p>
          <w:p w14:paraId="6BCEDFF6" w14:textId="77777777" w:rsidR="002F684B" w:rsidRPr="00990EA9" w:rsidRDefault="002F684B" w:rsidP="0040184A">
            <w:pPr>
              <w:tabs>
                <w:tab w:val="left" w:pos="1620"/>
              </w:tabs>
              <w:suppressAutoHyphens/>
              <w:spacing w:before="0" w:after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Baseline:</w:t>
            </w:r>
            <w:r w:rsidR="00533E16"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990EA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750 (</w:t>
            </w:r>
            <w:r w:rsidR="004A143F" w:rsidRPr="00990EA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women</w:t>
            </w:r>
            <w:r w:rsidR="00690651" w:rsidRPr="00990EA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: 300</w:t>
            </w:r>
            <w:r w:rsidRPr="00990EA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, </w:t>
            </w:r>
            <w:r w:rsidR="004A143F" w:rsidRPr="00990EA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men</w:t>
            </w:r>
            <w:r w:rsidRPr="00990EA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: 450), </w:t>
            </w:r>
            <w:r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Target:</w:t>
            </w:r>
            <w:r w:rsidR="00533E16"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990EA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2</w:t>
            </w:r>
            <w:r w:rsidR="004A143F" w:rsidRPr="00990EA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,</w:t>
            </w:r>
            <w:r w:rsidRPr="00990EA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700 (</w:t>
            </w:r>
            <w:r w:rsidR="004A143F" w:rsidRPr="00990EA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women</w:t>
            </w:r>
            <w:r w:rsidRPr="00990EA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: 1500, </w:t>
            </w:r>
            <w:r w:rsidR="004A143F" w:rsidRPr="00990EA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men</w:t>
            </w:r>
            <w:r w:rsidRPr="00990EA9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: 1,200) </w:t>
            </w:r>
          </w:p>
          <w:p w14:paraId="7A72DEFE" w14:textId="77777777" w:rsidR="002F684B" w:rsidRPr="00990EA9" w:rsidRDefault="002F684B" w:rsidP="0040184A">
            <w:pPr>
              <w:tabs>
                <w:tab w:val="left" w:pos="1620"/>
              </w:tabs>
              <w:suppressAutoHyphens/>
              <w:spacing w:before="0" w:after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Data source</w:t>
            </w:r>
            <w:r w:rsidR="00794BDF"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:</w:t>
            </w:r>
            <w:r w:rsidR="00794BDF" w:rsidRPr="00990E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Ministry of Economy, Prospective and Sustainable Development Planning/Ministry of Interior, Security, in charge of </w:t>
            </w:r>
            <w:r w:rsidR="0061726D" w:rsidRPr="00990E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Decentralization</w:t>
            </w:r>
            <w:r w:rsidR="00794BDF" w:rsidRPr="00990E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and Local Development</w:t>
            </w:r>
            <w:r w:rsidR="00794BDF"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and UNDP Report </w:t>
            </w:r>
          </w:p>
          <w:p w14:paraId="23E1B594" w14:textId="77777777" w:rsidR="002F684B" w:rsidRPr="00990EA9" w:rsidRDefault="002F684B" w:rsidP="0040184A">
            <w:pPr>
              <w:tabs>
                <w:tab w:val="left" w:pos="1620"/>
              </w:tabs>
              <w:suppressAutoHyphens/>
              <w:spacing w:before="0" w:after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Frequency: </w:t>
            </w:r>
            <w:r w:rsidR="00C54174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A</w:t>
            </w:r>
            <w:r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nnually</w:t>
            </w:r>
            <w:r w:rsidR="00533E16"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14:paraId="24FFB99F" w14:textId="77777777" w:rsidR="002F684B" w:rsidRPr="00990EA9" w:rsidRDefault="002F684B" w:rsidP="0040184A">
            <w:pPr>
              <w:tabs>
                <w:tab w:val="left" w:pos="1620"/>
              </w:tabs>
              <w:suppressAutoHyphens/>
              <w:spacing w:before="0" w:after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0180CDDA" w14:textId="77777777" w:rsidR="002F684B" w:rsidRPr="00990EA9" w:rsidRDefault="002F684B" w:rsidP="0040184A">
            <w:pPr>
              <w:tabs>
                <w:tab w:val="left" w:pos="1620"/>
              </w:tabs>
              <w:suppressAutoHyphens/>
              <w:spacing w:before="0" w:after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Indicator 4.2. Number of </w:t>
            </w:r>
            <w:r w:rsidR="001F1320"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people</w:t>
            </w:r>
            <w:r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benefiting from UNDP supported livelihoods interventions</w:t>
            </w:r>
            <w:r w:rsidR="001F1320"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disaggregated by sex and age.</w:t>
            </w:r>
          </w:p>
          <w:p w14:paraId="4565C371" w14:textId="77777777" w:rsidR="002F684B" w:rsidRPr="00990EA9" w:rsidRDefault="002F684B" w:rsidP="0040184A">
            <w:pPr>
              <w:tabs>
                <w:tab w:val="left" w:pos="1620"/>
              </w:tabs>
              <w:suppressAutoHyphens/>
              <w:spacing w:before="0" w:after="0"/>
              <w:contextualSpacing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Baseline</w:t>
            </w:r>
            <w:r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>: 1</w:t>
            </w:r>
            <w:r w:rsidR="005F74E9"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>536 (</w:t>
            </w:r>
            <w:r w:rsidR="004A143F"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>women</w:t>
            </w:r>
            <w:r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>: 655</w:t>
            </w:r>
            <w:r w:rsidR="007F4625"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643C73"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and </w:t>
            </w:r>
            <w:r w:rsidR="007F4625"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>291 youth</w:t>
            </w:r>
            <w:r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; </w:t>
            </w:r>
            <w:r w:rsidR="004A143F"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>men</w:t>
            </w:r>
            <w:r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>: 881</w:t>
            </w:r>
            <w:r w:rsidR="007F4625"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="00643C73"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and </w:t>
            </w:r>
            <w:r w:rsidR="007F4625"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>259 youth</w:t>
            </w:r>
            <w:r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>) Target: 3</w:t>
            </w:r>
            <w:r w:rsidR="005F74E9"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>500 (1</w:t>
            </w:r>
            <w:r w:rsidR="005F74E9"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800 </w:t>
            </w:r>
            <w:r w:rsidR="004A143F"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women </w:t>
            </w:r>
            <w:r w:rsidR="00643C73"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and </w:t>
            </w:r>
            <w:r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>800 youth; 1</w:t>
            </w:r>
            <w:r w:rsidR="005F74E9"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>,</w:t>
            </w:r>
            <w:r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700 </w:t>
            </w:r>
            <w:r w:rsidR="004A143F"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men </w:t>
            </w:r>
            <w:r w:rsidR="00643C73"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and </w:t>
            </w:r>
            <w:r w:rsidRPr="00990EA9">
              <w:rPr>
                <w:rFonts w:ascii="Times New Roman" w:hAnsi="Times New Roman" w:cs="Times New Roman"/>
                <w:iCs/>
                <w:sz w:val="16"/>
                <w:szCs w:val="16"/>
              </w:rPr>
              <w:t>500 youths)</w:t>
            </w:r>
          </w:p>
          <w:p w14:paraId="6C079613" w14:textId="77777777" w:rsidR="002F684B" w:rsidRPr="00990EA9" w:rsidRDefault="002F684B" w:rsidP="0040184A">
            <w:pPr>
              <w:tabs>
                <w:tab w:val="left" w:pos="1620"/>
              </w:tabs>
              <w:suppressAutoHyphens/>
              <w:spacing w:before="0" w:after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Data source: UNDP Progress Report</w:t>
            </w:r>
          </w:p>
          <w:p w14:paraId="7A153BE7" w14:textId="77777777" w:rsidR="002F684B" w:rsidRPr="0040184A" w:rsidRDefault="002F684B" w:rsidP="0040184A">
            <w:pPr>
              <w:tabs>
                <w:tab w:val="left" w:pos="1620"/>
              </w:tabs>
              <w:suppressAutoHyphens/>
              <w:spacing w:before="0" w:after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yellow"/>
              </w:rPr>
            </w:pPr>
            <w:r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Frequency: </w:t>
            </w:r>
            <w:r w:rsidR="00C54174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A</w:t>
            </w:r>
            <w:r w:rsidRPr="00990EA9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nnual</w:t>
            </w:r>
            <w:r w:rsidR="00C54174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ly</w:t>
            </w:r>
          </w:p>
        </w:tc>
        <w:tc>
          <w:tcPr>
            <w:tcW w:w="654" w:type="pct"/>
            <w:vMerge/>
          </w:tcPr>
          <w:p w14:paraId="1BA8076E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31B9D7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2F684B" w:rsidRPr="0040184A" w14:paraId="5345DDB7" w14:textId="77777777" w:rsidTr="006661A8">
        <w:tc>
          <w:tcPr>
            <w:tcW w:w="762" w:type="pct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E14FAF" w14:textId="77777777" w:rsidR="002F684B" w:rsidRPr="0040184A" w:rsidRDefault="002F684B" w:rsidP="0040184A">
            <w:pPr>
              <w:spacing w:before="0"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703" w:type="pct"/>
            <w:vMerge/>
            <w:tcBorders>
              <w:bottom w:val="single" w:sz="4" w:space="0" w:color="auto"/>
            </w:tcBorders>
          </w:tcPr>
          <w:p w14:paraId="78BADE2A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394" w:type="pct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E9D92F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Output 5: National institutions and local communities have strengthened technical capacities to ensure the conservation, sustainable use, adaptation, access and benefit sharing of natural resources, biodiversity, ecosystems, in line with international conventions. </w:t>
            </w:r>
          </w:p>
          <w:p w14:paraId="2D3DB784" w14:textId="77777777" w:rsidR="0040184A" w:rsidRDefault="0040184A" w:rsidP="0040184A">
            <w:pPr>
              <w:tabs>
                <w:tab w:val="left" w:pos="1620"/>
              </w:tabs>
              <w:suppressAutoHyphens/>
              <w:spacing w:before="0" w:after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33B61BD2" w14:textId="77777777" w:rsidR="002F684B" w:rsidRPr="0040184A" w:rsidRDefault="002F684B" w:rsidP="0040184A">
            <w:pPr>
              <w:tabs>
                <w:tab w:val="left" w:pos="1620"/>
              </w:tabs>
              <w:suppressAutoHyphens/>
              <w:spacing w:before="0" w:after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Indicator: 5.1: </w:t>
            </w:r>
            <w:r w:rsidR="001F132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N</w:t>
            </w: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umber of national entities</w:t>
            </w:r>
            <w:r w:rsidR="005F339F" w:rsidRPr="0040184A">
              <w:rPr>
                <w:rStyle w:val="FootnoteReference"/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footnoteReference w:id="29"/>
            </w: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with improved capacities for the conservation, sustainable use, access and benefit sharing of natural resources.</w:t>
            </w:r>
          </w:p>
          <w:p w14:paraId="6C560B19" w14:textId="77777777" w:rsidR="002F684B" w:rsidRPr="0040184A" w:rsidRDefault="002F684B" w:rsidP="0040184A">
            <w:pPr>
              <w:tabs>
                <w:tab w:val="left" w:pos="1620"/>
              </w:tabs>
              <w:suppressAutoHyphens/>
              <w:spacing w:before="0" w:after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Baseline:</w:t>
            </w:r>
            <w:r w:rsidR="00AA5C2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0 </w:t>
            </w: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14:paraId="3BF4A6AF" w14:textId="77777777" w:rsidR="002F684B" w:rsidRPr="0040184A" w:rsidRDefault="002F684B" w:rsidP="0040184A">
            <w:pPr>
              <w:tabs>
                <w:tab w:val="left" w:pos="1620"/>
              </w:tabs>
              <w:suppressAutoHyphens/>
              <w:spacing w:before="0" w:after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lastRenderedPageBreak/>
              <w:t xml:space="preserve">Target: </w:t>
            </w:r>
            <w:r w:rsidR="00AA5C2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13</w:t>
            </w:r>
          </w:p>
          <w:p w14:paraId="33AB50EE" w14:textId="77777777" w:rsidR="002F684B" w:rsidRPr="0040184A" w:rsidRDefault="00794BDF" w:rsidP="0040184A">
            <w:pPr>
              <w:tabs>
                <w:tab w:val="left" w:pos="1620"/>
              </w:tabs>
              <w:suppressAutoHyphens/>
              <w:spacing w:before="0" w:after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Data source: State </w:t>
            </w:r>
            <w:r w:rsidR="004A143F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Ministry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, </w:t>
            </w:r>
            <w:r w:rsidR="004A143F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and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Ministry of Forest, Ocean and Environment</w:t>
            </w:r>
            <w:r w:rsidR="004A143F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.</w:t>
            </w:r>
          </w:p>
          <w:p w14:paraId="4E4C8DA1" w14:textId="77777777" w:rsidR="002F684B" w:rsidRPr="0040184A" w:rsidRDefault="002F684B" w:rsidP="0040184A">
            <w:pPr>
              <w:tabs>
                <w:tab w:val="left" w:pos="1620"/>
              </w:tabs>
              <w:suppressAutoHyphens/>
              <w:spacing w:before="0" w:after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Frequency: Annually </w:t>
            </w:r>
          </w:p>
          <w:p w14:paraId="69E24B27" w14:textId="77777777" w:rsidR="002F684B" w:rsidRPr="0040184A" w:rsidRDefault="002F684B" w:rsidP="0040184A">
            <w:pPr>
              <w:tabs>
                <w:tab w:val="left" w:pos="1620"/>
              </w:tabs>
              <w:suppressAutoHyphens/>
              <w:spacing w:before="0" w:after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296A0610" w14:textId="77777777" w:rsidR="002F684B" w:rsidRPr="0040184A" w:rsidRDefault="002F684B" w:rsidP="0040184A">
            <w:pPr>
              <w:tabs>
                <w:tab w:val="left" w:pos="1620"/>
              </w:tabs>
              <w:suppressAutoHyphens/>
              <w:spacing w:before="0" w:after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Indicator 5.2 Extent to which local communities can ensure sustainable use of natural resources and ecosystem services</w:t>
            </w:r>
            <w:r w:rsidR="00533E16"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</w:t>
            </w:r>
          </w:p>
          <w:p w14:paraId="6377670E" w14:textId="77777777" w:rsidR="002F684B" w:rsidRPr="0040184A" w:rsidRDefault="002F684B" w:rsidP="0040184A">
            <w:pPr>
              <w:tabs>
                <w:tab w:val="left" w:pos="1620"/>
              </w:tabs>
              <w:suppressAutoHyphens/>
              <w:spacing w:before="0" w:after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Baseline</w:t>
            </w:r>
            <w:r w:rsidR="00690651"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: 2</w:t>
            </w: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, Target: 4</w:t>
            </w:r>
            <w:r w:rsidR="006D3A10" w:rsidRPr="0040184A">
              <w:rPr>
                <w:rStyle w:val="FootnoteReference"/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footnoteReference w:id="30"/>
            </w:r>
          </w:p>
          <w:p w14:paraId="76B97CB8" w14:textId="77777777" w:rsidR="002F684B" w:rsidRPr="0040184A" w:rsidRDefault="002F684B" w:rsidP="0040184A">
            <w:pPr>
              <w:tabs>
                <w:tab w:val="left" w:pos="1620"/>
              </w:tabs>
              <w:suppressAutoHyphens/>
              <w:spacing w:before="0" w:after="0"/>
              <w:contextualSpacing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D</w:t>
            </w:r>
            <w:r w:rsidR="00794BDF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ata source: State </w:t>
            </w:r>
            <w:r w:rsidR="0061726D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Ministry</w:t>
            </w:r>
            <w:r w:rsidR="00794BDF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, Ministry of Forest, Ocean and Environment</w:t>
            </w:r>
            <w:r w:rsidR="007D5F3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/</w:t>
            </w:r>
            <w:r w:rsidR="00E27DDB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The National Parks Agency</w:t>
            </w:r>
            <w:r w:rsidR="007D5F31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/</w:t>
            </w: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UNDP Progress Report</w:t>
            </w:r>
          </w:p>
          <w:p w14:paraId="44F2899E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Frequency: </w:t>
            </w:r>
            <w:r w:rsidR="00C54174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A</w:t>
            </w: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nnually</w:t>
            </w:r>
          </w:p>
          <w:p w14:paraId="27964618" w14:textId="77777777" w:rsidR="0040184A" w:rsidRDefault="0040184A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</w:pPr>
          </w:p>
          <w:p w14:paraId="4B0BDC70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Indicator: 5.3 Number of local adaptation plan</w:t>
            </w:r>
            <w:r w:rsidR="001F1320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>s</w:t>
            </w:r>
            <w:r w:rsidRPr="0040184A"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</w:rPr>
              <w:t xml:space="preserve"> implemented. </w:t>
            </w:r>
          </w:p>
          <w:p w14:paraId="211486BC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18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Baseline: 0; Target: 9</w:t>
            </w:r>
          </w:p>
          <w:p w14:paraId="2B81B02B" w14:textId="77777777" w:rsidR="002F684B" w:rsidRPr="00CE77D7" w:rsidRDefault="00794BDF" w:rsidP="0040184A">
            <w:pPr>
              <w:suppressAutoHyphens/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Data source: </w:t>
            </w:r>
            <w:r w:rsidR="002F684B" w:rsidRPr="00CE77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Ministry of Economy, Prospective and Su</w:t>
            </w:r>
            <w:r w:rsidR="007D5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stainable Development Planning/</w:t>
            </w:r>
            <w:r w:rsidR="00E27D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The National Climate Council</w:t>
            </w:r>
          </w:p>
          <w:p w14:paraId="29501B3E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single"/>
              </w:rPr>
            </w:pPr>
            <w:r w:rsidRPr="00CE77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Frequency: </w:t>
            </w:r>
            <w:r w:rsidR="00C541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</w:t>
            </w:r>
            <w:r w:rsidRPr="00CE77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nnually</w:t>
            </w:r>
          </w:p>
        </w:tc>
        <w:tc>
          <w:tcPr>
            <w:tcW w:w="654" w:type="pct"/>
            <w:vMerge/>
            <w:tcBorders>
              <w:bottom w:val="single" w:sz="4" w:space="0" w:color="auto"/>
            </w:tcBorders>
          </w:tcPr>
          <w:p w14:paraId="0131E727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7D7D89" w14:textId="77777777" w:rsidR="002F684B" w:rsidRPr="0040184A" w:rsidRDefault="002F684B" w:rsidP="0040184A">
            <w:pPr>
              <w:suppressAutoHyphens/>
              <w:spacing w:before="0"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3A579EE8" w14:textId="77777777" w:rsidR="00961306" w:rsidRDefault="00961306" w:rsidP="00961306">
      <w:pPr>
        <w:widowControl w:val="0"/>
        <w:tabs>
          <w:tab w:val="left" w:pos="5610"/>
        </w:tabs>
        <w:spacing w:after="240"/>
        <w:ind w:right="1195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77F390" w14:textId="77777777" w:rsidR="002F684B" w:rsidRPr="00BC170F" w:rsidRDefault="00961306" w:rsidP="00961306">
      <w:pPr>
        <w:widowControl w:val="0"/>
        <w:tabs>
          <w:tab w:val="left" w:pos="5610"/>
        </w:tabs>
        <w:spacing w:after="240"/>
        <w:ind w:right="1195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52EE5">
        <w:rPr>
          <w:b/>
          <w:noProof/>
          <w:color w:val="000000"/>
          <w:sz w:val="16"/>
          <w:szCs w:val="16"/>
          <w:lang w:eastAsia="en-US"/>
        </w:rPr>
        <w:drawing>
          <wp:inline distT="0" distB="0" distL="0" distR="0" wp14:anchorId="6AC7A783" wp14:editId="08724261">
            <wp:extent cx="942975" cy="285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84B" w:rsidRPr="00BC170F" w:rsidSect="003C0FA1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5840" w:h="12240" w:orient="landscape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2B16E" w14:textId="77777777" w:rsidR="00CA0103" w:rsidRDefault="00CA0103">
      <w:r>
        <w:separator/>
      </w:r>
    </w:p>
  </w:endnote>
  <w:endnote w:type="continuationSeparator" w:id="0">
    <w:p w14:paraId="7806875E" w14:textId="77777777" w:rsidR="00CA0103" w:rsidRDefault="00CA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39CB9" w14:textId="77777777" w:rsidR="004C22C6" w:rsidRDefault="004C22C6" w:rsidP="002F684B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8B7FB" w14:textId="77777777" w:rsidR="004C22C6" w:rsidRDefault="004C22C6" w:rsidP="002F684B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EDEF" w14:textId="77777777" w:rsidR="004C22C6" w:rsidRPr="00D56208" w:rsidRDefault="004C22C6" w:rsidP="002F684B">
    <w:pPr>
      <w:spacing w:line="56" w:lineRule="auto"/>
      <w:rPr>
        <w:rFonts w:ascii="Times New Roman" w:hAnsi="Times New Roman" w:cs="Times New Roman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1328820624"/>
      <w:docPartObj>
        <w:docPartGallery w:val="Page Numbers (Bottom of Page)"/>
        <w:docPartUnique/>
      </w:docPartObj>
    </w:sdtPr>
    <w:sdtEndPr>
      <w:rPr>
        <w:b/>
        <w:noProof/>
        <w:sz w:val="17"/>
        <w:szCs w:val="17"/>
      </w:rPr>
    </w:sdtEndPr>
    <w:sdtContent>
      <w:p w14:paraId="73773F16" w14:textId="77777777" w:rsidR="004C22C6" w:rsidRPr="008523FE" w:rsidRDefault="004C22C6" w:rsidP="006C596B">
        <w:pPr>
          <w:pStyle w:val="Footer"/>
          <w:rPr>
            <w:rFonts w:ascii="Times New Roman" w:hAnsi="Times New Roman"/>
            <w:b/>
            <w:sz w:val="17"/>
            <w:szCs w:val="17"/>
          </w:rPr>
        </w:pPr>
        <w:r w:rsidRPr="008523FE">
          <w:rPr>
            <w:rFonts w:ascii="Times New Roman" w:hAnsi="Times New Roman"/>
            <w:b/>
            <w:sz w:val="17"/>
            <w:szCs w:val="17"/>
          </w:rPr>
          <w:fldChar w:fldCharType="begin"/>
        </w:r>
        <w:r w:rsidRPr="008523FE">
          <w:rPr>
            <w:rFonts w:ascii="Times New Roman" w:hAnsi="Times New Roman"/>
            <w:b/>
            <w:sz w:val="17"/>
            <w:szCs w:val="17"/>
          </w:rPr>
          <w:instrText xml:space="preserve"> PAGE   \* MERGEFORMAT </w:instrText>
        </w:r>
        <w:r w:rsidRPr="008523FE">
          <w:rPr>
            <w:rFonts w:ascii="Times New Roman" w:hAnsi="Times New Roman"/>
            <w:b/>
            <w:sz w:val="17"/>
            <w:szCs w:val="17"/>
          </w:rPr>
          <w:fldChar w:fldCharType="separate"/>
        </w:r>
        <w:r w:rsidR="007124C8">
          <w:rPr>
            <w:rFonts w:ascii="Times New Roman" w:hAnsi="Times New Roman"/>
            <w:b/>
            <w:noProof/>
            <w:sz w:val="17"/>
            <w:szCs w:val="17"/>
          </w:rPr>
          <w:t>2</w:t>
        </w:r>
        <w:r w:rsidRPr="008523FE">
          <w:rPr>
            <w:rFonts w:ascii="Times New Roman" w:hAnsi="Times New Roman"/>
            <w:b/>
            <w:noProof/>
            <w:sz w:val="17"/>
            <w:szCs w:val="17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31081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17"/>
        <w:szCs w:val="17"/>
      </w:rPr>
    </w:sdtEndPr>
    <w:sdtContent>
      <w:p w14:paraId="0BD640A9" w14:textId="77777777" w:rsidR="004C22C6" w:rsidRPr="00DC3B95" w:rsidRDefault="004C22C6" w:rsidP="006A34F7">
        <w:pPr>
          <w:pStyle w:val="Footer"/>
          <w:ind w:right="-385"/>
          <w:jc w:val="right"/>
          <w:rPr>
            <w:rFonts w:ascii="Times New Roman" w:hAnsi="Times New Roman"/>
            <w:b/>
            <w:sz w:val="17"/>
            <w:szCs w:val="17"/>
          </w:rPr>
        </w:pPr>
        <w:r w:rsidRPr="00DC3B95">
          <w:rPr>
            <w:rFonts w:ascii="Times New Roman" w:hAnsi="Times New Roman"/>
            <w:b/>
            <w:sz w:val="17"/>
            <w:szCs w:val="17"/>
          </w:rPr>
          <w:fldChar w:fldCharType="begin"/>
        </w:r>
        <w:r w:rsidRPr="00DC3B95">
          <w:rPr>
            <w:rFonts w:ascii="Times New Roman" w:hAnsi="Times New Roman"/>
            <w:b/>
            <w:sz w:val="17"/>
            <w:szCs w:val="17"/>
          </w:rPr>
          <w:instrText xml:space="preserve"> PAGE   \* MERGEFORMAT </w:instrText>
        </w:r>
        <w:r w:rsidRPr="00DC3B95">
          <w:rPr>
            <w:rFonts w:ascii="Times New Roman" w:hAnsi="Times New Roman"/>
            <w:b/>
            <w:sz w:val="17"/>
            <w:szCs w:val="17"/>
          </w:rPr>
          <w:fldChar w:fldCharType="separate"/>
        </w:r>
        <w:r w:rsidR="007124C8">
          <w:rPr>
            <w:rFonts w:ascii="Times New Roman" w:hAnsi="Times New Roman"/>
            <w:b/>
            <w:noProof/>
            <w:sz w:val="17"/>
            <w:szCs w:val="17"/>
          </w:rPr>
          <w:t>3</w:t>
        </w:r>
        <w:r w:rsidRPr="00DC3B95">
          <w:rPr>
            <w:rFonts w:ascii="Times New Roman" w:hAnsi="Times New Roman"/>
            <w:b/>
            <w:noProof/>
            <w:sz w:val="17"/>
            <w:szCs w:val="17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9192F" w14:textId="77777777" w:rsidR="004C22C6" w:rsidRPr="002B75D9" w:rsidRDefault="004C22C6" w:rsidP="002F684B">
    <w:pPr>
      <w:spacing w:line="56" w:lineRule="auto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4577599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17"/>
        <w:szCs w:val="17"/>
      </w:rPr>
    </w:sdtEndPr>
    <w:sdtContent>
      <w:p w14:paraId="2CAD47C8" w14:textId="77777777" w:rsidR="004C22C6" w:rsidRPr="00961306" w:rsidRDefault="004C22C6" w:rsidP="00867F5D">
        <w:pPr>
          <w:pStyle w:val="Footer"/>
          <w:ind w:right="-504"/>
          <w:jc w:val="right"/>
          <w:rPr>
            <w:rFonts w:ascii="Times New Roman" w:hAnsi="Times New Roman"/>
            <w:b/>
            <w:sz w:val="17"/>
            <w:szCs w:val="17"/>
          </w:rPr>
        </w:pPr>
        <w:r w:rsidRPr="00360832">
          <w:rPr>
            <w:rFonts w:ascii="Times New Roman" w:hAnsi="Times New Roman"/>
            <w:b/>
            <w:sz w:val="17"/>
            <w:szCs w:val="17"/>
          </w:rPr>
          <w:fldChar w:fldCharType="begin"/>
        </w:r>
        <w:r w:rsidRPr="00360832">
          <w:rPr>
            <w:rFonts w:ascii="Times New Roman" w:hAnsi="Times New Roman"/>
            <w:b/>
            <w:sz w:val="17"/>
            <w:szCs w:val="17"/>
          </w:rPr>
          <w:instrText xml:space="preserve"> PAGE   \* MERGEFORMAT </w:instrText>
        </w:r>
        <w:r w:rsidRPr="00360832">
          <w:rPr>
            <w:rFonts w:ascii="Times New Roman" w:hAnsi="Times New Roman"/>
            <w:b/>
            <w:sz w:val="17"/>
            <w:szCs w:val="17"/>
          </w:rPr>
          <w:fldChar w:fldCharType="separate"/>
        </w:r>
        <w:r w:rsidR="007124C8">
          <w:rPr>
            <w:rFonts w:ascii="Times New Roman" w:hAnsi="Times New Roman"/>
            <w:b/>
            <w:noProof/>
            <w:sz w:val="17"/>
            <w:szCs w:val="17"/>
          </w:rPr>
          <w:t>11</w:t>
        </w:r>
        <w:r w:rsidRPr="00360832">
          <w:rPr>
            <w:rFonts w:ascii="Times New Roman" w:hAnsi="Times New Roman"/>
            <w:b/>
            <w:noProof/>
            <w:sz w:val="17"/>
            <w:szCs w:val="17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030864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17"/>
        <w:szCs w:val="17"/>
      </w:rPr>
    </w:sdtEndPr>
    <w:sdtContent>
      <w:p w14:paraId="4B40B5A9" w14:textId="77777777" w:rsidR="004C22C6" w:rsidRPr="00731064" w:rsidRDefault="004C22C6" w:rsidP="00867F5D">
        <w:pPr>
          <w:pStyle w:val="Footer"/>
          <w:ind w:left="-540"/>
          <w:rPr>
            <w:rFonts w:ascii="Times New Roman" w:hAnsi="Times New Roman"/>
            <w:b/>
            <w:sz w:val="17"/>
            <w:szCs w:val="17"/>
          </w:rPr>
        </w:pPr>
        <w:r w:rsidRPr="00731064">
          <w:rPr>
            <w:rFonts w:ascii="Times New Roman" w:hAnsi="Times New Roman"/>
            <w:b/>
            <w:sz w:val="17"/>
            <w:szCs w:val="17"/>
          </w:rPr>
          <w:fldChar w:fldCharType="begin"/>
        </w:r>
        <w:r w:rsidRPr="00731064">
          <w:rPr>
            <w:rFonts w:ascii="Times New Roman" w:hAnsi="Times New Roman"/>
            <w:b/>
            <w:sz w:val="17"/>
            <w:szCs w:val="17"/>
          </w:rPr>
          <w:instrText xml:space="preserve"> PAGE   \* MERGEFORMAT </w:instrText>
        </w:r>
        <w:r w:rsidRPr="00731064">
          <w:rPr>
            <w:rFonts w:ascii="Times New Roman" w:hAnsi="Times New Roman"/>
            <w:b/>
            <w:sz w:val="17"/>
            <w:szCs w:val="17"/>
          </w:rPr>
          <w:fldChar w:fldCharType="separate"/>
        </w:r>
        <w:r w:rsidR="007124C8">
          <w:rPr>
            <w:rFonts w:ascii="Times New Roman" w:hAnsi="Times New Roman"/>
            <w:b/>
            <w:noProof/>
            <w:sz w:val="17"/>
            <w:szCs w:val="17"/>
          </w:rPr>
          <w:t>10</w:t>
        </w:r>
        <w:r w:rsidRPr="00731064">
          <w:rPr>
            <w:rFonts w:ascii="Times New Roman" w:hAnsi="Times New Roman"/>
            <w:b/>
            <w:noProof/>
            <w:sz w:val="17"/>
            <w:szCs w:val="17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8AFB5" w14:textId="77777777" w:rsidR="00CA0103" w:rsidRDefault="00CA0103">
      <w:r>
        <w:separator/>
      </w:r>
    </w:p>
  </w:footnote>
  <w:footnote w:type="continuationSeparator" w:id="0">
    <w:p w14:paraId="1332C3B3" w14:textId="77777777" w:rsidR="00CA0103" w:rsidRDefault="00CA0103">
      <w:r>
        <w:continuationSeparator/>
      </w:r>
    </w:p>
  </w:footnote>
  <w:footnote w:id="1">
    <w:p w14:paraId="2B31D0C9" w14:textId="77777777" w:rsidR="004C22C6" w:rsidRPr="003661E6" w:rsidRDefault="004C22C6" w:rsidP="0065554E">
      <w:pPr>
        <w:spacing w:before="0" w:after="0"/>
        <w:ind w:right="1195"/>
        <w:rPr>
          <w:rFonts w:ascii="Times New Roman" w:hAnsi="Times New Roman" w:cs="Times New Roman"/>
          <w:sz w:val="16"/>
          <w:szCs w:val="16"/>
        </w:rPr>
      </w:pPr>
      <w:r w:rsidRPr="007A5E95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3661E6">
        <w:rPr>
          <w:rFonts w:ascii="Times New Roman" w:hAnsi="Times New Roman" w:cs="Times New Roman"/>
          <w:sz w:val="16"/>
          <w:szCs w:val="16"/>
        </w:rPr>
        <w:t xml:space="preserve"> </w:t>
      </w:r>
      <w:bookmarkStart w:id="2" w:name="_Hlk495312767"/>
      <w:r w:rsidRPr="003661E6">
        <w:rPr>
          <w:rFonts w:ascii="Times New Roman" w:hAnsi="Times New Roman" w:cs="Times New Roman"/>
          <w:sz w:val="16"/>
          <w:szCs w:val="16"/>
        </w:rPr>
        <w:t xml:space="preserve">2013 General Population and Housing Census for Gabon. </w:t>
      </w:r>
      <w:bookmarkEnd w:id="2"/>
    </w:p>
  </w:footnote>
  <w:footnote w:id="2">
    <w:p w14:paraId="31236FE9" w14:textId="77777777" w:rsidR="004C22C6" w:rsidRPr="00111922" w:rsidRDefault="004C22C6" w:rsidP="0065554E">
      <w:pPr>
        <w:spacing w:before="0" w:after="0"/>
        <w:ind w:right="1195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A5E95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111922">
        <w:rPr>
          <w:rFonts w:ascii="Times New Roman" w:hAnsi="Times New Roman" w:cs="Times New Roman"/>
          <w:sz w:val="16"/>
          <w:szCs w:val="16"/>
        </w:rPr>
        <w:t xml:space="preserve"> World </w:t>
      </w:r>
      <w:r w:rsidRPr="00111922">
        <w:rPr>
          <w:rFonts w:ascii="Times New Roman" w:hAnsi="Times New Roman" w:cs="Times New Roman"/>
          <w:color w:val="000000" w:themeColor="text1"/>
          <w:sz w:val="16"/>
          <w:szCs w:val="16"/>
        </w:rPr>
        <w:t>Bank Gabon Country Overview, April 2017.</w:t>
      </w:r>
    </w:p>
  </w:footnote>
  <w:footnote w:id="3">
    <w:p w14:paraId="3788FCA9" w14:textId="08875BD0" w:rsidR="004C22C6" w:rsidRPr="004A6C3A" w:rsidRDefault="004C22C6" w:rsidP="0065554E">
      <w:pPr>
        <w:spacing w:before="0" w:after="0"/>
        <w:ind w:right="1195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A5E95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footnoteRef/>
      </w:r>
      <w:r w:rsidRPr="0011192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Accessed online: </w:t>
      </w:r>
      <w:hyperlink r:id="rId1" w:history="1">
        <w:r w:rsidRPr="00111922">
          <w:rPr>
            <w:rFonts w:ascii="Times New Roman" w:hAnsi="Times New Roman" w:cs="Times New Roman"/>
            <w:color w:val="000000" w:themeColor="text1"/>
            <w:sz w:val="16"/>
            <w:szCs w:val="16"/>
          </w:rPr>
          <w:t>https://data.worldbank.org/?locations=XT-GA</w:t>
        </w:r>
      </w:hyperlink>
      <w:r w:rsidRPr="0011192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Pr="004A6C3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Gabon </w:t>
      </w:r>
      <w:r w:rsidRPr="00680516">
        <w:rPr>
          <w:rFonts w:ascii="Times New Roman" w:hAnsi="Times New Roman" w:cs="Times New Roman"/>
          <w:color w:val="000000" w:themeColor="text1"/>
          <w:sz w:val="16"/>
          <w:szCs w:val="16"/>
        </w:rPr>
        <w:t>Gross National Income per capita reached $340 US dollars in 1962, more than the then average of upper middle-income countries ($160.42 US</w:t>
      </w:r>
      <w:r w:rsidR="007124C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dollars) for the same year.</w:t>
      </w:r>
      <w:r w:rsidRPr="004A6C3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</w:footnote>
  <w:footnote w:id="4">
    <w:p w14:paraId="1D51B005" w14:textId="77777777" w:rsidR="004C22C6" w:rsidRPr="00111922" w:rsidRDefault="004C22C6" w:rsidP="0065554E">
      <w:pPr>
        <w:spacing w:before="0" w:after="0"/>
        <w:ind w:right="1195"/>
        <w:rPr>
          <w:rFonts w:ascii="Times New Roman" w:hAnsi="Times New Roman" w:cs="Times New Roman"/>
          <w:sz w:val="16"/>
          <w:szCs w:val="16"/>
          <w:lang w:val="en-GB"/>
        </w:rPr>
      </w:pPr>
      <w:r w:rsidRPr="004A6C3A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footnoteRef/>
      </w:r>
      <w:r w:rsidRPr="004A6C3A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  <w:lang w:val="en-GB"/>
        </w:rPr>
        <w:t xml:space="preserve"> </w:t>
      </w:r>
      <w:r w:rsidRPr="004A6C3A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>UNDP Human Development Report 2016.</w:t>
      </w:r>
    </w:p>
  </w:footnote>
  <w:footnote w:id="5">
    <w:p w14:paraId="61DA7460" w14:textId="77777777" w:rsidR="004C22C6" w:rsidRPr="00111922" w:rsidRDefault="004C22C6" w:rsidP="0065554E">
      <w:pPr>
        <w:spacing w:before="0" w:after="0"/>
        <w:ind w:right="1195"/>
        <w:rPr>
          <w:rFonts w:ascii="Times New Roman" w:hAnsi="Times New Roman" w:cs="Times New Roman"/>
          <w:sz w:val="16"/>
          <w:szCs w:val="16"/>
          <w:lang w:val="en-GB"/>
        </w:rPr>
      </w:pPr>
      <w:r w:rsidRPr="007A5E95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111922">
        <w:rPr>
          <w:rFonts w:ascii="Times New Roman" w:hAnsi="Times New Roman" w:cs="Times New Roman"/>
          <w:sz w:val="16"/>
          <w:szCs w:val="16"/>
          <w:lang w:val="en-GB"/>
        </w:rPr>
        <w:t xml:space="preserve"> World Bank Report No. 36490-Gabon, Poverty Diagnostics, June 15, 2006.</w:t>
      </w:r>
    </w:p>
  </w:footnote>
  <w:footnote w:id="6">
    <w:p w14:paraId="14AF686F" w14:textId="77777777" w:rsidR="004C22C6" w:rsidRPr="00111922" w:rsidRDefault="004C22C6" w:rsidP="00E74D28">
      <w:pPr>
        <w:spacing w:before="0" w:after="0"/>
        <w:rPr>
          <w:rFonts w:ascii="Times New Roman" w:hAnsi="Times New Roman" w:cs="Times New Roman"/>
          <w:sz w:val="16"/>
          <w:szCs w:val="16"/>
          <w:lang w:val="es-AR"/>
        </w:rPr>
      </w:pPr>
      <w:r w:rsidRPr="007A5E95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7A5E95">
        <w:rPr>
          <w:rFonts w:ascii="Times New Roman" w:hAnsi="Times New Roman" w:cs="Times New Roman"/>
          <w:sz w:val="16"/>
          <w:szCs w:val="16"/>
          <w:vertAlign w:val="superscript"/>
          <w:lang w:val="es-AR"/>
        </w:rPr>
        <w:t xml:space="preserve"> </w:t>
      </w:r>
      <w:r w:rsidRPr="00F42603">
        <w:rPr>
          <w:rFonts w:ascii="Times New Roman" w:hAnsi="Times New Roman" w:cs="Times New Roman"/>
          <w:i/>
          <w:sz w:val="16"/>
          <w:szCs w:val="16"/>
          <w:lang w:val="es-AR"/>
        </w:rPr>
        <w:t>Ibid</w:t>
      </w:r>
      <w:r w:rsidRPr="00111922">
        <w:rPr>
          <w:rFonts w:ascii="Times New Roman" w:hAnsi="Times New Roman" w:cs="Times New Roman"/>
          <w:sz w:val="16"/>
          <w:szCs w:val="16"/>
          <w:lang w:val="es-AR"/>
        </w:rPr>
        <w:t>.</w:t>
      </w:r>
    </w:p>
  </w:footnote>
  <w:footnote w:id="7">
    <w:p w14:paraId="284630D5" w14:textId="77777777" w:rsidR="004C22C6" w:rsidRPr="00111922" w:rsidRDefault="004C22C6" w:rsidP="00E74D28">
      <w:pPr>
        <w:spacing w:before="0"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A5E95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111922">
        <w:rPr>
          <w:rFonts w:ascii="Times New Roman" w:hAnsi="Times New Roman" w:cs="Times New Roman"/>
          <w:sz w:val="16"/>
          <w:szCs w:val="16"/>
          <w:lang w:val="es-AR"/>
        </w:rPr>
        <w:t xml:space="preserve"> </w:t>
      </w:r>
      <w:hyperlink r:id="rId2" w:history="1">
        <w:r w:rsidRPr="00111922">
          <w:rPr>
            <w:rFonts w:ascii="Times New Roman" w:hAnsi="Times New Roman" w:cs="Times New Roman"/>
            <w:color w:val="000000" w:themeColor="text1"/>
            <w:sz w:val="16"/>
            <w:szCs w:val="16"/>
          </w:rPr>
          <w:t>World</w:t>
        </w:r>
      </w:hyperlink>
      <w:r w:rsidRPr="0011192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Bank, 2005. </w:t>
      </w:r>
    </w:p>
  </w:footnote>
  <w:footnote w:id="8">
    <w:p w14:paraId="27CC324C" w14:textId="77777777" w:rsidR="004C22C6" w:rsidRPr="00F42603" w:rsidRDefault="004C22C6">
      <w:pPr>
        <w:pStyle w:val="FootnoteText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A5E95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footnoteRef/>
      </w:r>
      <w:r w:rsidRPr="00F4260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42603">
        <w:rPr>
          <w:rFonts w:ascii="Times New Roman" w:hAnsi="Times New Roman" w:cs="Times New Roman"/>
          <w:sz w:val="16"/>
          <w:szCs w:val="16"/>
        </w:rPr>
        <w:t>2013 General Population and Housing Census for Gabon</w:t>
      </w:r>
      <w:r w:rsidRPr="00F42603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</w:footnote>
  <w:footnote w:id="9">
    <w:p w14:paraId="5FB25C0F" w14:textId="77777777" w:rsidR="004C22C6" w:rsidRPr="00F42603" w:rsidRDefault="004C22C6" w:rsidP="007C330E">
      <w:pPr>
        <w:pStyle w:val="FootnoteText"/>
        <w:tabs>
          <w:tab w:val="left" w:pos="705"/>
        </w:tabs>
        <w:rPr>
          <w:rFonts w:ascii="Times New Roman" w:hAnsi="Times New Roman"/>
          <w:sz w:val="16"/>
          <w:szCs w:val="16"/>
        </w:rPr>
      </w:pPr>
      <w:r w:rsidRPr="007A5E95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footnoteRef/>
      </w:r>
      <w:r w:rsidRPr="00F4260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F65E55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Ibid</w:t>
      </w:r>
      <w:r w:rsidRPr="00F42603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</w:footnote>
  <w:footnote w:id="10">
    <w:p w14:paraId="58828C1B" w14:textId="77777777" w:rsidR="004C22C6" w:rsidRPr="00F42603" w:rsidRDefault="004C22C6" w:rsidP="0065554E">
      <w:pPr>
        <w:spacing w:before="0" w:after="0"/>
        <w:rPr>
          <w:rFonts w:ascii="Times New Roman" w:hAnsi="Times New Roman" w:cs="Times New Roman"/>
          <w:sz w:val="16"/>
          <w:szCs w:val="16"/>
        </w:rPr>
      </w:pPr>
      <w:r w:rsidRPr="007A5E95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F42603">
        <w:rPr>
          <w:rFonts w:ascii="Times New Roman" w:hAnsi="Times New Roman" w:cs="Times New Roman"/>
          <w:sz w:val="16"/>
          <w:szCs w:val="16"/>
        </w:rPr>
        <w:t xml:space="preserve"> 2013 General Population and Housing Census for Gabon, and the United Nations Common Country Assessment (CCA) for 2017.</w:t>
      </w:r>
    </w:p>
  </w:footnote>
  <w:footnote w:id="11">
    <w:p w14:paraId="2345CDCA" w14:textId="77777777" w:rsidR="004C22C6" w:rsidRPr="004A6C3A" w:rsidRDefault="004C22C6" w:rsidP="001B15E2">
      <w:pPr>
        <w:spacing w:before="0" w:after="0"/>
        <w:ind w:right="1195"/>
        <w:rPr>
          <w:rFonts w:ascii="Times New Roman" w:hAnsi="Times New Roman" w:cs="Times New Roman"/>
          <w:sz w:val="16"/>
          <w:szCs w:val="16"/>
        </w:rPr>
      </w:pPr>
      <w:r w:rsidRPr="007A5E95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4A6C3A">
        <w:rPr>
          <w:rFonts w:ascii="Times New Roman" w:hAnsi="Times New Roman" w:cs="Times New Roman"/>
          <w:sz w:val="16"/>
          <w:szCs w:val="16"/>
        </w:rPr>
        <w:t xml:space="preserve"> National Health Insurance and Social Guarantee Fund.</w:t>
      </w:r>
    </w:p>
  </w:footnote>
  <w:footnote w:id="12">
    <w:p w14:paraId="47F47A07" w14:textId="77777777" w:rsidR="004C22C6" w:rsidRPr="00F42603" w:rsidRDefault="004C22C6" w:rsidP="001B15E2">
      <w:pPr>
        <w:spacing w:before="0" w:after="0"/>
        <w:rPr>
          <w:rFonts w:ascii="Times New Roman" w:hAnsi="Times New Roman" w:cs="Times New Roman"/>
          <w:sz w:val="16"/>
          <w:szCs w:val="16"/>
        </w:rPr>
      </w:pPr>
      <w:r w:rsidRPr="007A5E95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F42603">
        <w:rPr>
          <w:rFonts w:ascii="Times New Roman" w:hAnsi="Times New Roman" w:cs="Times New Roman"/>
          <w:sz w:val="16"/>
          <w:szCs w:val="16"/>
        </w:rPr>
        <w:t xml:space="preserve"> 2013 General Population and Housing Census for Gabon.</w:t>
      </w:r>
    </w:p>
  </w:footnote>
  <w:footnote w:id="13">
    <w:p w14:paraId="08FA2880" w14:textId="77777777" w:rsidR="004C22C6" w:rsidRPr="004A6C3A" w:rsidRDefault="004C22C6" w:rsidP="001B15E2">
      <w:pPr>
        <w:spacing w:before="0" w:after="0"/>
        <w:rPr>
          <w:rFonts w:ascii="Times New Roman" w:hAnsi="Times New Roman" w:cs="Times New Roman"/>
          <w:sz w:val="16"/>
          <w:szCs w:val="16"/>
        </w:rPr>
      </w:pPr>
      <w:r w:rsidRPr="007A5E95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4A6C3A">
        <w:rPr>
          <w:rFonts w:ascii="Times New Roman" w:hAnsi="Times New Roman" w:cs="Times New Roman"/>
          <w:sz w:val="16"/>
          <w:szCs w:val="16"/>
        </w:rPr>
        <w:t xml:space="preserve"> </w:t>
      </w:r>
      <w:r w:rsidRPr="00F65E55">
        <w:rPr>
          <w:rFonts w:ascii="Times New Roman" w:hAnsi="Times New Roman" w:cs="Times New Roman"/>
          <w:i/>
          <w:sz w:val="16"/>
          <w:szCs w:val="16"/>
        </w:rPr>
        <w:t>Ibid</w:t>
      </w:r>
      <w:r w:rsidRPr="004A6C3A">
        <w:rPr>
          <w:rFonts w:ascii="Times New Roman" w:hAnsi="Times New Roman" w:cs="Times New Roman"/>
          <w:sz w:val="16"/>
          <w:szCs w:val="16"/>
        </w:rPr>
        <w:t>.</w:t>
      </w:r>
    </w:p>
  </w:footnote>
  <w:footnote w:id="14">
    <w:p w14:paraId="7FF074B0" w14:textId="77777777" w:rsidR="004C22C6" w:rsidRPr="00A575C1" w:rsidRDefault="004C22C6" w:rsidP="00EC06E3">
      <w:pPr>
        <w:spacing w:before="0" w:after="0"/>
        <w:ind w:right="1195"/>
        <w:rPr>
          <w:rFonts w:ascii="Times New Roman" w:hAnsi="Times New Roman" w:cs="Times New Roman"/>
          <w:sz w:val="16"/>
          <w:szCs w:val="16"/>
        </w:rPr>
      </w:pPr>
      <w:r w:rsidRPr="00111922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A575C1">
        <w:rPr>
          <w:rFonts w:ascii="Times New Roman" w:hAnsi="Times New Roman" w:cs="Times New Roman"/>
          <w:sz w:val="16"/>
          <w:szCs w:val="16"/>
        </w:rPr>
        <w:t xml:space="preserve"> General Directorate of Statistics, 2013 General Population and Housing Census for Gabon</w:t>
      </w:r>
      <w:r w:rsidRPr="00A575C1">
        <w:rPr>
          <w:rFonts w:ascii="Times New Roman" w:hAnsi="Times New Roman" w:cs="Times New Roman"/>
          <w:i/>
          <w:iCs/>
          <w:sz w:val="16"/>
          <w:szCs w:val="16"/>
        </w:rPr>
        <w:t>.</w:t>
      </w:r>
    </w:p>
  </w:footnote>
  <w:footnote w:id="15">
    <w:p w14:paraId="46B97B00" w14:textId="77777777" w:rsidR="004C22C6" w:rsidRPr="00C20FE4" w:rsidRDefault="004C22C6" w:rsidP="00EC06E3">
      <w:pPr>
        <w:spacing w:before="0" w:after="0"/>
        <w:ind w:right="1195"/>
        <w:rPr>
          <w:rFonts w:ascii="Times New Roman" w:hAnsi="Times New Roman" w:cs="Times New Roman"/>
          <w:sz w:val="16"/>
          <w:szCs w:val="16"/>
        </w:rPr>
      </w:pPr>
      <w:r w:rsidRPr="00C20FE4">
        <w:rPr>
          <w:rFonts w:ascii="Times New Roman" w:hAnsi="Times New Roman" w:cs="Times New Roman"/>
          <w:sz w:val="16"/>
          <w:szCs w:val="16"/>
          <w:vertAlign w:val="superscript"/>
          <w:lang w:val="en-GB"/>
        </w:rPr>
        <w:footnoteRef/>
      </w:r>
      <w:r w:rsidRPr="00C20FE4">
        <w:rPr>
          <w:rFonts w:ascii="Times New Roman" w:hAnsi="Times New Roman" w:cs="Times New Roman"/>
          <w:sz w:val="16"/>
          <w:szCs w:val="16"/>
        </w:rPr>
        <w:t xml:space="preserve"> </w:t>
      </w:r>
      <w:r w:rsidRPr="00C20FE4">
        <w:rPr>
          <w:rFonts w:ascii="Times New Roman" w:hAnsi="Times New Roman" w:cs="Times New Roman"/>
          <w:spacing w:val="5"/>
          <w:w w:val="103"/>
          <w:kern w:val="14"/>
          <w:sz w:val="16"/>
          <w:szCs w:val="16"/>
        </w:rPr>
        <w:t>Demographic Health Survey for Gabon, 2012.</w:t>
      </w:r>
    </w:p>
  </w:footnote>
  <w:footnote w:id="16">
    <w:p w14:paraId="54B07A9A" w14:textId="77777777" w:rsidR="004C22C6" w:rsidRPr="00C20FE4" w:rsidRDefault="004C22C6" w:rsidP="000371C0">
      <w:pPr>
        <w:spacing w:before="0" w:after="0"/>
        <w:ind w:right="1195"/>
        <w:rPr>
          <w:rFonts w:ascii="Times New Roman" w:hAnsi="Times New Roman" w:cs="Times New Roman"/>
          <w:sz w:val="16"/>
          <w:szCs w:val="16"/>
        </w:rPr>
      </w:pPr>
      <w:r w:rsidRPr="00C20FE4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C20FE4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C20FE4">
        <w:rPr>
          <w:rFonts w:ascii="Times New Roman" w:hAnsi="Times New Roman" w:cs="Times New Roman"/>
          <w:sz w:val="16"/>
          <w:szCs w:val="16"/>
        </w:rPr>
        <w:t>Global Results of the General Census of Populations and Dwellings in Gabon, 2013.</w:t>
      </w:r>
    </w:p>
  </w:footnote>
  <w:footnote w:id="17">
    <w:p w14:paraId="115C4A5A" w14:textId="77777777" w:rsidR="004C22C6" w:rsidRPr="00C20FE4" w:rsidRDefault="004C22C6" w:rsidP="00EC06E3">
      <w:pPr>
        <w:spacing w:before="0" w:after="0"/>
        <w:ind w:right="1195"/>
        <w:rPr>
          <w:rFonts w:ascii="Times New Roman" w:hAnsi="Times New Roman" w:cs="Times New Roman"/>
          <w:sz w:val="16"/>
          <w:szCs w:val="16"/>
        </w:rPr>
      </w:pPr>
      <w:r w:rsidRPr="00C20FE4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C20FE4">
        <w:rPr>
          <w:rFonts w:ascii="Times New Roman" w:hAnsi="Times New Roman" w:cs="Times New Roman"/>
          <w:sz w:val="16"/>
          <w:szCs w:val="16"/>
        </w:rPr>
        <w:t xml:space="preserve"> 2013 population census </w:t>
      </w:r>
      <w:r>
        <w:rPr>
          <w:rFonts w:ascii="Times New Roman" w:hAnsi="Times New Roman" w:cs="Times New Roman"/>
          <w:sz w:val="16"/>
          <w:szCs w:val="16"/>
        </w:rPr>
        <w:t>and 2012 Inquiry on Employment,</w:t>
      </w:r>
      <w:r w:rsidRPr="00C20FE4">
        <w:rPr>
          <w:rFonts w:ascii="Times New Roman" w:hAnsi="Times New Roman" w:cs="Times New Roman"/>
          <w:sz w:val="16"/>
          <w:szCs w:val="16"/>
        </w:rPr>
        <w:t xml:space="preserve"> General</w:t>
      </w:r>
      <w:r>
        <w:rPr>
          <w:rFonts w:ascii="Times New Roman" w:hAnsi="Times New Roman" w:cs="Times New Roman"/>
          <w:sz w:val="16"/>
          <w:szCs w:val="16"/>
        </w:rPr>
        <w:t xml:space="preserve"> Directorate</w:t>
      </w:r>
      <w:r w:rsidRPr="00C20FE4">
        <w:rPr>
          <w:rFonts w:ascii="Times New Roman" w:hAnsi="Times New Roman" w:cs="Times New Roman"/>
          <w:sz w:val="16"/>
          <w:szCs w:val="16"/>
        </w:rPr>
        <w:t xml:space="preserve"> of Statistics.</w:t>
      </w:r>
    </w:p>
  </w:footnote>
  <w:footnote w:id="18">
    <w:p w14:paraId="1C9D2175" w14:textId="77777777" w:rsidR="004C22C6" w:rsidRPr="00C20FE4" w:rsidRDefault="004C22C6" w:rsidP="00EC06E3">
      <w:pPr>
        <w:spacing w:before="0" w:after="0"/>
        <w:ind w:right="1195"/>
        <w:rPr>
          <w:rFonts w:ascii="Times New Roman" w:hAnsi="Times New Roman" w:cs="Times New Roman"/>
          <w:sz w:val="16"/>
          <w:szCs w:val="16"/>
        </w:rPr>
      </w:pPr>
      <w:r w:rsidRPr="00C20FE4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C20FE4">
        <w:rPr>
          <w:rFonts w:ascii="Times New Roman" w:hAnsi="Times New Roman" w:cs="Times New Roman"/>
          <w:sz w:val="16"/>
          <w:szCs w:val="16"/>
        </w:rPr>
        <w:t xml:space="preserve"> The Second and Third ‘National Communications’ of Gabon on Climate Change</w:t>
      </w:r>
    </w:p>
  </w:footnote>
  <w:footnote w:id="19">
    <w:p w14:paraId="53195946" w14:textId="77777777" w:rsidR="004C22C6" w:rsidRPr="004A6C3A" w:rsidRDefault="004C22C6" w:rsidP="00EC06E3">
      <w:pPr>
        <w:spacing w:before="0" w:after="0"/>
        <w:rPr>
          <w:rFonts w:ascii="Times New Roman" w:hAnsi="Times New Roman" w:cs="Times New Roman"/>
          <w:sz w:val="16"/>
          <w:szCs w:val="16"/>
        </w:rPr>
      </w:pPr>
      <w:r w:rsidRPr="00C20FE4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C20FE4">
        <w:rPr>
          <w:rFonts w:ascii="Times New Roman" w:hAnsi="Times New Roman" w:cs="Times New Roman"/>
          <w:sz w:val="16"/>
          <w:szCs w:val="16"/>
        </w:rPr>
        <w:t xml:space="preserve"> Gabonese Ministry of Forestry, Waters and Fish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C20FE4">
        <w:rPr>
          <w:rFonts w:ascii="Times New Roman" w:hAnsi="Times New Roman" w:cs="Times New Roman"/>
          <w:sz w:val="16"/>
          <w:szCs w:val="16"/>
        </w:rPr>
        <w:t xml:space="preserve"> 2005</w:t>
      </w:r>
      <w:r>
        <w:rPr>
          <w:rFonts w:ascii="Times New Roman" w:hAnsi="Times New Roman" w:cs="Times New Roman"/>
          <w:sz w:val="16"/>
          <w:szCs w:val="16"/>
        </w:rPr>
        <w:t>. See:</w:t>
      </w:r>
      <w:r w:rsidRPr="00C20FE4">
        <w:rPr>
          <w:rFonts w:ascii="Times New Roman" w:hAnsi="Times New Roman" w:cs="Times New Roman"/>
          <w:sz w:val="16"/>
          <w:szCs w:val="16"/>
        </w:rPr>
        <w:t xml:space="preserve"> </w:t>
      </w:r>
      <w:hyperlink r:id="rId3" w:history="1">
        <w:r w:rsidRPr="00135D7F">
          <w:rPr>
            <w:rStyle w:val="Hyperlink"/>
            <w:rFonts w:ascii="Times New Roman" w:hAnsi="Times New Roman" w:cs="Times New Roman"/>
            <w:sz w:val="16"/>
            <w:szCs w:val="16"/>
          </w:rPr>
          <w:t>http://unfccc.int/resource/docs/natc/gabnc1.pdf</w:t>
        </w:r>
      </w:hyperlink>
      <w:r>
        <w:rPr>
          <w:rFonts w:ascii="Times New Roman" w:hAnsi="Times New Roman" w:cs="Times New Roman"/>
          <w:sz w:val="16"/>
          <w:szCs w:val="16"/>
        </w:rPr>
        <w:t xml:space="preserve">. </w:t>
      </w:r>
      <w:r w:rsidRPr="004A6C3A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20">
    <w:p w14:paraId="0E82AF1F" w14:textId="77777777" w:rsidR="004C22C6" w:rsidRPr="00111922" w:rsidRDefault="004C22C6" w:rsidP="00DC0FC0">
      <w:pPr>
        <w:spacing w:before="0" w:after="0"/>
        <w:rPr>
          <w:rFonts w:ascii="Times New Roman" w:hAnsi="Times New Roman"/>
          <w:sz w:val="16"/>
          <w:szCs w:val="16"/>
        </w:rPr>
      </w:pPr>
      <w:r w:rsidRPr="00111922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111922">
        <w:rPr>
          <w:rFonts w:ascii="Times New Roman" w:hAnsi="Times New Roman" w:cs="Times New Roman"/>
          <w:sz w:val="16"/>
          <w:szCs w:val="16"/>
        </w:rPr>
        <w:t xml:space="preserve"> CCA 2017.</w:t>
      </w:r>
    </w:p>
  </w:footnote>
  <w:footnote w:id="21">
    <w:p w14:paraId="4684DFD3" w14:textId="77777777" w:rsidR="004C22C6" w:rsidRPr="00111922" w:rsidRDefault="004C22C6" w:rsidP="00DC0FC0">
      <w:pPr>
        <w:spacing w:before="0" w:after="0"/>
        <w:rPr>
          <w:rFonts w:ascii="Times New Roman" w:hAnsi="Times New Roman" w:cs="Times New Roman"/>
          <w:sz w:val="16"/>
          <w:szCs w:val="16"/>
        </w:rPr>
      </w:pPr>
      <w:r w:rsidRPr="00111922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111922">
        <w:rPr>
          <w:rFonts w:ascii="Times New Roman" w:hAnsi="Times New Roman" w:cs="Times New Roman"/>
          <w:sz w:val="16"/>
          <w:szCs w:val="16"/>
        </w:rPr>
        <w:t xml:space="preserve"> CCA 2017, the Mo Ibrahim Report 2016, and the Public Financial Management Performance of Gabon (PEFA) report from 2016, Department of Public Finance and the International Monetary Fund (IMF).</w:t>
      </w:r>
    </w:p>
  </w:footnote>
  <w:footnote w:id="22">
    <w:p w14:paraId="728B77E4" w14:textId="77777777" w:rsidR="004C22C6" w:rsidRPr="00111922" w:rsidRDefault="004C22C6" w:rsidP="00DC0FC0">
      <w:pPr>
        <w:spacing w:before="0" w:after="0"/>
        <w:rPr>
          <w:rFonts w:ascii="Times New Roman" w:hAnsi="Times New Roman" w:cs="Times New Roman"/>
          <w:sz w:val="16"/>
          <w:szCs w:val="16"/>
        </w:rPr>
      </w:pPr>
      <w:r w:rsidRPr="00111922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111922">
        <w:rPr>
          <w:rFonts w:ascii="Times New Roman" w:hAnsi="Times New Roman" w:cs="Times New Roman"/>
          <w:sz w:val="16"/>
          <w:szCs w:val="16"/>
        </w:rPr>
        <w:t xml:space="preserve"> Gabon request for an extended arrangement under the Extended Fund Facility, IMF Country Report No. 17/205, July 2017.</w:t>
      </w:r>
    </w:p>
  </w:footnote>
  <w:footnote w:id="23">
    <w:p w14:paraId="6B8368A7" w14:textId="77777777" w:rsidR="004C22C6" w:rsidRPr="00111922" w:rsidRDefault="004C22C6" w:rsidP="00DC0FC0">
      <w:pPr>
        <w:spacing w:before="0" w:after="0"/>
        <w:rPr>
          <w:rFonts w:ascii="Times New Roman" w:hAnsi="Times New Roman" w:cs="Times New Roman"/>
          <w:sz w:val="16"/>
          <w:szCs w:val="16"/>
        </w:rPr>
      </w:pPr>
      <w:r w:rsidRPr="00111922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111922">
        <w:rPr>
          <w:rFonts w:ascii="Times New Roman" w:hAnsi="Times New Roman" w:cs="Times New Roman"/>
          <w:sz w:val="16"/>
          <w:szCs w:val="16"/>
        </w:rPr>
        <w:t xml:space="preserve"> </w:t>
      </w:r>
      <w:r w:rsidRPr="00111922">
        <w:rPr>
          <w:rFonts w:ascii="Times New Roman" w:hAnsi="Times New Roman" w:cs="Times New Roman"/>
          <w:spacing w:val="5"/>
          <w:sz w:val="16"/>
          <w:szCs w:val="16"/>
        </w:rPr>
        <w:t xml:space="preserve">IMF Executive Board Consultation, February 2016. </w:t>
      </w:r>
    </w:p>
  </w:footnote>
  <w:footnote w:id="24">
    <w:p w14:paraId="2B52AE34" w14:textId="77777777" w:rsidR="004C22C6" w:rsidRPr="004A6C3A" w:rsidRDefault="004C22C6" w:rsidP="00DC0FC0">
      <w:pPr>
        <w:spacing w:before="0" w:after="0"/>
        <w:rPr>
          <w:rFonts w:ascii="Times New Roman" w:hAnsi="Times New Roman" w:cs="Times New Roman"/>
          <w:sz w:val="16"/>
          <w:szCs w:val="16"/>
        </w:rPr>
      </w:pPr>
      <w:r w:rsidRPr="00111922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7D5F31">
        <w:rPr>
          <w:rFonts w:ascii="Times New Roman" w:hAnsi="Times New Roman" w:cs="Times New Roman"/>
          <w:sz w:val="16"/>
          <w:szCs w:val="16"/>
        </w:rPr>
        <w:t xml:space="preserve"> Ministry of Economy: Economic</w:t>
      </w:r>
      <w:r w:rsidRPr="004A6C3A">
        <w:rPr>
          <w:rFonts w:ascii="Times New Roman" w:hAnsi="Times New Roman" w:cs="Times New Roman"/>
          <w:sz w:val="16"/>
          <w:szCs w:val="16"/>
        </w:rPr>
        <w:t>, Social and Financial Report accompanying the draft Supplementary Budget Law of 2017.</w:t>
      </w:r>
    </w:p>
  </w:footnote>
  <w:footnote w:id="25">
    <w:p w14:paraId="1DF1CB26" w14:textId="77777777" w:rsidR="004C22C6" w:rsidRPr="00111922" w:rsidRDefault="004C22C6" w:rsidP="00EC06E3">
      <w:pPr>
        <w:spacing w:before="0" w:after="0"/>
        <w:rPr>
          <w:rFonts w:ascii="Times New Roman" w:hAnsi="Times New Roman" w:cs="Times New Roman"/>
          <w:sz w:val="16"/>
          <w:szCs w:val="16"/>
        </w:rPr>
      </w:pPr>
      <w:r w:rsidRPr="00111922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111922">
        <w:rPr>
          <w:rFonts w:ascii="Times New Roman" w:hAnsi="Times New Roman" w:cs="Times New Roman"/>
          <w:sz w:val="16"/>
          <w:szCs w:val="16"/>
        </w:rPr>
        <w:t xml:space="preserve"> Assessment of </w:t>
      </w:r>
      <w:r>
        <w:rPr>
          <w:rFonts w:ascii="Times New Roman" w:hAnsi="Times New Roman" w:cs="Times New Roman"/>
          <w:sz w:val="16"/>
          <w:szCs w:val="16"/>
        </w:rPr>
        <w:t>d</w:t>
      </w:r>
      <w:r w:rsidRPr="00111922">
        <w:rPr>
          <w:rFonts w:ascii="Times New Roman" w:hAnsi="Times New Roman" w:cs="Times New Roman"/>
          <w:sz w:val="16"/>
          <w:szCs w:val="16"/>
        </w:rPr>
        <w:t xml:space="preserve">evelopment </w:t>
      </w:r>
      <w:r>
        <w:rPr>
          <w:rFonts w:ascii="Times New Roman" w:hAnsi="Times New Roman" w:cs="Times New Roman"/>
          <w:sz w:val="16"/>
          <w:szCs w:val="16"/>
        </w:rPr>
        <w:t>r</w:t>
      </w:r>
      <w:r w:rsidRPr="00111922">
        <w:rPr>
          <w:rFonts w:ascii="Times New Roman" w:hAnsi="Times New Roman" w:cs="Times New Roman"/>
          <w:sz w:val="16"/>
          <w:szCs w:val="16"/>
        </w:rPr>
        <w:t>esults</w:t>
      </w:r>
      <w:r>
        <w:rPr>
          <w:rFonts w:ascii="Times New Roman" w:hAnsi="Times New Roman" w:cs="Times New Roman"/>
          <w:sz w:val="16"/>
          <w:szCs w:val="16"/>
        </w:rPr>
        <w:t xml:space="preserve"> for</w:t>
      </w:r>
      <w:r w:rsidRPr="00111922">
        <w:rPr>
          <w:rFonts w:ascii="Times New Roman" w:hAnsi="Times New Roman" w:cs="Times New Roman"/>
          <w:sz w:val="16"/>
          <w:szCs w:val="16"/>
        </w:rPr>
        <w:t xml:space="preserve"> Gabon, December 2016.</w:t>
      </w:r>
    </w:p>
  </w:footnote>
  <w:footnote w:id="26">
    <w:p w14:paraId="600B2481" w14:textId="77777777" w:rsidR="004C22C6" w:rsidRPr="00111922" w:rsidRDefault="004C22C6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111922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11922">
        <w:rPr>
          <w:rFonts w:ascii="Times New Roman" w:hAnsi="Times New Roman" w:cs="Times New Roman"/>
          <w:sz w:val="16"/>
          <w:szCs w:val="16"/>
        </w:rPr>
        <w:t xml:space="preserve"> 1 - Unsatisfactory: No local development plan; 2 - Partially satisfactory: local development plan developed; 3 – Satisfactory: Local Development Plan funded; 4 - Very Good: Local Development Plan implemented.</w:t>
      </w:r>
    </w:p>
  </w:footnote>
  <w:footnote w:id="27">
    <w:p w14:paraId="26844F71" w14:textId="77777777" w:rsidR="004C22C6" w:rsidRPr="00111922" w:rsidRDefault="004C22C6">
      <w:pPr>
        <w:pStyle w:val="FootnoteText"/>
        <w:rPr>
          <w:rFonts w:ascii="Times New Roman" w:hAnsi="Times New Roman"/>
          <w:sz w:val="16"/>
          <w:szCs w:val="16"/>
        </w:rPr>
      </w:pPr>
      <w:r w:rsidRPr="00111922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11922">
        <w:rPr>
          <w:rFonts w:ascii="Times New Roman" w:hAnsi="Times New Roman" w:cs="Times New Roman"/>
          <w:sz w:val="16"/>
          <w:szCs w:val="16"/>
        </w:rPr>
        <w:t xml:space="preserve">  1- Unsatisfactory: Not started; 2 - Partially Satisfactory: </w:t>
      </w:r>
      <w:r w:rsidRPr="00680516">
        <w:rPr>
          <w:rFonts w:ascii="Times New Roman" w:hAnsi="Times New Roman" w:cs="Times New Roman"/>
          <w:sz w:val="16"/>
          <w:szCs w:val="16"/>
        </w:rPr>
        <w:t>Sensitization launched at national and local levels; 3 – Satisfactory: Integration of the SDGs and  Agenda 2063 in local and national plan; 4 - Very Good: National and local plan mainstreaming the SDGs and Agenda 2063 funded; 5 - Excellent: National and local plans mainstreaming the SDGs and Agenda 2063 implemented and reported at the High Level Forum.</w:t>
      </w:r>
    </w:p>
  </w:footnote>
  <w:footnote w:id="28">
    <w:p w14:paraId="3CE86F14" w14:textId="77777777" w:rsidR="004C22C6" w:rsidRPr="00111922" w:rsidRDefault="004C22C6" w:rsidP="00D00360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111922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11922">
        <w:rPr>
          <w:rFonts w:ascii="Times New Roman" w:hAnsi="Times New Roman" w:cs="Times New Roman"/>
          <w:sz w:val="16"/>
          <w:szCs w:val="16"/>
        </w:rPr>
        <w:t xml:space="preserve"> Ogooue-Ivindo will be the focus.</w:t>
      </w:r>
    </w:p>
  </w:footnote>
  <w:footnote w:id="29">
    <w:p w14:paraId="3BFA219E" w14:textId="77777777" w:rsidR="004C22C6" w:rsidRPr="00111922" w:rsidRDefault="004C22C6">
      <w:pPr>
        <w:pStyle w:val="FootnoteText"/>
        <w:rPr>
          <w:rFonts w:ascii="Times New Roman" w:hAnsi="Times New Roman" w:cs="Times New Roman"/>
          <w:sz w:val="16"/>
          <w:szCs w:val="16"/>
          <w:lang w:val="en-GB"/>
        </w:rPr>
      </w:pPr>
      <w:r w:rsidRPr="00111922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11922">
        <w:rPr>
          <w:rFonts w:ascii="Times New Roman" w:hAnsi="Times New Roman" w:cs="Times New Roman"/>
          <w:sz w:val="16"/>
          <w:szCs w:val="16"/>
        </w:rPr>
        <w:t xml:space="preserve"> </w:t>
      </w:r>
      <w:r w:rsidRPr="00111922">
        <w:rPr>
          <w:rFonts w:ascii="Times New Roman" w:hAnsi="Times New Roman" w:cs="Times New Roman"/>
          <w:sz w:val="16"/>
          <w:szCs w:val="16"/>
          <w:lang w:val="en-GB"/>
        </w:rPr>
        <w:t>Such as the Ministry for Forestry and the Environment, the National Agency for National Parks, and the National Council for Sustainable Development, etc.</w:t>
      </w:r>
    </w:p>
  </w:footnote>
  <w:footnote w:id="30">
    <w:p w14:paraId="05E86B97" w14:textId="77777777" w:rsidR="004C22C6" w:rsidRPr="00111922" w:rsidRDefault="004C22C6">
      <w:pPr>
        <w:pStyle w:val="FootnoteText"/>
        <w:rPr>
          <w:rFonts w:ascii="Times New Roman" w:hAnsi="Times New Roman"/>
          <w:sz w:val="16"/>
          <w:szCs w:val="16"/>
        </w:rPr>
      </w:pPr>
      <w:r w:rsidRPr="00111922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11922">
        <w:rPr>
          <w:rFonts w:ascii="Times New Roman" w:hAnsi="Times New Roman" w:cs="Times New Roman"/>
          <w:sz w:val="16"/>
          <w:szCs w:val="16"/>
        </w:rPr>
        <w:t xml:space="preserve">  Unsatisfactory: Not started; 2- Partially Satisfactory: Sensitization at local level is ensured for sustainable use of natural resources and ecosystem services; 3 - Good: Integration of the sustainable principles in plan and programmes is ensured by the communities; 4 -Very Good: Local communities are able to ensure sustainable use of natural resources and ecosystem services.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3A5FE" w14:textId="77777777" w:rsidR="004C22C6" w:rsidRPr="0009491A" w:rsidRDefault="004C22C6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09491A">
      <w:rPr>
        <w:rFonts w:ascii="Times New Roman" w:hAnsi="Times New Roman" w:cs="Times New Roman"/>
        <w:sz w:val="20"/>
        <w:szCs w:val="20"/>
      </w:rPr>
      <w:t>DP/DCP/Gab/</w:t>
    </w:r>
    <w:r>
      <w:rPr>
        <w:rFonts w:ascii="Times New Roman" w:hAnsi="Times New Roman" w:cs="Times New Roman"/>
        <w:sz w:val="20"/>
        <w:szCs w:val="20"/>
      </w:rPr>
      <w:t>x</w:t>
    </w:r>
  </w:p>
  <w:p w14:paraId="45B3DE7C" w14:textId="77777777" w:rsidR="004C22C6" w:rsidRDefault="004C22C6">
    <w:pPr>
      <w:pStyle w:val="Header"/>
    </w:pPr>
    <w:r>
      <w:t xml:space="preserve"> 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61"/>
    </w:tblGrid>
    <w:tr w:rsidR="004C22C6" w:rsidRPr="003C0FA1" w14:paraId="6B41B63A" w14:textId="77777777" w:rsidTr="005B7C2C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121C508" w14:textId="77777777" w:rsidR="004C22C6" w:rsidRPr="003C0FA1" w:rsidRDefault="004C22C6" w:rsidP="003C0FA1">
          <w:pPr>
            <w:tabs>
              <w:tab w:val="center" w:pos="4320"/>
              <w:tab w:val="right" w:pos="8640"/>
            </w:tabs>
            <w:spacing w:before="0"/>
            <w:rPr>
              <w:rFonts w:ascii="Times New Roman" w:eastAsia="Times New Roman" w:hAnsi="Times New Roman" w:cs="Times New Roman"/>
              <w:noProof/>
              <w:sz w:val="17"/>
              <w:szCs w:val="20"/>
              <w:lang w:eastAsia="en-US"/>
            </w:rPr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7907F79" w14:textId="77777777" w:rsidR="004C22C6" w:rsidRPr="003C0FA1" w:rsidRDefault="004C22C6" w:rsidP="003C0FA1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before="0" w:after="80" w:line="300" w:lineRule="exact"/>
            <w:outlineLvl w:val="0"/>
            <w:rPr>
              <w:rFonts w:ascii="Times New Roman" w:eastAsia="Times New Roman" w:hAnsi="Times New Roman" w:cs="Times New Roman"/>
              <w:spacing w:val="2"/>
              <w:w w:val="96"/>
              <w:kern w:val="14"/>
              <w:sz w:val="28"/>
              <w:szCs w:val="20"/>
              <w:lang w:val="en-GB" w:eastAsia="en-US"/>
            </w:rPr>
          </w:pPr>
          <w:r w:rsidRPr="003C0FA1">
            <w:rPr>
              <w:rFonts w:ascii="Times New Roman" w:eastAsia="Times New Roman" w:hAnsi="Times New Roman" w:cs="Times New Roman"/>
              <w:spacing w:val="2"/>
              <w:w w:val="96"/>
              <w:kern w:val="14"/>
              <w:sz w:val="28"/>
              <w:szCs w:val="20"/>
              <w:lang w:val="en-GB" w:eastAsia="en-US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D772E4E" w14:textId="77777777" w:rsidR="004C22C6" w:rsidRPr="003C0FA1" w:rsidRDefault="004C22C6" w:rsidP="003C0FA1">
          <w:pPr>
            <w:tabs>
              <w:tab w:val="center" w:pos="4320"/>
              <w:tab w:val="right" w:pos="8640"/>
            </w:tabs>
            <w:spacing w:before="0"/>
            <w:rPr>
              <w:rFonts w:ascii="Times New Roman" w:eastAsia="Times New Roman" w:hAnsi="Times New Roman" w:cs="Times New Roman"/>
              <w:noProof/>
              <w:sz w:val="17"/>
              <w:szCs w:val="20"/>
              <w:lang w:eastAsia="en-US"/>
            </w:rPr>
          </w:pPr>
        </w:p>
      </w:tc>
      <w:tc>
        <w:tcPr>
          <w:tcW w:w="651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60384F29" w14:textId="77777777" w:rsidR="004C22C6" w:rsidRPr="003C0FA1" w:rsidRDefault="004C22C6" w:rsidP="003C0FA1">
          <w:pPr>
            <w:suppressAutoHyphens/>
            <w:spacing w:before="0" w:after="80"/>
            <w:jc w:val="right"/>
            <w:rPr>
              <w:rFonts w:ascii="Times New Roman" w:eastAsia="Times New Roman" w:hAnsi="Times New Roman" w:cs="Times New Roman"/>
              <w:spacing w:val="4"/>
              <w:w w:val="103"/>
              <w:kern w:val="14"/>
              <w:position w:val="-4"/>
              <w:sz w:val="20"/>
              <w:szCs w:val="20"/>
              <w:lang w:val="en-GB" w:eastAsia="en-US"/>
            </w:rPr>
          </w:pPr>
          <w:r w:rsidRPr="003C0FA1">
            <w:rPr>
              <w:rFonts w:ascii="Times New Roman" w:eastAsia="Times New Roman" w:hAnsi="Times New Roman" w:cs="Times New Roman"/>
              <w:spacing w:val="4"/>
              <w:w w:val="103"/>
              <w:kern w:val="14"/>
              <w:position w:val="-4"/>
              <w:sz w:val="40"/>
              <w:szCs w:val="20"/>
              <w:lang w:val="en-GB" w:eastAsia="en-US"/>
            </w:rPr>
            <w:t>DP</w:t>
          </w:r>
          <w:r w:rsidRPr="003C0FA1">
            <w:rPr>
              <w:rFonts w:ascii="Times New Roman" w:eastAsia="Times New Roman" w:hAnsi="Times New Roman" w:cs="Times New Roman"/>
              <w:spacing w:val="4"/>
              <w:w w:val="103"/>
              <w:kern w:val="14"/>
              <w:position w:val="-4"/>
              <w:sz w:val="20"/>
              <w:szCs w:val="20"/>
              <w:lang w:val="en-GB" w:eastAsia="en-US"/>
            </w:rPr>
            <w:t>/DCP/GA</w:t>
          </w:r>
          <w:r>
            <w:rPr>
              <w:rFonts w:ascii="Times New Roman" w:eastAsia="Times New Roman" w:hAnsi="Times New Roman" w:cs="Times New Roman"/>
              <w:spacing w:val="4"/>
              <w:w w:val="103"/>
              <w:kern w:val="14"/>
              <w:position w:val="-4"/>
              <w:sz w:val="20"/>
              <w:szCs w:val="20"/>
              <w:lang w:val="en-GB" w:eastAsia="en-US"/>
            </w:rPr>
            <w:t>B</w:t>
          </w:r>
          <w:r w:rsidRPr="003C0FA1">
            <w:rPr>
              <w:rFonts w:ascii="Times New Roman" w:eastAsia="Times New Roman" w:hAnsi="Times New Roman" w:cs="Times New Roman"/>
              <w:spacing w:val="4"/>
              <w:w w:val="103"/>
              <w:kern w:val="14"/>
              <w:position w:val="-4"/>
              <w:sz w:val="20"/>
              <w:szCs w:val="20"/>
              <w:lang w:val="en-GB" w:eastAsia="en-US"/>
            </w:rPr>
            <w:t>/3</w:t>
          </w:r>
        </w:p>
      </w:tc>
    </w:tr>
    <w:tr w:rsidR="004C22C6" w:rsidRPr="003C0FA1" w14:paraId="19FF2B4F" w14:textId="77777777" w:rsidTr="005B7C2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2F8C335" w14:textId="77777777" w:rsidR="004C22C6" w:rsidRPr="003C0FA1" w:rsidRDefault="004C22C6" w:rsidP="003C0FA1">
          <w:pPr>
            <w:tabs>
              <w:tab w:val="center" w:pos="4320"/>
              <w:tab w:val="right" w:pos="8640"/>
            </w:tabs>
            <w:spacing w:before="109" w:after="0"/>
            <w:rPr>
              <w:rFonts w:ascii="Times New Roman" w:eastAsia="Times New Roman" w:hAnsi="Times New Roman" w:cs="Times New Roman"/>
              <w:noProof/>
              <w:sz w:val="17"/>
              <w:szCs w:val="20"/>
              <w:lang w:eastAsia="en-US"/>
            </w:rPr>
          </w:pPr>
          <w:r w:rsidRPr="003C0FA1">
            <w:rPr>
              <w:rFonts w:ascii="Times New Roman" w:eastAsia="Times New Roman" w:hAnsi="Times New Roman" w:cs="Times New Roman"/>
              <w:noProof/>
              <w:sz w:val="17"/>
              <w:szCs w:val="20"/>
              <w:lang w:eastAsia="en-US"/>
            </w:rPr>
            <w:t xml:space="preserve"> </w:t>
          </w:r>
          <w:r w:rsidRPr="003C0FA1">
            <w:rPr>
              <w:rFonts w:ascii="Times New Roman" w:eastAsia="Times New Roman" w:hAnsi="Times New Roman" w:cs="Times New Roman"/>
              <w:noProof/>
              <w:sz w:val="17"/>
              <w:szCs w:val="20"/>
              <w:lang w:eastAsia="en-US"/>
            </w:rPr>
            <w:drawing>
              <wp:inline distT="0" distB="0" distL="0" distR="0" wp14:anchorId="632188EA" wp14:editId="188E6E80">
                <wp:extent cx="702945" cy="592455"/>
                <wp:effectExtent l="0" t="0" r="1905" b="0"/>
                <wp:docPr id="1" name="Picture 1" descr="_u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u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C65B713" w14:textId="77777777" w:rsidR="004C22C6" w:rsidRPr="003C0FA1" w:rsidRDefault="004C22C6" w:rsidP="003C0FA1">
          <w:pPr>
            <w:tabs>
              <w:tab w:val="center" w:pos="4320"/>
              <w:tab w:val="right" w:pos="8640"/>
            </w:tabs>
            <w:spacing w:before="109" w:after="0"/>
            <w:rPr>
              <w:rFonts w:ascii="Times New Roman" w:eastAsia="Times New Roman" w:hAnsi="Times New Roman" w:cs="Times New Roman"/>
              <w:noProof/>
              <w:sz w:val="17"/>
              <w:szCs w:val="20"/>
              <w:lang w:eastAsia="en-US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52D202E" w14:textId="77777777" w:rsidR="004C22C6" w:rsidRPr="003C0FA1" w:rsidRDefault="004C22C6" w:rsidP="003C0FA1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before="109" w:after="0"/>
            <w:outlineLvl w:val="0"/>
            <w:rPr>
              <w:rFonts w:ascii="Times New Roman" w:eastAsia="Times New Roman" w:hAnsi="Times New Roman" w:cs="Times New Roman"/>
              <w:b/>
              <w:spacing w:val="-4"/>
              <w:w w:val="98"/>
              <w:kern w:val="14"/>
              <w:sz w:val="34"/>
              <w:szCs w:val="20"/>
              <w:lang w:val="en-GB" w:eastAsia="en-US"/>
            </w:rPr>
          </w:pPr>
          <w:r w:rsidRPr="003C0FA1">
            <w:rPr>
              <w:rFonts w:ascii="Times New Roman" w:eastAsia="Times New Roman" w:hAnsi="Times New Roman" w:cs="Times New Roman"/>
              <w:b/>
              <w:sz w:val="34"/>
              <w:szCs w:val="20"/>
              <w:lang w:eastAsia="en-US"/>
            </w:rPr>
            <w:t>Executive Board of the</w:t>
          </w:r>
          <w:r w:rsidRPr="003C0FA1">
            <w:rPr>
              <w:rFonts w:ascii="Times New Roman" w:eastAsia="Times New Roman" w:hAnsi="Times New Roman" w:cs="Times New Roman"/>
              <w:b/>
              <w:sz w:val="34"/>
              <w:szCs w:val="20"/>
              <w:lang w:eastAsia="en-US"/>
            </w:rPr>
            <w:br/>
            <w:t>United Nations Development</w:t>
          </w:r>
          <w:r w:rsidRPr="003C0FA1">
            <w:rPr>
              <w:rFonts w:ascii="Times New Roman" w:eastAsia="Times New Roman" w:hAnsi="Times New Roman" w:cs="Times New Roman"/>
              <w:b/>
              <w:sz w:val="34"/>
              <w:szCs w:val="20"/>
              <w:lang w:eastAsia="en-US"/>
            </w:rPr>
            <w:br/>
            <w:t xml:space="preserve">Programme, the United Nations Population Fund and the </w:t>
          </w:r>
          <w:r w:rsidRPr="003C0FA1">
            <w:rPr>
              <w:rFonts w:ascii="Times New Roman" w:eastAsia="Times New Roman" w:hAnsi="Times New Roman" w:cs="Times New Roman"/>
              <w:b/>
              <w:sz w:val="34"/>
              <w:szCs w:val="20"/>
              <w:lang w:eastAsia="en-US"/>
            </w:rPr>
            <w:br/>
            <w:t xml:space="preserve">United Nations Office for </w:t>
          </w:r>
          <w:r w:rsidRPr="003C0FA1">
            <w:rPr>
              <w:rFonts w:ascii="Times New Roman" w:eastAsia="Times New Roman" w:hAnsi="Times New Roman" w:cs="Times New Roman"/>
              <w:b/>
              <w:sz w:val="34"/>
              <w:szCs w:val="20"/>
              <w:lang w:eastAsia="en-US"/>
            </w:rPr>
            <w:br/>
            <w:t>Project Services</w:t>
          </w:r>
        </w:p>
        <w:p w14:paraId="3F385B1B" w14:textId="77777777" w:rsidR="004C22C6" w:rsidRPr="003C0FA1" w:rsidRDefault="004C22C6" w:rsidP="003C0FA1">
          <w:pPr>
            <w:spacing w:before="0" w:after="0"/>
            <w:rPr>
              <w:rFonts w:ascii="Times New Roman" w:eastAsia="Times New Roman" w:hAnsi="Times New Roman" w:cs="Times New Roman"/>
              <w:sz w:val="34"/>
              <w:szCs w:val="20"/>
              <w:lang w:val="en-GB" w:eastAsia="en-US"/>
            </w:rPr>
          </w:pPr>
        </w:p>
        <w:p w14:paraId="700BDED7" w14:textId="77777777" w:rsidR="004C22C6" w:rsidRPr="003C0FA1" w:rsidRDefault="004C22C6" w:rsidP="003C0FA1">
          <w:pPr>
            <w:spacing w:before="0" w:after="0"/>
            <w:ind w:firstLine="720"/>
            <w:rPr>
              <w:rFonts w:ascii="Times New Roman" w:eastAsia="Times New Roman" w:hAnsi="Times New Roman" w:cs="Times New Roman"/>
              <w:sz w:val="34"/>
              <w:szCs w:val="20"/>
              <w:lang w:val="en-GB" w:eastAsia="en-US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270DB9D" w14:textId="77777777" w:rsidR="004C22C6" w:rsidRPr="003C0FA1" w:rsidRDefault="004C22C6" w:rsidP="003C0FA1">
          <w:pPr>
            <w:tabs>
              <w:tab w:val="center" w:pos="4320"/>
              <w:tab w:val="right" w:pos="8640"/>
            </w:tabs>
            <w:spacing w:before="109" w:after="0"/>
            <w:rPr>
              <w:rFonts w:ascii="Times New Roman" w:eastAsia="Times New Roman" w:hAnsi="Times New Roman" w:cs="Times New Roman"/>
              <w:noProof/>
              <w:sz w:val="17"/>
              <w:szCs w:val="20"/>
              <w:lang w:eastAsia="en-US"/>
            </w:rPr>
          </w:pPr>
        </w:p>
      </w:tc>
      <w:tc>
        <w:tcPr>
          <w:tcW w:w="3161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EA5D31B" w14:textId="77777777" w:rsidR="004C22C6" w:rsidRPr="003C0FA1" w:rsidRDefault="004C22C6" w:rsidP="003C0FA1">
          <w:pPr>
            <w:suppressAutoHyphens/>
            <w:spacing w:before="240" w:after="0" w:line="240" w:lineRule="exact"/>
            <w:rPr>
              <w:rFonts w:ascii="Times New Roman" w:eastAsia="Times New Roman" w:hAnsi="Times New Roman" w:cs="Times New Roman"/>
              <w:spacing w:val="4"/>
              <w:w w:val="103"/>
              <w:kern w:val="14"/>
              <w:sz w:val="20"/>
              <w:szCs w:val="20"/>
              <w:lang w:val="en-GB" w:eastAsia="en-US"/>
            </w:rPr>
          </w:pPr>
          <w:r w:rsidRPr="003C0FA1">
            <w:rPr>
              <w:rFonts w:ascii="Times New Roman" w:eastAsia="Times New Roman" w:hAnsi="Times New Roman" w:cs="Times New Roman"/>
              <w:spacing w:val="4"/>
              <w:w w:val="103"/>
              <w:kern w:val="14"/>
              <w:sz w:val="20"/>
              <w:szCs w:val="20"/>
              <w:lang w:val="en-GB" w:eastAsia="en-US"/>
            </w:rPr>
            <w:t>Distr.: General</w:t>
          </w:r>
        </w:p>
        <w:p w14:paraId="0AA067B6" w14:textId="77777777" w:rsidR="004C22C6" w:rsidRPr="003C0FA1" w:rsidRDefault="004C22C6" w:rsidP="003C0FA1">
          <w:pPr>
            <w:suppressAutoHyphens/>
            <w:spacing w:before="0" w:after="0" w:line="240" w:lineRule="exact"/>
            <w:rPr>
              <w:rFonts w:ascii="Times New Roman" w:eastAsia="Times New Roman" w:hAnsi="Times New Roman" w:cs="Times New Roman"/>
              <w:spacing w:val="4"/>
              <w:w w:val="103"/>
              <w:kern w:val="14"/>
              <w:sz w:val="20"/>
              <w:szCs w:val="20"/>
              <w:lang w:val="en-GB" w:eastAsia="en-US"/>
            </w:rPr>
          </w:pPr>
          <w:r w:rsidRPr="003C0FA1">
            <w:rPr>
              <w:rFonts w:ascii="Times New Roman" w:eastAsia="Times New Roman" w:hAnsi="Times New Roman" w:cs="Times New Roman"/>
              <w:spacing w:val="4"/>
              <w:w w:val="103"/>
              <w:kern w:val="14"/>
              <w:sz w:val="20"/>
              <w:szCs w:val="20"/>
              <w:lang w:val="en-GB" w:eastAsia="en-US"/>
            </w:rPr>
            <w:t>30 October 2017</w:t>
          </w:r>
        </w:p>
        <w:p w14:paraId="46B76DBC" w14:textId="77777777" w:rsidR="004C22C6" w:rsidRPr="003C0FA1" w:rsidRDefault="004C22C6" w:rsidP="003C0FA1">
          <w:pPr>
            <w:suppressAutoHyphens/>
            <w:spacing w:before="0" w:after="0" w:line="240" w:lineRule="exact"/>
            <w:rPr>
              <w:rFonts w:ascii="Times New Roman" w:eastAsia="Times New Roman" w:hAnsi="Times New Roman" w:cs="Times New Roman"/>
              <w:spacing w:val="4"/>
              <w:w w:val="103"/>
              <w:kern w:val="14"/>
              <w:sz w:val="20"/>
              <w:szCs w:val="20"/>
              <w:lang w:val="en-GB" w:eastAsia="en-US"/>
            </w:rPr>
          </w:pPr>
        </w:p>
        <w:p w14:paraId="05F99D1E" w14:textId="77777777" w:rsidR="004C22C6" w:rsidRPr="003C0FA1" w:rsidRDefault="004C22C6" w:rsidP="003C0FA1">
          <w:pPr>
            <w:suppressAutoHyphens/>
            <w:spacing w:before="0" w:after="0" w:line="240" w:lineRule="exact"/>
            <w:rPr>
              <w:rFonts w:ascii="Times New Roman" w:eastAsia="Times New Roman" w:hAnsi="Times New Roman" w:cs="Times New Roman"/>
              <w:spacing w:val="4"/>
              <w:w w:val="103"/>
              <w:kern w:val="14"/>
              <w:sz w:val="20"/>
              <w:szCs w:val="20"/>
              <w:lang w:val="en-GB" w:eastAsia="en-US"/>
            </w:rPr>
          </w:pPr>
          <w:r w:rsidRPr="003C0FA1">
            <w:rPr>
              <w:rFonts w:ascii="Times New Roman" w:eastAsia="Times New Roman" w:hAnsi="Times New Roman" w:cs="Times New Roman"/>
              <w:spacing w:val="4"/>
              <w:w w:val="103"/>
              <w:kern w:val="14"/>
              <w:sz w:val="20"/>
              <w:szCs w:val="20"/>
              <w:lang w:val="en-GB" w:eastAsia="en-US"/>
            </w:rPr>
            <w:t>Original: English</w:t>
          </w:r>
        </w:p>
        <w:p w14:paraId="540D36E1" w14:textId="77777777" w:rsidR="004C22C6" w:rsidRPr="003C0FA1" w:rsidRDefault="004C22C6" w:rsidP="003C0FA1">
          <w:pPr>
            <w:spacing w:before="0" w:after="0"/>
            <w:rPr>
              <w:rFonts w:ascii="Times New Roman" w:eastAsia="Times New Roman" w:hAnsi="Times New Roman" w:cs="Times New Roman"/>
              <w:sz w:val="20"/>
              <w:szCs w:val="20"/>
              <w:lang w:val="en-GB" w:eastAsia="en-US"/>
            </w:rPr>
          </w:pPr>
        </w:p>
      </w:tc>
    </w:tr>
  </w:tbl>
  <w:p w14:paraId="6D2D39CE" w14:textId="77777777" w:rsidR="004C22C6" w:rsidRPr="004E7D13" w:rsidRDefault="004C22C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21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9"/>
      <w:gridCol w:w="6072"/>
    </w:tblGrid>
    <w:tr w:rsidR="004C22C6" w:rsidRPr="00F51650" w14:paraId="065C9023" w14:textId="77777777" w:rsidTr="00C728A1">
      <w:trPr>
        <w:trHeight w:hRule="exact" w:val="743"/>
      </w:trPr>
      <w:tc>
        <w:tcPr>
          <w:tcW w:w="3549" w:type="dxa"/>
          <w:tcBorders>
            <w:bottom w:val="single" w:sz="4" w:space="0" w:color="auto"/>
          </w:tcBorders>
          <w:vAlign w:val="bottom"/>
        </w:tcPr>
        <w:p w14:paraId="2161AB3A" w14:textId="77777777" w:rsidR="004C22C6" w:rsidRPr="00F51650" w:rsidRDefault="004C22C6" w:rsidP="00F51650">
          <w:pPr>
            <w:widowControl w:val="0"/>
            <w:tabs>
              <w:tab w:val="center" w:pos="4320"/>
              <w:tab w:val="right" w:pos="8640"/>
            </w:tabs>
            <w:spacing w:before="0" w:after="80"/>
            <w:jc w:val="both"/>
            <w:rPr>
              <w:rFonts w:ascii="Times New Roman" w:eastAsia="Times New Roman" w:hAnsi="Times New Roman" w:cs="Times New Roman"/>
              <w:b/>
              <w:sz w:val="17"/>
              <w:szCs w:val="17"/>
              <w:lang w:eastAsia="en-US"/>
            </w:rPr>
          </w:pPr>
          <w:r w:rsidRPr="00F51650">
            <w:rPr>
              <w:rFonts w:ascii="Times New Roman" w:eastAsia="Times New Roman" w:hAnsi="Times New Roman" w:cs="Times New Roman"/>
              <w:b/>
              <w:sz w:val="17"/>
              <w:szCs w:val="17"/>
              <w:lang w:eastAsia="en-US"/>
            </w:rPr>
            <w:t>DP/DCP/GA</w:t>
          </w:r>
          <w:r>
            <w:rPr>
              <w:rFonts w:ascii="Times New Roman" w:eastAsia="Times New Roman" w:hAnsi="Times New Roman" w:cs="Times New Roman"/>
              <w:b/>
              <w:sz w:val="17"/>
              <w:szCs w:val="17"/>
              <w:lang w:eastAsia="en-US"/>
            </w:rPr>
            <w:t>B</w:t>
          </w:r>
          <w:r w:rsidRPr="00F51650">
            <w:rPr>
              <w:rFonts w:ascii="Times New Roman" w:eastAsia="Times New Roman" w:hAnsi="Times New Roman" w:cs="Times New Roman"/>
              <w:b/>
              <w:sz w:val="17"/>
              <w:szCs w:val="17"/>
              <w:lang w:eastAsia="en-US"/>
            </w:rPr>
            <w:t>/3</w:t>
          </w:r>
        </w:p>
      </w:tc>
      <w:tc>
        <w:tcPr>
          <w:tcW w:w="6072" w:type="dxa"/>
          <w:tcBorders>
            <w:bottom w:val="single" w:sz="4" w:space="0" w:color="auto"/>
          </w:tcBorders>
          <w:vAlign w:val="bottom"/>
        </w:tcPr>
        <w:p w14:paraId="3AF28EC9" w14:textId="77777777" w:rsidR="004C22C6" w:rsidRPr="00F51650" w:rsidRDefault="004C22C6" w:rsidP="00F51650">
          <w:pPr>
            <w:widowControl w:val="0"/>
            <w:tabs>
              <w:tab w:val="center" w:pos="4320"/>
              <w:tab w:val="right" w:pos="8640"/>
            </w:tabs>
            <w:spacing w:before="0"/>
            <w:jc w:val="both"/>
            <w:rPr>
              <w:rFonts w:ascii="Times New Roman" w:eastAsia="Times New Roman" w:hAnsi="Times New Roman" w:cs="Times New Roman"/>
              <w:sz w:val="17"/>
              <w:szCs w:val="17"/>
              <w:lang w:eastAsia="en-US"/>
            </w:rPr>
          </w:pPr>
        </w:p>
      </w:tc>
    </w:tr>
  </w:tbl>
  <w:p w14:paraId="28123D66" w14:textId="77777777" w:rsidR="004C22C6" w:rsidRPr="00D56208" w:rsidRDefault="004C22C6" w:rsidP="006C596B">
    <w:pPr>
      <w:pStyle w:val="Header"/>
      <w:rPr>
        <w:rFonts w:ascii="Times New Roman" w:hAnsi="Times New Roman" w:cs="Times New Roman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5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47"/>
    </w:tblGrid>
    <w:tr w:rsidR="004C22C6" w:rsidRPr="00C728A1" w14:paraId="7E483815" w14:textId="77777777" w:rsidTr="005B7C2C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0CFD3959" w14:textId="77777777" w:rsidR="004C22C6" w:rsidRPr="00C728A1" w:rsidRDefault="004C22C6" w:rsidP="00C728A1">
          <w:pPr>
            <w:widowControl w:val="0"/>
            <w:tabs>
              <w:tab w:val="center" w:pos="4320"/>
              <w:tab w:val="right" w:pos="8640"/>
            </w:tabs>
            <w:spacing w:before="0" w:after="80"/>
            <w:rPr>
              <w:rFonts w:ascii="Times New Roman" w:eastAsia="Times New Roman" w:hAnsi="Times New Roman" w:cs="Times New Roman"/>
              <w:b/>
              <w:sz w:val="17"/>
              <w:szCs w:val="17"/>
              <w:lang w:eastAsia="en-US"/>
            </w:rPr>
          </w:pPr>
        </w:p>
      </w:tc>
      <w:tc>
        <w:tcPr>
          <w:tcW w:w="5047" w:type="dxa"/>
          <w:tcBorders>
            <w:bottom w:val="single" w:sz="4" w:space="0" w:color="auto"/>
          </w:tcBorders>
          <w:vAlign w:val="bottom"/>
        </w:tcPr>
        <w:p w14:paraId="698DC194" w14:textId="77777777" w:rsidR="004C22C6" w:rsidRPr="00C728A1" w:rsidRDefault="004C22C6" w:rsidP="00C728A1">
          <w:pPr>
            <w:widowControl w:val="0"/>
            <w:tabs>
              <w:tab w:val="center" w:pos="4320"/>
              <w:tab w:val="right" w:pos="8640"/>
            </w:tabs>
            <w:spacing w:before="0" w:after="0"/>
            <w:jc w:val="right"/>
            <w:rPr>
              <w:rFonts w:ascii="Times New Roman" w:eastAsia="Times New Roman" w:hAnsi="Times New Roman" w:cs="Times New Roman"/>
              <w:sz w:val="17"/>
              <w:szCs w:val="17"/>
              <w:lang w:eastAsia="en-US"/>
            </w:rPr>
          </w:pPr>
          <w:r w:rsidRPr="00C728A1">
            <w:rPr>
              <w:rFonts w:ascii="Times New Roman" w:eastAsia="Times New Roman" w:hAnsi="Times New Roman" w:cs="Times New Roman"/>
              <w:b/>
              <w:sz w:val="17"/>
              <w:szCs w:val="17"/>
              <w:lang w:eastAsia="en-US"/>
            </w:rPr>
            <w:t>DP/DCP/GA</w:t>
          </w:r>
          <w:r>
            <w:rPr>
              <w:rFonts w:ascii="Times New Roman" w:eastAsia="Times New Roman" w:hAnsi="Times New Roman" w:cs="Times New Roman"/>
              <w:b/>
              <w:sz w:val="17"/>
              <w:szCs w:val="17"/>
              <w:lang w:eastAsia="en-US"/>
            </w:rPr>
            <w:t>B</w:t>
          </w:r>
          <w:r w:rsidRPr="00C728A1">
            <w:rPr>
              <w:rFonts w:ascii="Times New Roman" w:eastAsia="Times New Roman" w:hAnsi="Times New Roman" w:cs="Times New Roman"/>
              <w:b/>
              <w:sz w:val="17"/>
              <w:szCs w:val="17"/>
              <w:lang w:eastAsia="en-US"/>
            </w:rPr>
            <w:t>/3</w:t>
          </w:r>
        </w:p>
      </w:tc>
    </w:tr>
  </w:tbl>
  <w:p w14:paraId="339C7E5B" w14:textId="77777777" w:rsidR="004C22C6" w:rsidRPr="008523FE" w:rsidRDefault="004C22C6" w:rsidP="006C596B">
    <w:pPr>
      <w:pStyle w:val="Header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592D5" w14:textId="77777777" w:rsidR="004C22C6" w:rsidRPr="002B75D9" w:rsidRDefault="004C22C6" w:rsidP="002F684B">
    <w:pPr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17" w:type="dxa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9679"/>
    </w:tblGrid>
    <w:tr w:rsidR="004C22C6" w:rsidRPr="00D56208" w14:paraId="78DC90BE" w14:textId="77777777" w:rsidTr="005B7C2C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61F2BE38" w14:textId="77777777" w:rsidR="004C22C6" w:rsidRPr="00D56208" w:rsidRDefault="004C22C6" w:rsidP="00E410A2">
          <w:pPr>
            <w:widowControl w:val="0"/>
            <w:tabs>
              <w:tab w:val="center" w:pos="4320"/>
              <w:tab w:val="right" w:pos="8640"/>
            </w:tabs>
            <w:spacing w:before="0" w:after="80"/>
            <w:ind w:left="-1838" w:firstLine="1838"/>
            <w:rPr>
              <w:rFonts w:ascii="Times New Roman" w:eastAsia="Times New Roman" w:hAnsi="Times New Roman" w:cs="Times New Roman"/>
              <w:b/>
              <w:sz w:val="17"/>
              <w:szCs w:val="17"/>
              <w:lang w:eastAsia="en-US"/>
            </w:rPr>
          </w:pPr>
          <w:r w:rsidRPr="00D56208">
            <w:rPr>
              <w:rFonts w:ascii="Times New Roman" w:eastAsia="Times New Roman" w:hAnsi="Times New Roman" w:cs="Times New Roman"/>
              <w:b/>
              <w:sz w:val="17"/>
              <w:szCs w:val="17"/>
              <w:lang w:eastAsia="en-US"/>
            </w:rPr>
            <w:t>DP/DCP/GA</w:t>
          </w:r>
          <w:r>
            <w:rPr>
              <w:rFonts w:ascii="Times New Roman" w:eastAsia="Times New Roman" w:hAnsi="Times New Roman" w:cs="Times New Roman"/>
              <w:b/>
              <w:sz w:val="17"/>
              <w:szCs w:val="17"/>
              <w:lang w:eastAsia="en-US"/>
            </w:rPr>
            <w:t>B</w:t>
          </w:r>
          <w:r w:rsidRPr="00D56208">
            <w:rPr>
              <w:rFonts w:ascii="Times New Roman" w:eastAsia="Times New Roman" w:hAnsi="Times New Roman" w:cs="Times New Roman"/>
              <w:b/>
              <w:sz w:val="17"/>
              <w:szCs w:val="17"/>
              <w:lang w:eastAsia="en-US"/>
            </w:rPr>
            <w:t>/3</w:t>
          </w:r>
        </w:p>
      </w:tc>
      <w:tc>
        <w:tcPr>
          <w:tcW w:w="9679" w:type="dxa"/>
          <w:tcBorders>
            <w:bottom w:val="single" w:sz="4" w:space="0" w:color="auto"/>
          </w:tcBorders>
          <w:vAlign w:val="bottom"/>
        </w:tcPr>
        <w:p w14:paraId="3878442F" w14:textId="77777777" w:rsidR="004C22C6" w:rsidRPr="00D56208" w:rsidRDefault="004C22C6" w:rsidP="00E410A2">
          <w:pPr>
            <w:widowControl w:val="0"/>
            <w:tabs>
              <w:tab w:val="center" w:pos="4320"/>
              <w:tab w:val="right" w:pos="8640"/>
            </w:tabs>
            <w:spacing w:before="0" w:after="0"/>
            <w:rPr>
              <w:rFonts w:ascii="Times New Roman" w:eastAsia="Times New Roman" w:hAnsi="Times New Roman" w:cs="Times New Roman"/>
              <w:sz w:val="17"/>
              <w:szCs w:val="17"/>
              <w:lang w:eastAsia="en-US"/>
            </w:rPr>
          </w:pPr>
        </w:p>
      </w:tc>
    </w:tr>
  </w:tbl>
  <w:p w14:paraId="40A9C8C7" w14:textId="77777777" w:rsidR="004C22C6" w:rsidRPr="00D56208" w:rsidRDefault="004C22C6" w:rsidP="006C596B">
    <w:pPr>
      <w:pStyle w:val="Header"/>
      <w:rPr>
        <w:rFonts w:ascii="Times New Roman" w:hAnsi="Times New Roman" w:cs="Times New Roman"/>
        <w:sz w:val="16"/>
        <w:szCs w:val="16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350" w:type="dxa"/>
      <w:tblInd w:w="-310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7"/>
      <w:gridCol w:w="9533"/>
    </w:tblGrid>
    <w:tr w:rsidR="004C22C6" w:rsidRPr="006A34F7" w14:paraId="4AAF310A" w14:textId="77777777" w:rsidTr="00E410A2">
      <w:trPr>
        <w:trHeight w:hRule="exact" w:val="773"/>
      </w:trPr>
      <w:tc>
        <w:tcPr>
          <w:tcW w:w="4817" w:type="dxa"/>
          <w:tcBorders>
            <w:bottom w:val="single" w:sz="4" w:space="0" w:color="auto"/>
          </w:tcBorders>
          <w:vAlign w:val="bottom"/>
        </w:tcPr>
        <w:p w14:paraId="2355C1F1" w14:textId="77777777" w:rsidR="004C22C6" w:rsidRPr="006A34F7" w:rsidRDefault="004C22C6" w:rsidP="006A34F7">
          <w:pPr>
            <w:widowControl w:val="0"/>
            <w:tabs>
              <w:tab w:val="center" w:pos="4320"/>
              <w:tab w:val="right" w:pos="8640"/>
            </w:tabs>
            <w:spacing w:before="0" w:after="80"/>
            <w:rPr>
              <w:rFonts w:ascii="Times New Roman" w:eastAsia="Times New Roman" w:hAnsi="Times New Roman" w:cs="Times New Roman"/>
              <w:b/>
              <w:sz w:val="17"/>
              <w:szCs w:val="17"/>
              <w:lang w:eastAsia="en-US"/>
            </w:rPr>
          </w:pPr>
        </w:p>
      </w:tc>
      <w:tc>
        <w:tcPr>
          <w:tcW w:w="9533" w:type="dxa"/>
          <w:tcBorders>
            <w:bottom w:val="single" w:sz="4" w:space="0" w:color="auto"/>
          </w:tcBorders>
          <w:vAlign w:val="bottom"/>
        </w:tcPr>
        <w:p w14:paraId="2BFE0269" w14:textId="77777777" w:rsidR="004C22C6" w:rsidRPr="006A34F7" w:rsidRDefault="004C22C6" w:rsidP="00E410A2">
          <w:pPr>
            <w:widowControl w:val="0"/>
            <w:tabs>
              <w:tab w:val="center" w:pos="4875"/>
              <w:tab w:val="right" w:pos="9090"/>
            </w:tabs>
            <w:spacing w:before="0" w:after="0"/>
            <w:ind w:right="180"/>
            <w:jc w:val="right"/>
            <w:rPr>
              <w:rFonts w:ascii="Times New Roman" w:eastAsia="Times New Roman" w:hAnsi="Times New Roman" w:cs="Times New Roman"/>
              <w:sz w:val="17"/>
              <w:szCs w:val="17"/>
              <w:lang w:eastAsia="en-US"/>
            </w:rPr>
          </w:pPr>
          <w:r w:rsidRPr="006A34F7">
            <w:rPr>
              <w:rFonts w:ascii="Times New Roman" w:eastAsia="Times New Roman" w:hAnsi="Times New Roman" w:cs="Times New Roman"/>
              <w:b/>
              <w:sz w:val="17"/>
              <w:szCs w:val="17"/>
              <w:lang w:eastAsia="en-US"/>
            </w:rPr>
            <w:t>DP/DCP/GA</w:t>
          </w:r>
          <w:r>
            <w:rPr>
              <w:rFonts w:ascii="Times New Roman" w:eastAsia="Times New Roman" w:hAnsi="Times New Roman" w:cs="Times New Roman"/>
              <w:b/>
              <w:sz w:val="17"/>
              <w:szCs w:val="17"/>
              <w:lang w:eastAsia="en-US"/>
            </w:rPr>
            <w:t>B/3</w:t>
          </w:r>
        </w:p>
      </w:tc>
    </w:tr>
  </w:tbl>
  <w:p w14:paraId="3DF91DA1" w14:textId="77777777" w:rsidR="004C22C6" w:rsidRPr="008523FE" w:rsidRDefault="004C22C6" w:rsidP="006C596B">
    <w:pPr>
      <w:pStyle w:val="Header"/>
      <w:rPr>
        <w:sz w:val="16"/>
        <w:szCs w:val="16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17" w:type="dxa"/>
      <w:tblInd w:w="-567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9679"/>
    </w:tblGrid>
    <w:tr w:rsidR="004C22C6" w:rsidRPr="00D56208" w14:paraId="55B687D6" w14:textId="77777777" w:rsidTr="00212B46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4CB420F1" w14:textId="77777777" w:rsidR="004C22C6" w:rsidRPr="00D56208" w:rsidRDefault="004C22C6" w:rsidP="00DC3B95">
          <w:pPr>
            <w:widowControl w:val="0"/>
            <w:tabs>
              <w:tab w:val="center" w:pos="4320"/>
              <w:tab w:val="right" w:pos="8640"/>
            </w:tabs>
            <w:spacing w:before="0" w:after="80"/>
            <w:ind w:left="-1838" w:firstLine="1838"/>
            <w:rPr>
              <w:rFonts w:ascii="Times New Roman" w:eastAsia="Times New Roman" w:hAnsi="Times New Roman" w:cs="Times New Roman"/>
              <w:b/>
              <w:sz w:val="17"/>
              <w:szCs w:val="17"/>
              <w:lang w:eastAsia="en-US"/>
            </w:rPr>
          </w:pPr>
          <w:bookmarkStart w:id="11" w:name="_Hlk495592893"/>
          <w:r w:rsidRPr="00D56208">
            <w:rPr>
              <w:rFonts w:ascii="Times New Roman" w:eastAsia="Times New Roman" w:hAnsi="Times New Roman" w:cs="Times New Roman"/>
              <w:b/>
              <w:sz w:val="17"/>
              <w:szCs w:val="17"/>
              <w:lang w:eastAsia="en-US"/>
            </w:rPr>
            <w:t>DP/DCP/GA</w:t>
          </w:r>
          <w:r>
            <w:rPr>
              <w:rFonts w:ascii="Times New Roman" w:eastAsia="Times New Roman" w:hAnsi="Times New Roman" w:cs="Times New Roman"/>
              <w:b/>
              <w:sz w:val="17"/>
              <w:szCs w:val="17"/>
              <w:lang w:eastAsia="en-US"/>
            </w:rPr>
            <w:t>B</w:t>
          </w:r>
          <w:r w:rsidRPr="00D56208">
            <w:rPr>
              <w:rFonts w:ascii="Times New Roman" w:eastAsia="Times New Roman" w:hAnsi="Times New Roman" w:cs="Times New Roman"/>
              <w:b/>
              <w:sz w:val="17"/>
              <w:szCs w:val="17"/>
              <w:lang w:eastAsia="en-US"/>
            </w:rPr>
            <w:t>/3</w:t>
          </w:r>
        </w:p>
      </w:tc>
      <w:tc>
        <w:tcPr>
          <w:tcW w:w="9679" w:type="dxa"/>
          <w:tcBorders>
            <w:bottom w:val="single" w:sz="4" w:space="0" w:color="auto"/>
          </w:tcBorders>
          <w:vAlign w:val="bottom"/>
        </w:tcPr>
        <w:p w14:paraId="35609811" w14:textId="77777777" w:rsidR="004C22C6" w:rsidRPr="00D56208" w:rsidRDefault="004C22C6" w:rsidP="00DC3B95">
          <w:pPr>
            <w:widowControl w:val="0"/>
            <w:tabs>
              <w:tab w:val="center" w:pos="4320"/>
              <w:tab w:val="right" w:pos="8640"/>
            </w:tabs>
            <w:spacing w:before="0" w:after="0"/>
            <w:rPr>
              <w:rFonts w:ascii="Times New Roman" w:eastAsia="Times New Roman" w:hAnsi="Times New Roman" w:cs="Times New Roman"/>
              <w:sz w:val="17"/>
              <w:szCs w:val="17"/>
              <w:lang w:eastAsia="en-US"/>
            </w:rPr>
          </w:pPr>
        </w:p>
      </w:tc>
    </w:tr>
    <w:bookmarkEnd w:id="11"/>
  </w:tbl>
  <w:p w14:paraId="5685F768" w14:textId="77777777" w:rsidR="004C22C6" w:rsidRPr="002B75D9" w:rsidRDefault="004C22C6" w:rsidP="002F684B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C4A"/>
    <w:multiLevelType w:val="multilevel"/>
    <w:tmpl w:val="4E3A6EC2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540E"/>
    <w:multiLevelType w:val="hybridMultilevel"/>
    <w:tmpl w:val="2D6018C8"/>
    <w:lvl w:ilvl="0" w:tplc="1624C6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6F7D"/>
    <w:multiLevelType w:val="multilevel"/>
    <w:tmpl w:val="B9BA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E9F54BC"/>
    <w:multiLevelType w:val="hybridMultilevel"/>
    <w:tmpl w:val="D56C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27A56"/>
    <w:multiLevelType w:val="multilevel"/>
    <w:tmpl w:val="0FAA6032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75E0F"/>
    <w:multiLevelType w:val="multilevel"/>
    <w:tmpl w:val="8620EF4A"/>
    <w:name w:val="TOC3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4D70889"/>
    <w:multiLevelType w:val="hybridMultilevel"/>
    <w:tmpl w:val="E8F24428"/>
    <w:lvl w:ilvl="0" w:tplc="04EC34A4">
      <w:start w:val="1"/>
      <w:numFmt w:val="upperRoman"/>
      <w:lvlText w:val="%1."/>
      <w:lvlJc w:val="right"/>
      <w:pPr>
        <w:ind w:left="367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60432"/>
    <w:multiLevelType w:val="hybridMultilevel"/>
    <w:tmpl w:val="425410F4"/>
    <w:lvl w:ilvl="0" w:tplc="885E1154">
      <w:start w:val="1"/>
      <w:numFmt w:val="upperRoman"/>
      <w:pStyle w:val="Heading2"/>
      <w:lvlText w:val="%1.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627CF"/>
    <w:multiLevelType w:val="hybridMultilevel"/>
    <w:tmpl w:val="B23636E4"/>
    <w:lvl w:ilvl="0" w:tplc="15023E24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801E0"/>
    <w:multiLevelType w:val="multilevel"/>
    <w:tmpl w:val="4E3A6EC2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  <w:num w:numId="12">
    <w:abstractNumId w:val="0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AR" w:vendorID="64" w:dllVersion="0" w:nlCheck="1" w:checkStyle="0"/>
  <w:activeWritingStyle w:appName="MSWord" w:lang="fr-BE" w:vendorID="64" w:dllVersion="0" w:nlCheck="1" w:checkStyle="0"/>
  <w:activeWritingStyle w:appName="MSWord" w:lang="fr-CA" w:vendorID="64" w:dllVersion="6" w:nlCheck="1" w:checkStyle="1"/>
  <w:activeWritingStyle w:appName="MSWord" w:lang="fr-CA" w:vendorID="64" w:dllVersion="0" w:nlCheck="1" w:checkStyle="0"/>
  <w:activeWritingStyle w:appName="MSWord" w:lang="fr-BE" w:vendorID="64" w:dllVersion="6" w:nlCheck="1" w:checkStyle="1"/>
  <w:activeWritingStyle w:appName="MSWord" w:lang="es-AR" w:vendorID="64" w:dllVersion="6" w:nlCheck="1" w:checkStyle="1"/>
  <w:proofState w:spelling="clean" w:grammar="clean"/>
  <w:defaultTabStop w:val="476"/>
  <w:hyphenationZone w:val="20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1611874"/>
    <w:docVar w:name="CreationDt" w:val="14/07/2016 8:19: AM"/>
    <w:docVar w:name="DocCategory" w:val="Doc"/>
    <w:docVar w:name="DocType" w:val="Final"/>
    <w:docVar w:name="DutyStation" w:val="New York"/>
    <w:docVar w:name="FooterJN" w:val="16-11874"/>
    <w:docVar w:name="jobn" w:val="16-11874 (E)"/>
    <w:docVar w:name="jobnDT" w:val="16-11874 (E)   716      "/>
    <w:docVar w:name="jobnDTDT" w:val="16-11874 (E)   716      150716"/>
    <w:docVar w:name="JobNo" w:val="1611874E"/>
    <w:docVar w:name="JobNo2" w:val="1621337E"/>
    <w:docVar w:name="LocalDrive" w:val="0"/>
    <w:docVar w:name="OandT" w:val=" "/>
    <w:docVar w:name="PaperSize" w:val="Letter"/>
    <w:docVar w:name="sss1" w:val="DP/DCP/ERI/3"/>
    <w:docVar w:name="sss2" w:val="-"/>
    <w:docVar w:name="SuppJobNo" w:val="16-11874"/>
    <w:docVar w:name="Symbol1" w:val="DP/DCP/ERI/3"/>
    <w:docVar w:name="Symbol2" w:val="-"/>
  </w:docVars>
  <w:rsids>
    <w:rsidRoot w:val="004F6FA8"/>
    <w:rsid w:val="000014B5"/>
    <w:rsid w:val="00002DBE"/>
    <w:rsid w:val="0000301C"/>
    <w:rsid w:val="000037F8"/>
    <w:rsid w:val="00003BD6"/>
    <w:rsid w:val="000044BD"/>
    <w:rsid w:val="0000682E"/>
    <w:rsid w:val="00006914"/>
    <w:rsid w:val="00006ABE"/>
    <w:rsid w:val="00006B73"/>
    <w:rsid w:val="00010556"/>
    <w:rsid w:val="00010CB2"/>
    <w:rsid w:val="00011F66"/>
    <w:rsid w:val="00013783"/>
    <w:rsid w:val="000137FE"/>
    <w:rsid w:val="00013C9F"/>
    <w:rsid w:val="00015710"/>
    <w:rsid w:val="00015935"/>
    <w:rsid w:val="00015BCE"/>
    <w:rsid w:val="00016192"/>
    <w:rsid w:val="00016504"/>
    <w:rsid w:val="0001793F"/>
    <w:rsid w:val="00021540"/>
    <w:rsid w:val="000235CF"/>
    <w:rsid w:val="00023BDE"/>
    <w:rsid w:val="000243C1"/>
    <w:rsid w:val="00024B08"/>
    <w:rsid w:val="00024E5A"/>
    <w:rsid w:val="00025848"/>
    <w:rsid w:val="00025B24"/>
    <w:rsid w:val="00026652"/>
    <w:rsid w:val="00026687"/>
    <w:rsid w:val="00027578"/>
    <w:rsid w:val="000275FA"/>
    <w:rsid w:val="00027E25"/>
    <w:rsid w:val="00027F20"/>
    <w:rsid w:val="000308AA"/>
    <w:rsid w:val="00030964"/>
    <w:rsid w:val="00031085"/>
    <w:rsid w:val="00031C10"/>
    <w:rsid w:val="00032100"/>
    <w:rsid w:val="0003242E"/>
    <w:rsid w:val="0003244F"/>
    <w:rsid w:val="00032D5A"/>
    <w:rsid w:val="00033A11"/>
    <w:rsid w:val="00034259"/>
    <w:rsid w:val="00035031"/>
    <w:rsid w:val="000357E1"/>
    <w:rsid w:val="00035C7D"/>
    <w:rsid w:val="000371C0"/>
    <w:rsid w:val="00040A5D"/>
    <w:rsid w:val="00041277"/>
    <w:rsid w:val="000417EE"/>
    <w:rsid w:val="00041883"/>
    <w:rsid w:val="00041A1E"/>
    <w:rsid w:val="00041CAB"/>
    <w:rsid w:val="0004284C"/>
    <w:rsid w:val="000451D2"/>
    <w:rsid w:val="000451F1"/>
    <w:rsid w:val="00045230"/>
    <w:rsid w:val="00045DEF"/>
    <w:rsid w:val="000469EE"/>
    <w:rsid w:val="0004745F"/>
    <w:rsid w:val="0005003F"/>
    <w:rsid w:val="000509B8"/>
    <w:rsid w:val="00051981"/>
    <w:rsid w:val="00051D1B"/>
    <w:rsid w:val="00051D6F"/>
    <w:rsid w:val="00052829"/>
    <w:rsid w:val="00054828"/>
    <w:rsid w:val="00054CE8"/>
    <w:rsid w:val="00055978"/>
    <w:rsid w:val="00055BBE"/>
    <w:rsid w:val="00055F83"/>
    <w:rsid w:val="00056213"/>
    <w:rsid w:val="00056CC8"/>
    <w:rsid w:val="00056F68"/>
    <w:rsid w:val="00057B5F"/>
    <w:rsid w:val="00057F15"/>
    <w:rsid w:val="00057FD3"/>
    <w:rsid w:val="000600F7"/>
    <w:rsid w:val="0006024D"/>
    <w:rsid w:val="00060DA5"/>
    <w:rsid w:val="00060FB4"/>
    <w:rsid w:val="00062E0F"/>
    <w:rsid w:val="000632AB"/>
    <w:rsid w:val="00063850"/>
    <w:rsid w:val="00064273"/>
    <w:rsid w:val="0006651F"/>
    <w:rsid w:val="0006755B"/>
    <w:rsid w:val="0006760D"/>
    <w:rsid w:val="00067835"/>
    <w:rsid w:val="00070481"/>
    <w:rsid w:val="0007085C"/>
    <w:rsid w:val="00070A83"/>
    <w:rsid w:val="00071830"/>
    <w:rsid w:val="00071D37"/>
    <w:rsid w:val="00072A9F"/>
    <w:rsid w:val="00073B00"/>
    <w:rsid w:val="00074007"/>
    <w:rsid w:val="00074CD7"/>
    <w:rsid w:val="00075D70"/>
    <w:rsid w:val="00075E3E"/>
    <w:rsid w:val="00076459"/>
    <w:rsid w:val="000768AC"/>
    <w:rsid w:val="0007729C"/>
    <w:rsid w:val="000773B4"/>
    <w:rsid w:val="00077C68"/>
    <w:rsid w:val="00077DB0"/>
    <w:rsid w:val="00080953"/>
    <w:rsid w:val="0008177C"/>
    <w:rsid w:val="00081CC0"/>
    <w:rsid w:val="00083726"/>
    <w:rsid w:val="00083A78"/>
    <w:rsid w:val="000841F4"/>
    <w:rsid w:val="00084DCA"/>
    <w:rsid w:val="00085446"/>
    <w:rsid w:val="00086431"/>
    <w:rsid w:val="000871F3"/>
    <w:rsid w:val="000873D3"/>
    <w:rsid w:val="000873DA"/>
    <w:rsid w:val="0009016F"/>
    <w:rsid w:val="0009045B"/>
    <w:rsid w:val="00090A4B"/>
    <w:rsid w:val="00090D3B"/>
    <w:rsid w:val="00090F45"/>
    <w:rsid w:val="00091009"/>
    <w:rsid w:val="0009121B"/>
    <w:rsid w:val="0009142F"/>
    <w:rsid w:val="00091F97"/>
    <w:rsid w:val="0009264F"/>
    <w:rsid w:val="00092F69"/>
    <w:rsid w:val="000930EA"/>
    <w:rsid w:val="000933B4"/>
    <w:rsid w:val="0009491A"/>
    <w:rsid w:val="00095653"/>
    <w:rsid w:val="00096611"/>
    <w:rsid w:val="000967DE"/>
    <w:rsid w:val="00096977"/>
    <w:rsid w:val="000977BA"/>
    <w:rsid w:val="00097D55"/>
    <w:rsid w:val="000A0CD2"/>
    <w:rsid w:val="000A0FDE"/>
    <w:rsid w:val="000A1103"/>
    <w:rsid w:val="000A12E7"/>
    <w:rsid w:val="000A1401"/>
    <w:rsid w:val="000A25BD"/>
    <w:rsid w:val="000A4982"/>
    <w:rsid w:val="000A5DB0"/>
    <w:rsid w:val="000A6063"/>
    <w:rsid w:val="000A6CF9"/>
    <w:rsid w:val="000A6F80"/>
    <w:rsid w:val="000A7372"/>
    <w:rsid w:val="000B034B"/>
    <w:rsid w:val="000B062E"/>
    <w:rsid w:val="000B0879"/>
    <w:rsid w:val="000B0DD4"/>
    <w:rsid w:val="000B22B1"/>
    <w:rsid w:val="000B2AB1"/>
    <w:rsid w:val="000B37CE"/>
    <w:rsid w:val="000B407F"/>
    <w:rsid w:val="000B4893"/>
    <w:rsid w:val="000B52B4"/>
    <w:rsid w:val="000B6F32"/>
    <w:rsid w:val="000B7349"/>
    <w:rsid w:val="000C0333"/>
    <w:rsid w:val="000C0693"/>
    <w:rsid w:val="000C0F6B"/>
    <w:rsid w:val="000C1A96"/>
    <w:rsid w:val="000C2A2E"/>
    <w:rsid w:val="000C30BC"/>
    <w:rsid w:val="000C3442"/>
    <w:rsid w:val="000C3A2F"/>
    <w:rsid w:val="000C3FBE"/>
    <w:rsid w:val="000C42BE"/>
    <w:rsid w:val="000C49BE"/>
    <w:rsid w:val="000C4E34"/>
    <w:rsid w:val="000C5674"/>
    <w:rsid w:val="000C676D"/>
    <w:rsid w:val="000C7CD6"/>
    <w:rsid w:val="000D07EC"/>
    <w:rsid w:val="000D089A"/>
    <w:rsid w:val="000D142C"/>
    <w:rsid w:val="000D1CBC"/>
    <w:rsid w:val="000D1F35"/>
    <w:rsid w:val="000D27C8"/>
    <w:rsid w:val="000D3616"/>
    <w:rsid w:val="000D3D56"/>
    <w:rsid w:val="000D5896"/>
    <w:rsid w:val="000D5D8C"/>
    <w:rsid w:val="000D5E20"/>
    <w:rsid w:val="000D6B3B"/>
    <w:rsid w:val="000D7E86"/>
    <w:rsid w:val="000E0B19"/>
    <w:rsid w:val="000E0BA5"/>
    <w:rsid w:val="000E1433"/>
    <w:rsid w:val="000E2EFD"/>
    <w:rsid w:val="000E3E3F"/>
    <w:rsid w:val="000E3E97"/>
    <w:rsid w:val="000E454F"/>
    <w:rsid w:val="000E4C6C"/>
    <w:rsid w:val="000E4DB4"/>
    <w:rsid w:val="000E530E"/>
    <w:rsid w:val="000E578F"/>
    <w:rsid w:val="000E5C40"/>
    <w:rsid w:val="000E6736"/>
    <w:rsid w:val="000E7174"/>
    <w:rsid w:val="000E7902"/>
    <w:rsid w:val="000E7A0D"/>
    <w:rsid w:val="000E7D72"/>
    <w:rsid w:val="000F0681"/>
    <w:rsid w:val="000F09C2"/>
    <w:rsid w:val="000F1CED"/>
    <w:rsid w:val="000F28C9"/>
    <w:rsid w:val="000F36BB"/>
    <w:rsid w:val="000F5752"/>
    <w:rsid w:val="000F6381"/>
    <w:rsid w:val="000F64AA"/>
    <w:rsid w:val="000F6E1A"/>
    <w:rsid w:val="000F7080"/>
    <w:rsid w:val="000F75F9"/>
    <w:rsid w:val="000F7916"/>
    <w:rsid w:val="00100B22"/>
    <w:rsid w:val="001013D3"/>
    <w:rsid w:val="0010173C"/>
    <w:rsid w:val="0010188D"/>
    <w:rsid w:val="001026A3"/>
    <w:rsid w:val="00102A2D"/>
    <w:rsid w:val="00103E5C"/>
    <w:rsid w:val="001041E1"/>
    <w:rsid w:val="00104C2F"/>
    <w:rsid w:val="00105C9B"/>
    <w:rsid w:val="00105E08"/>
    <w:rsid w:val="001070E7"/>
    <w:rsid w:val="00107834"/>
    <w:rsid w:val="00107D5F"/>
    <w:rsid w:val="001102EF"/>
    <w:rsid w:val="001103F2"/>
    <w:rsid w:val="00110803"/>
    <w:rsid w:val="001115D1"/>
    <w:rsid w:val="00111922"/>
    <w:rsid w:val="00111F5A"/>
    <w:rsid w:val="0011218B"/>
    <w:rsid w:val="0011241F"/>
    <w:rsid w:val="00112598"/>
    <w:rsid w:val="0011336A"/>
    <w:rsid w:val="00113764"/>
    <w:rsid w:val="00114EFB"/>
    <w:rsid w:val="00114F9E"/>
    <w:rsid w:val="0011565A"/>
    <w:rsid w:val="00116672"/>
    <w:rsid w:val="00117F92"/>
    <w:rsid w:val="0012028F"/>
    <w:rsid w:val="0012032E"/>
    <w:rsid w:val="001205A5"/>
    <w:rsid w:val="001208CF"/>
    <w:rsid w:val="001218A7"/>
    <w:rsid w:val="00121BD7"/>
    <w:rsid w:val="001221CA"/>
    <w:rsid w:val="001223CB"/>
    <w:rsid w:val="001224AA"/>
    <w:rsid w:val="00122FEC"/>
    <w:rsid w:val="001243BE"/>
    <w:rsid w:val="00124542"/>
    <w:rsid w:val="0012473B"/>
    <w:rsid w:val="00124967"/>
    <w:rsid w:val="00125C49"/>
    <w:rsid w:val="0012652C"/>
    <w:rsid w:val="00126599"/>
    <w:rsid w:val="00126692"/>
    <w:rsid w:val="00126F2B"/>
    <w:rsid w:val="00126FA1"/>
    <w:rsid w:val="001274BC"/>
    <w:rsid w:val="0013005E"/>
    <w:rsid w:val="00130BAF"/>
    <w:rsid w:val="00130F8E"/>
    <w:rsid w:val="00132F77"/>
    <w:rsid w:val="001336A3"/>
    <w:rsid w:val="00133BD9"/>
    <w:rsid w:val="00134D09"/>
    <w:rsid w:val="00135DA1"/>
    <w:rsid w:val="0013692E"/>
    <w:rsid w:val="00136ECF"/>
    <w:rsid w:val="00137C48"/>
    <w:rsid w:val="00140F0A"/>
    <w:rsid w:val="0014363E"/>
    <w:rsid w:val="0014458E"/>
    <w:rsid w:val="001448D5"/>
    <w:rsid w:val="00144D1F"/>
    <w:rsid w:val="00146577"/>
    <w:rsid w:val="00146E4B"/>
    <w:rsid w:val="00147022"/>
    <w:rsid w:val="001477DE"/>
    <w:rsid w:val="00147826"/>
    <w:rsid w:val="0015019A"/>
    <w:rsid w:val="001505B6"/>
    <w:rsid w:val="001516BB"/>
    <w:rsid w:val="00152493"/>
    <w:rsid w:val="00152C51"/>
    <w:rsid w:val="00152D6E"/>
    <w:rsid w:val="001531AF"/>
    <w:rsid w:val="0015337B"/>
    <w:rsid w:val="00154A7D"/>
    <w:rsid w:val="00156000"/>
    <w:rsid w:val="0015646A"/>
    <w:rsid w:val="00157259"/>
    <w:rsid w:val="00160C09"/>
    <w:rsid w:val="001619AC"/>
    <w:rsid w:val="001619AE"/>
    <w:rsid w:val="00163673"/>
    <w:rsid w:val="00164BCE"/>
    <w:rsid w:val="00164D53"/>
    <w:rsid w:val="001652E9"/>
    <w:rsid w:val="00165363"/>
    <w:rsid w:val="001653FB"/>
    <w:rsid w:val="00166316"/>
    <w:rsid w:val="00170FD5"/>
    <w:rsid w:val="00171E92"/>
    <w:rsid w:val="001726F1"/>
    <w:rsid w:val="00172792"/>
    <w:rsid w:val="00172C8F"/>
    <w:rsid w:val="0017380E"/>
    <w:rsid w:val="001745C0"/>
    <w:rsid w:val="00174E1D"/>
    <w:rsid w:val="001751DA"/>
    <w:rsid w:val="001773C7"/>
    <w:rsid w:val="00177B18"/>
    <w:rsid w:val="00177C09"/>
    <w:rsid w:val="00180084"/>
    <w:rsid w:val="001801E4"/>
    <w:rsid w:val="001808C1"/>
    <w:rsid w:val="001809B5"/>
    <w:rsid w:val="00180A07"/>
    <w:rsid w:val="00180E68"/>
    <w:rsid w:val="001813C3"/>
    <w:rsid w:val="001816AE"/>
    <w:rsid w:val="0018264A"/>
    <w:rsid w:val="00182B15"/>
    <w:rsid w:val="00182E98"/>
    <w:rsid w:val="001832CD"/>
    <w:rsid w:val="00184193"/>
    <w:rsid w:val="0018711D"/>
    <w:rsid w:val="00187CB9"/>
    <w:rsid w:val="00190085"/>
    <w:rsid w:val="00190602"/>
    <w:rsid w:val="00190AC8"/>
    <w:rsid w:val="001917A6"/>
    <w:rsid w:val="00191E88"/>
    <w:rsid w:val="0019245C"/>
    <w:rsid w:val="001A023A"/>
    <w:rsid w:val="001B15E2"/>
    <w:rsid w:val="001B2CE4"/>
    <w:rsid w:val="001B497C"/>
    <w:rsid w:val="001C1274"/>
    <w:rsid w:val="001C4046"/>
    <w:rsid w:val="001D10A3"/>
    <w:rsid w:val="001D4AFA"/>
    <w:rsid w:val="001F1320"/>
    <w:rsid w:val="001F26FA"/>
    <w:rsid w:val="002029A2"/>
    <w:rsid w:val="00210069"/>
    <w:rsid w:val="00212B46"/>
    <w:rsid w:val="0021752F"/>
    <w:rsid w:val="00222F4D"/>
    <w:rsid w:val="0022449B"/>
    <w:rsid w:val="002248CA"/>
    <w:rsid w:val="00226443"/>
    <w:rsid w:val="00227A38"/>
    <w:rsid w:val="0023090F"/>
    <w:rsid w:val="00231059"/>
    <w:rsid w:val="00232FDF"/>
    <w:rsid w:val="00247A5A"/>
    <w:rsid w:val="00256D81"/>
    <w:rsid w:val="002706FD"/>
    <w:rsid w:val="00272175"/>
    <w:rsid w:val="0027440F"/>
    <w:rsid w:val="00296272"/>
    <w:rsid w:val="002A17F6"/>
    <w:rsid w:val="002A7908"/>
    <w:rsid w:val="002B310D"/>
    <w:rsid w:val="002B36E3"/>
    <w:rsid w:val="002B5AE4"/>
    <w:rsid w:val="002C406D"/>
    <w:rsid w:val="002C6CE9"/>
    <w:rsid w:val="002C7A05"/>
    <w:rsid w:val="002C7BA0"/>
    <w:rsid w:val="002D02BA"/>
    <w:rsid w:val="002D1A2B"/>
    <w:rsid w:val="002E33B0"/>
    <w:rsid w:val="002F28AB"/>
    <w:rsid w:val="002F684B"/>
    <w:rsid w:val="002F7360"/>
    <w:rsid w:val="00304080"/>
    <w:rsid w:val="00311C81"/>
    <w:rsid w:val="00324B29"/>
    <w:rsid w:val="003318F0"/>
    <w:rsid w:val="00331969"/>
    <w:rsid w:val="00334F08"/>
    <w:rsid w:val="00337B8D"/>
    <w:rsid w:val="00343BFE"/>
    <w:rsid w:val="00346DD8"/>
    <w:rsid w:val="003567A9"/>
    <w:rsid w:val="00356E71"/>
    <w:rsid w:val="00357404"/>
    <w:rsid w:val="00360832"/>
    <w:rsid w:val="003661E6"/>
    <w:rsid w:val="00381A58"/>
    <w:rsid w:val="0038294C"/>
    <w:rsid w:val="0038698D"/>
    <w:rsid w:val="00390E5C"/>
    <w:rsid w:val="0039592B"/>
    <w:rsid w:val="003A3C52"/>
    <w:rsid w:val="003A5717"/>
    <w:rsid w:val="003A68F6"/>
    <w:rsid w:val="003B474A"/>
    <w:rsid w:val="003B7A8C"/>
    <w:rsid w:val="003C0FA1"/>
    <w:rsid w:val="003C23B9"/>
    <w:rsid w:val="003C3A04"/>
    <w:rsid w:val="003C5827"/>
    <w:rsid w:val="003C69CA"/>
    <w:rsid w:val="003D1019"/>
    <w:rsid w:val="003D54D2"/>
    <w:rsid w:val="003D67D3"/>
    <w:rsid w:val="003D6CEB"/>
    <w:rsid w:val="003D70B1"/>
    <w:rsid w:val="003D7B63"/>
    <w:rsid w:val="003E2C2F"/>
    <w:rsid w:val="003E2FDD"/>
    <w:rsid w:val="003E3F15"/>
    <w:rsid w:val="003E6DA9"/>
    <w:rsid w:val="0040139D"/>
    <w:rsid w:val="0040169A"/>
    <w:rsid w:val="0040184A"/>
    <w:rsid w:val="0040424B"/>
    <w:rsid w:val="004049F4"/>
    <w:rsid w:val="00404BFC"/>
    <w:rsid w:val="004105BB"/>
    <w:rsid w:val="00422783"/>
    <w:rsid w:val="004357F4"/>
    <w:rsid w:val="00451BAC"/>
    <w:rsid w:val="0045429C"/>
    <w:rsid w:val="00454ECA"/>
    <w:rsid w:val="004565E1"/>
    <w:rsid w:val="0047524C"/>
    <w:rsid w:val="004874B4"/>
    <w:rsid w:val="00492F61"/>
    <w:rsid w:val="00496B61"/>
    <w:rsid w:val="004A143F"/>
    <w:rsid w:val="004A6C3A"/>
    <w:rsid w:val="004B70FF"/>
    <w:rsid w:val="004C22C6"/>
    <w:rsid w:val="004C5DB1"/>
    <w:rsid w:val="004E012A"/>
    <w:rsid w:val="004E1B67"/>
    <w:rsid w:val="004E425B"/>
    <w:rsid w:val="004E62C9"/>
    <w:rsid w:val="004E7D13"/>
    <w:rsid w:val="004F562D"/>
    <w:rsid w:val="004F6092"/>
    <w:rsid w:val="004F6FA8"/>
    <w:rsid w:val="00507778"/>
    <w:rsid w:val="005166E7"/>
    <w:rsid w:val="00523180"/>
    <w:rsid w:val="00527806"/>
    <w:rsid w:val="0053227F"/>
    <w:rsid w:val="00533AE2"/>
    <w:rsid w:val="00533E16"/>
    <w:rsid w:val="00547A9E"/>
    <w:rsid w:val="00551C26"/>
    <w:rsid w:val="0055496A"/>
    <w:rsid w:val="00560B2E"/>
    <w:rsid w:val="00567FF0"/>
    <w:rsid w:val="00585901"/>
    <w:rsid w:val="00592098"/>
    <w:rsid w:val="00596894"/>
    <w:rsid w:val="005B08A0"/>
    <w:rsid w:val="005B508B"/>
    <w:rsid w:val="005B7C2C"/>
    <w:rsid w:val="005C2C51"/>
    <w:rsid w:val="005C43B5"/>
    <w:rsid w:val="005C625A"/>
    <w:rsid w:val="005E3DFD"/>
    <w:rsid w:val="005E5E3B"/>
    <w:rsid w:val="005F1B2A"/>
    <w:rsid w:val="005F339F"/>
    <w:rsid w:val="005F5AD0"/>
    <w:rsid w:val="005F63FE"/>
    <w:rsid w:val="005F74E9"/>
    <w:rsid w:val="006017C3"/>
    <w:rsid w:val="006029A1"/>
    <w:rsid w:val="0060309E"/>
    <w:rsid w:val="00607045"/>
    <w:rsid w:val="00611C90"/>
    <w:rsid w:val="0061726D"/>
    <w:rsid w:val="00622BE8"/>
    <w:rsid w:val="00627631"/>
    <w:rsid w:val="006319A4"/>
    <w:rsid w:val="00632EAB"/>
    <w:rsid w:val="006351A6"/>
    <w:rsid w:val="00641543"/>
    <w:rsid w:val="00641F9F"/>
    <w:rsid w:val="00643C73"/>
    <w:rsid w:val="006453EB"/>
    <w:rsid w:val="00647220"/>
    <w:rsid w:val="006473AA"/>
    <w:rsid w:val="0065554E"/>
    <w:rsid w:val="00656FA7"/>
    <w:rsid w:val="00662E5A"/>
    <w:rsid w:val="006661A8"/>
    <w:rsid w:val="00670F5D"/>
    <w:rsid w:val="006720DF"/>
    <w:rsid w:val="00674025"/>
    <w:rsid w:val="006779D2"/>
    <w:rsid w:val="00680516"/>
    <w:rsid w:val="00687419"/>
    <w:rsid w:val="0069023E"/>
    <w:rsid w:val="00690651"/>
    <w:rsid w:val="006A1A1B"/>
    <w:rsid w:val="006A34F7"/>
    <w:rsid w:val="006B2737"/>
    <w:rsid w:val="006B48F4"/>
    <w:rsid w:val="006C2E27"/>
    <w:rsid w:val="006C596B"/>
    <w:rsid w:val="006C5F35"/>
    <w:rsid w:val="006D3A10"/>
    <w:rsid w:val="006E1933"/>
    <w:rsid w:val="006E3588"/>
    <w:rsid w:val="006F3006"/>
    <w:rsid w:val="006F7818"/>
    <w:rsid w:val="00701BEF"/>
    <w:rsid w:val="00702305"/>
    <w:rsid w:val="00703E85"/>
    <w:rsid w:val="007076ED"/>
    <w:rsid w:val="007124C8"/>
    <w:rsid w:val="0071373F"/>
    <w:rsid w:val="007213EB"/>
    <w:rsid w:val="00731064"/>
    <w:rsid w:val="00740DC5"/>
    <w:rsid w:val="00742934"/>
    <w:rsid w:val="0075221F"/>
    <w:rsid w:val="0075318E"/>
    <w:rsid w:val="007569F2"/>
    <w:rsid w:val="00760538"/>
    <w:rsid w:val="007709C2"/>
    <w:rsid w:val="00774DD9"/>
    <w:rsid w:val="00780763"/>
    <w:rsid w:val="00782A2A"/>
    <w:rsid w:val="00784298"/>
    <w:rsid w:val="007857FC"/>
    <w:rsid w:val="00786048"/>
    <w:rsid w:val="00786F8C"/>
    <w:rsid w:val="0078773F"/>
    <w:rsid w:val="00790BD7"/>
    <w:rsid w:val="00791158"/>
    <w:rsid w:val="007917FF"/>
    <w:rsid w:val="00794BDF"/>
    <w:rsid w:val="007A369C"/>
    <w:rsid w:val="007A5E95"/>
    <w:rsid w:val="007B0765"/>
    <w:rsid w:val="007B1153"/>
    <w:rsid w:val="007B1884"/>
    <w:rsid w:val="007B5FBE"/>
    <w:rsid w:val="007C330E"/>
    <w:rsid w:val="007C3660"/>
    <w:rsid w:val="007D1BFE"/>
    <w:rsid w:val="007D3825"/>
    <w:rsid w:val="007D593E"/>
    <w:rsid w:val="007D5F31"/>
    <w:rsid w:val="007D6AB8"/>
    <w:rsid w:val="007F42BC"/>
    <w:rsid w:val="007F4625"/>
    <w:rsid w:val="007F6434"/>
    <w:rsid w:val="00803E39"/>
    <w:rsid w:val="00813932"/>
    <w:rsid w:val="00824F67"/>
    <w:rsid w:val="00830CD9"/>
    <w:rsid w:val="0083168E"/>
    <w:rsid w:val="00842145"/>
    <w:rsid w:val="00845818"/>
    <w:rsid w:val="008523FE"/>
    <w:rsid w:val="00853139"/>
    <w:rsid w:val="00867F5D"/>
    <w:rsid w:val="00873766"/>
    <w:rsid w:val="0087463A"/>
    <w:rsid w:val="008753A1"/>
    <w:rsid w:val="00886900"/>
    <w:rsid w:val="00890C07"/>
    <w:rsid w:val="00895178"/>
    <w:rsid w:val="008A41B6"/>
    <w:rsid w:val="008A4444"/>
    <w:rsid w:val="008B39AB"/>
    <w:rsid w:val="008B49C4"/>
    <w:rsid w:val="008B4B4F"/>
    <w:rsid w:val="008B506C"/>
    <w:rsid w:val="008B6571"/>
    <w:rsid w:val="008B6670"/>
    <w:rsid w:val="008B66AF"/>
    <w:rsid w:val="008B67E7"/>
    <w:rsid w:val="008B7AB3"/>
    <w:rsid w:val="008C0160"/>
    <w:rsid w:val="008C4736"/>
    <w:rsid w:val="008E52A8"/>
    <w:rsid w:val="008E653D"/>
    <w:rsid w:val="008F0628"/>
    <w:rsid w:val="00903AA3"/>
    <w:rsid w:val="00903B1E"/>
    <w:rsid w:val="00906726"/>
    <w:rsid w:val="00910F7F"/>
    <w:rsid w:val="00912CC8"/>
    <w:rsid w:val="00913429"/>
    <w:rsid w:val="009174E7"/>
    <w:rsid w:val="009223EF"/>
    <w:rsid w:val="009266F9"/>
    <w:rsid w:val="00937B8B"/>
    <w:rsid w:val="00940279"/>
    <w:rsid w:val="0095139C"/>
    <w:rsid w:val="009531D3"/>
    <w:rsid w:val="00961306"/>
    <w:rsid w:val="0096337C"/>
    <w:rsid w:val="00964C16"/>
    <w:rsid w:val="009664C9"/>
    <w:rsid w:val="00966D55"/>
    <w:rsid w:val="00973DFA"/>
    <w:rsid w:val="00984617"/>
    <w:rsid w:val="00990EA9"/>
    <w:rsid w:val="0099448A"/>
    <w:rsid w:val="009954C3"/>
    <w:rsid w:val="00996739"/>
    <w:rsid w:val="009A2394"/>
    <w:rsid w:val="009B1129"/>
    <w:rsid w:val="009B132A"/>
    <w:rsid w:val="009B55D2"/>
    <w:rsid w:val="009B5985"/>
    <w:rsid w:val="009D47C8"/>
    <w:rsid w:val="009E049D"/>
    <w:rsid w:val="009E0A43"/>
    <w:rsid w:val="009E30A1"/>
    <w:rsid w:val="009E46E6"/>
    <w:rsid w:val="009F523D"/>
    <w:rsid w:val="00A04D76"/>
    <w:rsid w:val="00A06328"/>
    <w:rsid w:val="00A123AD"/>
    <w:rsid w:val="00A12B41"/>
    <w:rsid w:val="00A135BF"/>
    <w:rsid w:val="00A14E22"/>
    <w:rsid w:val="00A15E51"/>
    <w:rsid w:val="00A25D76"/>
    <w:rsid w:val="00A31255"/>
    <w:rsid w:val="00A448D0"/>
    <w:rsid w:val="00A45E42"/>
    <w:rsid w:val="00A45FBE"/>
    <w:rsid w:val="00A53A2B"/>
    <w:rsid w:val="00A54C62"/>
    <w:rsid w:val="00A575C1"/>
    <w:rsid w:val="00A61D23"/>
    <w:rsid w:val="00A67D13"/>
    <w:rsid w:val="00A729E0"/>
    <w:rsid w:val="00A81A3A"/>
    <w:rsid w:val="00A83253"/>
    <w:rsid w:val="00A84E32"/>
    <w:rsid w:val="00A9243D"/>
    <w:rsid w:val="00A970F5"/>
    <w:rsid w:val="00AA3D21"/>
    <w:rsid w:val="00AA5C2A"/>
    <w:rsid w:val="00AB6C19"/>
    <w:rsid w:val="00AC107A"/>
    <w:rsid w:val="00AE1AA7"/>
    <w:rsid w:val="00AF0263"/>
    <w:rsid w:val="00AF54C8"/>
    <w:rsid w:val="00B01B3E"/>
    <w:rsid w:val="00B06210"/>
    <w:rsid w:val="00B0743C"/>
    <w:rsid w:val="00B17F24"/>
    <w:rsid w:val="00B20C7E"/>
    <w:rsid w:val="00B25EA7"/>
    <w:rsid w:val="00B32938"/>
    <w:rsid w:val="00B43820"/>
    <w:rsid w:val="00B46728"/>
    <w:rsid w:val="00B5012C"/>
    <w:rsid w:val="00B50458"/>
    <w:rsid w:val="00B521A2"/>
    <w:rsid w:val="00B60E1E"/>
    <w:rsid w:val="00B67696"/>
    <w:rsid w:val="00B67B1E"/>
    <w:rsid w:val="00B7624A"/>
    <w:rsid w:val="00B84516"/>
    <w:rsid w:val="00B91CE1"/>
    <w:rsid w:val="00B93C1C"/>
    <w:rsid w:val="00B963E4"/>
    <w:rsid w:val="00BA2F6C"/>
    <w:rsid w:val="00BA3243"/>
    <w:rsid w:val="00BA5082"/>
    <w:rsid w:val="00BA7BFF"/>
    <w:rsid w:val="00BB16E8"/>
    <w:rsid w:val="00BB76E3"/>
    <w:rsid w:val="00BC170F"/>
    <w:rsid w:val="00BC1C71"/>
    <w:rsid w:val="00BC1ED8"/>
    <w:rsid w:val="00BC43AD"/>
    <w:rsid w:val="00BD1794"/>
    <w:rsid w:val="00BE077E"/>
    <w:rsid w:val="00BE1391"/>
    <w:rsid w:val="00BE13A7"/>
    <w:rsid w:val="00BE2B87"/>
    <w:rsid w:val="00BE387A"/>
    <w:rsid w:val="00BE5611"/>
    <w:rsid w:val="00BF07F7"/>
    <w:rsid w:val="00BF7739"/>
    <w:rsid w:val="00C06A15"/>
    <w:rsid w:val="00C123C1"/>
    <w:rsid w:val="00C20FE4"/>
    <w:rsid w:val="00C23D38"/>
    <w:rsid w:val="00C26236"/>
    <w:rsid w:val="00C30537"/>
    <w:rsid w:val="00C34974"/>
    <w:rsid w:val="00C40CFB"/>
    <w:rsid w:val="00C50CB0"/>
    <w:rsid w:val="00C53DDC"/>
    <w:rsid w:val="00C54174"/>
    <w:rsid w:val="00C728A1"/>
    <w:rsid w:val="00C73DDC"/>
    <w:rsid w:val="00C740E0"/>
    <w:rsid w:val="00C76B89"/>
    <w:rsid w:val="00C833BB"/>
    <w:rsid w:val="00C86FEC"/>
    <w:rsid w:val="00C877BD"/>
    <w:rsid w:val="00C90AC8"/>
    <w:rsid w:val="00C90D75"/>
    <w:rsid w:val="00C9244E"/>
    <w:rsid w:val="00C935A3"/>
    <w:rsid w:val="00C975B6"/>
    <w:rsid w:val="00CA0103"/>
    <w:rsid w:val="00CA2DBF"/>
    <w:rsid w:val="00CC016B"/>
    <w:rsid w:val="00CC13B3"/>
    <w:rsid w:val="00CC6224"/>
    <w:rsid w:val="00CC7DB6"/>
    <w:rsid w:val="00CD04EF"/>
    <w:rsid w:val="00CE0DE6"/>
    <w:rsid w:val="00CE2B6E"/>
    <w:rsid w:val="00CE77D7"/>
    <w:rsid w:val="00CF5AB7"/>
    <w:rsid w:val="00CF5B68"/>
    <w:rsid w:val="00D00360"/>
    <w:rsid w:val="00D03A05"/>
    <w:rsid w:val="00D14264"/>
    <w:rsid w:val="00D15791"/>
    <w:rsid w:val="00D17B59"/>
    <w:rsid w:val="00D212EA"/>
    <w:rsid w:val="00D21D29"/>
    <w:rsid w:val="00D24BFC"/>
    <w:rsid w:val="00D2598F"/>
    <w:rsid w:val="00D3204C"/>
    <w:rsid w:val="00D37D78"/>
    <w:rsid w:val="00D458CE"/>
    <w:rsid w:val="00D46D1B"/>
    <w:rsid w:val="00D5187C"/>
    <w:rsid w:val="00D537C8"/>
    <w:rsid w:val="00D56208"/>
    <w:rsid w:val="00D57209"/>
    <w:rsid w:val="00D7510D"/>
    <w:rsid w:val="00D8084D"/>
    <w:rsid w:val="00D82B93"/>
    <w:rsid w:val="00D8523F"/>
    <w:rsid w:val="00D8698B"/>
    <w:rsid w:val="00D86BFD"/>
    <w:rsid w:val="00D90E38"/>
    <w:rsid w:val="00DA1FFC"/>
    <w:rsid w:val="00DA7D43"/>
    <w:rsid w:val="00DB436D"/>
    <w:rsid w:val="00DB6BDB"/>
    <w:rsid w:val="00DC0A28"/>
    <w:rsid w:val="00DC0FC0"/>
    <w:rsid w:val="00DC3B95"/>
    <w:rsid w:val="00DC7E61"/>
    <w:rsid w:val="00DF71E9"/>
    <w:rsid w:val="00E00163"/>
    <w:rsid w:val="00E028BC"/>
    <w:rsid w:val="00E03B80"/>
    <w:rsid w:val="00E175A7"/>
    <w:rsid w:val="00E20140"/>
    <w:rsid w:val="00E24036"/>
    <w:rsid w:val="00E27DDB"/>
    <w:rsid w:val="00E30DF2"/>
    <w:rsid w:val="00E31D54"/>
    <w:rsid w:val="00E335AA"/>
    <w:rsid w:val="00E369A2"/>
    <w:rsid w:val="00E410A2"/>
    <w:rsid w:val="00E4210F"/>
    <w:rsid w:val="00E528F8"/>
    <w:rsid w:val="00E56F3B"/>
    <w:rsid w:val="00E61C6A"/>
    <w:rsid w:val="00E74D28"/>
    <w:rsid w:val="00E75C83"/>
    <w:rsid w:val="00E82506"/>
    <w:rsid w:val="00E85C18"/>
    <w:rsid w:val="00E90350"/>
    <w:rsid w:val="00E92E83"/>
    <w:rsid w:val="00E95DC9"/>
    <w:rsid w:val="00EA296B"/>
    <w:rsid w:val="00EA6860"/>
    <w:rsid w:val="00EB44AB"/>
    <w:rsid w:val="00EC06E3"/>
    <w:rsid w:val="00ED483A"/>
    <w:rsid w:val="00ED553B"/>
    <w:rsid w:val="00ED7BE2"/>
    <w:rsid w:val="00EE1641"/>
    <w:rsid w:val="00EE3691"/>
    <w:rsid w:val="00EF5440"/>
    <w:rsid w:val="00EF7893"/>
    <w:rsid w:val="00F07F7F"/>
    <w:rsid w:val="00F1482B"/>
    <w:rsid w:val="00F14E98"/>
    <w:rsid w:val="00F17A1C"/>
    <w:rsid w:val="00F20581"/>
    <w:rsid w:val="00F21F7F"/>
    <w:rsid w:val="00F2277F"/>
    <w:rsid w:val="00F30D97"/>
    <w:rsid w:val="00F34DB9"/>
    <w:rsid w:val="00F37995"/>
    <w:rsid w:val="00F42603"/>
    <w:rsid w:val="00F46AA2"/>
    <w:rsid w:val="00F51650"/>
    <w:rsid w:val="00F57799"/>
    <w:rsid w:val="00F65E55"/>
    <w:rsid w:val="00F668C8"/>
    <w:rsid w:val="00F70BE8"/>
    <w:rsid w:val="00F719B7"/>
    <w:rsid w:val="00F727EB"/>
    <w:rsid w:val="00F833FE"/>
    <w:rsid w:val="00F93180"/>
    <w:rsid w:val="00F95993"/>
    <w:rsid w:val="00FB21ED"/>
    <w:rsid w:val="00FB22A1"/>
    <w:rsid w:val="00FB23BF"/>
    <w:rsid w:val="00FB4A16"/>
    <w:rsid w:val="00FB65A8"/>
    <w:rsid w:val="00FC2A1A"/>
    <w:rsid w:val="00FE2B22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3B6615"/>
  <w15:docId w15:val="{FC33BF8C-CA5B-4C47-9B2C-C57E025B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A11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264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49F4"/>
    <w:pPr>
      <w:keepNext/>
      <w:numPr>
        <w:numId w:val="10"/>
      </w:numPr>
      <w:spacing w:before="240"/>
      <w:ind w:left="0" w:firstLine="0"/>
      <w:outlineLvl w:val="1"/>
    </w:pPr>
    <w:rPr>
      <w:rFonts w:ascii="Times New Roman" w:eastAsia="MS Mincho" w:hAnsi="Times New Roman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E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71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F4"/>
    <w:rPr>
      <w:rFonts w:ascii="Times New Roman" w:eastAsia="MS Mincho" w:hAnsi="Times New Roman" w:cs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264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26443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26443"/>
    <w:pPr>
      <w:spacing w:before="0" w:after="0"/>
      <w:ind w:left="240"/>
    </w:pPr>
    <w:rPr>
      <w:b/>
      <w:sz w:val="22"/>
      <w:szCs w:val="22"/>
    </w:rPr>
  </w:style>
  <w:style w:type="paragraph" w:styleId="TOC1">
    <w:name w:val="toc 1"/>
    <w:aliases w:val="UN"/>
    <w:basedOn w:val="Heading1"/>
    <w:next w:val="Heading1"/>
    <w:autoRedefine/>
    <w:uiPriority w:val="39"/>
    <w:unhideWhenUsed/>
    <w:qFormat/>
    <w:rsid w:val="00E00163"/>
    <w:pPr>
      <w:keepNext w:val="0"/>
      <w:keepLines w:val="0"/>
      <w:spacing w:before="120" w:after="0"/>
      <w:outlineLvl w:val="9"/>
    </w:pPr>
    <w:rPr>
      <w:rFonts w:asciiTheme="minorHAnsi" w:eastAsiaTheme="minorEastAsia" w:hAnsiTheme="minorHAnsi" w:cstheme="minorBidi"/>
      <w:bCs w:val="0"/>
      <w:color w:val="auto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26443"/>
    <w:pPr>
      <w:spacing w:before="0"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26443"/>
    <w:pPr>
      <w:spacing w:before="0"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26443"/>
    <w:pPr>
      <w:spacing w:before="0"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26443"/>
    <w:pPr>
      <w:spacing w:before="0"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26443"/>
    <w:pPr>
      <w:spacing w:before="0"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26443"/>
    <w:pPr>
      <w:spacing w:before="0"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26443"/>
    <w:pPr>
      <w:spacing w:before="0" w:after="0"/>
      <w:ind w:left="192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64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4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B436D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B436D"/>
  </w:style>
  <w:style w:type="paragraph" w:styleId="Index2">
    <w:name w:val="index 2"/>
    <w:basedOn w:val="Normal"/>
    <w:next w:val="Normal"/>
    <w:autoRedefine/>
    <w:uiPriority w:val="99"/>
    <w:unhideWhenUsed/>
    <w:rsid w:val="004049F4"/>
    <w:pPr>
      <w:spacing w:before="0" w:after="0"/>
      <w:ind w:left="480" w:hanging="240"/>
    </w:pPr>
    <w:rPr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unhideWhenUsed/>
    <w:rsid w:val="004049F4"/>
    <w:pPr>
      <w:spacing w:before="0" w:after="0"/>
      <w:ind w:left="24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4049F4"/>
    <w:pPr>
      <w:spacing w:before="0" w:after="0"/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4049F4"/>
    <w:pPr>
      <w:spacing w:before="0" w:after="0"/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4049F4"/>
    <w:pPr>
      <w:spacing w:before="0" w:after="0"/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4049F4"/>
    <w:pPr>
      <w:spacing w:before="0" w:after="0"/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4049F4"/>
    <w:pPr>
      <w:spacing w:before="0" w:after="0"/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4049F4"/>
    <w:pPr>
      <w:spacing w:before="0" w:after="0"/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4049F4"/>
    <w:pPr>
      <w:spacing w:before="0" w:after="0"/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4049F4"/>
    <w:pPr>
      <w:spacing w:before="240"/>
      <w:jc w:val="center"/>
    </w:pPr>
    <w:rPr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C170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5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5E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D1BF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B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D1BF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727EB"/>
    <w:pPr>
      <w:tabs>
        <w:tab w:val="center" w:pos="4680"/>
        <w:tab w:val="right" w:pos="9360"/>
      </w:tabs>
      <w:spacing w:before="0" w:after="0"/>
    </w:pPr>
    <w:rPr>
      <w:rFonts w:cs="Times New Roman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27EB"/>
    <w:rPr>
      <w:rFonts w:cs="Times New Roman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A5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ndp.org/content/undp/en/home/operations/accountability/programme_and_operationspoliciesandprocedures.html" TargetMode="Externa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fo.undp.org/global/popp/rma/Pages/internal-control-framework.aspx" TargetMode="Externa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fccc.int/resource/docs/natc/gabnc1.pdf" TargetMode="External"/><Relationship Id="rId2" Type="http://schemas.openxmlformats.org/officeDocument/2006/relationships/hyperlink" Target="http://hdr.undp.org/en/content/income-gini-coefficient" TargetMode="External"/><Relationship Id="rId1" Type="http://schemas.openxmlformats.org/officeDocument/2006/relationships/hyperlink" Target="https://data.worldbank.org/?locations=XT-G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E2E9BA-ACE8-4B04-939A-555024D4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5300</Words>
  <Characters>31329</Characters>
  <Application>Microsoft Office Word</Application>
  <DocSecurity>0</DocSecurity>
  <Lines>614</Lines>
  <Paragraphs>204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Challa Getachew</dc:creator>
  <cp:lastModifiedBy>Svetlana Iazykova</cp:lastModifiedBy>
  <cp:revision>2</cp:revision>
  <cp:lastPrinted>2017-10-09T21:44:00Z</cp:lastPrinted>
  <dcterms:created xsi:type="dcterms:W3CDTF">2017-10-30T17:09:00Z</dcterms:created>
  <dcterms:modified xsi:type="dcterms:W3CDTF">2017-10-30T17:09:00Z</dcterms:modified>
</cp:coreProperties>
</file>