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34347952"/>
        <w:docPartObj>
          <w:docPartGallery w:val="Cover Pages"/>
          <w:docPartUnique/>
        </w:docPartObj>
      </w:sdtPr>
      <w:sdtEndPr>
        <w:rPr>
          <w:rFonts w:ascii="Myriad Pro" w:hAnsi="Myriad Pro"/>
          <w:sz w:val="20"/>
          <w:szCs w:val="20"/>
        </w:rPr>
      </w:sdtEndPr>
      <w:sdtContent>
        <w:p w14:paraId="2A14EB71" w14:textId="77777777" w:rsidR="00837F49" w:rsidRPr="00944EAB" w:rsidRDefault="00C53830">
          <w:pPr>
            <w:rPr>
              <w:color w:val="C00000"/>
            </w:rPr>
          </w:pPr>
          <w:r>
            <w:rPr>
              <w:noProof/>
            </w:rPr>
            <mc:AlternateContent>
              <mc:Choice Requires="wps">
                <w:drawing>
                  <wp:anchor distT="0" distB="0" distL="114300" distR="114300" simplePos="0" relativeHeight="251659776" behindDoc="0" locked="0" layoutInCell="1" allowOverlap="1" wp14:anchorId="1E3777C3" wp14:editId="525A412F">
                    <wp:simplePos x="0" y="0"/>
                    <wp:positionH relativeFrom="page">
                      <wp:posOffset>200025</wp:posOffset>
                    </wp:positionH>
                    <wp:positionV relativeFrom="page">
                      <wp:posOffset>2343150</wp:posOffset>
                    </wp:positionV>
                    <wp:extent cx="7342505" cy="64484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42505"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D751A" w14:textId="0C017FA6" w:rsidR="00F97C6C" w:rsidRDefault="00F97C6C" w:rsidP="00D7367D">
                                <w:pPr>
                                  <w:pStyle w:val="NoSpacing"/>
                                  <w:spacing w:before="40" w:after="560" w:line="216" w:lineRule="auto"/>
                                  <w:rPr>
                                    <w:rFonts w:ascii="Times New Roman" w:hAnsi="Times New Roman"/>
                                    <w:b/>
                                    <w:sz w:val="40"/>
                                    <w:szCs w:val="40"/>
                                  </w:rPr>
                                </w:pPr>
                                <w:r>
                                  <w:rPr>
                                    <w:rFonts w:ascii="Times New Roman" w:hAnsi="Times New Roman"/>
                                    <w:b/>
                                    <w:sz w:val="40"/>
                                    <w:szCs w:val="40"/>
                                  </w:rPr>
                                  <w:t>Management commentaries to the</w:t>
                                </w:r>
                                <w:r w:rsidRPr="00A53E9A">
                                  <w:rPr>
                                    <w:rFonts w:ascii="Times New Roman" w:hAnsi="Times New Roman"/>
                                    <w:b/>
                                    <w:sz w:val="40"/>
                                    <w:szCs w:val="40"/>
                                  </w:rPr>
                                  <w:t xml:space="preserve"> </w:t>
                                </w:r>
                                <w:r>
                                  <w:rPr>
                                    <w:rFonts w:ascii="Times New Roman" w:hAnsi="Times New Roman"/>
                                    <w:b/>
                                    <w:sz w:val="40"/>
                                    <w:szCs w:val="40"/>
                                  </w:rPr>
                                  <w:t>2017 Annual Report on Evaluation and its addendum ‘Status of implementation of the independent Evaluation Office recommendations”</w:t>
                                </w:r>
                              </w:p>
                              <w:p w14:paraId="2EF235DF" w14:textId="77777777" w:rsidR="00F97C6C" w:rsidRPr="00A53E9A" w:rsidRDefault="00F97C6C" w:rsidP="00D7367D">
                                <w:pPr>
                                  <w:pStyle w:val="NoSpacing"/>
                                  <w:spacing w:before="40" w:after="560" w:line="216" w:lineRule="auto"/>
                                  <w:ind w:left="72"/>
                                  <w:rPr>
                                    <w:rFonts w:ascii="Times New Roman" w:hAnsi="Times New Roman"/>
                                    <w:b/>
                                    <w:sz w:val="40"/>
                                    <w:szCs w:val="40"/>
                                  </w:rPr>
                                </w:pPr>
                              </w:p>
                              <w:p w14:paraId="1D09742C" w14:textId="77777777" w:rsidR="00F97C6C" w:rsidRDefault="00F97C6C"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3777C3" id="_x0000_t202" coordsize="21600,21600" o:spt="202" path="m,l,21600r21600,l21600,xe">
                    <v:stroke joinstyle="miter"/>
                    <v:path gradientshapeok="t" o:connecttype="rect"/>
                  </v:shapetype>
                  <v:shape id="Text Box 154" o:spid="_x0000_s1026" type="#_x0000_t202" style="position:absolute;margin-left:15.75pt;margin-top:184.5pt;width:578.15pt;height:50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" filled="f" stroked="f" strokeweight=".5pt">
                    <v:textbox inset="126pt,0,54pt,0">
                      <w:txbxContent>
                        <w:p w14:paraId="142D751A" w14:textId="0C017FA6" w:rsidR="00F97C6C" w:rsidRDefault="00F97C6C" w:rsidP="00D7367D">
                          <w:pPr>
                            <w:pStyle w:val="NoSpacing"/>
                            <w:spacing w:before="40" w:after="560" w:line="216" w:lineRule="auto"/>
                            <w:rPr>
                              <w:rFonts w:ascii="Times New Roman" w:hAnsi="Times New Roman"/>
                              <w:b/>
                              <w:sz w:val="40"/>
                              <w:szCs w:val="40"/>
                            </w:rPr>
                          </w:pPr>
                          <w:r>
                            <w:rPr>
                              <w:rFonts w:ascii="Times New Roman" w:hAnsi="Times New Roman"/>
                              <w:b/>
                              <w:sz w:val="40"/>
                              <w:szCs w:val="40"/>
                            </w:rPr>
                            <w:t>Management commentaries to the</w:t>
                          </w:r>
                          <w:r w:rsidRPr="00A53E9A">
                            <w:rPr>
                              <w:rFonts w:ascii="Times New Roman" w:hAnsi="Times New Roman"/>
                              <w:b/>
                              <w:sz w:val="40"/>
                              <w:szCs w:val="40"/>
                            </w:rPr>
                            <w:t xml:space="preserve"> </w:t>
                          </w:r>
                          <w:r>
                            <w:rPr>
                              <w:rFonts w:ascii="Times New Roman" w:hAnsi="Times New Roman"/>
                              <w:b/>
                              <w:sz w:val="40"/>
                              <w:szCs w:val="40"/>
                            </w:rPr>
                            <w:t>2017 Annual Report on Evaluation and its addendum ‘Status of implementation of the independent Evaluation Office recommendations”</w:t>
                          </w:r>
                        </w:p>
                        <w:p w14:paraId="2EF235DF" w14:textId="77777777" w:rsidR="00F97C6C" w:rsidRPr="00A53E9A" w:rsidRDefault="00F97C6C" w:rsidP="00D7367D">
                          <w:pPr>
                            <w:pStyle w:val="NoSpacing"/>
                            <w:spacing w:before="40" w:after="560" w:line="216" w:lineRule="auto"/>
                            <w:ind w:left="72"/>
                            <w:rPr>
                              <w:rFonts w:ascii="Times New Roman" w:hAnsi="Times New Roman"/>
                              <w:b/>
                              <w:sz w:val="40"/>
                              <w:szCs w:val="40"/>
                            </w:rPr>
                          </w:pPr>
                        </w:p>
                        <w:p w14:paraId="1D09742C" w14:textId="77777777" w:rsidR="00F97C6C" w:rsidRDefault="00F97C6C" w:rsidP="00837F49">
                          <w:pPr>
                            <w:pStyle w:val="NoSpacing"/>
                            <w:spacing w:before="40" w:after="40"/>
                            <w:jc w:val="center"/>
                            <w:rPr>
                              <w:rFonts w:ascii="Times New Roman" w:hAnsi="Times New Roman"/>
                              <w:caps/>
                              <w:sz w:val="40"/>
                              <w:szCs w:val="40"/>
                            </w:rPr>
                          </w:pPr>
                        </w:p>
                      </w:txbxContent>
                    </v:textbox>
                    <w10:wrap type="square" anchorx="page" anchory="page"/>
                  </v:shape>
                </w:pict>
              </mc:Fallback>
            </mc:AlternateContent>
          </w:r>
          <w:r w:rsidR="00E04428" w:rsidRPr="00614F74">
            <w:rPr>
              <w:noProof/>
              <w:sz w:val="28"/>
              <w:szCs w:val="28"/>
            </w:rPr>
            <w:drawing>
              <wp:inline distT="0" distB="0" distL="0" distR="0" wp14:anchorId="2B0A7A56" wp14:editId="4C04008B">
                <wp:extent cx="470435" cy="876300"/>
                <wp:effectExtent l="0" t="0" r="6350" b="0"/>
                <wp:docPr id="4" name="Picture 4"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61" cy="881192"/>
                        </a:xfrm>
                        <a:prstGeom prst="rect">
                          <a:avLst/>
                        </a:prstGeom>
                        <a:noFill/>
                        <a:ln>
                          <a:noFill/>
                        </a:ln>
                      </pic:spPr>
                    </pic:pic>
                  </a:graphicData>
                </a:graphic>
              </wp:inline>
            </w:drawing>
          </w:r>
          <w:r w:rsidR="00837F49" w:rsidRPr="00944EAB">
            <w:rPr>
              <w:noProof/>
              <w:color w:val="C00000"/>
            </w:rPr>
            <mc:AlternateContent>
              <mc:Choice Requires="wpg">
                <w:drawing>
                  <wp:anchor distT="0" distB="0" distL="114300" distR="114300" simplePos="0" relativeHeight="251662848" behindDoc="0" locked="0" layoutInCell="1" allowOverlap="1" wp14:anchorId="5095C364" wp14:editId="1C75A69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B795D6"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p>
        <w:p w14:paraId="7F9926D6" w14:textId="1D324463" w:rsidR="00837F49" w:rsidRDefault="000E37B2">
          <w:pPr>
            <w:spacing w:after="0" w:line="240" w:lineRule="auto"/>
            <w:rPr>
              <w:rFonts w:ascii="Myriad Pro" w:hAnsi="Myriad Pro"/>
              <w:sz w:val="20"/>
              <w:szCs w:val="20"/>
            </w:rPr>
          </w:pPr>
        </w:p>
      </w:sdtContent>
    </w:sdt>
    <w:p w14:paraId="2C931B22" w14:textId="77777777" w:rsidR="00B82647" w:rsidRDefault="00B82647">
      <w:pPr>
        <w:spacing w:after="0" w:line="240" w:lineRule="auto"/>
        <w:rPr>
          <w:rFonts w:ascii="Times New Roman" w:eastAsia="Times New Roman,Batang" w:hAnsi="Times New Roman"/>
          <w:b/>
          <w:bCs/>
          <w:color w:val="000000" w:themeColor="text1"/>
          <w:lang w:eastAsia="ko-KR"/>
        </w:rPr>
      </w:pPr>
      <w:r>
        <w:rPr>
          <w:rFonts w:ascii="Times New Roman" w:eastAsia="Times New Roman,Batang" w:hAnsi="Times New Roman"/>
          <w:b/>
          <w:bCs/>
          <w:color w:val="000000" w:themeColor="text1"/>
          <w:lang w:eastAsia="ko-KR"/>
        </w:rPr>
        <w:br w:type="page"/>
      </w:r>
    </w:p>
    <w:p w14:paraId="5E14C037" w14:textId="69CE5B57" w:rsidR="00D11CA7" w:rsidRPr="00D32AAC" w:rsidRDefault="00D11CA7" w:rsidP="00D32AAC">
      <w:pPr>
        <w:spacing w:after="0"/>
        <w:rPr>
          <w:rFonts w:ascii="Times New Roman" w:eastAsia="Times New Roman,Batang" w:hAnsi="Times New Roman"/>
          <w:b/>
          <w:bCs/>
          <w:color w:val="000000" w:themeColor="text1"/>
          <w:lang w:eastAsia="ko-KR"/>
        </w:rPr>
      </w:pPr>
      <w:bookmarkStart w:id="0" w:name="_GoBack"/>
      <w:bookmarkEnd w:id="0"/>
      <w:r w:rsidRPr="00D32AAC">
        <w:rPr>
          <w:rFonts w:ascii="Times New Roman" w:eastAsia="Times New Roman,Batang" w:hAnsi="Times New Roman"/>
          <w:b/>
          <w:bCs/>
          <w:color w:val="000000" w:themeColor="text1"/>
          <w:lang w:eastAsia="ko-KR"/>
        </w:rPr>
        <w:lastRenderedPageBreak/>
        <w:t>Background</w:t>
      </w:r>
    </w:p>
    <w:p w14:paraId="02D1AA66" w14:textId="5F027D6F" w:rsidR="00D11CA7" w:rsidRPr="00B3524D" w:rsidRDefault="00D11CA7" w:rsidP="00B3524D">
      <w:pPr>
        <w:pStyle w:val="ColorfulShading-Accent31"/>
        <w:spacing w:after="0"/>
        <w:ind w:left="0"/>
        <w:jc w:val="both"/>
        <w:rPr>
          <w:rFonts w:ascii="Times New Roman" w:eastAsia="Times New Roman,Batang" w:hAnsi="Times New Roman"/>
          <w:lang w:eastAsia="ko-KR"/>
        </w:rPr>
      </w:pPr>
      <w:r w:rsidRPr="00B3524D">
        <w:rPr>
          <w:rFonts w:ascii="Times New Roman" w:eastAsia="Times New Roman,Batang" w:hAnsi="Times New Roman"/>
          <w:lang w:eastAsia="ko-KR"/>
        </w:rPr>
        <w:t xml:space="preserve">The commentaries submitted herewith provide a UNDP management perspective on the results </w:t>
      </w:r>
      <w:r w:rsidR="00EB0B33" w:rsidRPr="00B3524D">
        <w:rPr>
          <w:rFonts w:ascii="Times New Roman" w:eastAsia="Times New Roman,Batang" w:hAnsi="Times New Roman"/>
          <w:lang w:eastAsia="ko-KR"/>
        </w:rPr>
        <w:t>presented in the 2017</w:t>
      </w:r>
      <w:r w:rsidRPr="00B3524D">
        <w:rPr>
          <w:rFonts w:ascii="Times New Roman" w:eastAsia="Times New Roman,Batang" w:hAnsi="Times New Roman"/>
          <w:lang w:eastAsia="ko-KR"/>
        </w:rPr>
        <w:t xml:space="preserve"> Annual Report on </w:t>
      </w:r>
      <w:r w:rsidRPr="00E37708">
        <w:rPr>
          <w:rFonts w:ascii="Times New Roman" w:eastAsia="Times New Roman,Batang" w:hAnsi="Times New Roman"/>
          <w:lang w:eastAsia="ko-KR"/>
        </w:rPr>
        <w:t xml:space="preserve">Evaluation </w:t>
      </w:r>
      <w:r w:rsidR="005106FD" w:rsidRPr="00E37708">
        <w:rPr>
          <w:rFonts w:ascii="Times New Roman" w:eastAsia="Times New Roman,Batang" w:hAnsi="Times New Roman"/>
          <w:lang w:eastAsia="ko-KR"/>
        </w:rPr>
        <w:t>[</w:t>
      </w:r>
      <w:r w:rsidR="00E37708" w:rsidRPr="00E37708">
        <w:rPr>
          <w:rFonts w:ascii="Times New Roman" w:eastAsia="Times New Roman,Batang" w:hAnsi="Times New Roman"/>
          <w:lang w:eastAsia="ko-KR"/>
        </w:rPr>
        <w:t>DP/2018/12</w:t>
      </w:r>
      <w:r w:rsidR="005106FD" w:rsidRPr="00E37708">
        <w:rPr>
          <w:rFonts w:ascii="Times New Roman" w:eastAsia="Times New Roman,Batang" w:hAnsi="Times New Roman"/>
          <w:lang w:eastAsia="ko-KR"/>
        </w:rPr>
        <w:t>]</w:t>
      </w:r>
      <w:r w:rsidR="000C3304" w:rsidRPr="00E37708">
        <w:rPr>
          <w:rFonts w:ascii="Times New Roman" w:eastAsia="Times New Roman,Batang" w:hAnsi="Times New Roman"/>
          <w:lang w:eastAsia="ko-KR"/>
        </w:rPr>
        <w:t>,</w:t>
      </w:r>
      <w:r w:rsidR="000C3304" w:rsidRPr="00B3524D">
        <w:rPr>
          <w:rFonts w:ascii="Times New Roman" w:eastAsia="Times New Roman,Batang" w:hAnsi="Times New Roman"/>
          <w:lang w:eastAsia="ko-KR"/>
        </w:rPr>
        <w:t xml:space="preserve"> and its addendum “Status of implementation of the Independent Evaluation Office </w:t>
      </w:r>
      <w:r w:rsidR="009C3EC8" w:rsidRPr="00B3524D">
        <w:rPr>
          <w:rFonts w:ascii="Times New Roman" w:eastAsia="Times New Roman,Batang" w:hAnsi="Times New Roman"/>
          <w:lang w:eastAsia="ko-KR"/>
        </w:rPr>
        <w:t xml:space="preserve">(IEO) </w:t>
      </w:r>
      <w:r w:rsidR="000C3304" w:rsidRPr="00B3524D">
        <w:rPr>
          <w:rFonts w:ascii="Times New Roman" w:eastAsia="Times New Roman,Batang" w:hAnsi="Times New Roman"/>
          <w:lang w:eastAsia="ko-KR"/>
        </w:rPr>
        <w:t>recommendations”</w:t>
      </w:r>
      <w:r w:rsidR="00E37708" w:rsidRPr="00E37708">
        <w:rPr>
          <w:rFonts w:ascii="Times New Roman" w:eastAsia="Times New Roman,Batang" w:hAnsi="Times New Roman"/>
          <w:lang w:eastAsia="ko-KR"/>
        </w:rPr>
        <w:t xml:space="preserve"> [DP/2018/12</w:t>
      </w:r>
      <w:r w:rsidR="00E37708">
        <w:rPr>
          <w:rFonts w:ascii="Times New Roman" w:eastAsia="Times New Roman,Batang" w:hAnsi="Times New Roman"/>
          <w:lang w:eastAsia="ko-KR"/>
        </w:rPr>
        <w:t>/addendum.1</w:t>
      </w:r>
      <w:r w:rsidR="00E37708" w:rsidRPr="00E37708">
        <w:rPr>
          <w:rFonts w:ascii="Times New Roman" w:eastAsia="Times New Roman,Batang" w:hAnsi="Times New Roman"/>
          <w:lang w:eastAsia="ko-KR"/>
        </w:rPr>
        <w:t>]</w:t>
      </w:r>
      <w:r w:rsidRPr="00B3524D">
        <w:rPr>
          <w:rFonts w:ascii="Times New Roman" w:eastAsia="Times New Roman,Batang" w:hAnsi="Times New Roman"/>
          <w:lang w:eastAsia="ko-KR"/>
        </w:rPr>
        <w:t xml:space="preserve">. </w:t>
      </w:r>
      <w:r w:rsidR="00A33AE9" w:rsidRPr="00B3524D">
        <w:rPr>
          <w:rFonts w:ascii="Times New Roman" w:eastAsia="Times New Roman,Batang" w:hAnsi="Times New Roman"/>
          <w:lang w:eastAsia="ko-KR"/>
        </w:rPr>
        <w:t>The commentaries also include</w:t>
      </w:r>
      <w:r w:rsidR="000C3304" w:rsidRPr="00B3524D">
        <w:rPr>
          <w:rFonts w:ascii="Times New Roman" w:eastAsia="Times New Roman,Batang" w:hAnsi="Times New Roman"/>
          <w:lang w:eastAsia="ko-KR"/>
        </w:rPr>
        <w:t xml:space="preserve"> a brief analysis of </w:t>
      </w:r>
      <w:r w:rsidRPr="00B3524D">
        <w:rPr>
          <w:rFonts w:ascii="Times New Roman" w:eastAsia="Times New Roman,Batang" w:hAnsi="Times New Roman"/>
          <w:lang w:eastAsia="ko-KR"/>
        </w:rPr>
        <w:t xml:space="preserve">decentralized evaluations conducted </w:t>
      </w:r>
      <w:r w:rsidR="000C3304" w:rsidRPr="00B3524D">
        <w:rPr>
          <w:rFonts w:ascii="Times New Roman" w:eastAsia="Times New Roman,Batang" w:hAnsi="Times New Roman"/>
          <w:lang w:eastAsia="ko-KR"/>
        </w:rPr>
        <w:t xml:space="preserve">in 2017, </w:t>
      </w:r>
      <w:r w:rsidRPr="00B3524D">
        <w:rPr>
          <w:rFonts w:ascii="Times New Roman" w:eastAsia="Times New Roman,Batang" w:hAnsi="Times New Roman"/>
          <w:lang w:eastAsia="ko-KR"/>
        </w:rPr>
        <w:t xml:space="preserve">a performance analysis of the </w:t>
      </w:r>
      <w:r w:rsidR="000C3304" w:rsidRPr="00B3524D">
        <w:rPr>
          <w:rFonts w:ascii="Times New Roman" w:eastAsia="Times New Roman,Batang" w:hAnsi="Times New Roman"/>
          <w:lang w:eastAsia="ko-KR"/>
        </w:rPr>
        <w:t>evaluation function as well as</w:t>
      </w:r>
      <w:r w:rsidRPr="00B3524D">
        <w:rPr>
          <w:rFonts w:ascii="Times New Roman" w:eastAsia="Times New Roman,Batang" w:hAnsi="Times New Roman"/>
          <w:lang w:eastAsia="ko-KR"/>
        </w:rPr>
        <w:t xml:space="preserve"> an update on the implementation status of management responses</w:t>
      </w:r>
      <w:r w:rsidR="008B67A3" w:rsidRPr="00B3524D">
        <w:rPr>
          <w:rFonts w:ascii="Times New Roman" w:eastAsia="Times New Roman,Batang" w:hAnsi="Times New Roman"/>
          <w:lang w:eastAsia="ko-KR"/>
        </w:rPr>
        <w:t xml:space="preserve"> to independent evaluations</w:t>
      </w:r>
      <w:r w:rsidRPr="00B3524D">
        <w:rPr>
          <w:rFonts w:ascii="Times New Roman" w:eastAsia="Times New Roman,Batang" w:hAnsi="Times New Roman"/>
          <w:lang w:eastAsia="ko-KR"/>
        </w:rPr>
        <w:t>.</w:t>
      </w:r>
    </w:p>
    <w:p w14:paraId="4082AB59" w14:textId="77777777" w:rsidR="00D11CA7" w:rsidRPr="00B3524D" w:rsidRDefault="00D11CA7" w:rsidP="00B3524D">
      <w:pPr>
        <w:pStyle w:val="ColorfulShading-Accent31"/>
        <w:spacing w:after="0"/>
        <w:ind w:left="0"/>
        <w:jc w:val="both"/>
        <w:rPr>
          <w:rFonts w:ascii="Times New Roman" w:eastAsia="Times New Roman,Batang" w:hAnsi="Times New Roman"/>
          <w:color w:val="FF0000"/>
          <w:lang w:eastAsia="ko-KR"/>
        </w:rPr>
      </w:pPr>
    </w:p>
    <w:p w14:paraId="6FF45A2F" w14:textId="77777777" w:rsidR="00D11CA7" w:rsidRPr="00B3524D" w:rsidRDefault="00D11CA7" w:rsidP="00B3524D">
      <w:pPr>
        <w:pStyle w:val="ColorfulShading-Accent31"/>
        <w:spacing w:after="0"/>
        <w:ind w:left="0"/>
        <w:jc w:val="both"/>
        <w:rPr>
          <w:rFonts w:ascii="Times New Roman" w:eastAsia="Times New Roman,Batang" w:hAnsi="Times New Roman"/>
          <w:lang w:eastAsia="ko-KR"/>
        </w:rPr>
      </w:pPr>
      <w:r w:rsidRPr="00B3524D">
        <w:rPr>
          <w:rFonts w:ascii="Times New Roman" w:eastAsia="Times New Roman,Batang" w:hAnsi="Times New Roman"/>
          <w:lang w:eastAsia="ko-KR"/>
        </w:rPr>
        <w:t xml:space="preserve">The evaluations conducted by the IEO and UNDP programme units, and their related management responses, as well as the status updates on implementation of commitments made in those responses, are available through the </w:t>
      </w:r>
      <w:hyperlink r:id="rId12">
        <w:r w:rsidRPr="00B3524D">
          <w:rPr>
            <w:rStyle w:val="Hyperlink"/>
            <w:rFonts w:ascii="Times New Roman" w:eastAsia="Times New Roman,Batang" w:hAnsi="Times New Roman"/>
            <w:color w:val="auto"/>
            <w:lang w:eastAsia="ko-KR"/>
          </w:rPr>
          <w:t>Evaluation Resource Centre</w:t>
        </w:r>
      </w:hyperlink>
      <w:r w:rsidRPr="00B3524D">
        <w:rPr>
          <w:rFonts w:ascii="Times New Roman" w:eastAsia="Times New Roman,Batang" w:hAnsi="Times New Roman"/>
          <w:lang w:eastAsia="ko-KR"/>
        </w:rPr>
        <w:t xml:space="preserve"> database (ERC).  </w:t>
      </w:r>
    </w:p>
    <w:p w14:paraId="0C34C0A7" w14:textId="77777777" w:rsidR="00D11CA7" w:rsidRPr="00D32AAC" w:rsidRDefault="00D11CA7" w:rsidP="00D32AAC">
      <w:pPr>
        <w:pStyle w:val="ColorfulShading-Accent31"/>
        <w:spacing w:after="0"/>
        <w:ind w:left="0"/>
        <w:jc w:val="both"/>
        <w:rPr>
          <w:rFonts w:ascii="Times New Roman" w:eastAsia="Times New Roman,Batang" w:hAnsi="Times New Roman"/>
          <w:color w:val="FF0000"/>
          <w:lang w:eastAsia="ko-KR"/>
        </w:rPr>
      </w:pPr>
    </w:p>
    <w:p w14:paraId="724651CD" w14:textId="77777777" w:rsidR="00D32AAC" w:rsidRPr="00D32AAC" w:rsidRDefault="00D11CA7" w:rsidP="00D32AAC">
      <w:pPr>
        <w:pStyle w:val="ColorfulShading-Accent31"/>
        <w:spacing w:after="0"/>
        <w:ind w:left="0"/>
        <w:jc w:val="both"/>
        <w:rPr>
          <w:rFonts w:ascii="Times New Roman" w:eastAsia="Times New Roman,Batang" w:hAnsi="Times New Roman"/>
          <w:b/>
          <w:lang w:eastAsia="ko-KR"/>
        </w:rPr>
      </w:pPr>
      <w:r w:rsidRPr="00D32AAC">
        <w:rPr>
          <w:rFonts w:ascii="Times New Roman" w:eastAsia="Times New Roman,Batang" w:hAnsi="Times New Roman"/>
          <w:b/>
          <w:lang w:eastAsia="ko-KR"/>
        </w:rPr>
        <w:t>UNDP Evaluation Policy</w:t>
      </w:r>
    </w:p>
    <w:p w14:paraId="59A56A4D" w14:textId="40627894" w:rsidR="00F86E66" w:rsidRPr="00B3524D" w:rsidRDefault="00C90039" w:rsidP="00D32AAC">
      <w:pPr>
        <w:pStyle w:val="ColorfulShading-Accent31"/>
        <w:spacing w:after="0"/>
        <w:ind w:left="0"/>
        <w:jc w:val="both"/>
        <w:rPr>
          <w:rFonts w:ascii="Times New Roman" w:eastAsia="Times New Roman" w:hAnsi="Times New Roman"/>
        </w:rPr>
      </w:pPr>
      <w:r w:rsidRPr="00B3524D">
        <w:rPr>
          <w:rFonts w:ascii="Times New Roman" w:hAnsi="Times New Roman"/>
          <w:lang w:eastAsia="ko-KR"/>
        </w:rPr>
        <w:t xml:space="preserve">UNDP is committed to strengthen the quality of the evaluation function </w:t>
      </w:r>
      <w:r w:rsidRPr="00B3524D">
        <w:rPr>
          <w:rFonts w:ascii="Times New Roman" w:eastAsia="Arial Unicode MS" w:hAnsi="Times New Roman"/>
          <w:color w:val="000000"/>
          <w:lang w:val="en-GB"/>
        </w:rPr>
        <w:t xml:space="preserve">by implementing the Evaluation Policy and the Decentralized Evaluation Strategy, and </w:t>
      </w:r>
      <w:r w:rsidRPr="00B3524D">
        <w:rPr>
          <w:rFonts w:ascii="Times New Roman" w:hAnsi="Times New Roman"/>
          <w:lang w:eastAsia="ko-KR"/>
        </w:rPr>
        <w:t xml:space="preserve">through close collaboration with the IEO </w:t>
      </w:r>
      <w:r w:rsidRPr="00B3524D">
        <w:rPr>
          <w:rFonts w:ascii="Times New Roman" w:hAnsi="Times New Roman"/>
          <w:bCs/>
        </w:rPr>
        <w:t>undertake capacity development efforts of monitoring and evaluation (M&amp;E) staff, and revise p</w:t>
      </w:r>
      <w:r w:rsidR="003006FF" w:rsidRPr="00B3524D">
        <w:rPr>
          <w:rFonts w:ascii="Times New Roman" w:hAnsi="Times New Roman"/>
          <w:bCs/>
        </w:rPr>
        <w:t xml:space="preserve">rocesses, guidance and systems. </w:t>
      </w:r>
      <w:r w:rsidRPr="00B3524D">
        <w:rPr>
          <w:rFonts w:ascii="Times New Roman" w:hAnsi="Times New Roman"/>
        </w:rPr>
        <w:t xml:space="preserve">Following </w:t>
      </w:r>
      <w:r w:rsidR="00153C06" w:rsidRPr="00B3524D">
        <w:rPr>
          <w:rFonts w:ascii="Times New Roman" w:hAnsi="Times New Roman"/>
        </w:rPr>
        <w:t xml:space="preserve">the adoption of the new </w:t>
      </w:r>
      <w:hyperlink r:id="rId13" w:history="1">
        <w:r w:rsidR="004D482E" w:rsidRPr="00B3524D">
          <w:rPr>
            <w:rStyle w:val="Hyperlink"/>
            <w:rFonts w:ascii="Times New Roman" w:eastAsia="Times New Roman" w:hAnsi="Times New Roman"/>
            <w:color w:val="auto"/>
          </w:rPr>
          <w:t>Evaluation Policy</w:t>
        </w:r>
      </w:hyperlink>
      <w:r w:rsidR="004D482E" w:rsidRPr="00B3524D">
        <w:rPr>
          <w:rFonts w:ascii="Times New Roman" w:eastAsia="Times New Roman" w:hAnsi="Times New Roman"/>
        </w:rPr>
        <w:t xml:space="preserve"> </w:t>
      </w:r>
      <w:r w:rsidR="00153C06" w:rsidRPr="00B3524D">
        <w:rPr>
          <w:rFonts w:ascii="Times New Roman" w:hAnsi="Times New Roman"/>
        </w:rPr>
        <w:t xml:space="preserve">by the Executive Board in September 2016, the evaluation function </w:t>
      </w:r>
      <w:r w:rsidR="0015377B" w:rsidRPr="00B3524D">
        <w:rPr>
          <w:rFonts w:ascii="Times New Roman" w:hAnsi="Times New Roman"/>
        </w:rPr>
        <w:t xml:space="preserve">now </w:t>
      </w:r>
      <w:r w:rsidR="00153C06" w:rsidRPr="00B3524D">
        <w:rPr>
          <w:rFonts w:ascii="Times New Roman" w:hAnsi="Times New Roman"/>
        </w:rPr>
        <w:t xml:space="preserve">enjoys a more stable regulatory environment, which allows UNDP to live up to its commitment of utilizing </w:t>
      </w:r>
      <w:r w:rsidR="00C713E8" w:rsidRPr="00B3524D">
        <w:rPr>
          <w:rFonts w:ascii="Times New Roman" w:hAnsi="Times New Roman"/>
        </w:rPr>
        <w:t>evaluations in its promotion of evidence-based programming, strategic decision-making, learning and to</w:t>
      </w:r>
      <w:r w:rsidR="003302A6" w:rsidRPr="00B3524D">
        <w:rPr>
          <w:rFonts w:ascii="Times New Roman" w:hAnsi="Times New Roman"/>
        </w:rPr>
        <w:t xml:space="preserve"> ensure better use of resources</w:t>
      </w:r>
      <w:r w:rsidR="00C713E8" w:rsidRPr="00B3524D">
        <w:rPr>
          <w:rFonts w:ascii="Times New Roman" w:hAnsi="Times New Roman"/>
        </w:rPr>
        <w:t xml:space="preserve">. </w:t>
      </w:r>
    </w:p>
    <w:p w14:paraId="701DA7B3" w14:textId="486390AF" w:rsidR="00C81212" w:rsidRDefault="00C81212" w:rsidP="00CA4F7D">
      <w:pPr>
        <w:pStyle w:val="ListParagraph"/>
        <w:tabs>
          <w:tab w:val="left" w:pos="0"/>
        </w:tabs>
        <w:spacing w:after="0" w:line="240" w:lineRule="auto"/>
        <w:ind w:left="0"/>
        <w:jc w:val="both"/>
        <w:rPr>
          <w:rFonts w:ascii="Times New Roman" w:hAnsi="Times New Roman"/>
        </w:rPr>
      </w:pPr>
    </w:p>
    <w:p w14:paraId="54F0E2A4" w14:textId="1FF0DCE7" w:rsidR="00D11CA7" w:rsidRDefault="00D11CA7" w:rsidP="00EB06C7">
      <w:pPr>
        <w:pStyle w:val="ListParagraph"/>
        <w:numPr>
          <w:ilvl w:val="0"/>
          <w:numId w:val="42"/>
        </w:numPr>
        <w:tabs>
          <w:tab w:val="left" w:pos="0"/>
        </w:tabs>
        <w:spacing w:after="0" w:line="240" w:lineRule="auto"/>
        <w:jc w:val="both"/>
        <w:rPr>
          <w:rFonts w:ascii="Times New Roman" w:eastAsia="Times New Roman,Batang" w:hAnsi="Times New Roman"/>
          <w:b/>
          <w:bCs/>
          <w:lang w:eastAsia="ko-KR"/>
        </w:rPr>
      </w:pPr>
      <w:r w:rsidRPr="00CA4F7D">
        <w:rPr>
          <w:rFonts w:ascii="Times New Roman" w:eastAsia="Times New Roman,Batang" w:hAnsi="Times New Roman"/>
          <w:b/>
          <w:bCs/>
          <w:lang w:eastAsia="ko-KR"/>
        </w:rPr>
        <w:t>Follow up on evaluation recommendations and management responses</w:t>
      </w:r>
    </w:p>
    <w:p w14:paraId="55C22AB6" w14:textId="77777777" w:rsidR="00FA17CB" w:rsidRPr="00CA4F7D" w:rsidRDefault="00FA17CB" w:rsidP="00CA4F7D">
      <w:pPr>
        <w:pStyle w:val="ListParagraph"/>
        <w:tabs>
          <w:tab w:val="left" w:pos="0"/>
        </w:tabs>
        <w:spacing w:after="0" w:line="240" w:lineRule="auto"/>
        <w:ind w:left="0"/>
        <w:jc w:val="both"/>
        <w:rPr>
          <w:rFonts w:ascii="Times New Roman" w:eastAsia="Times New Roman,Batang" w:hAnsi="Times New Roman"/>
          <w:b/>
          <w:bCs/>
          <w:lang w:eastAsia="ko-KR"/>
        </w:rPr>
      </w:pPr>
    </w:p>
    <w:p w14:paraId="59E3BE0E" w14:textId="68FAEA96" w:rsidR="008D6EA0" w:rsidRPr="00C81212" w:rsidRDefault="005E5BAF" w:rsidP="008326C9">
      <w:pPr>
        <w:pStyle w:val="ListParagraph"/>
        <w:tabs>
          <w:tab w:val="left" w:pos="360"/>
        </w:tabs>
        <w:spacing w:after="0"/>
        <w:ind w:left="360"/>
        <w:rPr>
          <w:rFonts w:ascii="Times New Roman" w:eastAsia="Batang" w:hAnsi="Times New Roman"/>
          <w:lang w:eastAsia="ko-KR"/>
        </w:rPr>
      </w:pPr>
      <w:r>
        <w:rPr>
          <w:rFonts w:ascii="Times New Roman" w:eastAsia="Batang" w:hAnsi="Times New Roman"/>
          <w:b/>
          <w:lang w:eastAsia="ko-KR"/>
        </w:rPr>
        <w:t xml:space="preserve">A. </w:t>
      </w:r>
      <w:r w:rsidR="008D6EA0" w:rsidRPr="008408B9">
        <w:rPr>
          <w:rFonts w:ascii="Times New Roman" w:eastAsia="Batang" w:hAnsi="Times New Roman"/>
          <w:b/>
          <w:lang w:eastAsia="ko-KR"/>
        </w:rPr>
        <w:t>Independent evaluations</w:t>
      </w:r>
    </w:p>
    <w:p w14:paraId="11FCC260" w14:textId="23FA2FAC" w:rsidR="008D6EA0" w:rsidRPr="00C81212" w:rsidRDefault="000C1004" w:rsidP="00C81212">
      <w:pPr>
        <w:jc w:val="both"/>
        <w:rPr>
          <w:rFonts w:ascii="Times New Roman" w:hAnsi="Times New Roman"/>
          <w:b/>
        </w:rPr>
      </w:pPr>
      <w:r w:rsidRPr="00C81212">
        <w:rPr>
          <w:rFonts w:ascii="Times New Roman" w:hAnsi="Times New Roman"/>
        </w:rPr>
        <w:t>Between 2012 and 2017</w:t>
      </w:r>
      <w:r w:rsidR="009225DB" w:rsidRPr="00C81212">
        <w:rPr>
          <w:rFonts w:ascii="Times New Roman" w:hAnsi="Times New Roman"/>
        </w:rPr>
        <w:t>, the</w:t>
      </w:r>
      <w:r w:rsidR="00051FCA" w:rsidRPr="00C81212">
        <w:rPr>
          <w:rFonts w:ascii="Times New Roman" w:hAnsi="Times New Roman"/>
        </w:rPr>
        <w:t xml:space="preserve"> </w:t>
      </w:r>
      <w:r w:rsidR="008D6EA0" w:rsidRPr="00C81212">
        <w:rPr>
          <w:rFonts w:ascii="Times New Roman" w:hAnsi="Times New Roman"/>
        </w:rPr>
        <w:t>IEO conducted a total of 6</w:t>
      </w:r>
      <w:r w:rsidRPr="00C81212">
        <w:rPr>
          <w:rFonts w:ascii="Times New Roman" w:hAnsi="Times New Roman"/>
        </w:rPr>
        <w:t>4</w:t>
      </w:r>
      <w:r w:rsidR="008D6EA0" w:rsidRPr="00C81212">
        <w:rPr>
          <w:rFonts w:ascii="Times New Roman" w:hAnsi="Times New Roman"/>
        </w:rPr>
        <w:t xml:space="preserve"> evaluations</w:t>
      </w:r>
      <w:r w:rsidR="008D6EA0" w:rsidRPr="00C81212">
        <w:rPr>
          <w:rStyle w:val="FootnoteReference"/>
          <w:rFonts w:ascii="Times New Roman" w:hAnsi="Times New Roman"/>
        </w:rPr>
        <w:footnoteReference w:id="1"/>
      </w:r>
      <w:r w:rsidR="008D6EA0" w:rsidRPr="00C81212">
        <w:rPr>
          <w:rFonts w:ascii="Times New Roman" w:hAnsi="Times New Roman"/>
        </w:rPr>
        <w:t>, out of which 9</w:t>
      </w:r>
      <w:r w:rsidRPr="00C81212">
        <w:rPr>
          <w:rFonts w:ascii="Times New Roman" w:hAnsi="Times New Roman"/>
        </w:rPr>
        <w:t>1</w:t>
      </w:r>
      <w:r w:rsidR="008D6EA0" w:rsidRPr="00C81212">
        <w:rPr>
          <w:rFonts w:ascii="Times New Roman" w:hAnsi="Times New Roman"/>
        </w:rPr>
        <w:t>% had a management response. The six evaluations without management responses in ERC were all Assessments of</w:t>
      </w:r>
      <w:r w:rsidR="00B3524D">
        <w:rPr>
          <w:rFonts w:ascii="Times New Roman" w:hAnsi="Times New Roman"/>
        </w:rPr>
        <w:t xml:space="preserve"> </w:t>
      </w:r>
      <w:r w:rsidR="008D6EA0" w:rsidRPr="00C81212">
        <w:rPr>
          <w:rFonts w:ascii="Times New Roman" w:hAnsi="Times New Roman"/>
        </w:rPr>
        <w:t>Development Results (ADRs).</w:t>
      </w:r>
      <w:r w:rsidR="008D6EA0" w:rsidRPr="00C81212">
        <w:rPr>
          <w:rFonts w:ascii="Times New Roman" w:hAnsi="Times New Roman"/>
          <w:b/>
        </w:rPr>
        <w:t xml:space="preserve"> </w:t>
      </w:r>
      <w:r w:rsidR="008D6EA0" w:rsidRPr="00C81212">
        <w:rPr>
          <w:rFonts w:ascii="Times New Roman" w:hAnsi="Times New Roman"/>
        </w:rPr>
        <w:t>Out of the key actions planned, 6</w:t>
      </w:r>
      <w:r w:rsidRPr="00C81212">
        <w:rPr>
          <w:rFonts w:ascii="Times New Roman" w:hAnsi="Times New Roman"/>
        </w:rPr>
        <w:t>1</w:t>
      </w:r>
      <w:r w:rsidR="008D6EA0" w:rsidRPr="00C81212">
        <w:rPr>
          <w:rFonts w:ascii="Times New Roman" w:hAnsi="Times New Roman"/>
        </w:rPr>
        <w:t>% have been completed, 2</w:t>
      </w:r>
      <w:r w:rsidRPr="00C81212">
        <w:rPr>
          <w:rFonts w:ascii="Times New Roman" w:hAnsi="Times New Roman"/>
        </w:rPr>
        <w:t>7</w:t>
      </w:r>
      <w:r w:rsidR="008D6EA0" w:rsidRPr="00C81212">
        <w:rPr>
          <w:rFonts w:ascii="Times New Roman" w:hAnsi="Times New Roman"/>
        </w:rPr>
        <w:t xml:space="preserve">% </w:t>
      </w:r>
      <w:r w:rsidR="00B3524D">
        <w:rPr>
          <w:rFonts w:ascii="Times New Roman" w:hAnsi="Times New Roman"/>
        </w:rPr>
        <w:t xml:space="preserve">are </w:t>
      </w:r>
      <w:r w:rsidR="008D6EA0" w:rsidRPr="00C81212">
        <w:rPr>
          <w:rFonts w:ascii="Times New Roman" w:hAnsi="Times New Roman"/>
        </w:rPr>
        <w:t>initiated or ongoing without a due date, 9% overdue, 1% have not yet been initiated and 2% are no longer applicable.</w:t>
      </w:r>
      <w:r w:rsidR="00C5246A">
        <w:rPr>
          <w:rFonts w:ascii="Times New Roman" w:hAnsi="Times New Roman"/>
        </w:rPr>
        <w:t xml:space="preserve"> </w:t>
      </w:r>
      <w:r w:rsidR="005E5BAF">
        <w:rPr>
          <w:rFonts w:ascii="Times New Roman" w:hAnsi="Times New Roman"/>
        </w:rPr>
        <w:t>T</w:t>
      </w:r>
      <w:r w:rsidR="00FB1439" w:rsidRPr="00C81212">
        <w:rPr>
          <w:rFonts w:ascii="Times New Roman" w:hAnsi="Times New Roman"/>
        </w:rPr>
        <w:t xml:space="preserve">hese </w:t>
      </w:r>
      <w:r w:rsidR="005E5BAF">
        <w:rPr>
          <w:rFonts w:ascii="Times New Roman" w:hAnsi="Times New Roman"/>
        </w:rPr>
        <w:t xml:space="preserve">figures </w:t>
      </w:r>
      <w:r w:rsidR="00FB1439" w:rsidRPr="00C81212">
        <w:rPr>
          <w:rFonts w:ascii="Times New Roman" w:hAnsi="Times New Roman"/>
        </w:rPr>
        <w:t xml:space="preserve">are </w:t>
      </w:r>
      <w:r w:rsidR="00635471" w:rsidRPr="00C81212">
        <w:rPr>
          <w:rFonts w:ascii="Times New Roman" w:hAnsi="Times New Roman"/>
        </w:rPr>
        <w:t>updated based</w:t>
      </w:r>
      <w:r w:rsidR="00FB1439" w:rsidRPr="00C81212">
        <w:rPr>
          <w:rFonts w:ascii="Times New Roman" w:hAnsi="Times New Roman"/>
        </w:rPr>
        <w:t xml:space="preserve"> on ERC data as of 31</w:t>
      </w:r>
      <w:r w:rsidR="00FB1439" w:rsidRPr="00C81212">
        <w:rPr>
          <w:rFonts w:ascii="Times New Roman" w:hAnsi="Times New Roman"/>
          <w:vertAlign w:val="superscript"/>
        </w:rPr>
        <w:t>st</w:t>
      </w:r>
      <w:r w:rsidR="00FB1439" w:rsidRPr="00C81212">
        <w:rPr>
          <w:rFonts w:ascii="Times New Roman" w:hAnsi="Times New Roman"/>
        </w:rPr>
        <w:t xml:space="preserve"> of January 2018</w:t>
      </w:r>
      <w:r w:rsidRPr="00C81212">
        <w:rPr>
          <w:rFonts w:ascii="Times New Roman" w:hAnsi="Times New Roman"/>
        </w:rPr>
        <w:t xml:space="preserve"> and include evaluations completed in 2017. </w:t>
      </w:r>
      <w:r w:rsidR="008D6EA0" w:rsidRPr="00C81212">
        <w:rPr>
          <w:rFonts w:ascii="Times New Roman" w:hAnsi="Times New Roman"/>
        </w:rPr>
        <w:t xml:space="preserve">The percentage of actions that are considered ‘on track’ </w:t>
      </w:r>
      <w:r w:rsidR="003572AF">
        <w:rPr>
          <w:rFonts w:ascii="Times New Roman" w:hAnsi="Times New Roman"/>
        </w:rPr>
        <w:t xml:space="preserve">for 2017 </w:t>
      </w:r>
      <w:r w:rsidR="008D6EA0" w:rsidRPr="00C81212">
        <w:rPr>
          <w:rFonts w:ascii="Times New Roman" w:hAnsi="Times New Roman"/>
        </w:rPr>
        <w:t>in terms of implementation was 91%, compared with 82% in 2014</w:t>
      </w:r>
      <w:r w:rsidR="008D6EA0" w:rsidRPr="00C81212">
        <w:rPr>
          <w:rStyle w:val="FootnoteReference"/>
          <w:rFonts w:ascii="Times New Roman" w:hAnsi="Times New Roman"/>
        </w:rPr>
        <w:footnoteReference w:id="2"/>
      </w:r>
      <w:r w:rsidR="008D6EA0" w:rsidRPr="00C81212">
        <w:rPr>
          <w:rFonts w:ascii="Times New Roman" w:hAnsi="Times New Roman"/>
        </w:rPr>
        <w:t xml:space="preserve">. </w:t>
      </w:r>
      <w:r w:rsidR="008D6EA0" w:rsidRPr="00C81212">
        <w:rPr>
          <w:rFonts w:ascii="Times New Roman" w:eastAsia="Batang" w:hAnsi="Times New Roman"/>
          <w:lang w:eastAsia="ko-KR"/>
        </w:rPr>
        <w:t>Th</w:t>
      </w:r>
      <w:r w:rsidR="00DC4443" w:rsidRPr="00C81212">
        <w:rPr>
          <w:rFonts w:ascii="Times New Roman" w:eastAsia="Batang" w:hAnsi="Times New Roman"/>
          <w:lang w:eastAsia="ko-KR"/>
        </w:rPr>
        <w:t xml:space="preserve">is improvement stems from </w:t>
      </w:r>
      <w:r w:rsidR="008D6EA0" w:rsidRPr="00C81212">
        <w:rPr>
          <w:rFonts w:ascii="Times New Roman" w:eastAsia="Batang" w:hAnsi="Times New Roman"/>
          <w:lang w:eastAsia="ko-KR"/>
        </w:rPr>
        <w:t xml:space="preserve">increased, strategic and targeted efforts made by UNDP to strengthen the evaluation function during the last couple of years, including </w:t>
      </w:r>
      <w:r w:rsidR="00B3524D" w:rsidRPr="00C81212">
        <w:rPr>
          <w:rFonts w:ascii="Times New Roman" w:eastAsia="Batang" w:hAnsi="Times New Roman"/>
          <w:lang w:eastAsia="ko-KR"/>
        </w:rPr>
        <w:t>capacity building</w:t>
      </w:r>
      <w:r w:rsidR="00B3524D">
        <w:rPr>
          <w:rFonts w:ascii="Times New Roman" w:eastAsia="Batang" w:hAnsi="Times New Roman"/>
          <w:lang w:eastAsia="ko-KR"/>
        </w:rPr>
        <w:t xml:space="preserve"> and</w:t>
      </w:r>
      <w:r w:rsidR="00B3524D" w:rsidRPr="00C81212">
        <w:rPr>
          <w:rFonts w:ascii="Times New Roman" w:eastAsia="Batang" w:hAnsi="Times New Roman"/>
          <w:lang w:eastAsia="ko-KR"/>
        </w:rPr>
        <w:t xml:space="preserve"> </w:t>
      </w:r>
      <w:r w:rsidR="008D6EA0" w:rsidRPr="00C81212">
        <w:rPr>
          <w:rFonts w:ascii="Times New Roman" w:eastAsia="Batang" w:hAnsi="Times New Roman"/>
          <w:lang w:eastAsia="ko-KR"/>
        </w:rPr>
        <w:t xml:space="preserve">the revision of prescriptive content and guidance. </w:t>
      </w:r>
    </w:p>
    <w:p w14:paraId="045C6AF7" w14:textId="117FBEC8" w:rsidR="005E5BAF" w:rsidRPr="00C81212" w:rsidRDefault="005E5BAF" w:rsidP="005E5BAF">
      <w:pPr>
        <w:pStyle w:val="ListParagraph"/>
        <w:tabs>
          <w:tab w:val="left" w:pos="360"/>
        </w:tabs>
        <w:spacing w:after="0"/>
        <w:ind w:left="0"/>
        <w:jc w:val="both"/>
        <w:rPr>
          <w:rFonts w:ascii="Times New Roman" w:eastAsia="Batang" w:hAnsi="Times New Roman"/>
          <w:lang w:eastAsia="ko-KR"/>
        </w:rPr>
      </w:pPr>
      <w:r>
        <w:rPr>
          <w:rFonts w:ascii="Times New Roman" w:eastAsia="Batang" w:hAnsi="Times New Roman"/>
          <w:lang w:eastAsia="ko-KR"/>
        </w:rPr>
        <w:t xml:space="preserve">UNDP welcomes the proposed efforts by </w:t>
      </w:r>
      <w:r w:rsidR="00A31D40">
        <w:rPr>
          <w:rFonts w:ascii="Times New Roman" w:eastAsia="Batang" w:hAnsi="Times New Roman"/>
          <w:lang w:eastAsia="ko-KR"/>
        </w:rPr>
        <w:t xml:space="preserve">the </w:t>
      </w:r>
      <w:r>
        <w:rPr>
          <w:rFonts w:ascii="Times New Roman" w:eastAsia="Batang" w:hAnsi="Times New Roman"/>
          <w:lang w:eastAsia="ko-KR"/>
        </w:rPr>
        <w:t xml:space="preserve">IEO to enhance the management response tracking and reporting </w:t>
      </w:r>
      <w:r w:rsidRPr="00C81212">
        <w:rPr>
          <w:rFonts w:ascii="Times New Roman" w:eastAsia="Batang" w:hAnsi="Times New Roman"/>
          <w:lang w:eastAsia="ko-KR"/>
        </w:rPr>
        <w:t xml:space="preserve">system. UNDP remains committed to continue working with the Office to ensure a more effective ERC, which will enable the organization to strengthen its overview, implementation and results reporting on evaluation related management responses. UNDP will continue to work together with the IEO to put in place clear guidance, and effective structures and processes to monitor and report on evaluation plan and </w:t>
      </w:r>
      <w:r w:rsidRPr="00C81212">
        <w:rPr>
          <w:rFonts w:ascii="Times New Roman" w:eastAsia="Batang" w:hAnsi="Times New Roman"/>
          <w:lang w:eastAsia="ko-KR"/>
        </w:rPr>
        <w:lastRenderedPageBreak/>
        <w:t>management response implementation, while at the same time looking at ways of how to strengthen oversight and reporting</w:t>
      </w:r>
      <w:r w:rsidR="00990AC8">
        <w:rPr>
          <w:rFonts w:ascii="Times New Roman" w:eastAsia="Batang" w:hAnsi="Times New Roman"/>
          <w:lang w:eastAsia="ko-KR"/>
        </w:rPr>
        <w:t xml:space="preserve"> internally</w:t>
      </w:r>
      <w:r w:rsidRPr="00C81212">
        <w:rPr>
          <w:rFonts w:ascii="Times New Roman" w:eastAsia="Batang" w:hAnsi="Times New Roman"/>
          <w:lang w:eastAsia="ko-KR"/>
        </w:rPr>
        <w:t>.</w:t>
      </w:r>
    </w:p>
    <w:p w14:paraId="19871EC8" w14:textId="77777777" w:rsidR="005E5BAF" w:rsidRDefault="005E5BAF" w:rsidP="00ED0CE8">
      <w:pPr>
        <w:tabs>
          <w:tab w:val="left" w:pos="360"/>
        </w:tabs>
        <w:spacing w:after="0"/>
        <w:jc w:val="both"/>
        <w:rPr>
          <w:rFonts w:ascii="Times New Roman" w:eastAsia="Times New Roman,Batang" w:hAnsi="Times New Roman"/>
          <w:lang w:eastAsia="ko-KR"/>
        </w:rPr>
      </w:pPr>
    </w:p>
    <w:p w14:paraId="757FCBDA" w14:textId="50039B92" w:rsidR="008D6EA0" w:rsidRPr="00ED0CE8" w:rsidRDefault="008D6EA0" w:rsidP="00ED0CE8">
      <w:pPr>
        <w:tabs>
          <w:tab w:val="left" w:pos="360"/>
        </w:tabs>
        <w:spacing w:after="0"/>
        <w:jc w:val="both"/>
        <w:rPr>
          <w:rFonts w:ascii="Times New Roman" w:eastAsia="Times New Roman,Batang" w:hAnsi="Times New Roman"/>
          <w:lang w:eastAsia="ko-KR"/>
        </w:rPr>
      </w:pPr>
      <w:r w:rsidRPr="00C81212">
        <w:rPr>
          <w:rFonts w:ascii="Times New Roman" w:eastAsia="Times New Roman,Batang" w:hAnsi="Times New Roman"/>
          <w:lang w:eastAsia="ko-KR"/>
        </w:rPr>
        <w:t xml:space="preserve">The implementation status of management responses to independent evaluations is briefly summarized in section </w:t>
      </w:r>
      <w:r w:rsidR="00352699">
        <w:rPr>
          <w:rFonts w:ascii="Times New Roman" w:eastAsia="Times New Roman,Batang" w:hAnsi="Times New Roman"/>
          <w:lang w:eastAsia="ko-KR"/>
        </w:rPr>
        <w:t>8.</w:t>
      </w:r>
      <w:r w:rsidRPr="00C81212">
        <w:rPr>
          <w:rFonts w:ascii="Times New Roman" w:eastAsia="Times New Roman,Batang" w:hAnsi="Times New Roman"/>
          <w:lang w:eastAsia="ko-KR"/>
        </w:rPr>
        <w:t xml:space="preserve"> The full details of all evaluations and the related management responses are available in the ERC.</w:t>
      </w:r>
    </w:p>
    <w:p w14:paraId="187886E3" w14:textId="31EFC8FD" w:rsidR="008408B9" w:rsidRPr="00CA4F7D" w:rsidRDefault="003572AF" w:rsidP="002E754F">
      <w:pPr>
        <w:pStyle w:val="ListParagraph"/>
        <w:tabs>
          <w:tab w:val="left" w:pos="0"/>
        </w:tabs>
        <w:spacing w:before="240" w:after="0" w:line="240" w:lineRule="auto"/>
        <w:ind w:left="0"/>
        <w:jc w:val="both"/>
        <w:rPr>
          <w:rFonts w:ascii="Times New Roman" w:eastAsia="Times New Roman,Batang" w:hAnsi="Times New Roman"/>
          <w:b/>
          <w:bCs/>
          <w:lang w:eastAsia="ko-KR"/>
        </w:rPr>
      </w:pPr>
      <w:r>
        <w:rPr>
          <w:rFonts w:ascii="Times New Roman" w:eastAsia="Times New Roman,Batang" w:hAnsi="Times New Roman"/>
          <w:b/>
          <w:bCs/>
          <w:lang w:eastAsia="ko-KR"/>
        </w:rPr>
        <w:t xml:space="preserve">B. </w:t>
      </w:r>
      <w:r w:rsidR="008408B9" w:rsidRPr="00CA4F7D">
        <w:rPr>
          <w:rFonts w:ascii="Times New Roman" w:eastAsia="Times New Roman,Batang" w:hAnsi="Times New Roman"/>
          <w:b/>
          <w:bCs/>
          <w:lang w:eastAsia="ko-KR"/>
        </w:rPr>
        <w:t>Decentralized evaluations</w:t>
      </w:r>
    </w:p>
    <w:p w14:paraId="5D4D3180" w14:textId="3CD43BA1" w:rsidR="00B36141" w:rsidRDefault="008D5FD3" w:rsidP="00B36141">
      <w:pPr>
        <w:pStyle w:val="ListParagraph"/>
        <w:tabs>
          <w:tab w:val="left" w:pos="360"/>
        </w:tabs>
        <w:spacing w:after="0"/>
        <w:ind w:left="0"/>
        <w:jc w:val="both"/>
        <w:rPr>
          <w:rFonts w:ascii="Times New Roman" w:eastAsia="Batang" w:hAnsi="Times New Roman"/>
          <w:lang w:eastAsia="ko-KR"/>
        </w:rPr>
      </w:pPr>
      <w:r>
        <w:rPr>
          <w:rFonts w:ascii="Times New Roman" w:hAnsi="Times New Roman"/>
        </w:rPr>
        <w:t xml:space="preserve">In 2017, </w:t>
      </w:r>
      <w:r w:rsidR="001C1531" w:rsidRPr="00CA4F7D">
        <w:rPr>
          <w:rFonts w:ascii="Times New Roman" w:hAnsi="Times New Roman"/>
        </w:rPr>
        <w:t xml:space="preserve">UNDP saw </w:t>
      </w:r>
      <w:r w:rsidR="005A186E" w:rsidRPr="00CA4F7D">
        <w:rPr>
          <w:rFonts w:ascii="Times New Roman" w:hAnsi="Times New Roman"/>
        </w:rPr>
        <w:t xml:space="preserve">a </w:t>
      </w:r>
      <w:r w:rsidR="007A098E" w:rsidRPr="00CA4F7D">
        <w:rPr>
          <w:rFonts w:ascii="Times New Roman" w:hAnsi="Times New Roman"/>
        </w:rPr>
        <w:t>continued</w:t>
      </w:r>
      <w:r w:rsidR="00F31214" w:rsidRPr="00CA4F7D">
        <w:rPr>
          <w:rFonts w:ascii="Times New Roman" w:hAnsi="Times New Roman"/>
        </w:rPr>
        <w:t xml:space="preserve"> high </w:t>
      </w:r>
      <w:r w:rsidR="00551FD3" w:rsidRPr="00CA4F7D">
        <w:rPr>
          <w:rFonts w:ascii="Times New Roman" w:hAnsi="Times New Roman"/>
        </w:rPr>
        <w:t xml:space="preserve">compliance with </w:t>
      </w:r>
      <w:r w:rsidR="005A186E" w:rsidRPr="00CA4F7D">
        <w:rPr>
          <w:rFonts w:ascii="Times New Roman" w:hAnsi="Times New Roman"/>
        </w:rPr>
        <w:t xml:space="preserve">the </w:t>
      </w:r>
      <w:r w:rsidR="00176797">
        <w:rPr>
          <w:rFonts w:ascii="Times New Roman" w:hAnsi="Times New Roman"/>
        </w:rPr>
        <w:t>management response requirement</w:t>
      </w:r>
      <w:r w:rsidR="00551FD3" w:rsidRPr="00CA4F7D">
        <w:rPr>
          <w:rFonts w:ascii="Times New Roman" w:hAnsi="Times New Roman"/>
        </w:rPr>
        <w:t xml:space="preserve"> </w:t>
      </w:r>
      <w:r w:rsidR="00DA3347" w:rsidRPr="00CA4F7D">
        <w:rPr>
          <w:rFonts w:ascii="Times New Roman" w:hAnsi="Times New Roman"/>
        </w:rPr>
        <w:t xml:space="preserve">at country, regional and central </w:t>
      </w:r>
      <w:r w:rsidR="00F31214" w:rsidRPr="00CA4F7D">
        <w:rPr>
          <w:rFonts w:ascii="Times New Roman" w:hAnsi="Times New Roman"/>
        </w:rPr>
        <w:t xml:space="preserve">level </w:t>
      </w:r>
      <w:r w:rsidR="001C47AC" w:rsidRPr="00CA4F7D">
        <w:rPr>
          <w:rFonts w:ascii="Times New Roman" w:hAnsi="Times New Roman"/>
        </w:rPr>
        <w:t xml:space="preserve">with </w:t>
      </w:r>
      <w:r w:rsidR="00D2046C" w:rsidRPr="00CA4F7D">
        <w:rPr>
          <w:rFonts w:ascii="Times New Roman" w:eastAsia="Batang" w:hAnsi="Times New Roman"/>
          <w:lang w:eastAsia="ko-KR"/>
        </w:rPr>
        <w:t>93</w:t>
      </w:r>
      <w:r w:rsidR="00551FD3" w:rsidRPr="00CA4F7D">
        <w:rPr>
          <w:rFonts w:ascii="Times New Roman" w:eastAsia="Batang" w:hAnsi="Times New Roman"/>
          <w:lang w:eastAsia="ko-KR"/>
        </w:rPr>
        <w:t xml:space="preserve">% of </w:t>
      </w:r>
      <w:r w:rsidR="00176797">
        <w:rPr>
          <w:rFonts w:ascii="Times New Roman" w:eastAsia="Batang" w:hAnsi="Times New Roman"/>
          <w:lang w:eastAsia="ko-KR"/>
        </w:rPr>
        <w:t>all evaluation</w:t>
      </w:r>
      <w:r w:rsidR="00362C61">
        <w:rPr>
          <w:rFonts w:ascii="Times New Roman" w:eastAsia="Batang" w:hAnsi="Times New Roman"/>
          <w:lang w:eastAsia="ko-KR"/>
        </w:rPr>
        <w:t>s</w:t>
      </w:r>
      <w:r w:rsidR="00176797">
        <w:rPr>
          <w:rFonts w:ascii="Times New Roman" w:eastAsia="Batang" w:hAnsi="Times New Roman"/>
          <w:lang w:eastAsia="ko-KR"/>
        </w:rPr>
        <w:t xml:space="preserve"> conducted in 2017</w:t>
      </w:r>
      <w:r w:rsidR="00551FD3" w:rsidRPr="00CA4F7D">
        <w:rPr>
          <w:rFonts w:ascii="Times New Roman" w:eastAsia="Batang" w:hAnsi="Times New Roman"/>
          <w:lang w:eastAsia="ko-KR"/>
        </w:rPr>
        <w:t xml:space="preserve"> </w:t>
      </w:r>
      <w:r w:rsidR="001C47AC" w:rsidRPr="00CA4F7D">
        <w:rPr>
          <w:rFonts w:ascii="Times New Roman" w:eastAsia="Batang" w:hAnsi="Times New Roman"/>
          <w:lang w:eastAsia="ko-KR"/>
        </w:rPr>
        <w:t>having</w:t>
      </w:r>
      <w:r w:rsidR="004A5BB3" w:rsidRPr="00CA4F7D">
        <w:rPr>
          <w:rFonts w:ascii="Times New Roman" w:eastAsia="Batang" w:hAnsi="Times New Roman"/>
          <w:lang w:eastAsia="ko-KR"/>
        </w:rPr>
        <w:t xml:space="preserve"> a management response</w:t>
      </w:r>
      <w:r w:rsidR="001C47AC" w:rsidRPr="00CA4F7D">
        <w:rPr>
          <w:rStyle w:val="FootnoteReference"/>
          <w:rFonts w:ascii="Times New Roman" w:eastAsia="Batang" w:hAnsi="Times New Roman"/>
          <w:lang w:eastAsia="ko-KR"/>
        </w:rPr>
        <w:footnoteReference w:id="3"/>
      </w:r>
      <w:r w:rsidR="001C47AC" w:rsidRPr="00CA4F7D">
        <w:rPr>
          <w:rFonts w:ascii="Times New Roman" w:eastAsia="Batang" w:hAnsi="Times New Roman"/>
          <w:lang w:eastAsia="ko-KR"/>
        </w:rPr>
        <w:t>.</w:t>
      </w:r>
      <w:r w:rsidR="00661A2B">
        <w:rPr>
          <w:rFonts w:ascii="Times New Roman" w:hAnsi="Times New Roman"/>
        </w:rPr>
        <w:t xml:space="preserve"> </w:t>
      </w:r>
      <w:r w:rsidR="001634E5">
        <w:rPr>
          <w:rFonts w:ascii="Times New Roman" w:eastAsia="Batang" w:hAnsi="Times New Roman"/>
          <w:lang w:eastAsia="ko-KR"/>
        </w:rPr>
        <w:t>T</w:t>
      </w:r>
      <w:r w:rsidR="0094795A" w:rsidRPr="00CA4F7D">
        <w:rPr>
          <w:rFonts w:ascii="Times New Roman" w:eastAsia="Batang" w:hAnsi="Times New Roman"/>
          <w:lang w:eastAsia="ko-KR"/>
        </w:rPr>
        <w:t xml:space="preserve">he percentage of completed and ongoing actions have </w:t>
      </w:r>
      <w:r w:rsidR="001634E5">
        <w:rPr>
          <w:rFonts w:ascii="Times New Roman" w:eastAsia="Batang" w:hAnsi="Times New Roman"/>
          <w:lang w:eastAsia="ko-KR"/>
        </w:rPr>
        <w:t xml:space="preserve">furthermore </w:t>
      </w:r>
      <w:r w:rsidR="0094795A" w:rsidRPr="00CA4F7D">
        <w:rPr>
          <w:rFonts w:ascii="Times New Roman" w:eastAsia="Batang" w:hAnsi="Times New Roman"/>
          <w:lang w:eastAsia="ko-KR"/>
        </w:rPr>
        <w:t>improved</w:t>
      </w:r>
      <w:r w:rsidR="00AC220C" w:rsidRPr="00CA4F7D">
        <w:rPr>
          <w:rFonts w:ascii="Times New Roman" w:eastAsia="Batang" w:hAnsi="Times New Roman"/>
          <w:lang w:eastAsia="ko-KR"/>
        </w:rPr>
        <w:t xml:space="preserve"> over the last four years</w:t>
      </w:r>
      <w:r w:rsidR="0094795A" w:rsidRPr="00CA4F7D">
        <w:rPr>
          <w:rFonts w:ascii="Times New Roman" w:eastAsia="Batang" w:hAnsi="Times New Roman"/>
          <w:lang w:eastAsia="ko-KR"/>
        </w:rPr>
        <w:t>.</w:t>
      </w:r>
      <w:r w:rsidR="00AC220C" w:rsidRPr="00CA4F7D">
        <w:rPr>
          <w:rFonts w:ascii="Times New Roman" w:eastAsia="Batang" w:hAnsi="Times New Roman"/>
          <w:lang w:eastAsia="ko-KR"/>
        </w:rPr>
        <w:t xml:space="preserve"> </w:t>
      </w:r>
      <w:r w:rsidR="00CC2DE6" w:rsidRPr="00CA4F7D">
        <w:rPr>
          <w:rFonts w:ascii="Times New Roman" w:eastAsia="Batang" w:hAnsi="Times New Roman"/>
          <w:lang w:eastAsia="ko-KR"/>
        </w:rPr>
        <w:t xml:space="preserve">In 2017, 27% of the planned key actions had been completed </w:t>
      </w:r>
      <w:r w:rsidR="00C24BD8">
        <w:rPr>
          <w:rFonts w:ascii="Times New Roman" w:eastAsia="Batang" w:hAnsi="Times New Roman"/>
          <w:lang w:eastAsia="ko-KR"/>
        </w:rPr>
        <w:t>while</w:t>
      </w:r>
      <w:r w:rsidR="00CC2DE6" w:rsidRPr="00CA4F7D">
        <w:rPr>
          <w:rFonts w:ascii="Times New Roman" w:eastAsia="Batang" w:hAnsi="Times New Roman"/>
          <w:lang w:eastAsia="ko-KR"/>
        </w:rPr>
        <w:t xml:space="preserve"> 60% were ongoing. T</w:t>
      </w:r>
      <w:r w:rsidR="00AC220C" w:rsidRPr="00CA4F7D">
        <w:rPr>
          <w:rFonts w:ascii="Times New Roman" w:eastAsia="Batang" w:hAnsi="Times New Roman"/>
          <w:lang w:eastAsia="ko-KR"/>
        </w:rPr>
        <w:t xml:space="preserve">he percentage </w:t>
      </w:r>
      <w:r w:rsidR="00CC2DE6" w:rsidRPr="00CA4F7D">
        <w:rPr>
          <w:rFonts w:ascii="Times New Roman" w:eastAsia="Batang" w:hAnsi="Times New Roman"/>
          <w:lang w:eastAsia="ko-KR"/>
        </w:rPr>
        <w:t>of</w:t>
      </w:r>
      <w:r w:rsidR="00AC220C" w:rsidRPr="00CA4F7D">
        <w:rPr>
          <w:rFonts w:ascii="Times New Roman" w:eastAsia="Batang" w:hAnsi="Times New Roman"/>
          <w:lang w:eastAsia="ko-KR"/>
        </w:rPr>
        <w:t xml:space="preserve"> overdue actions </w:t>
      </w:r>
      <w:r w:rsidR="00CC2DE6" w:rsidRPr="00CA4F7D">
        <w:rPr>
          <w:rFonts w:ascii="Times New Roman" w:eastAsia="Batang" w:hAnsi="Times New Roman"/>
          <w:lang w:eastAsia="ko-KR"/>
        </w:rPr>
        <w:t xml:space="preserve">remained in 2017 at 12%, representing a considerable decrease </w:t>
      </w:r>
      <w:r w:rsidR="00362C61">
        <w:rPr>
          <w:rFonts w:ascii="Times New Roman" w:eastAsia="Batang" w:hAnsi="Times New Roman"/>
          <w:lang w:eastAsia="ko-KR"/>
        </w:rPr>
        <w:t>compared to</w:t>
      </w:r>
      <w:r w:rsidR="00AC220C" w:rsidRPr="00CA4F7D">
        <w:rPr>
          <w:rFonts w:ascii="Times New Roman" w:eastAsia="Batang" w:hAnsi="Times New Roman"/>
          <w:lang w:eastAsia="ko-KR"/>
        </w:rPr>
        <w:t xml:space="preserve"> 29% in 2014. </w:t>
      </w:r>
      <w:r w:rsidR="0043463B" w:rsidRPr="00CA4F7D">
        <w:rPr>
          <w:rFonts w:ascii="Times New Roman" w:eastAsia="Batang" w:hAnsi="Times New Roman"/>
          <w:lang w:eastAsia="ko-KR"/>
        </w:rPr>
        <w:t xml:space="preserve">The total percentage of completed or </w:t>
      </w:r>
      <w:r w:rsidR="00C31116" w:rsidRPr="00CA4F7D">
        <w:rPr>
          <w:rFonts w:ascii="Times New Roman" w:eastAsia="Batang" w:hAnsi="Times New Roman"/>
          <w:lang w:eastAsia="ko-KR"/>
        </w:rPr>
        <w:t>ongoing actions was in 2017 88%</w:t>
      </w:r>
      <w:r w:rsidR="00BC4441">
        <w:rPr>
          <w:rStyle w:val="FootnoteReference"/>
          <w:rFonts w:ascii="Times New Roman" w:eastAsia="Batang" w:hAnsi="Times New Roman"/>
          <w:lang w:eastAsia="ko-KR"/>
        </w:rPr>
        <w:footnoteReference w:id="4"/>
      </w:r>
      <w:r w:rsidR="00C31116" w:rsidRPr="00CA4F7D">
        <w:rPr>
          <w:rFonts w:ascii="Times New Roman" w:eastAsia="Batang" w:hAnsi="Times New Roman"/>
          <w:lang w:eastAsia="ko-KR"/>
        </w:rPr>
        <w:t>, which indicates an increase compared with 78% in 2014</w:t>
      </w:r>
      <w:r w:rsidR="0049345B" w:rsidRPr="00CA4F7D">
        <w:rPr>
          <w:rStyle w:val="FootnoteReference"/>
          <w:rFonts w:ascii="Times New Roman" w:eastAsia="Batang" w:hAnsi="Times New Roman"/>
          <w:lang w:eastAsia="ko-KR"/>
        </w:rPr>
        <w:footnoteReference w:id="5"/>
      </w:r>
      <w:r w:rsidR="00C31116" w:rsidRPr="00CA4F7D">
        <w:rPr>
          <w:rFonts w:ascii="Times New Roman" w:eastAsia="Batang" w:hAnsi="Times New Roman"/>
          <w:lang w:eastAsia="ko-KR"/>
        </w:rPr>
        <w:t xml:space="preserve">. </w:t>
      </w:r>
    </w:p>
    <w:p w14:paraId="024F1F33" w14:textId="77777777" w:rsidR="00B36141" w:rsidRPr="00007F96" w:rsidRDefault="00B36141" w:rsidP="00B36141">
      <w:pPr>
        <w:pStyle w:val="ListParagraph"/>
        <w:tabs>
          <w:tab w:val="left" w:pos="360"/>
        </w:tabs>
        <w:spacing w:after="0"/>
        <w:ind w:left="0"/>
        <w:jc w:val="both"/>
        <w:rPr>
          <w:rFonts w:ascii="Times New Roman" w:hAnsi="Times New Roman"/>
          <w:color w:val="FF0000"/>
        </w:rPr>
      </w:pPr>
    </w:p>
    <w:tbl>
      <w:tblPr>
        <w:tblW w:w="5003" w:type="pct"/>
        <w:tblLayout w:type="fixed"/>
        <w:tblLook w:val="04A0" w:firstRow="1" w:lastRow="0" w:firstColumn="1" w:lastColumn="0" w:noHBand="0" w:noVBand="1"/>
      </w:tblPr>
      <w:tblGrid>
        <w:gridCol w:w="804"/>
        <w:gridCol w:w="901"/>
        <w:gridCol w:w="1170"/>
        <w:gridCol w:w="810"/>
        <w:gridCol w:w="956"/>
        <w:gridCol w:w="674"/>
        <w:gridCol w:w="1095"/>
        <w:gridCol w:w="887"/>
        <w:gridCol w:w="906"/>
        <w:gridCol w:w="1153"/>
      </w:tblGrid>
      <w:tr w:rsidR="002864DC" w:rsidRPr="002864DC" w14:paraId="5A79018F" w14:textId="77777777" w:rsidTr="00661A2B">
        <w:trPr>
          <w:trHeight w:val="278"/>
        </w:trPr>
        <w:tc>
          <w:tcPr>
            <w:tcW w:w="5000" w:type="pct"/>
            <w:gridSpan w:val="10"/>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26A1374" w14:textId="594CF426" w:rsidR="006365E9" w:rsidRPr="002864DC" w:rsidRDefault="00952BF4" w:rsidP="006365E9">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I</w:t>
            </w:r>
            <w:r w:rsidR="002864DC" w:rsidRPr="002864DC">
              <w:rPr>
                <w:rFonts w:ascii="Times New Roman" w:eastAsia="Times New Roman" w:hAnsi="Times New Roman"/>
                <w:b/>
                <w:bCs/>
                <w:color w:val="000000"/>
              </w:rPr>
              <w:t>mplementation of management responses</w:t>
            </w:r>
            <w:r>
              <w:rPr>
                <w:rFonts w:ascii="Times New Roman" w:eastAsia="Times New Roman" w:hAnsi="Times New Roman"/>
                <w:b/>
                <w:bCs/>
                <w:color w:val="000000"/>
              </w:rPr>
              <w:t xml:space="preserve"> to decentralized evaluations</w:t>
            </w:r>
          </w:p>
        </w:tc>
      </w:tr>
      <w:tr w:rsidR="002864DC" w:rsidRPr="002864DC" w14:paraId="2F5CD7B7" w14:textId="77777777" w:rsidTr="00661A2B">
        <w:trPr>
          <w:trHeight w:val="363"/>
        </w:trPr>
        <w:tc>
          <w:tcPr>
            <w:tcW w:w="5000" w:type="pct"/>
            <w:gridSpan w:val="10"/>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F3DC288"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STATUS OF KEY ACTIONS</w:t>
            </w:r>
          </w:p>
        </w:tc>
      </w:tr>
      <w:tr w:rsidR="00661A2B" w:rsidRPr="002864DC" w14:paraId="166F899D" w14:textId="77777777" w:rsidTr="001C4566">
        <w:trPr>
          <w:trHeight w:val="665"/>
        </w:trPr>
        <w:tc>
          <w:tcPr>
            <w:tcW w:w="430" w:type="pct"/>
            <w:tcBorders>
              <w:top w:val="nil"/>
              <w:left w:val="single" w:sz="4" w:space="0" w:color="auto"/>
              <w:bottom w:val="single" w:sz="4" w:space="0" w:color="auto"/>
              <w:right w:val="single" w:sz="4" w:space="0" w:color="auto"/>
            </w:tcBorders>
            <w:shd w:val="clear" w:color="000000" w:fill="D9E1F2"/>
            <w:vAlign w:val="center"/>
            <w:hideMark/>
          </w:tcPr>
          <w:p w14:paraId="17CC4825"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Year</w:t>
            </w:r>
          </w:p>
        </w:tc>
        <w:tc>
          <w:tcPr>
            <w:tcW w:w="482" w:type="pct"/>
            <w:tcBorders>
              <w:top w:val="nil"/>
              <w:left w:val="nil"/>
              <w:bottom w:val="single" w:sz="4" w:space="0" w:color="auto"/>
              <w:right w:val="single" w:sz="4" w:space="0" w:color="auto"/>
            </w:tcBorders>
            <w:shd w:val="clear" w:color="000000" w:fill="D9E1F2"/>
            <w:vAlign w:val="center"/>
            <w:hideMark/>
          </w:tcPr>
          <w:p w14:paraId="12F883EB"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 xml:space="preserve">No. of Key Actions </w:t>
            </w:r>
          </w:p>
        </w:tc>
        <w:tc>
          <w:tcPr>
            <w:tcW w:w="625" w:type="pct"/>
            <w:tcBorders>
              <w:top w:val="nil"/>
              <w:left w:val="nil"/>
              <w:bottom w:val="single" w:sz="4" w:space="0" w:color="auto"/>
              <w:right w:val="single" w:sz="4" w:space="0" w:color="auto"/>
            </w:tcBorders>
            <w:shd w:val="clear" w:color="000000" w:fill="D9E1F2"/>
            <w:vAlign w:val="center"/>
            <w:hideMark/>
          </w:tcPr>
          <w:p w14:paraId="62E984FE"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Sum of completed</w:t>
            </w:r>
          </w:p>
        </w:tc>
        <w:tc>
          <w:tcPr>
            <w:tcW w:w="433" w:type="pct"/>
            <w:tcBorders>
              <w:top w:val="nil"/>
              <w:left w:val="nil"/>
              <w:bottom w:val="single" w:sz="4" w:space="0" w:color="auto"/>
              <w:right w:val="single" w:sz="4" w:space="0" w:color="auto"/>
            </w:tcBorders>
            <w:shd w:val="clear" w:color="000000" w:fill="D9E1F2"/>
            <w:vAlign w:val="center"/>
            <w:hideMark/>
          </w:tcPr>
          <w:p w14:paraId="339FEE13" w14:textId="77777777" w:rsidR="002864DC" w:rsidRPr="002864DC" w:rsidRDefault="002864DC" w:rsidP="0019539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w:t>
            </w:r>
          </w:p>
        </w:tc>
        <w:tc>
          <w:tcPr>
            <w:tcW w:w="511" w:type="pct"/>
            <w:tcBorders>
              <w:top w:val="nil"/>
              <w:left w:val="nil"/>
              <w:bottom w:val="single" w:sz="4" w:space="0" w:color="auto"/>
              <w:right w:val="single" w:sz="4" w:space="0" w:color="auto"/>
            </w:tcBorders>
            <w:shd w:val="clear" w:color="000000" w:fill="D9E1F2"/>
            <w:vAlign w:val="center"/>
            <w:hideMark/>
          </w:tcPr>
          <w:p w14:paraId="197D14AA"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Sum of ongoing</w:t>
            </w:r>
          </w:p>
        </w:tc>
        <w:tc>
          <w:tcPr>
            <w:tcW w:w="360" w:type="pct"/>
            <w:tcBorders>
              <w:top w:val="nil"/>
              <w:left w:val="nil"/>
              <w:bottom w:val="single" w:sz="4" w:space="0" w:color="auto"/>
              <w:right w:val="single" w:sz="4" w:space="0" w:color="auto"/>
            </w:tcBorders>
            <w:shd w:val="clear" w:color="000000" w:fill="D9E1F2"/>
            <w:vAlign w:val="center"/>
            <w:hideMark/>
          </w:tcPr>
          <w:p w14:paraId="6E8E755A"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w:t>
            </w:r>
          </w:p>
        </w:tc>
        <w:tc>
          <w:tcPr>
            <w:tcW w:w="585" w:type="pct"/>
            <w:tcBorders>
              <w:top w:val="nil"/>
              <w:left w:val="nil"/>
              <w:bottom w:val="single" w:sz="4" w:space="0" w:color="auto"/>
              <w:right w:val="single" w:sz="4" w:space="0" w:color="auto"/>
            </w:tcBorders>
            <w:shd w:val="clear" w:color="000000" w:fill="D9E1F2"/>
            <w:vAlign w:val="center"/>
            <w:hideMark/>
          </w:tcPr>
          <w:p w14:paraId="6A38F55B"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Sum of no longer applicable</w:t>
            </w:r>
          </w:p>
        </w:tc>
        <w:tc>
          <w:tcPr>
            <w:tcW w:w="474" w:type="pct"/>
            <w:tcBorders>
              <w:top w:val="nil"/>
              <w:left w:val="nil"/>
              <w:bottom w:val="single" w:sz="4" w:space="0" w:color="auto"/>
              <w:right w:val="single" w:sz="4" w:space="0" w:color="auto"/>
            </w:tcBorders>
            <w:shd w:val="clear" w:color="000000" w:fill="D9E1F2"/>
            <w:vAlign w:val="center"/>
            <w:hideMark/>
          </w:tcPr>
          <w:p w14:paraId="2629810C"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w:t>
            </w:r>
          </w:p>
        </w:tc>
        <w:tc>
          <w:tcPr>
            <w:tcW w:w="484" w:type="pct"/>
            <w:tcBorders>
              <w:top w:val="nil"/>
              <w:left w:val="nil"/>
              <w:bottom w:val="single" w:sz="4" w:space="0" w:color="auto"/>
              <w:right w:val="single" w:sz="4" w:space="0" w:color="auto"/>
            </w:tcBorders>
            <w:shd w:val="clear" w:color="000000" w:fill="D9E1F2"/>
            <w:vAlign w:val="center"/>
            <w:hideMark/>
          </w:tcPr>
          <w:p w14:paraId="21486CCC"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Sum of overdue</w:t>
            </w:r>
          </w:p>
        </w:tc>
        <w:tc>
          <w:tcPr>
            <w:tcW w:w="616" w:type="pct"/>
            <w:tcBorders>
              <w:top w:val="nil"/>
              <w:left w:val="nil"/>
              <w:bottom w:val="single" w:sz="4" w:space="0" w:color="auto"/>
              <w:right w:val="single" w:sz="4" w:space="0" w:color="auto"/>
            </w:tcBorders>
            <w:shd w:val="clear" w:color="000000" w:fill="D9E1F2"/>
            <w:noWrap/>
            <w:vAlign w:val="center"/>
            <w:hideMark/>
          </w:tcPr>
          <w:p w14:paraId="728293DD"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w:t>
            </w:r>
          </w:p>
        </w:tc>
      </w:tr>
      <w:tr w:rsidR="00661A2B" w:rsidRPr="002864DC" w14:paraId="5EA7485B" w14:textId="77777777" w:rsidTr="001C4566">
        <w:trPr>
          <w:trHeight w:val="326"/>
        </w:trPr>
        <w:tc>
          <w:tcPr>
            <w:tcW w:w="430" w:type="pct"/>
            <w:tcBorders>
              <w:top w:val="nil"/>
              <w:left w:val="single" w:sz="8" w:space="0" w:color="auto"/>
              <w:bottom w:val="single" w:sz="8" w:space="0" w:color="auto"/>
              <w:right w:val="single" w:sz="8" w:space="0" w:color="auto"/>
            </w:tcBorders>
            <w:shd w:val="clear" w:color="000000" w:fill="B4C6E7"/>
            <w:noWrap/>
            <w:vAlign w:val="center"/>
            <w:hideMark/>
          </w:tcPr>
          <w:p w14:paraId="4FFEF71E"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2014</w:t>
            </w:r>
          </w:p>
        </w:tc>
        <w:tc>
          <w:tcPr>
            <w:tcW w:w="482" w:type="pct"/>
            <w:tcBorders>
              <w:top w:val="nil"/>
              <w:left w:val="nil"/>
              <w:bottom w:val="single" w:sz="8" w:space="0" w:color="auto"/>
              <w:right w:val="single" w:sz="8" w:space="0" w:color="auto"/>
            </w:tcBorders>
            <w:shd w:val="clear" w:color="000000" w:fill="D9E1F2"/>
            <w:noWrap/>
            <w:vAlign w:val="center"/>
            <w:hideMark/>
          </w:tcPr>
          <w:p w14:paraId="035B24C0"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1,379</w:t>
            </w:r>
          </w:p>
        </w:tc>
        <w:tc>
          <w:tcPr>
            <w:tcW w:w="625" w:type="pct"/>
            <w:tcBorders>
              <w:top w:val="nil"/>
              <w:left w:val="nil"/>
              <w:bottom w:val="single" w:sz="8" w:space="0" w:color="auto"/>
              <w:right w:val="single" w:sz="8" w:space="0" w:color="auto"/>
            </w:tcBorders>
            <w:shd w:val="clear" w:color="000000" w:fill="B4C6E7"/>
            <w:noWrap/>
            <w:vAlign w:val="center"/>
            <w:hideMark/>
          </w:tcPr>
          <w:p w14:paraId="5A9D8DF9"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305</w:t>
            </w:r>
          </w:p>
        </w:tc>
        <w:tc>
          <w:tcPr>
            <w:tcW w:w="433" w:type="pct"/>
            <w:tcBorders>
              <w:top w:val="nil"/>
              <w:left w:val="nil"/>
              <w:bottom w:val="single" w:sz="8" w:space="0" w:color="auto"/>
              <w:right w:val="single" w:sz="8" w:space="0" w:color="auto"/>
            </w:tcBorders>
            <w:shd w:val="clear" w:color="000000" w:fill="D9E1F2"/>
            <w:noWrap/>
            <w:vAlign w:val="center"/>
            <w:hideMark/>
          </w:tcPr>
          <w:p w14:paraId="695C7A72" w14:textId="77777777" w:rsidR="002864DC" w:rsidRPr="002864DC" w:rsidRDefault="002864DC" w:rsidP="0019539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22%</w:t>
            </w:r>
          </w:p>
        </w:tc>
        <w:tc>
          <w:tcPr>
            <w:tcW w:w="511" w:type="pct"/>
            <w:tcBorders>
              <w:top w:val="nil"/>
              <w:left w:val="nil"/>
              <w:bottom w:val="single" w:sz="8" w:space="0" w:color="auto"/>
              <w:right w:val="single" w:sz="8" w:space="0" w:color="auto"/>
            </w:tcBorders>
            <w:shd w:val="clear" w:color="000000" w:fill="B4C6E7"/>
            <w:noWrap/>
            <w:vAlign w:val="center"/>
            <w:hideMark/>
          </w:tcPr>
          <w:p w14:paraId="1BD26452"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456</w:t>
            </w:r>
          </w:p>
        </w:tc>
        <w:tc>
          <w:tcPr>
            <w:tcW w:w="360" w:type="pct"/>
            <w:tcBorders>
              <w:top w:val="nil"/>
              <w:left w:val="nil"/>
              <w:bottom w:val="single" w:sz="8" w:space="0" w:color="auto"/>
              <w:right w:val="single" w:sz="8" w:space="0" w:color="auto"/>
            </w:tcBorders>
            <w:shd w:val="clear" w:color="000000" w:fill="D9E1F2"/>
            <w:noWrap/>
            <w:vAlign w:val="center"/>
            <w:hideMark/>
          </w:tcPr>
          <w:p w14:paraId="715F6FC2"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33%</w:t>
            </w:r>
          </w:p>
        </w:tc>
        <w:tc>
          <w:tcPr>
            <w:tcW w:w="585" w:type="pct"/>
            <w:tcBorders>
              <w:top w:val="nil"/>
              <w:left w:val="nil"/>
              <w:bottom w:val="single" w:sz="8" w:space="0" w:color="auto"/>
              <w:right w:val="single" w:sz="8" w:space="0" w:color="auto"/>
            </w:tcBorders>
            <w:shd w:val="clear" w:color="000000" w:fill="B4C6E7"/>
            <w:noWrap/>
            <w:vAlign w:val="center"/>
            <w:hideMark/>
          </w:tcPr>
          <w:p w14:paraId="754F5ABD"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16</w:t>
            </w:r>
          </w:p>
        </w:tc>
        <w:tc>
          <w:tcPr>
            <w:tcW w:w="474" w:type="pct"/>
            <w:tcBorders>
              <w:top w:val="nil"/>
              <w:left w:val="nil"/>
              <w:bottom w:val="single" w:sz="8" w:space="0" w:color="auto"/>
              <w:right w:val="single" w:sz="8" w:space="0" w:color="auto"/>
            </w:tcBorders>
            <w:shd w:val="clear" w:color="000000" w:fill="D9E1F2"/>
            <w:noWrap/>
            <w:vAlign w:val="center"/>
            <w:hideMark/>
          </w:tcPr>
          <w:p w14:paraId="0058E8D8"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1%</w:t>
            </w:r>
          </w:p>
        </w:tc>
        <w:tc>
          <w:tcPr>
            <w:tcW w:w="484" w:type="pct"/>
            <w:tcBorders>
              <w:top w:val="nil"/>
              <w:left w:val="nil"/>
              <w:bottom w:val="single" w:sz="8" w:space="0" w:color="auto"/>
              <w:right w:val="single" w:sz="8" w:space="0" w:color="auto"/>
            </w:tcBorders>
            <w:shd w:val="clear" w:color="000000" w:fill="B4C6E7"/>
            <w:noWrap/>
            <w:vAlign w:val="center"/>
            <w:hideMark/>
          </w:tcPr>
          <w:p w14:paraId="6DE95466"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403</w:t>
            </w:r>
          </w:p>
        </w:tc>
        <w:tc>
          <w:tcPr>
            <w:tcW w:w="616" w:type="pct"/>
            <w:tcBorders>
              <w:top w:val="nil"/>
              <w:left w:val="nil"/>
              <w:bottom w:val="single" w:sz="8" w:space="0" w:color="auto"/>
              <w:right w:val="single" w:sz="8" w:space="0" w:color="auto"/>
            </w:tcBorders>
            <w:shd w:val="clear" w:color="000000" w:fill="D9E1F2"/>
            <w:noWrap/>
            <w:vAlign w:val="center"/>
            <w:hideMark/>
          </w:tcPr>
          <w:p w14:paraId="2B57B429"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29%</w:t>
            </w:r>
          </w:p>
        </w:tc>
      </w:tr>
      <w:tr w:rsidR="00661A2B" w:rsidRPr="002864DC" w14:paraId="12B102A9" w14:textId="77777777" w:rsidTr="001C4566">
        <w:trPr>
          <w:trHeight w:val="326"/>
        </w:trPr>
        <w:tc>
          <w:tcPr>
            <w:tcW w:w="430" w:type="pct"/>
            <w:tcBorders>
              <w:top w:val="nil"/>
              <w:left w:val="single" w:sz="8" w:space="0" w:color="auto"/>
              <w:bottom w:val="single" w:sz="8" w:space="0" w:color="auto"/>
              <w:right w:val="single" w:sz="8" w:space="0" w:color="auto"/>
            </w:tcBorders>
            <w:shd w:val="clear" w:color="000000" w:fill="B4C6E7"/>
            <w:noWrap/>
            <w:vAlign w:val="center"/>
            <w:hideMark/>
          </w:tcPr>
          <w:p w14:paraId="528FC57E"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2015</w:t>
            </w:r>
          </w:p>
        </w:tc>
        <w:tc>
          <w:tcPr>
            <w:tcW w:w="482" w:type="pct"/>
            <w:tcBorders>
              <w:top w:val="nil"/>
              <w:left w:val="nil"/>
              <w:bottom w:val="single" w:sz="8" w:space="0" w:color="auto"/>
              <w:right w:val="single" w:sz="8" w:space="0" w:color="auto"/>
            </w:tcBorders>
            <w:shd w:val="clear" w:color="000000" w:fill="D9E1F2"/>
            <w:noWrap/>
            <w:vAlign w:val="center"/>
            <w:hideMark/>
          </w:tcPr>
          <w:p w14:paraId="709844F8"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1,805</w:t>
            </w:r>
          </w:p>
        </w:tc>
        <w:tc>
          <w:tcPr>
            <w:tcW w:w="625" w:type="pct"/>
            <w:tcBorders>
              <w:top w:val="nil"/>
              <w:left w:val="nil"/>
              <w:bottom w:val="single" w:sz="8" w:space="0" w:color="auto"/>
              <w:right w:val="single" w:sz="8" w:space="0" w:color="auto"/>
            </w:tcBorders>
            <w:shd w:val="clear" w:color="000000" w:fill="B4C6E7"/>
            <w:noWrap/>
            <w:vAlign w:val="center"/>
            <w:hideMark/>
          </w:tcPr>
          <w:p w14:paraId="1C9AC1E7"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379</w:t>
            </w:r>
          </w:p>
        </w:tc>
        <w:tc>
          <w:tcPr>
            <w:tcW w:w="433" w:type="pct"/>
            <w:tcBorders>
              <w:top w:val="nil"/>
              <w:left w:val="nil"/>
              <w:bottom w:val="single" w:sz="8" w:space="0" w:color="auto"/>
              <w:right w:val="single" w:sz="8" w:space="0" w:color="auto"/>
            </w:tcBorders>
            <w:shd w:val="clear" w:color="000000" w:fill="D9E1F2"/>
            <w:noWrap/>
            <w:vAlign w:val="center"/>
            <w:hideMark/>
          </w:tcPr>
          <w:p w14:paraId="780D6C4B" w14:textId="77777777" w:rsidR="002864DC" w:rsidRPr="002864DC" w:rsidRDefault="002864DC" w:rsidP="0019539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21%</w:t>
            </w:r>
          </w:p>
        </w:tc>
        <w:tc>
          <w:tcPr>
            <w:tcW w:w="511" w:type="pct"/>
            <w:tcBorders>
              <w:top w:val="nil"/>
              <w:left w:val="nil"/>
              <w:bottom w:val="single" w:sz="8" w:space="0" w:color="auto"/>
              <w:right w:val="single" w:sz="8" w:space="0" w:color="auto"/>
            </w:tcBorders>
            <w:shd w:val="clear" w:color="000000" w:fill="B4C6E7"/>
            <w:noWrap/>
            <w:vAlign w:val="center"/>
            <w:hideMark/>
          </w:tcPr>
          <w:p w14:paraId="36006DFC"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901</w:t>
            </w:r>
          </w:p>
        </w:tc>
        <w:tc>
          <w:tcPr>
            <w:tcW w:w="360" w:type="pct"/>
            <w:tcBorders>
              <w:top w:val="nil"/>
              <w:left w:val="nil"/>
              <w:bottom w:val="single" w:sz="8" w:space="0" w:color="auto"/>
              <w:right w:val="single" w:sz="8" w:space="0" w:color="auto"/>
            </w:tcBorders>
            <w:shd w:val="clear" w:color="000000" w:fill="D9E1F2"/>
            <w:noWrap/>
            <w:vAlign w:val="center"/>
            <w:hideMark/>
          </w:tcPr>
          <w:p w14:paraId="49883663"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50%</w:t>
            </w:r>
          </w:p>
        </w:tc>
        <w:tc>
          <w:tcPr>
            <w:tcW w:w="585" w:type="pct"/>
            <w:tcBorders>
              <w:top w:val="nil"/>
              <w:left w:val="nil"/>
              <w:bottom w:val="single" w:sz="8" w:space="0" w:color="auto"/>
              <w:right w:val="single" w:sz="8" w:space="0" w:color="auto"/>
            </w:tcBorders>
            <w:shd w:val="clear" w:color="000000" w:fill="B4C6E7"/>
            <w:noWrap/>
            <w:vAlign w:val="center"/>
            <w:hideMark/>
          </w:tcPr>
          <w:p w14:paraId="099B45A4"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18</w:t>
            </w:r>
          </w:p>
        </w:tc>
        <w:tc>
          <w:tcPr>
            <w:tcW w:w="474" w:type="pct"/>
            <w:tcBorders>
              <w:top w:val="nil"/>
              <w:left w:val="nil"/>
              <w:bottom w:val="single" w:sz="8" w:space="0" w:color="auto"/>
              <w:right w:val="single" w:sz="8" w:space="0" w:color="auto"/>
            </w:tcBorders>
            <w:shd w:val="clear" w:color="000000" w:fill="D9E1F2"/>
            <w:noWrap/>
            <w:vAlign w:val="center"/>
            <w:hideMark/>
          </w:tcPr>
          <w:p w14:paraId="24CB579B"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1%</w:t>
            </w:r>
          </w:p>
        </w:tc>
        <w:tc>
          <w:tcPr>
            <w:tcW w:w="484" w:type="pct"/>
            <w:tcBorders>
              <w:top w:val="nil"/>
              <w:left w:val="nil"/>
              <w:bottom w:val="single" w:sz="8" w:space="0" w:color="auto"/>
              <w:right w:val="single" w:sz="8" w:space="0" w:color="auto"/>
            </w:tcBorders>
            <w:shd w:val="clear" w:color="000000" w:fill="B4C6E7"/>
            <w:noWrap/>
            <w:vAlign w:val="center"/>
            <w:hideMark/>
          </w:tcPr>
          <w:p w14:paraId="27ECA389"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271</w:t>
            </w:r>
          </w:p>
        </w:tc>
        <w:tc>
          <w:tcPr>
            <w:tcW w:w="616" w:type="pct"/>
            <w:tcBorders>
              <w:top w:val="nil"/>
              <w:left w:val="nil"/>
              <w:bottom w:val="single" w:sz="8" w:space="0" w:color="auto"/>
              <w:right w:val="single" w:sz="8" w:space="0" w:color="auto"/>
            </w:tcBorders>
            <w:shd w:val="clear" w:color="000000" w:fill="D9E1F2"/>
            <w:noWrap/>
            <w:vAlign w:val="center"/>
            <w:hideMark/>
          </w:tcPr>
          <w:p w14:paraId="3C4A8A86"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15%</w:t>
            </w:r>
          </w:p>
        </w:tc>
      </w:tr>
      <w:tr w:rsidR="00661A2B" w:rsidRPr="002864DC" w14:paraId="1A123B6F" w14:textId="77777777" w:rsidTr="001C4566">
        <w:trPr>
          <w:trHeight w:val="326"/>
        </w:trPr>
        <w:tc>
          <w:tcPr>
            <w:tcW w:w="430" w:type="pct"/>
            <w:tcBorders>
              <w:top w:val="nil"/>
              <w:left w:val="single" w:sz="8" w:space="0" w:color="auto"/>
              <w:bottom w:val="single" w:sz="8" w:space="0" w:color="auto"/>
              <w:right w:val="single" w:sz="8" w:space="0" w:color="auto"/>
            </w:tcBorders>
            <w:shd w:val="clear" w:color="000000" w:fill="B4C6E7"/>
            <w:noWrap/>
            <w:vAlign w:val="center"/>
            <w:hideMark/>
          </w:tcPr>
          <w:p w14:paraId="2BBFC7EA"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2016</w:t>
            </w:r>
          </w:p>
        </w:tc>
        <w:tc>
          <w:tcPr>
            <w:tcW w:w="482" w:type="pct"/>
            <w:tcBorders>
              <w:top w:val="nil"/>
              <w:left w:val="nil"/>
              <w:bottom w:val="single" w:sz="8" w:space="0" w:color="auto"/>
              <w:right w:val="single" w:sz="8" w:space="0" w:color="auto"/>
            </w:tcBorders>
            <w:shd w:val="clear" w:color="000000" w:fill="D9E1F2"/>
            <w:noWrap/>
            <w:vAlign w:val="center"/>
            <w:hideMark/>
          </w:tcPr>
          <w:p w14:paraId="77653086"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2,065</w:t>
            </w:r>
          </w:p>
        </w:tc>
        <w:tc>
          <w:tcPr>
            <w:tcW w:w="625" w:type="pct"/>
            <w:tcBorders>
              <w:top w:val="nil"/>
              <w:left w:val="nil"/>
              <w:bottom w:val="single" w:sz="8" w:space="0" w:color="auto"/>
              <w:right w:val="single" w:sz="8" w:space="0" w:color="auto"/>
            </w:tcBorders>
            <w:shd w:val="clear" w:color="000000" w:fill="B4C6E7"/>
            <w:noWrap/>
            <w:vAlign w:val="center"/>
            <w:hideMark/>
          </w:tcPr>
          <w:p w14:paraId="000380B1"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514</w:t>
            </w:r>
          </w:p>
        </w:tc>
        <w:tc>
          <w:tcPr>
            <w:tcW w:w="433" w:type="pct"/>
            <w:tcBorders>
              <w:top w:val="nil"/>
              <w:left w:val="nil"/>
              <w:bottom w:val="single" w:sz="8" w:space="0" w:color="auto"/>
              <w:right w:val="single" w:sz="8" w:space="0" w:color="auto"/>
            </w:tcBorders>
            <w:shd w:val="clear" w:color="000000" w:fill="D9E1F2"/>
            <w:noWrap/>
            <w:vAlign w:val="center"/>
            <w:hideMark/>
          </w:tcPr>
          <w:p w14:paraId="216CAB18" w14:textId="77777777" w:rsidR="002864DC" w:rsidRPr="002864DC" w:rsidRDefault="002864DC" w:rsidP="0019539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25%</w:t>
            </w:r>
          </w:p>
        </w:tc>
        <w:tc>
          <w:tcPr>
            <w:tcW w:w="511" w:type="pct"/>
            <w:tcBorders>
              <w:top w:val="nil"/>
              <w:left w:val="nil"/>
              <w:bottom w:val="single" w:sz="8" w:space="0" w:color="auto"/>
              <w:right w:val="single" w:sz="8" w:space="0" w:color="auto"/>
            </w:tcBorders>
            <w:shd w:val="clear" w:color="000000" w:fill="B4C6E7"/>
            <w:noWrap/>
            <w:vAlign w:val="center"/>
            <w:hideMark/>
          </w:tcPr>
          <w:p w14:paraId="60EC7250"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1,111</w:t>
            </w:r>
          </w:p>
        </w:tc>
        <w:tc>
          <w:tcPr>
            <w:tcW w:w="360" w:type="pct"/>
            <w:tcBorders>
              <w:top w:val="nil"/>
              <w:left w:val="nil"/>
              <w:bottom w:val="single" w:sz="8" w:space="0" w:color="auto"/>
              <w:right w:val="single" w:sz="8" w:space="0" w:color="auto"/>
            </w:tcBorders>
            <w:shd w:val="clear" w:color="000000" w:fill="D9E1F2"/>
            <w:noWrap/>
            <w:vAlign w:val="center"/>
            <w:hideMark/>
          </w:tcPr>
          <w:p w14:paraId="69EA505F"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54%</w:t>
            </w:r>
          </w:p>
        </w:tc>
        <w:tc>
          <w:tcPr>
            <w:tcW w:w="585" w:type="pct"/>
            <w:tcBorders>
              <w:top w:val="nil"/>
              <w:left w:val="nil"/>
              <w:bottom w:val="single" w:sz="8" w:space="0" w:color="auto"/>
              <w:right w:val="single" w:sz="8" w:space="0" w:color="auto"/>
            </w:tcBorders>
            <w:shd w:val="clear" w:color="000000" w:fill="B4C6E7"/>
            <w:noWrap/>
            <w:vAlign w:val="center"/>
            <w:hideMark/>
          </w:tcPr>
          <w:p w14:paraId="5D1A44D8"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32</w:t>
            </w:r>
          </w:p>
        </w:tc>
        <w:tc>
          <w:tcPr>
            <w:tcW w:w="474" w:type="pct"/>
            <w:tcBorders>
              <w:top w:val="nil"/>
              <w:left w:val="nil"/>
              <w:bottom w:val="single" w:sz="8" w:space="0" w:color="auto"/>
              <w:right w:val="single" w:sz="8" w:space="0" w:color="auto"/>
            </w:tcBorders>
            <w:shd w:val="clear" w:color="000000" w:fill="D9E1F2"/>
            <w:noWrap/>
            <w:vAlign w:val="center"/>
            <w:hideMark/>
          </w:tcPr>
          <w:p w14:paraId="53D007BB"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2%</w:t>
            </w:r>
          </w:p>
        </w:tc>
        <w:tc>
          <w:tcPr>
            <w:tcW w:w="484" w:type="pct"/>
            <w:tcBorders>
              <w:top w:val="nil"/>
              <w:left w:val="nil"/>
              <w:bottom w:val="single" w:sz="8" w:space="0" w:color="auto"/>
              <w:right w:val="single" w:sz="8" w:space="0" w:color="auto"/>
            </w:tcBorders>
            <w:shd w:val="clear" w:color="000000" w:fill="B4C6E7"/>
            <w:noWrap/>
            <w:vAlign w:val="center"/>
            <w:hideMark/>
          </w:tcPr>
          <w:p w14:paraId="6EC57509"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248</w:t>
            </w:r>
          </w:p>
        </w:tc>
        <w:tc>
          <w:tcPr>
            <w:tcW w:w="616" w:type="pct"/>
            <w:tcBorders>
              <w:top w:val="nil"/>
              <w:left w:val="nil"/>
              <w:bottom w:val="single" w:sz="8" w:space="0" w:color="auto"/>
              <w:right w:val="single" w:sz="8" w:space="0" w:color="auto"/>
            </w:tcBorders>
            <w:shd w:val="clear" w:color="000000" w:fill="D9E1F2"/>
            <w:noWrap/>
            <w:vAlign w:val="center"/>
            <w:hideMark/>
          </w:tcPr>
          <w:p w14:paraId="2827CDE3"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12%</w:t>
            </w:r>
          </w:p>
        </w:tc>
      </w:tr>
      <w:tr w:rsidR="00661A2B" w:rsidRPr="002864DC" w14:paraId="4C80F1C1" w14:textId="77777777" w:rsidTr="001C4566">
        <w:trPr>
          <w:trHeight w:val="326"/>
        </w:trPr>
        <w:tc>
          <w:tcPr>
            <w:tcW w:w="430" w:type="pct"/>
            <w:tcBorders>
              <w:top w:val="nil"/>
              <w:left w:val="single" w:sz="8" w:space="0" w:color="auto"/>
              <w:bottom w:val="single" w:sz="8" w:space="0" w:color="auto"/>
              <w:right w:val="single" w:sz="8" w:space="0" w:color="auto"/>
            </w:tcBorders>
            <w:shd w:val="clear" w:color="000000" w:fill="B4C6E7"/>
            <w:noWrap/>
            <w:vAlign w:val="center"/>
            <w:hideMark/>
          </w:tcPr>
          <w:p w14:paraId="487ECD1E" w14:textId="6CC17DA0"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2017</w:t>
            </w:r>
            <w:r w:rsidR="006365E9" w:rsidRPr="002418CF">
              <w:rPr>
                <w:rStyle w:val="FootnoteReference"/>
                <w:rFonts w:ascii="Times New Roman" w:eastAsia="Times New Roman" w:hAnsi="Times New Roman"/>
                <w:bCs/>
                <w:color w:val="000000"/>
                <w:sz w:val="20"/>
                <w:szCs w:val="20"/>
              </w:rPr>
              <w:footnoteReference w:id="6"/>
            </w:r>
          </w:p>
        </w:tc>
        <w:tc>
          <w:tcPr>
            <w:tcW w:w="482" w:type="pct"/>
            <w:tcBorders>
              <w:top w:val="nil"/>
              <w:left w:val="nil"/>
              <w:bottom w:val="single" w:sz="8" w:space="0" w:color="auto"/>
              <w:right w:val="single" w:sz="8" w:space="0" w:color="auto"/>
            </w:tcBorders>
            <w:shd w:val="clear" w:color="000000" w:fill="D9E1F2"/>
            <w:noWrap/>
            <w:vAlign w:val="center"/>
            <w:hideMark/>
          </w:tcPr>
          <w:p w14:paraId="438FCFCA"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2,397</w:t>
            </w:r>
          </w:p>
        </w:tc>
        <w:tc>
          <w:tcPr>
            <w:tcW w:w="625" w:type="pct"/>
            <w:tcBorders>
              <w:top w:val="nil"/>
              <w:left w:val="nil"/>
              <w:bottom w:val="single" w:sz="8" w:space="0" w:color="auto"/>
              <w:right w:val="single" w:sz="8" w:space="0" w:color="auto"/>
            </w:tcBorders>
            <w:shd w:val="clear" w:color="000000" w:fill="B4C6E7"/>
            <w:noWrap/>
            <w:vAlign w:val="center"/>
            <w:hideMark/>
          </w:tcPr>
          <w:p w14:paraId="7F2354B1"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653</w:t>
            </w:r>
          </w:p>
        </w:tc>
        <w:tc>
          <w:tcPr>
            <w:tcW w:w="433" w:type="pct"/>
            <w:tcBorders>
              <w:top w:val="nil"/>
              <w:left w:val="nil"/>
              <w:bottom w:val="single" w:sz="8" w:space="0" w:color="auto"/>
              <w:right w:val="single" w:sz="8" w:space="0" w:color="auto"/>
            </w:tcBorders>
            <w:shd w:val="clear" w:color="000000" w:fill="D9E1F2"/>
            <w:noWrap/>
            <w:vAlign w:val="center"/>
            <w:hideMark/>
          </w:tcPr>
          <w:p w14:paraId="0975021D" w14:textId="77777777" w:rsidR="002864DC" w:rsidRPr="002864DC" w:rsidRDefault="002864DC" w:rsidP="0019539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27%</w:t>
            </w:r>
          </w:p>
        </w:tc>
        <w:tc>
          <w:tcPr>
            <w:tcW w:w="511" w:type="pct"/>
            <w:tcBorders>
              <w:top w:val="nil"/>
              <w:left w:val="nil"/>
              <w:bottom w:val="single" w:sz="8" w:space="0" w:color="auto"/>
              <w:right w:val="single" w:sz="8" w:space="0" w:color="auto"/>
            </w:tcBorders>
            <w:shd w:val="clear" w:color="000000" w:fill="B4C6E7"/>
            <w:noWrap/>
            <w:vAlign w:val="center"/>
            <w:hideMark/>
          </w:tcPr>
          <w:p w14:paraId="68DED718"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1,431</w:t>
            </w:r>
          </w:p>
        </w:tc>
        <w:tc>
          <w:tcPr>
            <w:tcW w:w="360" w:type="pct"/>
            <w:tcBorders>
              <w:top w:val="nil"/>
              <w:left w:val="nil"/>
              <w:bottom w:val="single" w:sz="8" w:space="0" w:color="auto"/>
              <w:right w:val="single" w:sz="8" w:space="0" w:color="auto"/>
            </w:tcBorders>
            <w:shd w:val="clear" w:color="000000" w:fill="D9E1F2"/>
            <w:noWrap/>
            <w:vAlign w:val="center"/>
            <w:hideMark/>
          </w:tcPr>
          <w:p w14:paraId="47EE9546"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60%</w:t>
            </w:r>
          </w:p>
        </w:tc>
        <w:tc>
          <w:tcPr>
            <w:tcW w:w="585" w:type="pct"/>
            <w:tcBorders>
              <w:top w:val="nil"/>
              <w:left w:val="nil"/>
              <w:bottom w:val="single" w:sz="8" w:space="0" w:color="auto"/>
              <w:right w:val="single" w:sz="8" w:space="0" w:color="auto"/>
            </w:tcBorders>
            <w:shd w:val="clear" w:color="000000" w:fill="B4C6E7"/>
            <w:noWrap/>
            <w:vAlign w:val="center"/>
            <w:hideMark/>
          </w:tcPr>
          <w:p w14:paraId="26E18B4D"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25</w:t>
            </w:r>
          </w:p>
        </w:tc>
        <w:tc>
          <w:tcPr>
            <w:tcW w:w="474" w:type="pct"/>
            <w:tcBorders>
              <w:top w:val="nil"/>
              <w:left w:val="nil"/>
              <w:bottom w:val="single" w:sz="8" w:space="0" w:color="auto"/>
              <w:right w:val="single" w:sz="8" w:space="0" w:color="auto"/>
            </w:tcBorders>
            <w:shd w:val="clear" w:color="000000" w:fill="D9E1F2"/>
            <w:noWrap/>
            <w:vAlign w:val="center"/>
            <w:hideMark/>
          </w:tcPr>
          <w:p w14:paraId="35A9DFE4"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1%</w:t>
            </w:r>
          </w:p>
        </w:tc>
        <w:tc>
          <w:tcPr>
            <w:tcW w:w="484" w:type="pct"/>
            <w:tcBorders>
              <w:top w:val="nil"/>
              <w:left w:val="nil"/>
              <w:bottom w:val="single" w:sz="8" w:space="0" w:color="auto"/>
              <w:right w:val="single" w:sz="8" w:space="0" w:color="auto"/>
            </w:tcBorders>
            <w:shd w:val="clear" w:color="000000" w:fill="B4C6E7"/>
            <w:noWrap/>
            <w:vAlign w:val="center"/>
            <w:hideMark/>
          </w:tcPr>
          <w:p w14:paraId="50FEFC47" w14:textId="77777777" w:rsidR="002864DC" w:rsidRPr="002864DC" w:rsidRDefault="002864DC" w:rsidP="002864DC">
            <w:pPr>
              <w:spacing w:after="0" w:line="240" w:lineRule="auto"/>
              <w:jc w:val="center"/>
              <w:rPr>
                <w:rFonts w:ascii="Times New Roman" w:eastAsia="Times New Roman" w:hAnsi="Times New Roman"/>
                <w:b/>
                <w:bCs/>
                <w:color w:val="000000"/>
                <w:sz w:val="20"/>
                <w:szCs w:val="20"/>
              </w:rPr>
            </w:pPr>
            <w:r w:rsidRPr="002864DC">
              <w:rPr>
                <w:rFonts w:ascii="Times New Roman" w:eastAsia="Times New Roman" w:hAnsi="Times New Roman"/>
                <w:b/>
                <w:bCs/>
                <w:color w:val="000000"/>
                <w:sz w:val="20"/>
                <w:szCs w:val="20"/>
              </w:rPr>
              <w:t>290</w:t>
            </w:r>
          </w:p>
        </w:tc>
        <w:tc>
          <w:tcPr>
            <w:tcW w:w="616" w:type="pct"/>
            <w:tcBorders>
              <w:top w:val="nil"/>
              <w:left w:val="nil"/>
              <w:bottom w:val="single" w:sz="8" w:space="0" w:color="auto"/>
              <w:right w:val="single" w:sz="8" w:space="0" w:color="auto"/>
            </w:tcBorders>
            <w:shd w:val="clear" w:color="000000" w:fill="D9E1F2"/>
            <w:noWrap/>
            <w:vAlign w:val="center"/>
            <w:hideMark/>
          </w:tcPr>
          <w:p w14:paraId="61211073" w14:textId="77777777" w:rsidR="002864DC" w:rsidRPr="002864DC" w:rsidRDefault="002864DC" w:rsidP="002864DC">
            <w:pPr>
              <w:spacing w:after="0" w:line="240" w:lineRule="auto"/>
              <w:jc w:val="center"/>
              <w:rPr>
                <w:rFonts w:ascii="Times New Roman" w:eastAsia="Times New Roman" w:hAnsi="Times New Roman"/>
                <w:color w:val="000000"/>
                <w:sz w:val="20"/>
                <w:szCs w:val="20"/>
              </w:rPr>
            </w:pPr>
            <w:r w:rsidRPr="002864DC">
              <w:rPr>
                <w:rFonts w:ascii="Times New Roman" w:eastAsia="Times New Roman" w:hAnsi="Times New Roman"/>
                <w:color w:val="000000"/>
                <w:sz w:val="20"/>
                <w:szCs w:val="20"/>
              </w:rPr>
              <w:t>12%</w:t>
            </w:r>
          </w:p>
        </w:tc>
      </w:tr>
    </w:tbl>
    <w:p w14:paraId="134B8F8B" w14:textId="060839D7" w:rsidR="00117C0F" w:rsidRDefault="00117C0F" w:rsidP="00170033">
      <w:pPr>
        <w:pStyle w:val="ListParagraph"/>
        <w:tabs>
          <w:tab w:val="left" w:pos="360"/>
        </w:tabs>
        <w:spacing w:after="0"/>
        <w:ind w:left="0"/>
        <w:jc w:val="center"/>
        <w:rPr>
          <w:rFonts w:ascii="Times New Roman" w:eastAsia="Batang" w:hAnsi="Times New Roman"/>
          <w:lang w:eastAsia="ko-KR"/>
        </w:rPr>
      </w:pPr>
    </w:p>
    <w:p w14:paraId="352B108E" w14:textId="7A41393F" w:rsidR="00D11CA7" w:rsidRPr="004903FB" w:rsidRDefault="00AA3676" w:rsidP="005F15C6">
      <w:pPr>
        <w:pStyle w:val="ColorfulShading-Accent31"/>
        <w:tabs>
          <w:tab w:val="left" w:pos="360"/>
        </w:tabs>
        <w:spacing w:after="0" w:line="240" w:lineRule="auto"/>
        <w:ind w:left="0"/>
        <w:jc w:val="both"/>
        <w:rPr>
          <w:rFonts w:ascii="Times New Roman" w:eastAsia="Times New Roman,Batang" w:hAnsi="Times New Roman"/>
          <w:lang w:val="en-GB" w:eastAsia="ko-KR"/>
        </w:rPr>
      </w:pPr>
      <w:r>
        <w:rPr>
          <w:rFonts w:ascii="Times New Roman" w:eastAsia="Times New Roman,Batang" w:hAnsi="Times New Roman"/>
          <w:b/>
          <w:bCs/>
          <w:lang w:eastAsia="ko-KR"/>
        </w:rPr>
        <w:t xml:space="preserve">2. </w:t>
      </w:r>
      <w:r w:rsidR="00D11CA7" w:rsidRPr="004903FB">
        <w:rPr>
          <w:rFonts w:ascii="Times New Roman" w:eastAsia="Times New Roman,Batang" w:hAnsi="Times New Roman"/>
          <w:b/>
          <w:bCs/>
          <w:lang w:eastAsia="ko-KR"/>
        </w:rPr>
        <w:t>Focus on the quality of decentralized evaluations</w:t>
      </w:r>
    </w:p>
    <w:p w14:paraId="24C585DD" w14:textId="40DC80B4" w:rsidR="00B37158" w:rsidRDefault="00D11CA7" w:rsidP="00607D43">
      <w:pPr>
        <w:pStyle w:val="ListParagraph"/>
        <w:tabs>
          <w:tab w:val="left" w:pos="360"/>
        </w:tabs>
        <w:spacing w:after="0"/>
        <w:ind w:left="0"/>
        <w:jc w:val="both"/>
        <w:rPr>
          <w:rFonts w:ascii="Times New Roman" w:hAnsi="Times New Roman"/>
          <w:b/>
        </w:rPr>
      </w:pPr>
      <w:r w:rsidRPr="00FA158E">
        <w:rPr>
          <w:rFonts w:ascii="Times New Roman" w:eastAsia="Times New Roman,Batang" w:hAnsi="Times New Roman"/>
          <w:lang w:eastAsia="ko-KR"/>
        </w:rPr>
        <w:t xml:space="preserve">The </w:t>
      </w:r>
      <w:r w:rsidR="005E0883" w:rsidRPr="00FA158E">
        <w:rPr>
          <w:rFonts w:ascii="Times New Roman" w:eastAsia="Times New Roman,Batang" w:hAnsi="Times New Roman"/>
          <w:lang w:eastAsia="ko-KR"/>
        </w:rPr>
        <w:t>Annual Report on Evaluation</w:t>
      </w:r>
      <w:r w:rsidR="00366B48" w:rsidRPr="00FA158E">
        <w:rPr>
          <w:rFonts w:ascii="Times New Roman" w:eastAsia="Times New Roman,Batang" w:hAnsi="Times New Roman"/>
          <w:lang w:eastAsia="ko-KR"/>
        </w:rPr>
        <w:t>,</w:t>
      </w:r>
      <w:r w:rsidR="005E0883" w:rsidRPr="00FA158E">
        <w:rPr>
          <w:rFonts w:ascii="Times New Roman" w:eastAsia="Times New Roman,Batang" w:hAnsi="Times New Roman"/>
          <w:lang w:eastAsia="ko-KR"/>
        </w:rPr>
        <w:t xml:space="preserve"> 2017</w:t>
      </w:r>
      <w:r w:rsidRPr="00FA158E">
        <w:rPr>
          <w:rFonts w:ascii="Times New Roman" w:eastAsia="Times New Roman,Batang" w:hAnsi="Times New Roman"/>
          <w:lang w:eastAsia="ko-KR"/>
        </w:rPr>
        <w:t xml:space="preserve"> </w:t>
      </w:r>
      <w:r w:rsidR="0059571D" w:rsidRPr="00FA158E">
        <w:rPr>
          <w:rFonts w:ascii="Times New Roman" w:eastAsia="Times New Roman,Batang" w:hAnsi="Times New Roman"/>
          <w:lang w:eastAsia="ko-KR"/>
        </w:rPr>
        <w:t xml:space="preserve">notes that a total of 74% of the assessed decentralized evaluations were </w:t>
      </w:r>
      <w:r w:rsidR="00CC319F" w:rsidRPr="00FA158E">
        <w:rPr>
          <w:rFonts w:ascii="Times New Roman" w:eastAsia="Times New Roman,Batang" w:hAnsi="Times New Roman"/>
          <w:lang w:eastAsia="ko-KR"/>
        </w:rPr>
        <w:t xml:space="preserve">of </w:t>
      </w:r>
      <w:r w:rsidR="0059571D" w:rsidRPr="00FA158E">
        <w:rPr>
          <w:rFonts w:ascii="Times New Roman" w:eastAsia="Times New Roman,Batang" w:hAnsi="Times New Roman"/>
          <w:lang w:eastAsia="ko-KR"/>
        </w:rPr>
        <w:t>satisfactory or partially satisfactory</w:t>
      </w:r>
      <w:r w:rsidR="00CC319F" w:rsidRPr="00FA158E">
        <w:rPr>
          <w:rFonts w:ascii="Times New Roman" w:eastAsia="Times New Roman,Batang" w:hAnsi="Times New Roman"/>
          <w:lang w:eastAsia="ko-KR"/>
        </w:rPr>
        <w:t xml:space="preserve"> quality. </w:t>
      </w:r>
      <w:r w:rsidR="0059571D" w:rsidRPr="00FA158E">
        <w:rPr>
          <w:rFonts w:ascii="Times New Roman" w:eastAsia="Times New Roman,Batang" w:hAnsi="Times New Roman"/>
          <w:lang w:eastAsia="ko-KR"/>
        </w:rPr>
        <w:t xml:space="preserve">The scope </w:t>
      </w:r>
      <w:r w:rsidR="00366B48" w:rsidRPr="00FA158E">
        <w:rPr>
          <w:rFonts w:ascii="Times New Roman" w:eastAsia="Times New Roman,Batang" w:hAnsi="Times New Roman"/>
          <w:lang w:eastAsia="ko-KR"/>
        </w:rPr>
        <w:t xml:space="preserve">of the quality assessment process </w:t>
      </w:r>
      <w:r w:rsidR="0059571D" w:rsidRPr="00FA158E">
        <w:rPr>
          <w:rFonts w:ascii="Times New Roman" w:eastAsia="Times New Roman,Batang" w:hAnsi="Times New Roman"/>
          <w:lang w:eastAsia="ko-KR"/>
        </w:rPr>
        <w:t>was</w:t>
      </w:r>
      <w:r w:rsidR="00366B48" w:rsidRPr="00FA158E">
        <w:rPr>
          <w:rFonts w:ascii="Times New Roman" w:eastAsia="Times New Roman,Batang" w:hAnsi="Times New Roman"/>
          <w:lang w:eastAsia="ko-KR"/>
        </w:rPr>
        <w:t xml:space="preserve"> in 2017</w:t>
      </w:r>
      <w:r w:rsidR="0059571D" w:rsidRPr="00FA158E">
        <w:rPr>
          <w:rFonts w:ascii="Times New Roman" w:eastAsia="Times New Roman,Batang" w:hAnsi="Times New Roman"/>
          <w:lang w:eastAsia="ko-KR"/>
        </w:rPr>
        <w:t xml:space="preserve"> expanded to include UNDAF evaluations, otherwise no other adjustments were made to the tool.</w:t>
      </w:r>
      <w:r w:rsidR="004216FD" w:rsidRPr="00FA158E">
        <w:rPr>
          <w:rFonts w:ascii="Times New Roman" w:eastAsia="Times New Roman,Batang" w:hAnsi="Times New Roman"/>
          <w:lang w:eastAsia="ko-KR"/>
        </w:rPr>
        <w:t xml:space="preserve"> </w:t>
      </w:r>
      <w:r w:rsidR="00B37158" w:rsidRPr="00FA158E">
        <w:rPr>
          <w:rFonts w:ascii="Times New Roman" w:eastAsia="Times New Roman,Batang" w:hAnsi="Times New Roman"/>
          <w:lang w:eastAsia="ko-KR"/>
        </w:rPr>
        <w:t>UNDP</w:t>
      </w:r>
      <w:r w:rsidR="008C47DB" w:rsidRPr="00FA158E">
        <w:rPr>
          <w:rFonts w:ascii="Times New Roman" w:eastAsia="Times New Roman,Batang" w:hAnsi="Times New Roman"/>
          <w:lang w:eastAsia="ko-KR"/>
        </w:rPr>
        <w:t xml:space="preserve"> notes that the percentage of evaluations rated as satisfactory </w:t>
      </w:r>
      <w:r w:rsidR="009A6BE9" w:rsidRPr="00FA158E">
        <w:rPr>
          <w:rFonts w:ascii="Times New Roman" w:eastAsia="Times New Roman,Batang" w:hAnsi="Times New Roman"/>
          <w:lang w:eastAsia="ko-KR"/>
        </w:rPr>
        <w:t xml:space="preserve">or higher </w:t>
      </w:r>
      <w:r w:rsidR="008C47DB" w:rsidRPr="00FA158E">
        <w:rPr>
          <w:rFonts w:ascii="Times New Roman" w:eastAsia="Times New Roman,Batang" w:hAnsi="Times New Roman"/>
          <w:lang w:eastAsia="ko-KR"/>
        </w:rPr>
        <w:t>declined from 2016</w:t>
      </w:r>
      <w:r w:rsidR="009A6BE9" w:rsidRPr="00FA158E">
        <w:rPr>
          <w:rFonts w:ascii="Times New Roman" w:eastAsia="Times New Roman,Batang" w:hAnsi="Times New Roman"/>
          <w:lang w:eastAsia="ko-KR"/>
        </w:rPr>
        <w:t xml:space="preserve">, and </w:t>
      </w:r>
      <w:r w:rsidR="00B37158" w:rsidRPr="00FA158E">
        <w:rPr>
          <w:rFonts w:ascii="Times New Roman" w:eastAsia="Times New Roman,Batang" w:hAnsi="Times New Roman"/>
          <w:lang w:eastAsia="ko-KR"/>
        </w:rPr>
        <w:t xml:space="preserve">reiterates its commitment </w:t>
      </w:r>
      <w:r w:rsidR="00B37158" w:rsidRPr="00FA158E">
        <w:rPr>
          <w:rFonts w:ascii="Times New Roman" w:eastAsia="Batang" w:hAnsi="Times New Roman"/>
          <w:lang w:eastAsia="ko-KR"/>
        </w:rPr>
        <w:t>of continuing efforts to strengthen the quality and utility of decentralized evaluations.</w:t>
      </w:r>
      <w:r w:rsidR="00B37158" w:rsidRPr="004903FB">
        <w:rPr>
          <w:rFonts w:ascii="Times New Roman" w:eastAsia="Times New Roman,Batang" w:hAnsi="Times New Roman"/>
          <w:lang w:eastAsia="ko-KR"/>
        </w:rPr>
        <w:t xml:space="preserve"> Management </w:t>
      </w:r>
      <w:r w:rsidR="00B37158">
        <w:rPr>
          <w:rFonts w:ascii="Times New Roman" w:eastAsia="Times New Roman,Batang" w:hAnsi="Times New Roman"/>
          <w:lang w:eastAsia="ko-KR"/>
        </w:rPr>
        <w:t xml:space="preserve">wishes </w:t>
      </w:r>
      <w:r w:rsidR="003F6378" w:rsidRPr="004903FB">
        <w:rPr>
          <w:rFonts w:ascii="Times New Roman" w:eastAsia="Times New Roman,Batang" w:hAnsi="Times New Roman"/>
          <w:lang w:eastAsia="ko-KR"/>
        </w:rPr>
        <w:t xml:space="preserve">however </w:t>
      </w:r>
      <w:r w:rsidR="00B37158">
        <w:rPr>
          <w:rFonts w:ascii="Times New Roman" w:eastAsia="Times New Roman,Batang" w:hAnsi="Times New Roman"/>
          <w:lang w:eastAsia="ko-KR"/>
        </w:rPr>
        <w:t>to highlight</w:t>
      </w:r>
      <w:r w:rsidR="00B37158" w:rsidRPr="004903FB">
        <w:rPr>
          <w:rFonts w:ascii="Times New Roman" w:eastAsia="Times New Roman,Batang" w:hAnsi="Times New Roman"/>
          <w:lang w:eastAsia="ko-KR"/>
        </w:rPr>
        <w:t xml:space="preserve"> that</w:t>
      </w:r>
      <w:r w:rsidR="00B37158">
        <w:rPr>
          <w:rFonts w:ascii="Times New Roman" w:eastAsia="Times New Roman,Batang" w:hAnsi="Times New Roman"/>
          <w:lang w:eastAsia="ko-KR"/>
        </w:rPr>
        <w:t xml:space="preserve"> reporting through the </w:t>
      </w:r>
      <w:r w:rsidR="00B37158" w:rsidRPr="004903FB">
        <w:rPr>
          <w:rFonts w:ascii="Times New Roman" w:eastAsia="Times New Roman,Batang" w:hAnsi="Times New Roman"/>
          <w:lang w:eastAsia="ko-KR"/>
        </w:rPr>
        <w:t xml:space="preserve">Integrated Results and Resources Framework (IRRF) for the Strategic Plan 2014-2017 </w:t>
      </w:r>
      <w:r w:rsidR="009A6BE9">
        <w:rPr>
          <w:rFonts w:ascii="Times New Roman" w:eastAsia="Times New Roman,Batang" w:hAnsi="Times New Roman"/>
          <w:lang w:eastAsia="ko-KR"/>
        </w:rPr>
        <w:t xml:space="preserve">period </w:t>
      </w:r>
      <w:r w:rsidR="00B37158" w:rsidRPr="004903FB">
        <w:rPr>
          <w:rFonts w:ascii="Times New Roman" w:eastAsia="Times New Roman,Batang" w:hAnsi="Times New Roman"/>
          <w:lang w:eastAsia="ko-KR"/>
        </w:rPr>
        <w:t>show</w:t>
      </w:r>
      <w:r w:rsidR="009A6BE9">
        <w:rPr>
          <w:rFonts w:ascii="Times New Roman" w:eastAsia="Times New Roman,Batang" w:hAnsi="Times New Roman"/>
          <w:lang w:eastAsia="ko-KR"/>
        </w:rPr>
        <w:t xml:space="preserve">s an increase in the </w:t>
      </w:r>
      <w:r w:rsidR="00B37158" w:rsidRPr="004903FB">
        <w:rPr>
          <w:rFonts w:ascii="Times New Roman" w:eastAsia="Times New Roman,Batang" w:hAnsi="Times New Roman"/>
          <w:lang w:eastAsia="ko-KR"/>
        </w:rPr>
        <w:t xml:space="preserve">percentage of </w:t>
      </w:r>
      <w:r w:rsidR="00B37158" w:rsidRPr="004903FB">
        <w:rPr>
          <w:rFonts w:ascii="Times New Roman" w:eastAsia="Times New Roman" w:hAnsi="Times New Roman"/>
        </w:rPr>
        <w:t xml:space="preserve">decentralized evaluations that have been rated satisfactory or partially satisfactory from </w:t>
      </w:r>
      <w:r w:rsidR="00B37158" w:rsidRPr="004903FB">
        <w:rPr>
          <w:rFonts w:ascii="Times New Roman" w:hAnsi="Times New Roman"/>
        </w:rPr>
        <w:t>52% in 2014 to 74% in 2017.</w:t>
      </w:r>
      <w:r w:rsidR="00B37158" w:rsidRPr="004903FB">
        <w:rPr>
          <w:rFonts w:ascii="Times New Roman" w:hAnsi="Times New Roman"/>
          <w:b/>
        </w:rPr>
        <w:t xml:space="preserve"> </w:t>
      </w:r>
    </w:p>
    <w:p w14:paraId="48AD3F9C" w14:textId="77777777" w:rsidR="00B37158" w:rsidRPr="004903FB" w:rsidRDefault="00B37158" w:rsidP="00607D43">
      <w:pPr>
        <w:pStyle w:val="ListParagraph"/>
        <w:tabs>
          <w:tab w:val="left" w:pos="360"/>
        </w:tabs>
        <w:spacing w:after="0"/>
        <w:ind w:left="0"/>
        <w:jc w:val="both"/>
        <w:rPr>
          <w:rFonts w:ascii="Times New Roman" w:eastAsia="Times New Roman,Batang" w:hAnsi="Times New Roman"/>
          <w:lang w:eastAsia="ko-KR"/>
        </w:rPr>
      </w:pPr>
    </w:p>
    <w:p w14:paraId="396E12B9" w14:textId="1F4F0D6F" w:rsidR="00B37158" w:rsidRDefault="00B37158" w:rsidP="00607D43">
      <w:pPr>
        <w:pStyle w:val="ListParagraph"/>
        <w:tabs>
          <w:tab w:val="left" w:pos="360"/>
        </w:tabs>
        <w:spacing w:after="0"/>
        <w:ind w:left="0"/>
        <w:jc w:val="both"/>
        <w:rPr>
          <w:rFonts w:ascii="Times New Roman" w:eastAsia="MS Mincho" w:hAnsi="Times New Roman"/>
          <w:lang w:val="en-GB" w:eastAsia="ja-JP"/>
        </w:rPr>
      </w:pPr>
      <w:r w:rsidRPr="004903FB">
        <w:rPr>
          <w:rFonts w:ascii="Times New Roman" w:eastAsia="Times New Roman,Batang" w:hAnsi="Times New Roman"/>
          <w:lang w:eastAsia="ko-KR"/>
        </w:rPr>
        <w:t>The IEO notes that a more detailed analysis of the findings</w:t>
      </w:r>
      <w:r>
        <w:rPr>
          <w:rFonts w:ascii="Times New Roman" w:eastAsia="Times New Roman,Batang" w:hAnsi="Times New Roman"/>
          <w:lang w:eastAsia="ko-KR"/>
        </w:rPr>
        <w:t xml:space="preserve"> of the decentralized evaluation </w:t>
      </w:r>
      <w:r w:rsidRPr="004903FB">
        <w:rPr>
          <w:rFonts w:ascii="Times New Roman" w:eastAsia="Times New Roman,Batang" w:hAnsi="Times New Roman"/>
          <w:lang w:eastAsia="ko-KR"/>
        </w:rPr>
        <w:t>quality assessment will be undertaken in 2018. UNDP welcome</w:t>
      </w:r>
      <w:r w:rsidR="00A85BD7">
        <w:rPr>
          <w:rFonts w:ascii="Times New Roman" w:eastAsia="Times New Roman,Batang" w:hAnsi="Times New Roman"/>
          <w:lang w:eastAsia="ko-KR"/>
        </w:rPr>
        <w:t>s</w:t>
      </w:r>
      <w:r w:rsidRPr="004903FB">
        <w:rPr>
          <w:rFonts w:ascii="Times New Roman" w:eastAsia="Times New Roman,Batang" w:hAnsi="Times New Roman"/>
          <w:lang w:eastAsia="ko-KR"/>
        </w:rPr>
        <w:t xml:space="preserve"> such analysis as </w:t>
      </w:r>
      <w:r w:rsidRPr="004903FB">
        <w:rPr>
          <w:rFonts w:ascii="Times New Roman" w:hAnsi="Times New Roman"/>
        </w:rPr>
        <w:t xml:space="preserve">it will provide the organization </w:t>
      </w:r>
      <w:r w:rsidRPr="004903FB">
        <w:rPr>
          <w:rFonts w:ascii="Times New Roman" w:hAnsi="Times New Roman"/>
        </w:rPr>
        <w:lastRenderedPageBreak/>
        <w:t xml:space="preserve">with valuable information and help UNDP identify capacity gaps and recurrent issues with evaluability of projects. </w:t>
      </w:r>
      <w:r>
        <w:rPr>
          <w:rFonts w:ascii="Times New Roman" w:hAnsi="Times New Roman"/>
        </w:rPr>
        <w:t xml:space="preserve">UNDP would encourage an alignment between </w:t>
      </w:r>
      <w:r w:rsidRPr="009946C9">
        <w:rPr>
          <w:rFonts w:ascii="Times New Roman" w:hAnsi="Times New Roman"/>
          <w:color w:val="000000"/>
          <w:lang w:val="en-GB"/>
        </w:rPr>
        <w:t xml:space="preserve">the IEO </w:t>
      </w:r>
      <w:r w:rsidRPr="009946C9">
        <w:rPr>
          <w:rFonts w:ascii="Times New Roman" w:eastAsia="Times New Roman,Batang" w:hAnsi="Times New Roman"/>
          <w:lang w:eastAsia="ko-KR"/>
        </w:rPr>
        <w:t xml:space="preserve">criteria </w:t>
      </w:r>
      <w:r>
        <w:rPr>
          <w:rFonts w:ascii="Times New Roman" w:eastAsia="Times New Roman,Batang" w:hAnsi="Times New Roman"/>
          <w:lang w:eastAsia="ko-KR"/>
        </w:rPr>
        <w:t xml:space="preserve">and </w:t>
      </w:r>
      <w:r w:rsidRPr="009946C9">
        <w:rPr>
          <w:rFonts w:ascii="Times New Roman" w:eastAsia="Times New Roman,Batang" w:hAnsi="Times New Roman"/>
          <w:lang w:eastAsia="ko-KR"/>
        </w:rPr>
        <w:t xml:space="preserve">the UNDP </w:t>
      </w:r>
      <w:r w:rsidRPr="009946C9">
        <w:rPr>
          <w:rFonts w:ascii="Times New Roman" w:eastAsia="MS Mincho" w:hAnsi="Times New Roman"/>
          <w:lang w:val="en-GB" w:eastAsia="ja-JP"/>
        </w:rPr>
        <w:t>programme and p</w:t>
      </w:r>
      <w:r>
        <w:rPr>
          <w:rFonts w:ascii="Times New Roman" w:eastAsia="MS Mincho" w:hAnsi="Times New Roman"/>
          <w:lang w:val="en-GB" w:eastAsia="ja-JP"/>
        </w:rPr>
        <w:t>roject quality assurance system, for</w:t>
      </w:r>
      <w:r w:rsidRPr="009946C9">
        <w:rPr>
          <w:rFonts w:ascii="Times New Roman" w:eastAsia="MS Mincho" w:hAnsi="Times New Roman"/>
          <w:lang w:val="en-GB" w:eastAsia="ja-JP"/>
        </w:rPr>
        <w:t xml:space="preserve"> the organization to </w:t>
      </w:r>
      <w:r>
        <w:rPr>
          <w:rFonts w:ascii="Times New Roman" w:eastAsia="MS Mincho" w:hAnsi="Times New Roman"/>
          <w:lang w:val="en-GB" w:eastAsia="ja-JP"/>
        </w:rPr>
        <w:t>realize the</w:t>
      </w:r>
      <w:r w:rsidRPr="009946C9">
        <w:rPr>
          <w:rFonts w:ascii="Times New Roman" w:eastAsia="MS Mincho" w:hAnsi="Times New Roman"/>
          <w:lang w:val="en-GB" w:eastAsia="ja-JP"/>
        </w:rPr>
        <w:t xml:space="preserve"> full potential of the investment </w:t>
      </w:r>
      <w:r>
        <w:rPr>
          <w:rFonts w:ascii="Times New Roman" w:eastAsia="MS Mincho" w:hAnsi="Times New Roman"/>
          <w:lang w:val="en-GB" w:eastAsia="ja-JP"/>
        </w:rPr>
        <w:t>being made in</w:t>
      </w:r>
      <w:r w:rsidRPr="009946C9">
        <w:rPr>
          <w:rFonts w:ascii="Times New Roman" w:eastAsia="MS Mincho" w:hAnsi="Times New Roman"/>
          <w:lang w:val="en-GB" w:eastAsia="ja-JP"/>
        </w:rPr>
        <w:t xml:space="preserve"> quality programming and results. </w:t>
      </w:r>
    </w:p>
    <w:p w14:paraId="4E85B10B" w14:textId="77777777" w:rsidR="00B37158" w:rsidRDefault="00B37158" w:rsidP="00607D43">
      <w:pPr>
        <w:pStyle w:val="ListParagraph"/>
        <w:tabs>
          <w:tab w:val="left" w:pos="360"/>
        </w:tabs>
        <w:spacing w:after="0"/>
        <w:ind w:left="0"/>
        <w:jc w:val="both"/>
        <w:rPr>
          <w:rFonts w:ascii="Times New Roman" w:eastAsia="MS Mincho" w:hAnsi="Times New Roman"/>
          <w:lang w:val="en-GB" w:eastAsia="ja-JP"/>
        </w:rPr>
      </w:pPr>
    </w:p>
    <w:p w14:paraId="46F69BB7" w14:textId="720430B3" w:rsidR="00F2283C" w:rsidRPr="00B1672C" w:rsidRDefault="00F2283C" w:rsidP="00607D43">
      <w:pPr>
        <w:pStyle w:val="ListParagraph"/>
        <w:tabs>
          <w:tab w:val="left" w:pos="360"/>
        </w:tabs>
        <w:spacing w:after="0"/>
        <w:ind w:left="0"/>
        <w:jc w:val="both"/>
        <w:rPr>
          <w:rFonts w:ascii="Times New Roman" w:eastAsia="Batang" w:hAnsi="Times New Roman"/>
          <w:lang w:eastAsia="ko-KR"/>
        </w:rPr>
      </w:pPr>
      <w:r w:rsidRPr="004903FB">
        <w:rPr>
          <w:rFonts w:ascii="Times New Roman" w:eastAsia="Times New Roman,Batang" w:hAnsi="Times New Roman"/>
          <w:lang w:eastAsia="ko-KR"/>
        </w:rPr>
        <w:t xml:space="preserve">The </w:t>
      </w:r>
      <w:r w:rsidR="00176631">
        <w:rPr>
          <w:rFonts w:ascii="Times New Roman" w:eastAsia="Times New Roman,Batang" w:hAnsi="Times New Roman"/>
          <w:lang w:eastAsia="ko-KR"/>
        </w:rPr>
        <w:t>Results-Oriented Annual Report (</w:t>
      </w:r>
      <w:r w:rsidRPr="004903FB">
        <w:rPr>
          <w:rFonts w:ascii="Times New Roman" w:eastAsia="Batang" w:hAnsi="Times New Roman"/>
          <w:lang w:eastAsia="ko-KR"/>
        </w:rPr>
        <w:t>ROAR</w:t>
      </w:r>
      <w:r w:rsidR="00176631">
        <w:rPr>
          <w:rFonts w:ascii="Times New Roman" w:eastAsia="Batang" w:hAnsi="Times New Roman"/>
          <w:lang w:eastAsia="ko-KR"/>
        </w:rPr>
        <w:t>)</w:t>
      </w:r>
      <w:r w:rsidRPr="004903FB">
        <w:rPr>
          <w:rFonts w:ascii="Times New Roman" w:eastAsia="Batang" w:hAnsi="Times New Roman"/>
          <w:lang w:eastAsia="ko-KR"/>
        </w:rPr>
        <w:t xml:space="preserve"> continued in 2017 with a dedicated section on evaluation utility, providing </w:t>
      </w:r>
      <w:r>
        <w:rPr>
          <w:rFonts w:ascii="Times New Roman" w:eastAsia="Batang" w:hAnsi="Times New Roman"/>
          <w:lang w:eastAsia="ko-KR"/>
        </w:rPr>
        <w:t>Country Offices and</w:t>
      </w:r>
      <w:r w:rsidRPr="004903FB">
        <w:rPr>
          <w:rFonts w:ascii="Times New Roman" w:eastAsia="Batang" w:hAnsi="Times New Roman"/>
          <w:lang w:eastAsia="ko-KR"/>
        </w:rPr>
        <w:t xml:space="preserve"> Regional and Central Bureaus with the possibility to reflect on evaluation recomm</w:t>
      </w:r>
      <w:r>
        <w:rPr>
          <w:rFonts w:ascii="Times New Roman" w:eastAsia="Batang" w:hAnsi="Times New Roman"/>
          <w:lang w:eastAsia="ko-KR"/>
        </w:rPr>
        <w:t>endations and their relevance for</w:t>
      </w:r>
      <w:r w:rsidRPr="004903FB">
        <w:rPr>
          <w:rFonts w:ascii="Times New Roman" w:eastAsia="Batang" w:hAnsi="Times New Roman"/>
          <w:lang w:eastAsia="ko-KR"/>
        </w:rPr>
        <w:t xml:space="preserve"> future programming. Per the data reported, out of the 1,982 recommendations provided by independent evaluators to project and outcome evaluations, 39% were viewed as supported by an evidential basis, credible and practical, action-oriented, and with potential to be used in decision making (compared to 40% of the recommendations in 2016 and 33% in 2014-2015). 38% of the recommendations were viewed as supported by an evidential basis and credible, but as not relevant, specific and/ or action-oriented for subsequent follow up (compared to 38% in 2016 and 35% in 2014-2015). In conclusion, 77% of the recommendations were considered useful or moderately useful. </w:t>
      </w:r>
      <w:r w:rsidRPr="004903FB">
        <w:rPr>
          <w:rFonts w:ascii="Times New Roman" w:eastAsia="Times New Roman,Batang" w:hAnsi="Times New Roman"/>
          <w:lang w:eastAsia="ko-KR"/>
        </w:rPr>
        <w:t xml:space="preserve">Country Offices primarily found evaluation recommendations to be useful </w:t>
      </w:r>
      <w:r w:rsidRPr="004903FB">
        <w:rPr>
          <w:rFonts w:ascii="Times New Roman" w:hAnsi="Times New Roman"/>
        </w:rPr>
        <w:t>for achieving prioritized and more focused programming, scaling-up project</w:t>
      </w:r>
      <w:r>
        <w:rPr>
          <w:rFonts w:ascii="Times New Roman" w:hAnsi="Times New Roman"/>
        </w:rPr>
        <w:t>s</w:t>
      </w:r>
      <w:r w:rsidRPr="004903FB">
        <w:rPr>
          <w:rFonts w:ascii="Times New Roman" w:hAnsi="Times New Roman"/>
        </w:rPr>
        <w:t>/programme</w:t>
      </w:r>
      <w:r>
        <w:rPr>
          <w:rFonts w:ascii="Times New Roman" w:hAnsi="Times New Roman"/>
        </w:rPr>
        <w:t>s</w:t>
      </w:r>
      <w:r w:rsidRPr="004903FB">
        <w:rPr>
          <w:rFonts w:ascii="Times New Roman" w:hAnsi="Times New Roman"/>
        </w:rPr>
        <w:t xml:space="preserve"> to areas of UNDPs’ comparative advantage, </w:t>
      </w:r>
      <w:r>
        <w:rPr>
          <w:rFonts w:ascii="Times New Roman" w:hAnsi="Times New Roman"/>
        </w:rPr>
        <w:t xml:space="preserve">and strengthening </w:t>
      </w:r>
      <w:r w:rsidR="00176631">
        <w:rPr>
          <w:rFonts w:ascii="Times New Roman" w:hAnsi="Times New Roman"/>
        </w:rPr>
        <w:t>results-based management (</w:t>
      </w:r>
      <w:r>
        <w:rPr>
          <w:rFonts w:ascii="Times New Roman" w:hAnsi="Times New Roman"/>
        </w:rPr>
        <w:t>RBM</w:t>
      </w:r>
      <w:r w:rsidR="00176631">
        <w:rPr>
          <w:rFonts w:ascii="Times New Roman" w:hAnsi="Times New Roman"/>
        </w:rPr>
        <w:t>)</w:t>
      </w:r>
      <w:r>
        <w:rPr>
          <w:rFonts w:ascii="Times New Roman" w:hAnsi="Times New Roman"/>
        </w:rPr>
        <w:t xml:space="preserve"> </w:t>
      </w:r>
      <w:r w:rsidRPr="004903FB">
        <w:rPr>
          <w:rFonts w:ascii="Times New Roman" w:hAnsi="Times New Roman"/>
        </w:rPr>
        <w:t>and partnership arrangements. Recommendations were less useful for understanding and responding to potential or realized social and environmental impacts, grievances and risks, strengthen</w:t>
      </w:r>
      <w:r>
        <w:rPr>
          <w:rFonts w:ascii="Times New Roman" w:hAnsi="Times New Roman"/>
        </w:rPr>
        <w:t>ing</w:t>
      </w:r>
      <w:r w:rsidRPr="004903FB">
        <w:rPr>
          <w:rFonts w:ascii="Times New Roman" w:hAnsi="Times New Roman"/>
        </w:rPr>
        <w:t xml:space="preserve"> gender responsiveness and/or human rights based programming and decision making, and to mobilize resources. </w:t>
      </w:r>
    </w:p>
    <w:p w14:paraId="0C9A58CF" w14:textId="2429027D" w:rsidR="00B37158" w:rsidRPr="004903FB" w:rsidRDefault="00B37158" w:rsidP="004903FB">
      <w:pPr>
        <w:pStyle w:val="ColorfulShading-Accent31"/>
        <w:tabs>
          <w:tab w:val="left" w:pos="360"/>
        </w:tabs>
        <w:spacing w:after="0" w:line="240" w:lineRule="auto"/>
        <w:ind w:left="0"/>
        <w:jc w:val="both"/>
        <w:rPr>
          <w:rFonts w:ascii="Times New Roman" w:hAnsi="Times New Roman"/>
          <w:color w:val="FF0000"/>
        </w:rPr>
      </w:pPr>
    </w:p>
    <w:p w14:paraId="5C962F13" w14:textId="63500A63" w:rsidR="00607D43" w:rsidRDefault="007D2F81" w:rsidP="00607D43">
      <w:pPr>
        <w:pStyle w:val="ColorfulShading-Accent31"/>
        <w:tabs>
          <w:tab w:val="left" w:pos="360"/>
        </w:tabs>
        <w:spacing w:before="240" w:after="0" w:line="240" w:lineRule="auto"/>
        <w:ind w:left="0"/>
        <w:jc w:val="both"/>
        <w:rPr>
          <w:rFonts w:ascii="Times New Roman" w:eastAsia="Times New Roman,Batang" w:hAnsi="Times New Roman"/>
          <w:b/>
          <w:bCs/>
          <w:lang w:val="en-GB" w:eastAsia="ko-KR"/>
        </w:rPr>
      </w:pPr>
      <w:r>
        <w:rPr>
          <w:rFonts w:ascii="Times New Roman" w:eastAsia="Times New Roman,Batang" w:hAnsi="Times New Roman"/>
          <w:b/>
          <w:bCs/>
          <w:iCs/>
          <w:lang w:val="en-GB" w:eastAsia="ko-KR"/>
        </w:rPr>
        <w:t xml:space="preserve">3. </w:t>
      </w:r>
      <w:r w:rsidR="001D14EC" w:rsidRPr="004903FB">
        <w:rPr>
          <w:rFonts w:ascii="Times New Roman" w:eastAsia="Times New Roman,Batang" w:hAnsi="Times New Roman"/>
          <w:b/>
          <w:bCs/>
          <w:iCs/>
          <w:lang w:val="en-GB" w:eastAsia="ko-KR"/>
        </w:rPr>
        <w:t xml:space="preserve">Evaluation capacities of Country </w:t>
      </w:r>
      <w:r w:rsidR="006F2D89">
        <w:rPr>
          <w:rFonts w:ascii="Times New Roman" w:eastAsia="Times New Roman,Batang" w:hAnsi="Times New Roman"/>
          <w:b/>
          <w:bCs/>
          <w:iCs/>
          <w:lang w:val="en-GB" w:eastAsia="ko-KR"/>
        </w:rPr>
        <w:t>O</w:t>
      </w:r>
      <w:r w:rsidR="001D14EC" w:rsidRPr="004903FB">
        <w:rPr>
          <w:rFonts w:ascii="Times New Roman" w:eastAsia="Times New Roman,Batang" w:hAnsi="Times New Roman"/>
          <w:b/>
          <w:bCs/>
          <w:iCs/>
          <w:lang w:val="en-GB" w:eastAsia="ko-KR"/>
        </w:rPr>
        <w:t xml:space="preserve">ffices </w:t>
      </w:r>
    </w:p>
    <w:p w14:paraId="34DA16F9" w14:textId="62366A3A" w:rsidR="00FE4284" w:rsidRPr="00F90AEB" w:rsidRDefault="001D14EC" w:rsidP="00F90AEB">
      <w:pPr>
        <w:pStyle w:val="ColorfulShading-Accent31"/>
        <w:tabs>
          <w:tab w:val="left" w:pos="360"/>
        </w:tabs>
        <w:spacing w:before="240" w:after="0"/>
        <w:ind w:left="0"/>
        <w:jc w:val="both"/>
        <w:rPr>
          <w:rFonts w:ascii="Times New Roman" w:eastAsia="Times New Roman,Batang" w:hAnsi="Times New Roman"/>
          <w:b/>
          <w:bCs/>
          <w:lang w:val="en-GB" w:eastAsia="ko-KR"/>
        </w:rPr>
      </w:pPr>
      <w:r w:rsidRPr="00F90AEB">
        <w:rPr>
          <w:rFonts w:ascii="Times New Roman" w:eastAsia="Batang" w:hAnsi="Times New Roman"/>
          <w:lang w:eastAsia="ko-KR"/>
        </w:rPr>
        <w:t xml:space="preserve">In 2017, 80% of Country Offices met the prescriptive benchmarks for M&amp;E capacities in UNDP, totaling 167 full time equivalents (FTE). Of these, 49.57 (29.68%) of FTE time has been dedicated solely to the evaluation function. </w:t>
      </w:r>
      <w:r w:rsidRPr="00F90AEB">
        <w:rPr>
          <w:rFonts w:ascii="Times New Roman" w:hAnsi="Times New Roman"/>
        </w:rPr>
        <w:t xml:space="preserve">The 80% indicates a steady increase when comparing to </w:t>
      </w:r>
      <w:r w:rsidR="00FE4284" w:rsidRPr="00F90AEB">
        <w:rPr>
          <w:rFonts w:ascii="Times New Roman" w:hAnsi="Times New Roman"/>
        </w:rPr>
        <w:t>2016 (73%), 2015 (54%) and</w:t>
      </w:r>
    </w:p>
    <w:p w14:paraId="2A5B14E6" w14:textId="0E4758D0" w:rsidR="001D14EC" w:rsidRPr="00F90AEB" w:rsidRDefault="00FE4284" w:rsidP="00F90AEB">
      <w:pPr>
        <w:pStyle w:val="ListParagraph"/>
        <w:spacing w:after="160"/>
        <w:ind w:left="0"/>
        <w:jc w:val="both"/>
        <w:rPr>
          <w:rFonts w:ascii="Times New Roman" w:hAnsi="Times New Roman"/>
        </w:rPr>
      </w:pPr>
      <w:r w:rsidRPr="00F90AEB">
        <w:rPr>
          <w:rFonts w:ascii="Times New Roman" w:hAnsi="Times New Roman"/>
        </w:rPr>
        <w:t>2014 (46%)</w:t>
      </w:r>
      <w:r w:rsidR="001D14EC" w:rsidRPr="00F90AEB">
        <w:rPr>
          <w:rFonts w:ascii="Times New Roman" w:hAnsi="Times New Roman"/>
        </w:rPr>
        <w:t xml:space="preserve">. The FTE time spent on decentralized evaluation has </w:t>
      </w:r>
      <w:r w:rsidR="00F52A2E" w:rsidRPr="00F90AEB">
        <w:rPr>
          <w:rFonts w:ascii="Times New Roman" w:hAnsi="Times New Roman"/>
        </w:rPr>
        <w:t xml:space="preserve">also </w:t>
      </w:r>
      <w:r w:rsidR="001D14EC" w:rsidRPr="00F90AEB">
        <w:rPr>
          <w:rFonts w:ascii="Times New Roman" w:hAnsi="Times New Roman"/>
        </w:rPr>
        <w:t xml:space="preserve">increased compared to 2016 when out of the 137 FTEs, 38.36 (17.5%) had been spent on decentralized evaluation only. </w:t>
      </w:r>
    </w:p>
    <w:p w14:paraId="4DD9D78B" w14:textId="67AF46CA" w:rsidR="004B6B5B" w:rsidRDefault="007D2F81" w:rsidP="004903FB">
      <w:pPr>
        <w:spacing w:after="0" w:line="240" w:lineRule="auto"/>
        <w:jc w:val="both"/>
        <w:rPr>
          <w:rFonts w:ascii="Times New Roman" w:hAnsi="Times New Roman"/>
          <w:b/>
        </w:rPr>
      </w:pPr>
      <w:r>
        <w:rPr>
          <w:rFonts w:ascii="Times New Roman" w:hAnsi="Times New Roman"/>
          <w:b/>
        </w:rPr>
        <w:t xml:space="preserve">4. </w:t>
      </w:r>
      <w:r w:rsidR="00467C0E" w:rsidRPr="004903FB">
        <w:rPr>
          <w:rFonts w:ascii="Times New Roman" w:hAnsi="Times New Roman"/>
          <w:b/>
        </w:rPr>
        <w:t>Decentralized evaluation support</w:t>
      </w:r>
    </w:p>
    <w:p w14:paraId="6A390201" w14:textId="21D3802A" w:rsidR="00EE42F0" w:rsidRDefault="00467C0E" w:rsidP="00B1672C">
      <w:pPr>
        <w:pStyle w:val="ListParagraph"/>
        <w:tabs>
          <w:tab w:val="left" w:pos="360"/>
        </w:tabs>
        <w:spacing w:after="0"/>
        <w:ind w:left="0"/>
        <w:jc w:val="both"/>
        <w:rPr>
          <w:rFonts w:ascii="Times New Roman" w:eastAsia="Batang" w:hAnsi="Times New Roman"/>
          <w:lang w:eastAsia="ko-KR"/>
        </w:rPr>
      </w:pPr>
      <w:r w:rsidRPr="004903FB">
        <w:rPr>
          <w:rFonts w:ascii="Times New Roman" w:eastAsia="Batang" w:hAnsi="Times New Roman"/>
          <w:lang w:eastAsia="ko-KR"/>
        </w:rPr>
        <w:t xml:space="preserve">UNDP </w:t>
      </w:r>
      <w:r w:rsidR="000C0F0A">
        <w:rPr>
          <w:rFonts w:ascii="Times New Roman" w:eastAsia="Batang" w:hAnsi="Times New Roman"/>
          <w:lang w:eastAsia="ko-KR"/>
        </w:rPr>
        <w:t>continued</w:t>
      </w:r>
      <w:r w:rsidRPr="004903FB">
        <w:rPr>
          <w:rFonts w:ascii="Times New Roman" w:eastAsia="Batang" w:hAnsi="Times New Roman"/>
          <w:lang w:eastAsia="ko-KR"/>
        </w:rPr>
        <w:t xml:space="preserve"> in 2017 to further strengthen evaluation capacities at country, regional and headquarter level through training</w:t>
      </w:r>
      <w:r w:rsidR="00BC2C32">
        <w:rPr>
          <w:rFonts w:ascii="Times New Roman" w:eastAsia="Batang" w:hAnsi="Times New Roman"/>
          <w:lang w:eastAsia="ko-KR"/>
        </w:rPr>
        <w:t xml:space="preserve"> </w:t>
      </w:r>
      <w:r w:rsidRPr="004903FB">
        <w:rPr>
          <w:rFonts w:ascii="Times New Roman" w:eastAsia="Batang" w:hAnsi="Times New Roman"/>
          <w:lang w:eastAsia="ko-KR"/>
        </w:rPr>
        <w:t>and development of quality assurance and support systems for decentralized evaluation, in line with the Decentralized Evaluation Strategy and the Action Plan</w:t>
      </w:r>
      <w:r w:rsidR="00D45AE7" w:rsidRPr="004903FB">
        <w:rPr>
          <w:rStyle w:val="FootnoteReference"/>
          <w:rFonts w:ascii="Times New Roman" w:hAnsi="Times New Roman"/>
        </w:rPr>
        <w:footnoteReference w:id="7"/>
      </w:r>
      <w:r w:rsidR="00455BD9" w:rsidRPr="004903FB">
        <w:rPr>
          <w:rFonts w:ascii="Times New Roman" w:hAnsi="Times New Roman"/>
        </w:rPr>
        <w:t xml:space="preserve">. </w:t>
      </w:r>
      <w:r w:rsidR="00F16A90">
        <w:rPr>
          <w:rFonts w:ascii="Times New Roman" w:hAnsi="Times New Roman"/>
        </w:rPr>
        <w:t xml:space="preserve">In 2016 and 2017, </w:t>
      </w:r>
      <w:r w:rsidR="008E188F" w:rsidRPr="004903FB">
        <w:rPr>
          <w:rFonts w:ascii="Times New Roman" w:eastAsia="Times New Roman,Batang" w:hAnsi="Times New Roman"/>
          <w:lang w:eastAsia="ko-KR"/>
        </w:rPr>
        <w:t xml:space="preserve">UNDP and the IEO </w:t>
      </w:r>
      <w:r w:rsidR="008E188F">
        <w:rPr>
          <w:rFonts w:ascii="Times New Roman" w:eastAsia="Batang" w:hAnsi="Times New Roman"/>
          <w:lang w:eastAsia="ko-KR"/>
        </w:rPr>
        <w:t xml:space="preserve">conducted </w:t>
      </w:r>
      <w:r w:rsidR="00F16A90">
        <w:rPr>
          <w:rFonts w:ascii="Times New Roman" w:eastAsia="Batang" w:hAnsi="Times New Roman"/>
          <w:lang w:eastAsia="ko-KR"/>
        </w:rPr>
        <w:t>six</w:t>
      </w:r>
      <w:r w:rsidR="008E188F">
        <w:rPr>
          <w:rFonts w:ascii="Times New Roman" w:eastAsia="Batang" w:hAnsi="Times New Roman"/>
          <w:lang w:eastAsia="ko-KR"/>
        </w:rPr>
        <w:t xml:space="preserve"> </w:t>
      </w:r>
      <w:r w:rsidR="008E188F" w:rsidRPr="004903FB">
        <w:rPr>
          <w:rFonts w:ascii="Times New Roman" w:eastAsia="Batang" w:hAnsi="Times New Roman"/>
          <w:lang w:eastAsia="ko-KR"/>
        </w:rPr>
        <w:t>regional level workshops</w:t>
      </w:r>
      <w:r w:rsidR="00B574CF">
        <w:rPr>
          <w:rStyle w:val="FootnoteReference"/>
          <w:rFonts w:ascii="Times New Roman" w:eastAsia="Batang" w:hAnsi="Times New Roman"/>
          <w:lang w:eastAsia="ko-KR"/>
        </w:rPr>
        <w:footnoteReference w:id="8"/>
      </w:r>
      <w:r w:rsidR="008E188F">
        <w:rPr>
          <w:rFonts w:ascii="Times New Roman" w:eastAsia="Batang" w:hAnsi="Times New Roman"/>
          <w:lang w:eastAsia="ko-KR"/>
        </w:rPr>
        <w:t>, which</w:t>
      </w:r>
      <w:r w:rsidR="008E188F" w:rsidRPr="004903FB">
        <w:rPr>
          <w:rFonts w:ascii="Times New Roman" w:eastAsia="Batang" w:hAnsi="Times New Roman"/>
          <w:lang w:eastAsia="ko-KR"/>
        </w:rPr>
        <w:t xml:space="preserve"> </w:t>
      </w:r>
      <w:r w:rsidR="008A3069">
        <w:rPr>
          <w:rFonts w:ascii="Times New Roman" w:eastAsia="Batang" w:hAnsi="Times New Roman"/>
          <w:lang w:eastAsia="ko-KR"/>
        </w:rPr>
        <w:t>reached</w:t>
      </w:r>
      <w:r w:rsidR="008A3069" w:rsidRPr="004903FB">
        <w:rPr>
          <w:rFonts w:ascii="Times New Roman" w:eastAsia="Batang" w:hAnsi="Times New Roman"/>
          <w:lang w:eastAsia="ko-KR"/>
        </w:rPr>
        <w:t xml:space="preserve"> </w:t>
      </w:r>
      <w:r w:rsidR="008E188F" w:rsidRPr="004903FB">
        <w:rPr>
          <w:rFonts w:ascii="Times New Roman" w:eastAsia="Batang" w:hAnsi="Times New Roman"/>
          <w:lang w:eastAsia="ko-KR"/>
        </w:rPr>
        <w:t xml:space="preserve">126 M&amp;E Country Office </w:t>
      </w:r>
      <w:r w:rsidR="000C0F0A">
        <w:rPr>
          <w:rFonts w:ascii="Times New Roman" w:eastAsia="Batang" w:hAnsi="Times New Roman"/>
          <w:lang w:eastAsia="ko-KR"/>
        </w:rPr>
        <w:t xml:space="preserve">focal points from 121 </w:t>
      </w:r>
      <w:r w:rsidR="008A3069">
        <w:rPr>
          <w:rFonts w:ascii="Times New Roman" w:eastAsia="Batang" w:hAnsi="Times New Roman"/>
          <w:lang w:eastAsia="ko-KR"/>
        </w:rPr>
        <w:t>C</w:t>
      </w:r>
      <w:r w:rsidR="000C0F0A">
        <w:rPr>
          <w:rFonts w:ascii="Times New Roman" w:eastAsia="Batang" w:hAnsi="Times New Roman"/>
          <w:lang w:eastAsia="ko-KR"/>
        </w:rPr>
        <w:t>ountr</w:t>
      </w:r>
      <w:r w:rsidR="008A3069">
        <w:rPr>
          <w:rFonts w:ascii="Times New Roman" w:eastAsia="Batang" w:hAnsi="Times New Roman"/>
          <w:lang w:eastAsia="ko-KR"/>
        </w:rPr>
        <w:t>y Offices</w:t>
      </w:r>
      <w:r w:rsidR="008E188F" w:rsidRPr="004903FB">
        <w:rPr>
          <w:rFonts w:ascii="Times New Roman" w:eastAsia="Batang" w:hAnsi="Times New Roman"/>
          <w:lang w:eastAsia="ko-KR"/>
        </w:rPr>
        <w:t xml:space="preserve"> and covered topics such as the Evaluation Policy, evaluation planning and budgeting, the status of quality of decentralized evaluations, use of the ERC and evidenced-based programming. UNDP and the IEO will in 2018 utilize the lessons learned and inputs provided through the workshops to revise guidance and plan capacity building initiatives.</w:t>
      </w:r>
      <w:r w:rsidR="00EE42F0">
        <w:rPr>
          <w:rFonts w:ascii="Times New Roman" w:eastAsia="Batang" w:hAnsi="Times New Roman"/>
          <w:lang w:eastAsia="ko-KR"/>
        </w:rPr>
        <w:t xml:space="preserve"> </w:t>
      </w:r>
      <w:r w:rsidR="007D2F81">
        <w:rPr>
          <w:rFonts w:ascii="Times New Roman" w:eastAsia="Batang" w:hAnsi="Times New Roman"/>
          <w:lang w:eastAsia="ko-KR"/>
        </w:rPr>
        <w:t xml:space="preserve">UNDP proposes that an updated </w:t>
      </w:r>
      <w:r w:rsidR="00EE42F0">
        <w:rPr>
          <w:rFonts w:ascii="Times New Roman" w:eastAsia="Batang" w:hAnsi="Times New Roman"/>
          <w:lang w:eastAsia="ko-KR"/>
        </w:rPr>
        <w:t xml:space="preserve">joint </w:t>
      </w:r>
      <w:r w:rsidR="005E0208">
        <w:rPr>
          <w:rFonts w:ascii="Times New Roman" w:eastAsia="Batang" w:hAnsi="Times New Roman"/>
          <w:lang w:eastAsia="ko-KR"/>
        </w:rPr>
        <w:t xml:space="preserve">2018 </w:t>
      </w:r>
      <w:r w:rsidR="00EE42F0">
        <w:rPr>
          <w:rFonts w:ascii="Times New Roman" w:eastAsia="Batang" w:hAnsi="Times New Roman"/>
          <w:lang w:eastAsia="ko-KR"/>
        </w:rPr>
        <w:t xml:space="preserve">workplan be developed to guide these efforts going forward. </w:t>
      </w:r>
    </w:p>
    <w:p w14:paraId="048DCFA4" w14:textId="1196F38D" w:rsidR="00AB36DA" w:rsidRPr="004903FB" w:rsidRDefault="00AB36DA" w:rsidP="00B1672C">
      <w:pPr>
        <w:spacing w:after="0"/>
        <w:jc w:val="both"/>
        <w:rPr>
          <w:rFonts w:ascii="Times New Roman" w:hAnsi="Times New Roman"/>
        </w:rPr>
      </w:pPr>
    </w:p>
    <w:p w14:paraId="5ABABDEA" w14:textId="026F51EC" w:rsidR="00467C0E" w:rsidRDefault="00455BD9" w:rsidP="00B1672C">
      <w:pPr>
        <w:pStyle w:val="ListParagraph"/>
        <w:tabs>
          <w:tab w:val="left" w:pos="360"/>
        </w:tabs>
        <w:spacing w:after="0"/>
        <w:ind w:left="0"/>
        <w:jc w:val="both"/>
        <w:rPr>
          <w:rFonts w:ascii="Times New Roman" w:eastAsia="Batang" w:hAnsi="Times New Roman"/>
          <w:lang w:eastAsia="ko-KR"/>
        </w:rPr>
      </w:pPr>
      <w:r w:rsidRPr="004903FB">
        <w:rPr>
          <w:rFonts w:ascii="Times New Roman" w:eastAsia="Times New Roman" w:hAnsi="Times New Roman"/>
        </w:rPr>
        <w:lastRenderedPageBreak/>
        <w:t>UNDP ente</w:t>
      </w:r>
      <w:r w:rsidR="00E902A3" w:rsidRPr="004903FB">
        <w:rPr>
          <w:rFonts w:ascii="Times New Roman" w:eastAsia="Times New Roman" w:hAnsi="Times New Roman"/>
        </w:rPr>
        <w:t>red into a partnership with United Nations Volunteers (UNV)</w:t>
      </w:r>
      <w:r w:rsidR="006A4D54" w:rsidRPr="004903FB">
        <w:rPr>
          <w:rFonts w:ascii="Times New Roman" w:eastAsia="Times New Roman" w:hAnsi="Times New Roman"/>
        </w:rPr>
        <w:t xml:space="preserve"> in the end of 2016</w:t>
      </w:r>
      <w:r w:rsidRPr="004903FB">
        <w:rPr>
          <w:rFonts w:ascii="Times New Roman" w:eastAsia="Times New Roman" w:hAnsi="Times New Roman"/>
        </w:rPr>
        <w:t xml:space="preserve"> </w:t>
      </w:r>
      <w:bookmarkStart w:id="1" w:name="_Hlk505496005"/>
      <w:r w:rsidRPr="004903FB">
        <w:rPr>
          <w:rFonts w:ascii="Times New Roman" w:eastAsia="Times New Roman" w:hAnsi="Times New Roman"/>
        </w:rPr>
        <w:t xml:space="preserve">with the aim to establish a viable evaluation-related quality assurance function at the regional level. </w:t>
      </w:r>
      <w:bookmarkEnd w:id="1"/>
      <w:r w:rsidR="00767892">
        <w:rPr>
          <w:rFonts w:ascii="Times New Roman" w:eastAsia="Times New Roman" w:hAnsi="Times New Roman"/>
        </w:rPr>
        <w:t>To date an</w:t>
      </w:r>
      <w:r w:rsidR="006A4D54" w:rsidRPr="004903FB">
        <w:rPr>
          <w:rFonts w:ascii="Times New Roman" w:eastAsia="Times New Roman" w:hAnsi="Times New Roman"/>
        </w:rPr>
        <w:t xml:space="preserve"> Evaluation Specialist Volunteer</w:t>
      </w:r>
      <w:r w:rsidR="00767892">
        <w:rPr>
          <w:rFonts w:ascii="Times New Roman" w:eastAsia="Times New Roman" w:hAnsi="Times New Roman"/>
        </w:rPr>
        <w:t xml:space="preserve"> has been</w:t>
      </w:r>
      <w:r w:rsidR="006A4D54" w:rsidRPr="004903FB">
        <w:rPr>
          <w:rFonts w:ascii="Times New Roman" w:eastAsia="Times New Roman" w:hAnsi="Times New Roman"/>
        </w:rPr>
        <w:t xml:space="preserve"> deployed to the Arab State</w:t>
      </w:r>
      <w:r w:rsidR="001729CF" w:rsidRPr="004903FB">
        <w:rPr>
          <w:rFonts w:ascii="Times New Roman" w:eastAsia="Times New Roman" w:hAnsi="Times New Roman"/>
        </w:rPr>
        <w:t>s</w:t>
      </w:r>
      <w:r w:rsidR="006A4D54" w:rsidRPr="004903FB">
        <w:rPr>
          <w:rFonts w:ascii="Times New Roman" w:eastAsia="Times New Roman" w:hAnsi="Times New Roman"/>
        </w:rPr>
        <w:t xml:space="preserve"> </w:t>
      </w:r>
      <w:r w:rsidRPr="004903FB">
        <w:rPr>
          <w:rFonts w:ascii="Times New Roman" w:eastAsia="Times New Roman" w:hAnsi="Times New Roman"/>
        </w:rPr>
        <w:t xml:space="preserve">region </w:t>
      </w:r>
      <w:r w:rsidR="00E902A3" w:rsidRPr="004903FB">
        <w:rPr>
          <w:rFonts w:ascii="Times New Roman" w:eastAsia="Times New Roman" w:hAnsi="Times New Roman"/>
        </w:rPr>
        <w:t>during</w:t>
      </w:r>
      <w:r w:rsidR="006A4D54" w:rsidRPr="004903FB">
        <w:rPr>
          <w:rFonts w:ascii="Times New Roman" w:eastAsia="Times New Roman" w:hAnsi="Times New Roman"/>
        </w:rPr>
        <w:t xml:space="preserve"> 2017</w:t>
      </w:r>
      <w:r w:rsidR="00767892">
        <w:rPr>
          <w:rFonts w:ascii="Times New Roman" w:eastAsia="Times New Roman" w:hAnsi="Times New Roman"/>
        </w:rPr>
        <w:t>.</w:t>
      </w:r>
      <w:r w:rsidR="006A4D54" w:rsidRPr="004903FB">
        <w:rPr>
          <w:rFonts w:ascii="Times New Roman" w:eastAsia="Times New Roman" w:hAnsi="Times New Roman"/>
        </w:rPr>
        <w:t xml:space="preserve"> </w:t>
      </w:r>
      <w:r w:rsidR="00A83F7D" w:rsidRPr="004903FB">
        <w:rPr>
          <w:rFonts w:ascii="Times New Roman" w:eastAsia="Batang" w:hAnsi="Times New Roman"/>
          <w:lang w:eastAsia="ko-KR"/>
        </w:rPr>
        <w:t xml:space="preserve">Recognizing that the quality of decentralized evaluations is influenced by the quality of programmes and projects, UNDP </w:t>
      </w:r>
      <w:r w:rsidR="00A83F7D" w:rsidRPr="004C5B40">
        <w:rPr>
          <w:rFonts w:ascii="Times New Roman" w:eastAsia="Batang" w:hAnsi="Times New Roman"/>
          <w:lang w:eastAsia="ko-KR"/>
        </w:rPr>
        <w:t>also enhanced</w:t>
      </w:r>
      <w:r w:rsidR="009C07F0">
        <w:rPr>
          <w:rFonts w:ascii="Times New Roman" w:eastAsia="Batang" w:hAnsi="Times New Roman"/>
          <w:lang w:eastAsia="ko-KR"/>
        </w:rPr>
        <w:t xml:space="preserve"> in 2017</w:t>
      </w:r>
      <w:r w:rsidR="00A83F7D" w:rsidRPr="004C5B40">
        <w:rPr>
          <w:rFonts w:ascii="Times New Roman" w:eastAsia="Batang" w:hAnsi="Times New Roman"/>
          <w:lang w:eastAsia="ko-KR"/>
        </w:rPr>
        <w:t xml:space="preserve"> the Quality Assurance System adopted in 2016, which </w:t>
      </w:r>
      <w:r w:rsidR="00A83F7D" w:rsidRPr="004C5B40">
        <w:rPr>
          <w:rFonts w:ascii="Times New Roman" w:hAnsi="Times New Roman"/>
          <w:bCs/>
        </w:rPr>
        <w:t>sets corporate benchmarks for evaluations.</w:t>
      </w:r>
      <w:r w:rsidR="009C07F0">
        <w:rPr>
          <w:rFonts w:ascii="Times New Roman" w:hAnsi="Times New Roman"/>
          <w:bCs/>
        </w:rPr>
        <w:t xml:space="preserve"> In addition, </w:t>
      </w:r>
      <w:r w:rsidR="001D2B23" w:rsidRPr="004903FB">
        <w:rPr>
          <w:rFonts w:ascii="Times New Roman" w:eastAsia="Batang" w:hAnsi="Times New Roman"/>
          <w:lang w:eastAsia="ko-KR"/>
        </w:rPr>
        <w:t xml:space="preserve">UNDP commenced in 2017 </w:t>
      </w:r>
      <w:r w:rsidR="001D2B23">
        <w:rPr>
          <w:rFonts w:ascii="Times New Roman" w:eastAsia="Batang" w:hAnsi="Times New Roman"/>
          <w:lang w:eastAsia="ko-KR"/>
        </w:rPr>
        <w:t>to revise the</w:t>
      </w:r>
      <w:r w:rsidR="001D2B23" w:rsidRPr="00BA2526">
        <w:rPr>
          <w:rFonts w:ascii="Times New Roman" w:eastAsia="Batang" w:hAnsi="Times New Roman"/>
          <w:lang w:eastAsia="ko-KR"/>
        </w:rPr>
        <w:t xml:space="preserve"> </w:t>
      </w:r>
      <w:r w:rsidR="001D2B23">
        <w:rPr>
          <w:rFonts w:ascii="Times New Roman" w:eastAsia="Batang" w:hAnsi="Times New Roman"/>
          <w:lang w:eastAsia="ko-KR"/>
        </w:rPr>
        <w:t>Programme and Project Management</w:t>
      </w:r>
      <w:r w:rsidR="001D2B23" w:rsidRPr="00BA2526">
        <w:rPr>
          <w:rFonts w:ascii="Times New Roman" w:eastAsia="Batang" w:hAnsi="Times New Roman"/>
          <w:lang w:eastAsia="ko-KR"/>
        </w:rPr>
        <w:t xml:space="preserve"> </w:t>
      </w:r>
      <w:r w:rsidR="001D2B23">
        <w:rPr>
          <w:rFonts w:ascii="Times New Roman" w:eastAsia="Batang" w:hAnsi="Times New Roman"/>
          <w:lang w:eastAsia="ko-KR"/>
        </w:rPr>
        <w:t>section</w:t>
      </w:r>
      <w:r w:rsidR="001D2B23" w:rsidRPr="00211079">
        <w:rPr>
          <w:rFonts w:ascii="Times New Roman" w:eastAsia="Batang" w:hAnsi="Times New Roman"/>
          <w:lang w:eastAsia="ko-KR"/>
        </w:rPr>
        <w:t xml:space="preserve"> </w:t>
      </w:r>
      <w:r w:rsidR="001D2B23">
        <w:rPr>
          <w:rFonts w:ascii="Times New Roman" w:eastAsia="Batang" w:hAnsi="Times New Roman"/>
          <w:lang w:eastAsia="ko-KR"/>
        </w:rPr>
        <w:t xml:space="preserve">within the UNDP Programme and Operations Policies and Procedures (POPP), which includes guidance related to decentralized evaluations and Country Programme Document (CPD) evaluation plans. UNDP also </w:t>
      </w:r>
      <w:r w:rsidR="00D1371E" w:rsidRPr="004903FB">
        <w:rPr>
          <w:rFonts w:ascii="Times New Roman" w:eastAsia="Batang" w:hAnsi="Times New Roman"/>
          <w:lang w:eastAsia="ko-KR"/>
        </w:rPr>
        <w:t xml:space="preserve">provided inputs </w:t>
      </w:r>
      <w:r w:rsidR="00B4606F">
        <w:rPr>
          <w:rFonts w:ascii="Times New Roman" w:eastAsia="Batang" w:hAnsi="Times New Roman"/>
          <w:lang w:eastAsia="ko-KR"/>
        </w:rPr>
        <w:t>to the IEO</w:t>
      </w:r>
      <w:r w:rsidR="001D2B23">
        <w:rPr>
          <w:rFonts w:ascii="Times New Roman" w:eastAsia="Batang" w:hAnsi="Times New Roman"/>
          <w:lang w:eastAsia="ko-KR"/>
        </w:rPr>
        <w:t>-led processes of revising</w:t>
      </w:r>
      <w:r w:rsidR="00B4606F">
        <w:rPr>
          <w:rFonts w:ascii="Times New Roman" w:eastAsia="Batang" w:hAnsi="Times New Roman"/>
          <w:lang w:eastAsia="ko-KR"/>
        </w:rPr>
        <w:t xml:space="preserve"> </w:t>
      </w:r>
      <w:r w:rsidR="00856867">
        <w:rPr>
          <w:rFonts w:ascii="Times New Roman" w:eastAsia="Batang" w:hAnsi="Times New Roman"/>
          <w:lang w:eastAsia="ko-KR"/>
        </w:rPr>
        <w:t>the</w:t>
      </w:r>
      <w:r w:rsidR="00D1371E" w:rsidRPr="004903FB">
        <w:rPr>
          <w:rFonts w:ascii="Times New Roman" w:eastAsia="Batang" w:hAnsi="Times New Roman"/>
          <w:lang w:eastAsia="ko-KR"/>
        </w:rPr>
        <w:t xml:space="preserve"> ERC </w:t>
      </w:r>
      <w:r w:rsidR="003F0E32" w:rsidRPr="004903FB">
        <w:rPr>
          <w:rFonts w:ascii="Times New Roman" w:eastAsia="Batang" w:hAnsi="Times New Roman"/>
          <w:lang w:eastAsia="ko-KR"/>
        </w:rPr>
        <w:t>and</w:t>
      </w:r>
      <w:r w:rsidR="00D1371E" w:rsidRPr="004903FB">
        <w:rPr>
          <w:rFonts w:ascii="Times New Roman" w:eastAsia="Batang" w:hAnsi="Times New Roman"/>
          <w:lang w:eastAsia="ko-KR"/>
        </w:rPr>
        <w:t xml:space="preserve"> </w:t>
      </w:r>
      <w:r w:rsidR="001F6140">
        <w:rPr>
          <w:rFonts w:ascii="Times New Roman" w:eastAsia="Batang" w:hAnsi="Times New Roman"/>
          <w:lang w:eastAsia="ko-KR"/>
        </w:rPr>
        <w:t xml:space="preserve">decentralized </w:t>
      </w:r>
      <w:r w:rsidR="00D1371E" w:rsidRPr="004903FB">
        <w:rPr>
          <w:rFonts w:ascii="Times New Roman" w:eastAsia="Batang" w:hAnsi="Times New Roman"/>
          <w:lang w:eastAsia="ko-KR"/>
        </w:rPr>
        <w:t xml:space="preserve">evaluation </w:t>
      </w:r>
      <w:r w:rsidR="003F0E32" w:rsidRPr="004903FB">
        <w:rPr>
          <w:rFonts w:ascii="Times New Roman" w:eastAsia="Batang" w:hAnsi="Times New Roman"/>
          <w:lang w:eastAsia="ko-KR"/>
        </w:rPr>
        <w:t xml:space="preserve">related </w:t>
      </w:r>
      <w:r w:rsidR="00B4606F">
        <w:rPr>
          <w:rFonts w:ascii="Times New Roman" w:eastAsia="Batang" w:hAnsi="Times New Roman"/>
          <w:lang w:eastAsia="ko-KR"/>
        </w:rPr>
        <w:t>guideline</w:t>
      </w:r>
      <w:r w:rsidR="00856867">
        <w:rPr>
          <w:rFonts w:ascii="Times New Roman" w:eastAsia="Batang" w:hAnsi="Times New Roman"/>
          <w:lang w:eastAsia="ko-KR"/>
        </w:rPr>
        <w:t>s and template</w:t>
      </w:r>
      <w:r w:rsidR="00B4606F">
        <w:rPr>
          <w:rFonts w:ascii="Times New Roman" w:eastAsia="Batang" w:hAnsi="Times New Roman"/>
          <w:lang w:eastAsia="ko-KR"/>
        </w:rPr>
        <w:t>s</w:t>
      </w:r>
      <w:r w:rsidR="00D1371E" w:rsidRPr="004903FB">
        <w:rPr>
          <w:rFonts w:ascii="Times New Roman" w:eastAsia="Batang" w:hAnsi="Times New Roman"/>
          <w:lang w:eastAsia="ko-KR"/>
        </w:rPr>
        <w:t xml:space="preserve">. </w:t>
      </w:r>
    </w:p>
    <w:p w14:paraId="55F22451" w14:textId="6D1046B3" w:rsidR="00A5062C" w:rsidRDefault="00A5062C" w:rsidP="001D2B23">
      <w:pPr>
        <w:pStyle w:val="ListParagraph"/>
        <w:tabs>
          <w:tab w:val="left" w:pos="360"/>
        </w:tabs>
        <w:spacing w:after="0" w:line="240" w:lineRule="auto"/>
        <w:ind w:left="0"/>
        <w:jc w:val="both"/>
        <w:rPr>
          <w:rFonts w:ascii="Times New Roman" w:eastAsia="Batang" w:hAnsi="Times New Roman"/>
          <w:lang w:eastAsia="ko-KR"/>
        </w:rPr>
      </w:pPr>
    </w:p>
    <w:p w14:paraId="6C12C326" w14:textId="6F539E3D" w:rsidR="00467C0E" w:rsidRDefault="007D2F81" w:rsidP="004903FB">
      <w:pPr>
        <w:tabs>
          <w:tab w:val="left" w:pos="360"/>
        </w:tabs>
        <w:spacing w:after="0" w:line="240" w:lineRule="auto"/>
        <w:jc w:val="both"/>
        <w:rPr>
          <w:rFonts w:ascii="Times New Roman" w:eastAsia="Batang" w:hAnsi="Times New Roman"/>
          <w:b/>
          <w:lang w:eastAsia="ko-KR"/>
        </w:rPr>
      </w:pPr>
      <w:r>
        <w:rPr>
          <w:rFonts w:ascii="Times New Roman" w:eastAsia="Batang" w:hAnsi="Times New Roman"/>
          <w:b/>
          <w:lang w:eastAsia="ko-KR"/>
        </w:rPr>
        <w:t xml:space="preserve">5. </w:t>
      </w:r>
      <w:r w:rsidR="008371AB" w:rsidRPr="004903FB">
        <w:rPr>
          <w:rFonts w:ascii="Times New Roman" w:eastAsia="Batang" w:hAnsi="Times New Roman"/>
          <w:b/>
          <w:lang w:eastAsia="ko-KR"/>
        </w:rPr>
        <w:t xml:space="preserve">Efforts made by Country Offices to strengthen M&amp;E capacities </w:t>
      </w:r>
    </w:p>
    <w:p w14:paraId="5CF1A759" w14:textId="49E8A206" w:rsidR="00D11CA7" w:rsidRPr="004903FB" w:rsidRDefault="007F4703" w:rsidP="00B1672C">
      <w:pPr>
        <w:pStyle w:val="ListParagraph"/>
        <w:tabs>
          <w:tab w:val="left" w:pos="360"/>
        </w:tabs>
        <w:spacing w:after="0"/>
        <w:ind w:left="0"/>
        <w:jc w:val="both"/>
        <w:rPr>
          <w:rFonts w:ascii="Times New Roman" w:eastAsia="Times New Roman" w:hAnsi="Times New Roman"/>
          <w:bCs/>
        </w:rPr>
      </w:pPr>
      <w:r w:rsidRPr="004903FB">
        <w:rPr>
          <w:rFonts w:ascii="Times New Roman" w:eastAsia="Batang" w:hAnsi="Times New Roman"/>
          <w:lang w:eastAsia="ko-KR"/>
        </w:rPr>
        <w:t>In 2017</w:t>
      </w:r>
      <w:r w:rsidR="00D11CA7" w:rsidRPr="004903FB">
        <w:rPr>
          <w:rFonts w:ascii="Times New Roman" w:eastAsia="Batang" w:hAnsi="Times New Roman"/>
          <w:lang w:eastAsia="ko-KR"/>
        </w:rPr>
        <w:t xml:space="preserve">, </w:t>
      </w:r>
      <w:r w:rsidR="0038474B" w:rsidRPr="004903FB">
        <w:rPr>
          <w:rFonts w:ascii="Times New Roman" w:eastAsia="Batang" w:hAnsi="Times New Roman"/>
          <w:lang w:eastAsia="ko-KR"/>
        </w:rPr>
        <w:t>42</w:t>
      </w:r>
      <w:r w:rsidR="00681F29" w:rsidRPr="004903FB">
        <w:rPr>
          <w:rFonts w:ascii="Times New Roman" w:eastAsia="Batang" w:hAnsi="Times New Roman"/>
          <w:lang w:eastAsia="ko-KR"/>
        </w:rPr>
        <w:t xml:space="preserve"> (31</w:t>
      </w:r>
      <w:r w:rsidR="00D11CA7" w:rsidRPr="004903FB">
        <w:rPr>
          <w:rFonts w:ascii="Times New Roman" w:eastAsia="Batang" w:hAnsi="Times New Roman"/>
          <w:lang w:eastAsia="ko-KR"/>
        </w:rPr>
        <w:t xml:space="preserve">%) Country Offices recruited short term external support to provide evaluation expertise, </w:t>
      </w:r>
      <w:r w:rsidR="0038474B" w:rsidRPr="004903FB">
        <w:rPr>
          <w:rFonts w:ascii="Times New Roman" w:eastAsia="Batang" w:hAnsi="Times New Roman"/>
          <w:lang w:eastAsia="ko-KR"/>
        </w:rPr>
        <w:t>22</w:t>
      </w:r>
      <w:r w:rsidR="00D11CA7" w:rsidRPr="004903FB">
        <w:rPr>
          <w:rFonts w:ascii="Times New Roman" w:eastAsia="Batang" w:hAnsi="Times New Roman"/>
          <w:lang w:eastAsia="ko-KR"/>
        </w:rPr>
        <w:t xml:space="preserve"> </w:t>
      </w:r>
      <w:r w:rsidR="00681F29" w:rsidRPr="004903FB">
        <w:rPr>
          <w:rFonts w:ascii="Times New Roman" w:eastAsia="Batang" w:hAnsi="Times New Roman"/>
          <w:lang w:eastAsia="ko-KR"/>
        </w:rPr>
        <w:t>(16</w:t>
      </w:r>
      <w:r w:rsidR="00D11CA7" w:rsidRPr="004903FB">
        <w:rPr>
          <w:rFonts w:ascii="Times New Roman" w:eastAsia="Batang" w:hAnsi="Times New Roman"/>
          <w:lang w:eastAsia="ko-KR"/>
        </w:rPr>
        <w:t xml:space="preserve">%) Country Offices recruited new UNDP specialized staff to </w:t>
      </w:r>
      <w:r w:rsidR="0038474B" w:rsidRPr="004903FB">
        <w:rPr>
          <w:rFonts w:ascii="Times New Roman" w:eastAsia="Batang" w:hAnsi="Times New Roman"/>
          <w:lang w:eastAsia="ko-KR"/>
        </w:rPr>
        <w:t>provide evaluation expertise, 44</w:t>
      </w:r>
      <w:r w:rsidR="00681F29" w:rsidRPr="004903FB">
        <w:rPr>
          <w:rFonts w:ascii="Times New Roman" w:eastAsia="Batang" w:hAnsi="Times New Roman"/>
          <w:lang w:eastAsia="ko-KR"/>
        </w:rPr>
        <w:t xml:space="preserve"> (33</w:t>
      </w:r>
      <w:r w:rsidR="00D11CA7" w:rsidRPr="004903FB">
        <w:rPr>
          <w:rFonts w:ascii="Times New Roman" w:eastAsia="Batang" w:hAnsi="Times New Roman"/>
          <w:lang w:eastAsia="ko-KR"/>
        </w:rPr>
        <w:t>%) Country Offices strengthened</w:t>
      </w:r>
      <w:r w:rsidR="00A92E64" w:rsidRPr="004903FB">
        <w:rPr>
          <w:rFonts w:ascii="Times New Roman" w:eastAsia="Batang" w:hAnsi="Times New Roman"/>
          <w:lang w:eastAsia="ko-KR"/>
        </w:rPr>
        <w:t xml:space="preserve"> the</w:t>
      </w:r>
      <w:r w:rsidR="00D11CA7" w:rsidRPr="004903FB">
        <w:rPr>
          <w:rFonts w:ascii="Times New Roman" w:eastAsia="Batang" w:hAnsi="Times New Roman"/>
          <w:lang w:eastAsia="ko-KR"/>
        </w:rPr>
        <w:t xml:space="preserve"> role of evaluation staff, </w:t>
      </w:r>
      <w:r w:rsidR="00173DA9" w:rsidRPr="004903FB">
        <w:rPr>
          <w:rFonts w:ascii="Times New Roman" w:eastAsia="Batang" w:hAnsi="Times New Roman"/>
          <w:lang w:eastAsia="ko-KR"/>
        </w:rPr>
        <w:t>45</w:t>
      </w:r>
      <w:r w:rsidR="00D27ECA" w:rsidRPr="004903FB">
        <w:rPr>
          <w:rFonts w:ascii="Times New Roman" w:eastAsia="Batang" w:hAnsi="Times New Roman"/>
          <w:lang w:eastAsia="ko-KR"/>
        </w:rPr>
        <w:t xml:space="preserve"> (33</w:t>
      </w:r>
      <w:r w:rsidR="00D11CA7" w:rsidRPr="004903FB">
        <w:rPr>
          <w:rFonts w:ascii="Times New Roman" w:eastAsia="Batang" w:hAnsi="Times New Roman"/>
          <w:lang w:eastAsia="ko-KR"/>
        </w:rPr>
        <w:t xml:space="preserve">%) Country Offices provided training for CO staff on conducting or managing high quality decentralized evaluations, </w:t>
      </w:r>
      <w:r w:rsidR="0038474B" w:rsidRPr="004903FB">
        <w:rPr>
          <w:rFonts w:ascii="Times New Roman" w:eastAsia="Batang" w:hAnsi="Times New Roman"/>
          <w:lang w:eastAsia="ko-KR"/>
        </w:rPr>
        <w:t>49</w:t>
      </w:r>
      <w:r w:rsidR="00D27ECA" w:rsidRPr="004903FB">
        <w:rPr>
          <w:rFonts w:ascii="Times New Roman" w:eastAsia="Batang" w:hAnsi="Times New Roman"/>
          <w:lang w:eastAsia="ko-KR"/>
        </w:rPr>
        <w:t xml:space="preserve"> (36</w:t>
      </w:r>
      <w:r w:rsidR="00D11CA7" w:rsidRPr="004903FB">
        <w:rPr>
          <w:rFonts w:ascii="Times New Roman" w:eastAsia="Batang" w:hAnsi="Times New Roman"/>
          <w:lang w:eastAsia="ko-KR"/>
        </w:rPr>
        <w:t>%) Country Offices provided training for project staff or national counterparts on conducting or managing high quality decentralized evaluations</w:t>
      </w:r>
      <w:r w:rsidR="00D27ECA" w:rsidRPr="004903FB">
        <w:rPr>
          <w:rFonts w:ascii="Times New Roman" w:eastAsia="Batang" w:hAnsi="Times New Roman"/>
          <w:lang w:eastAsia="ko-KR"/>
        </w:rPr>
        <w:t>,</w:t>
      </w:r>
      <w:r w:rsidR="00BC2C32">
        <w:rPr>
          <w:rFonts w:ascii="Times New Roman" w:eastAsia="Batang" w:hAnsi="Times New Roman"/>
          <w:lang w:eastAsia="ko-KR"/>
        </w:rPr>
        <w:t xml:space="preserve"> and </w:t>
      </w:r>
      <w:r w:rsidR="00173DA9" w:rsidRPr="004903FB">
        <w:rPr>
          <w:rFonts w:ascii="Times New Roman" w:eastAsia="Batang" w:hAnsi="Times New Roman"/>
          <w:lang w:eastAsia="ko-KR"/>
        </w:rPr>
        <w:t>45</w:t>
      </w:r>
      <w:r w:rsidR="00D11CA7" w:rsidRPr="004903FB">
        <w:rPr>
          <w:rFonts w:ascii="Times New Roman" w:eastAsia="Batang" w:hAnsi="Times New Roman"/>
          <w:lang w:eastAsia="ko-KR"/>
        </w:rPr>
        <w:t xml:space="preserve"> (</w:t>
      </w:r>
      <w:r w:rsidR="00274EAD" w:rsidRPr="004903FB">
        <w:rPr>
          <w:rFonts w:ascii="Times New Roman" w:eastAsia="Batang" w:hAnsi="Times New Roman"/>
          <w:lang w:eastAsia="ko-KR"/>
        </w:rPr>
        <w:t>33</w:t>
      </w:r>
      <w:r w:rsidR="00D11CA7" w:rsidRPr="004903FB">
        <w:rPr>
          <w:rFonts w:ascii="Times New Roman" w:eastAsia="Batang" w:hAnsi="Times New Roman"/>
          <w:lang w:eastAsia="ko-KR"/>
        </w:rPr>
        <w:t>%) Country Offices increased budget for decentralized</w:t>
      </w:r>
      <w:r w:rsidR="00A92E64" w:rsidRPr="004903FB">
        <w:rPr>
          <w:rFonts w:ascii="Times New Roman" w:eastAsia="Batang" w:hAnsi="Times New Roman"/>
          <w:lang w:eastAsia="ko-KR"/>
        </w:rPr>
        <w:t xml:space="preserve"> evaluation for key projects</w:t>
      </w:r>
      <w:r w:rsidR="00D11CA7" w:rsidRPr="004903FB">
        <w:rPr>
          <w:rFonts w:ascii="Times New Roman" w:eastAsia="Batang" w:hAnsi="Times New Roman"/>
          <w:lang w:eastAsia="ko-KR"/>
        </w:rPr>
        <w:t>.</w:t>
      </w:r>
      <w:r w:rsidR="00274EAD" w:rsidRPr="004903FB">
        <w:rPr>
          <w:rFonts w:ascii="Times New Roman" w:eastAsia="Batang" w:hAnsi="Times New Roman"/>
          <w:color w:val="FF0000"/>
          <w:lang w:eastAsia="ko-KR"/>
        </w:rPr>
        <w:t xml:space="preserve"> </w:t>
      </w:r>
      <w:r w:rsidR="00274EAD" w:rsidRPr="004903FB">
        <w:rPr>
          <w:rFonts w:ascii="Times New Roman" w:eastAsia="Batang" w:hAnsi="Times New Roman"/>
          <w:lang w:eastAsia="ko-KR"/>
        </w:rPr>
        <w:t xml:space="preserve">In addition, 84 (62%) enhanced quality </w:t>
      </w:r>
      <w:r w:rsidR="00274EAD" w:rsidRPr="004903FB">
        <w:rPr>
          <w:rFonts w:ascii="Times New Roman" w:eastAsia="Times New Roman" w:hAnsi="Times New Roman"/>
          <w:bCs/>
        </w:rPr>
        <w:t xml:space="preserve">assurance processes for monitoring and reporting data and 92 (68%) supported national partners to strengthen national systems and capacities for collection and analysis of data. </w:t>
      </w:r>
    </w:p>
    <w:p w14:paraId="16CB881D" w14:textId="77777777" w:rsidR="00A92E64" w:rsidRPr="004903FB" w:rsidRDefault="00A92E64" w:rsidP="004903FB">
      <w:pPr>
        <w:pStyle w:val="ListParagraph"/>
        <w:tabs>
          <w:tab w:val="left" w:pos="360"/>
        </w:tabs>
        <w:spacing w:after="0" w:line="240" w:lineRule="auto"/>
        <w:ind w:left="0"/>
        <w:jc w:val="both"/>
        <w:rPr>
          <w:rFonts w:ascii="Times New Roman" w:eastAsia="Batang" w:hAnsi="Times New Roman"/>
          <w:color w:val="FF0000"/>
          <w:lang w:eastAsia="ko-KR"/>
        </w:rPr>
      </w:pPr>
    </w:p>
    <w:p w14:paraId="214869F3" w14:textId="1F87B8D7" w:rsidR="00702A18" w:rsidRDefault="007D2F81" w:rsidP="00702A18">
      <w:pPr>
        <w:spacing w:after="0"/>
        <w:jc w:val="both"/>
        <w:rPr>
          <w:rFonts w:ascii="Times New Roman" w:eastAsia="Times New Roman" w:hAnsi="Times New Roman"/>
          <w:b/>
        </w:rPr>
      </w:pPr>
      <w:bookmarkStart w:id="2" w:name="_Hlk511738986"/>
      <w:bookmarkStart w:id="3" w:name="_Toc386203473"/>
      <w:bookmarkStart w:id="4" w:name="_Toc387158169"/>
      <w:r>
        <w:rPr>
          <w:rFonts w:ascii="Times New Roman" w:eastAsia="Times New Roman" w:hAnsi="Times New Roman"/>
          <w:b/>
        </w:rPr>
        <w:t xml:space="preserve">6. </w:t>
      </w:r>
      <w:r w:rsidR="00702A18" w:rsidRPr="00EA0FC5">
        <w:rPr>
          <w:rFonts w:ascii="Times New Roman" w:eastAsia="Times New Roman" w:hAnsi="Times New Roman"/>
          <w:b/>
        </w:rPr>
        <w:t xml:space="preserve">Financial </w:t>
      </w:r>
      <w:r w:rsidR="00702A18">
        <w:rPr>
          <w:rFonts w:ascii="Times New Roman" w:eastAsia="Times New Roman" w:hAnsi="Times New Roman"/>
          <w:b/>
        </w:rPr>
        <w:t xml:space="preserve">benchmarks and 2017 expenditures </w:t>
      </w:r>
    </w:p>
    <w:p w14:paraId="72155136" w14:textId="1B456EC7" w:rsidR="00702A18" w:rsidRDefault="00702A18" w:rsidP="00680C1C">
      <w:pPr>
        <w:spacing w:after="0"/>
        <w:jc w:val="both"/>
        <w:rPr>
          <w:rFonts w:ascii="Times New Roman" w:hAnsi="Times New Roman"/>
        </w:rPr>
      </w:pPr>
      <w:r w:rsidRPr="00F86E66">
        <w:rPr>
          <w:rFonts w:ascii="Times New Roman" w:hAnsi="Times New Roman"/>
        </w:rPr>
        <w:t xml:space="preserve">The Evaluation Policy has strengthened the evaluation foundation by including a financial </w:t>
      </w:r>
      <w:r w:rsidRPr="004524D7">
        <w:rPr>
          <w:rFonts w:ascii="Times New Roman" w:hAnsi="Times New Roman"/>
        </w:rPr>
        <w:t xml:space="preserve">benchmark. </w:t>
      </w:r>
      <w:r w:rsidRPr="000D3AEA">
        <w:rPr>
          <w:rFonts w:ascii="Times New Roman" w:hAnsi="Times New Roman"/>
          <w:color w:val="000000"/>
          <w:lang w:val="en-GB"/>
        </w:rPr>
        <w:t>UNDP is</w:t>
      </w:r>
      <w:r w:rsidRPr="00A27C30">
        <w:rPr>
          <w:rFonts w:ascii="Times New Roman" w:hAnsi="Times New Roman"/>
          <w:color w:val="000000"/>
          <w:lang w:val="en-GB"/>
        </w:rPr>
        <w:t xml:space="preserve"> committed to adhering to this benchmark</w:t>
      </w:r>
      <w:r w:rsidRPr="000D3AEA">
        <w:rPr>
          <w:rStyle w:val="FootnoteReference"/>
          <w:rFonts w:ascii="Times New Roman" w:hAnsi="Times New Roman"/>
          <w:color w:val="000000"/>
          <w:lang w:val="en-GB"/>
        </w:rPr>
        <w:footnoteReference w:id="9"/>
      </w:r>
      <w:r w:rsidRPr="000D3AEA">
        <w:rPr>
          <w:rFonts w:ascii="Times New Roman" w:hAnsi="Times New Roman"/>
          <w:color w:val="000000"/>
          <w:lang w:val="en-GB"/>
        </w:rPr>
        <w:t xml:space="preserve">, and has </w:t>
      </w:r>
      <w:r w:rsidRPr="000D3AEA">
        <w:rPr>
          <w:rFonts w:ascii="Times New Roman" w:hAnsi="Times New Roman"/>
        </w:rPr>
        <w:t>in the UNDP Integrated Resources Plan and Integrated Budget Estimates for 2018-2021 allocate</w:t>
      </w:r>
      <w:r w:rsidRPr="00F86E66">
        <w:rPr>
          <w:rFonts w:ascii="Times New Roman" w:hAnsi="Times New Roman"/>
        </w:rPr>
        <w:t>d 0.2% of the estimated combined programmatic resources (regular and other) for the functions of the IEO</w:t>
      </w:r>
      <w:r w:rsidRPr="004524D7">
        <w:rPr>
          <w:rFonts w:ascii="Times New Roman" w:hAnsi="Times New Roman"/>
        </w:rPr>
        <w:t>. This increases</w:t>
      </w:r>
      <w:r>
        <w:rPr>
          <w:rFonts w:ascii="Times New Roman" w:hAnsi="Times New Roman"/>
        </w:rPr>
        <w:t xml:space="preserve"> the estimated allocation by $7</w:t>
      </w:r>
      <w:r w:rsidRPr="004524D7">
        <w:rPr>
          <w:rFonts w:ascii="Times New Roman" w:hAnsi="Times New Roman"/>
        </w:rPr>
        <w:t xml:space="preserve">m compared to 2014-2017. </w:t>
      </w:r>
      <w:r w:rsidR="00BC2C32" w:rsidRPr="004B0F35">
        <w:rPr>
          <w:rFonts w:ascii="Times New Roman" w:hAnsi="Times New Roman"/>
        </w:rPr>
        <w:t>According to [</w:t>
      </w:r>
      <w:r w:rsidR="004B0F35" w:rsidRPr="004B0F35">
        <w:rPr>
          <w:rFonts w:ascii="Times New Roman" w:hAnsi="Times New Roman"/>
        </w:rPr>
        <w:t>DP/2017/39 table 1</w:t>
      </w:r>
      <w:r w:rsidR="00BC2C32" w:rsidRPr="004B0F35">
        <w:rPr>
          <w:rFonts w:ascii="Times New Roman" w:hAnsi="Times New Roman"/>
        </w:rPr>
        <w:t xml:space="preserve">] UNDP allocated </w:t>
      </w:r>
      <w:r w:rsidR="004B0F35" w:rsidRPr="004B0F35">
        <w:rPr>
          <w:rFonts w:ascii="Times New Roman" w:hAnsi="Times New Roman"/>
        </w:rPr>
        <w:t>0.2% of</w:t>
      </w:r>
      <w:r w:rsidR="004B0F35">
        <w:rPr>
          <w:rFonts w:ascii="Times New Roman" w:hAnsi="Times New Roman"/>
        </w:rPr>
        <w:t xml:space="preserve"> its programmatic resources </w:t>
      </w:r>
      <w:r w:rsidR="004B0F35" w:rsidRPr="004B0F35">
        <w:rPr>
          <w:rFonts w:ascii="Times New Roman" w:hAnsi="Times New Roman"/>
        </w:rPr>
        <w:t>to the IEO</w:t>
      </w:r>
      <w:r w:rsidR="004B0F35" w:rsidRPr="00BC2C32">
        <w:rPr>
          <w:rFonts w:ascii="Times New Roman" w:hAnsi="Times New Roman"/>
        </w:rPr>
        <w:t xml:space="preserve"> </w:t>
      </w:r>
      <w:r w:rsidR="00BC2C32" w:rsidRPr="00BC2C32">
        <w:rPr>
          <w:rFonts w:ascii="Times New Roman" w:hAnsi="Times New Roman"/>
        </w:rPr>
        <w:t>between 2014-2017</w:t>
      </w:r>
      <w:r w:rsidR="00081741">
        <w:rPr>
          <w:rFonts w:ascii="Times New Roman" w:hAnsi="Times New Roman"/>
        </w:rPr>
        <w:t xml:space="preserve">. </w:t>
      </w:r>
    </w:p>
    <w:p w14:paraId="36D97ED3" w14:textId="77777777" w:rsidR="00702A18" w:rsidRDefault="00702A18" w:rsidP="00702A18">
      <w:pPr>
        <w:spacing w:after="0"/>
        <w:jc w:val="both"/>
        <w:rPr>
          <w:rFonts w:ascii="Times New Roman" w:hAnsi="Times New Roman"/>
        </w:rPr>
      </w:pPr>
    </w:p>
    <w:p w14:paraId="7B14FF33" w14:textId="77777777" w:rsidR="00C94224" w:rsidRDefault="00702A18" w:rsidP="005E0208">
      <w:pPr>
        <w:spacing w:after="0"/>
        <w:jc w:val="both"/>
        <w:rPr>
          <w:rFonts w:ascii="Times New Roman" w:eastAsia="Batang" w:hAnsi="Times New Roman"/>
          <w:lang w:eastAsia="ko-KR"/>
        </w:rPr>
      </w:pPr>
      <w:r w:rsidRPr="00F90AEB">
        <w:rPr>
          <w:rFonts w:ascii="Times New Roman" w:eastAsia="Batang" w:hAnsi="Times New Roman"/>
          <w:lang w:eastAsia="ko-KR"/>
        </w:rPr>
        <w:t xml:space="preserve">The total amount spent by Country Offices, Regional and Central Bureaus on M&amp;E combined </w:t>
      </w:r>
      <w:r w:rsidRPr="00F90AEB">
        <w:rPr>
          <w:rFonts w:ascii="Times New Roman" w:eastAsia="Times New Roman" w:hAnsi="Times New Roman"/>
        </w:rPr>
        <w:t>in 2017</w:t>
      </w:r>
      <w:r w:rsidRPr="00F90AEB">
        <w:rPr>
          <w:rFonts w:ascii="Times New Roman" w:hAnsi="Times New Roman"/>
          <w:b/>
        </w:rPr>
        <w:t xml:space="preserve"> </w:t>
      </w:r>
      <w:r w:rsidRPr="00F90AEB">
        <w:rPr>
          <w:rFonts w:ascii="Times New Roman" w:eastAsia="Batang" w:hAnsi="Times New Roman"/>
          <w:lang w:eastAsia="ko-KR"/>
        </w:rPr>
        <w:t xml:space="preserve">was </w:t>
      </w:r>
      <w:r w:rsidRPr="00F90AEB">
        <w:rPr>
          <w:rFonts w:ascii="Times New Roman" w:eastAsia="Times New Roman" w:hAnsi="Times New Roman"/>
        </w:rPr>
        <w:t>$58,76m</w:t>
      </w:r>
      <w:r w:rsidRPr="00F90AEB">
        <w:rPr>
          <w:rFonts w:ascii="Times New Roman" w:hAnsi="Times New Roman"/>
        </w:rPr>
        <w:t xml:space="preserve"> (or 1.31% of the total programmatic expenditures of $4.5b). This represents an increase compared to 2016 when the </w:t>
      </w:r>
      <w:r w:rsidRPr="00F90AEB">
        <w:rPr>
          <w:rFonts w:ascii="Times New Roman" w:eastAsia="Batang" w:hAnsi="Times New Roman"/>
          <w:lang w:eastAsia="ko-KR"/>
        </w:rPr>
        <w:t xml:space="preserve">total M&amp;E expenditure amount was $42m (or 1.06% of the total programme expenditures in UNDP, amounting to $3.95b). </w:t>
      </w:r>
    </w:p>
    <w:p w14:paraId="24D211DD" w14:textId="3AF19E37" w:rsidR="00C94224" w:rsidRDefault="00C94224" w:rsidP="005E0208">
      <w:pPr>
        <w:spacing w:after="0"/>
        <w:jc w:val="both"/>
        <w:rPr>
          <w:rFonts w:ascii="Times New Roman" w:eastAsia="Batang" w:hAnsi="Times New Roman"/>
          <w:lang w:eastAsia="ko-KR"/>
        </w:rPr>
      </w:pPr>
    </w:p>
    <w:p w14:paraId="41DD1A52" w14:textId="51B7831C" w:rsidR="005E0208" w:rsidRDefault="00C94224" w:rsidP="005E0208">
      <w:pPr>
        <w:spacing w:after="0"/>
        <w:jc w:val="both"/>
        <w:rPr>
          <w:rFonts w:ascii="Times New Roman" w:eastAsia="Times New Roman" w:hAnsi="Times New Roman"/>
          <w:b/>
        </w:rPr>
      </w:pPr>
      <w:r w:rsidRPr="00F90AEB">
        <w:rPr>
          <w:rFonts w:ascii="Times New Roman" w:eastAsia="Batang" w:hAnsi="Times New Roman"/>
          <w:lang w:eastAsia="ko-KR"/>
        </w:rPr>
        <w:t xml:space="preserve">In 2017, all regions met the COSI benchmarks by spending a minimum of 1% of their annual development expenditures on M&amp;E (compared with 2016 when only four out of five regions met the COSI benchmarks). In terms of Country offices, 59% spent 1% or more of their 2017 budget on activities related to M&amp;E, compared to 57% in 2016. </w:t>
      </w:r>
      <w:r w:rsidR="00702A18" w:rsidRPr="00F90AEB">
        <w:rPr>
          <w:rFonts w:ascii="Times New Roman" w:hAnsi="Times New Roman"/>
        </w:rPr>
        <w:t xml:space="preserve">Analysis made of the percentage of time spent on monitoring vs. evaluation </w:t>
      </w:r>
      <w:r w:rsidR="00702A18" w:rsidRPr="00F90AEB">
        <w:rPr>
          <w:rFonts w:ascii="Times New Roman" w:hAnsi="Times New Roman"/>
        </w:rPr>
        <w:lastRenderedPageBreak/>
        <w:t xml:space="preserve">among UNDP staff show the close interlinkage between the functions. While UNDP appreciates that the </w:t>
      </w:r>
      <w:r w:rsidR="00702A18" w:rsidRPr="00F90AEB">
        <w:rPr>
          <w:rFonts w:ascii="Times New Roman" w:eastAsia="Batang" w:hAnsi="Times New Roman"/>
          <w:lang w:eastAsia="ko-KR"/>
        </w:rPr>
        <w:t>Evaluation Policy's financial threshold intends to fund better quality and more useful evaluations, UNDP agrees with the IEO that guidance on financial and human resources allocations need to be further clarified, and that the Evaluation and Monitoring Policies</w:t>
      </w:r>
      <w:r w:rsidR="0058249C">
        <w:rPr>
          <w:rStyle w:val="FootnoteReference"/>
          <w:rFonts w:ascii="Times New Roman" w:eastAsia="Batang" w:hAnsi="Times New Roman"/>
          <w:lang w:eastAsia="ko-KR"/>
        </w:rPr>
        <w:footnoteReference w:id="10"/>
      </w:r>
      <w:r w:rsidR="00702A18" w:rsidRPr="00F90AEB">
        <w:rPr>
          <w:rFonts w:ascii="Times New Roman" w:eastAsia="Batang" w:hAnsi="Times New Roman"/>
          <w:lang w:eastAsia="ko-KR"/>
        </w:rPr>
        <w:t xml:space="preserve"> ought to be aligned. </w:t>
      </w:r>
    </w:p>
    <w:bookmarkEnd w:id="2"/>
    <w:p w14:paraId="501B0B8B" w14:textId="77777777" w:rsidR="008326C9" w:rsidRDefault="008326C9" w:rsidP="005E0208">
      <w:pPr>
        <w:spacing w:after="0"/>
        <w:jc w:val="both"/>
        <w:rPr>
          <w:rFonts w:ascii="Times New Roman" w:eastAsia="Times New Roman,Batang" w:hAnsi="Times New Roman"/>
          <w:b/>
          <w:bCs/>
          <w:lang w:eastAsia="ko-KR"/>
        </w:rPr>
      </w:pPr>
    </w:p>
    <w:p w14:paraId="37BC9BC9" w14:textId="316D7B2C" w:rsidR="00336000" w:rsidRPr="004903FB" w:rsidRDefault="007D2F81" w:rsidP="005E0208">
      <w:pPr>
        <w:spacing w:after="0"/>
        <w:jc w:val="both"/>
        <w:rPr>
          <w:rFonts w:ascii="Times New Roman" w:eastAsia="Times New Roman,Batang" w:hAnsi="Times New Roman"/>
          <w:b/>
          <w:bCs/>
          <w:lang w:eastAsia="ko-KR"/>
        </w:rPr>
      </w:pPr>
      <w:r>
        <w:rPr>
          <w:rFonts w:ascii="Times New Roman" w:eastAsia="Times New Roman,Batang" w:hAnsi="Times New Roman"/>
          <w:b/>
          <w:bCs/>
          <w:lang w:eastAsia="ko-KR"/>
        </w:rPr>
        <w:t xml:space="preserve">7. </w:t>
      </w:r>
      <w:r w:rsidR="00336000" w:rsidRPr="004903FB">
        <w:rPr>
          <w:rFonts w:ascii="Times New Roman" w:eastAsia="Times New Roman,Batang" w:hAnsi="Times New Roman"/>
          <w:b/>
          <w:bCs/>
          <w:lang w:eastAsia="ko-KR"/>
        </w:rPr>
        <w:t xml:space="preserve">Other Evaluation Activities </w:t>
      </w:r>
      <w:bookmarkEnd w:id="3"/>
      <w:bookmarkEnd w:id="4"/>
    </w:p>
    <w:p w14:paraId="6D51BF96" w14:textId="77777777" w:rsidR="00E70433" w:rsidRPr="004903FB" w:rsidRDefault="00E70433" w:rsidP="004903FB">
      <w:pPr>
        <w:pStyle w:val="ColorfulShading-Accent31"/>
        <w:spacing w:after="0" w:line="240" w:lineRule="auto"/>
        <w:ind w:left="0"/>
        <w:jc w:val="both"/>
        <w:rPr>
          <w:rFonts w:ascii="Times New Roman" w:eastAsia="Times New Roman,Batang" w:hAnsi="Times New Roman"/>
          <w:lang w:eastAsia="ko-KR"/>
        </w:rPr>
      </w:pPr>
    </w:p>
    <w:p w14:paraId="4C789C4C" w14:textId="254B3DCE" w:rsidR="00340521" w:rsidRPr="005E0208" w:rsidRDefault="002630AE" w:rsidP="004903FB">
      <w:pPr>
        <w:pStyle w:val="ColorfulShading-Accent31"/>
        <w:spacing w:line="240" w:lineRule="auto"/>
        <w:ind w:left="0"/>
        <w:jc w:val="both"/>
        <w:rPr>
          <w:rFonts w:ascii="Times New Roman" w:eastAsia="Times New Roman,Batang" w:hAnsi="Times New Roman"/>
          <w:b/>
          <w:bCs/>
          <w:i/>
          <w:lang w:eastAsia="ko-KR"/>
        </w:rPr>
      </w:pPr>
      <w:r w:rsidRPr="005E0208">
        <w:rPr>
          <w:rFonts w:ascii="Times New Roman" w:eastAsia="Times New Roman,Batang" w:hAnsi="Times New Roman"/>
          <w:b/>
          <w:bCs/>
          <w:i/>
          <w:lang w:eastAsia="ko-KR"/>
        </w:rPr>
        <w:t xml:space="preserve">Independent Country Programme Evaluations </w:t>
      </w:r>
    </w:p>
    <w:p w14:paraId="17C9ACAC" w14:textId="07D1C734" w:rsidR="00357B88" w:rsidRPr="004903FB" w:rsidRDefault="00340521" w:rsidP="00B1672C">
      <w:pPr>
        <w:pStyle w:val="ColorfulShading-Accent31"/>
        <w:ind w:left="0"/>
        <w:jc w:val="both"/>
        <w:rPr>
          <w:rFonts w:ascii="Times New Roman" w:eastAsia="Times New Roman" w:hAnsi="Times New Roman"/>
          <w:color w:val="000000" w:themeColor="text1"/>
          <w:lang w:val="en-GB" w:bidi="en-US"/>
        </w:rPr>
      </w:pPr>
      <w:r w:rsidRPr="004903FB">
        <w:rPr>
          <w:rFonts w:ascii="Times New Roman" w:eastAsia="Times New Roman,Batang" w:hAnsi="Times New Roman"/>
          <w:bCs/>
          <w:lang w:eastAsia="ko-KR"/>
        </w:rPr>
        <w:t>UNDP welcome</w:t>
      </w:r>
      <w:r w:rsidR="00E42451">
        <w:rPr>
          <w:rFonts w:ascii="Times New Roman" w:eastAsia="Times New Roman,Batang" w:hAnsi="Times New Roman"/>
          <w:bCs/>
          <w:lang w:eastAsia="ko-KR"/>
        </w:rPr>
        <w:t>s</w:t>
      </w:r>
      <w:r w:rsidRPr="004903FB">
        <w:rPr>
          <w:rFonts w:ascii="Times New Roman" w:eastAsia="Times New Roman,Batang" w:hAnsi="Times New Roman"/>
          <w:bCs/>
          <w:lang w:eastAsia="ko-KR"/>
        </w:rPr>
        <w:t xml:space="preserve"> </w:t>
      </w:r>
      <w:r w:rsidR="002630AE" w:rsidRPr="004903FB">
        <w:rPr>
          <w:rFonts w:ascii="Times New Roman" w:eastAsia="Times New Roman,Batang" w:hAnsi="Times New Roman"/>
          <w:bCs/>
          <w:lang w:eastAsia="ko-KR"/>
        </w:rPr>
        <w:t>the transition from</w:t>
      </w:r>
      <w:r w:rsidR="002630AE" w:rsidRPr="004903FB">
        <w:rPr>
          <w:rFonts w:ascii="Times New Roman" w:hAnsi="Times New Roman"/>
          <w:color w:val="000000"/>
          <w:lang w:bidi="en-US"/>
        </w:rPr>
        <w:t xml:space="preserve"> </w:t>
      </w:r>
      <w:r w:rsidR="00AA4AF5" w:rsidRPr="004903FB">
        <w:rPr>
          <w:rFonts w:ascii="Times New Roman" w:hAnsi="Times New Roman"/>
          <w:color w:val="000000"/>
          <w:lang w:bidi="en-US"/>
        </w:rPr>
        <w:t>ADRs</w:t>
      </w:r>
      <w:r w:rsidR="00E31654" w:rsidRPr="004903FB">
        <w:rPr>
          <w:rFonts w:ascii="Times New Roman" w:hAnsi="Times New Roman"/>
          <w:color w:val="000000"/>
          <w:lang w:bidi="en-US"/>
        </w:rPr>
        <w:t xml:space="preserve"> </w:t>
      </w:r>
      <w:r w:rsidR="002630AE" w:rsidRPr="004903FB">
        <w:rPr>
          <w:rFonts w:ascii="Times New Roman" w:hAnsi="Times New Roman"/>
          <w:color w:val="000000"/>
          <w:lang w:bidi="en-US"/>
        </w:rPr>
        <w:t>to</w:t>
      </w:r>
      <w:r w:rsidR="00E31654" w:rsidRPr="004903FB">
        <w:rPr>
          <w:rFonts w:ascii="Times New Roman" w:hAnsi="Times New Roman"/>
          <w:color w:val="000000"/>
          <w:lang w:bidi="en-US"/>
        </w:rPr>
        <w:t xml:space="preserve"> </w:t>
      </w:r>
      <w:r w:rsidR="00336000" w:rsidRPr="004903FB">
        <w:rPr>
          <w:rFonts w:ascii="Times New Roman" w:eastAsia="Times New Roman,Batang" w:hAnsi="Times New Roman"/>
          <w:bCs/>
          <w:lang w:eastAsia="ko-KR"/>
        </w:rPr>
        <w:t>Independent Country Programme Evaluation (ICPE)</w:t>
      </w:r>
      <w:r w:rsidR="00E31654" w:rsidRPr="004903FB">
        <w:rPr>
          <w:rFonts w:ascii="Times New Roman" w:eastAsia="Times New Roman,Batang" w:hAnsi="Times New Roman"/>
          <w:bCs/>
          <w:lang w:eastAsia="ko-KR"/>
        </w:rPr>
        <w:t xml:space="preserve">, which will be carried out </w:t>
      </w:r>
      <w:r w:rsidR="00E31654" w:rsidRPr="004903FB">
        <w:rPr>
          <w:rFonts w:ascii="Times New Roman" w:eastAsia="Times New Roman" w:hAnsi="Times New Roman"/>
          <w:color w:val="000000" w:themeColor="text1"/>
          <w:lang w:val="en-GB" w:bidi="en-US"/>
        </w:rPr>
        <w:t xml:space="preserve">to inform all new </w:t>
      </w:r>
      <w:r w:rsidR="00A84551">
        <w:rPr>
          <w:rFonts w:ascii="Times New Roman" w:eastAsia="Times New Roman" w:hAnsi="Times New Roman"/>
          <w:color w:val="000000" w:themeColor="text1"/>
          <w:lang w:val="en-GB" w:bidi="en-US"/>
        </w:rPr>
        <w:t>CPDs</w:t>
      </w:r>
      <w:r w:rsidR="00E31654" w:rsidRPr="004903FB">
        <w:rPr>
          <w:rFonts w:ascii="Times New Roman" w:eastAsia="Times New Roman" w:hAnsi="Times New Roman"/>
          <w:color w:val="000000" w:themeColor="text1"/>
          <w:lang w:val="en-GB" w:bidi="en-US"/>
        </w:rPr>
        <w:t xml:space="preserve"> as </w:t>
      </w:r>
      <w:r w:rsidR="00E42451">
        <w:rPr>
          <w:rFonts w:ascii="Times New Roman" w:eastAsia="Times New Roman" w:hAnsi="Times New Roman"/>
          <w:color w:val="000000" w:themeColor="text1"/>
          <w:lang w:val="en-GB" w:bidi="en-US"/>
        </w:rPr>
        <w:t>per request</w:t>
      </w:r>
      <w:r w:rsidR="00E31654" w:rsidRPr="004903FB">
        <w:rPr>
          <w:rFonts w:ascii="Times New Roman" w:eastAsia="Times New Roman" w:hAnsi="Times New Roman"/>
          <w:color w:val="000000" w:themeColor="text1"/>
          <w:lang w:val="en-GB" w:bidi="en-US"/>
        </w:rPr>
        <w:t xml:space="preserve"> by the </w:t>
      </w:r>
      <w:r w:rsidR="00E42451">
        <w:rPr>
          <w:rFonts w:ascii="Times New Roman" w:eastAsia="Times New Roman" w:hAnsi="Times New Roman"/>
          <w:color w:val="000000" w:themeColor="text1"/>
          <w:lang w:val="en-GB" w:bidi="en-US"/>
        </w:rPr>
        <w:t xml:space="preserve">Executive </w:t>
      </w:r>
      <w:r w:rsidR="00E31654" w:rsidRPr="004903FB">
        <w:rPr>
          <w:rFonts w:ascii="Times New Roman" w:eastAsia="Times New Roman" w:hAnsi="Times New Roman"/>
          <w:color w:val="000000" w:themeColor="text1"/>
          <w:lang w:val="en-GB" w:bidi="en-US"/>
        </w:rPr>
        <w:t xml:space="preserve">Board [DP/2015/8]. </w:t>
      </w:r>
      <w:r w:rsidR="00297846" w:rsidRPr="004903FB">
        <w:rPr>
          <w:rFonts w:ascii="Times New Roman" w:eastAsia="Times New Roman" w:hAnsi="Times New Roman"/>
          <w:color w:val="000000" w:themeColor="text1"/>
          <w:lang w:val="en-GB" w:bidi="en-US"/>
        </w:rPr>
        <w:t>M</w:t>
      </w:r>
      <w:r w:rsidR="00E31654" w:rsidRPr="004903FB">
        <w:rPr>
          <w:rFonts w:ascii="Times New Roman" w:eastAsia="Times New Roman" w:hAnsi="Times New Roman"/>
          <w:color w:val="000000" w:themeColor="text1"/>
          <w:lang w:val="en-GB" w:bidi="en-US"/>
        </w:rPr>
        <w:t xml:space="preserve">anagement </w:t>
      </w:r>
      <w:r w:rsidR="00EF105F">
        <w:rPr>
          <w:rFonts w:ascii="Times New Roman" w:hAnsi="Times New Roman"/>
          <w:color w:val="000000"/>
          <w:lang w:bidi="en-US"/>
        </w:rPr>
        <w:t>considers</w:t>
      </w:r>
      <w:r w:rsidR="00EF105F" w:rsidRPr="004903FB">
        <w:rPr>
          <w:rFonts w:ascii="Times New Roman" w:hAnsi="Times New Roman"/>
          <w:color w:val="000000"/>
          <w:lang w:bidi="en-US"/>
        </w:rPr>
        <w:t xml:space="preserve"> </w:t>
      </w:r>
      <w:r w:rsidR="00E31654" w:rsidRPr="004903FB">
        <w:rPr>
          <w:rFonts w:ascii="Times New Roman" w:hAnsi="Times New Roman"/>
          <w:color w:val="000000"/>
          <w:lang w:bidi="en-US"/>
        </w:rPr>
        <w:t xml:space="preserve">that these evaluations will greatly benefit the programming of the organization. </w:t>
      </w:r>
      <w:r w:rsidR="00336000" w:rsidRPr="004903FB">
        <w:rPr>
          <w:rFonts w:ascii="Times New Roman" w:eastAsia="Times New Roman" w:hAnsi="Times New Roman"/>
          <w:color w:val="000000" w:themeColor="text1"/>
          <w:lang w:val="en-GB" w:bidi="en-US"/>
        </w:rPr>
        <w:t xml:space="preserve">To maximize utility of the ICPEs, planning and methodology should be consulted with Regional Bureaus and BPPS </w:t>
      </w:r>
      <w:r w:rsidR="00EF105F">
        <w:rPr>
          <w:rFonts w:ascii="Times New Roman" w:eastAsia="Times New Roman" w:hAnsi="Times New Roman"/>
          <w:color w:val="000000" w:themeColor="text1"/>
          <w:lang w:val="en-GB" w:bidi="en-US"/>
        </w:rPr>
        <w:t xml:space="preserve">and timed to feed into the development of new CPDs, </w:t>
      </w:r>
      <w:r w:rsidR="00336000" w:rsidRPr="004903FB">
        <w:rPr>
          <w:rFonts w:ascii="Times New Roman" w:eastAsia="Times New Roman" w:hAnsi="Times New Roman"/>
          <w:color w:val="000000" w:themeColor="text1"/>
          <w:lang w:val="en-GB" w:bidi="en-US"/>
        </w:rPr>
        <w:t xml:space="preserve">while ensuring </w:t>
      </w:r>
      <w:r w:rsidR="005E7B67" w:rsidRPr="004903FB">
        <w:rPr>
          <w:rFonts w:ascii="Times New Roman" w:eastAsia="Times New Roman" w:hAnsi="Times New Roman"/>
          <w:color w:val="000000" w:themeColor="text1"/>
          <w:lang w:val="en-GB" w:bidi="en-US"/>
        </w:rPr>
        <w:t xml:space="preserve">close coordination with UNDAF outcome evaluations </w:t>
      </w:r>
      <w:r w:rsidR="00336000" w:rsidRPr="004903FB">
        <w:rPr>
          <w:rFonts w:ascii="Times New Roman" w:eastAsia="Times New Roman" w:hAnsi="Times New Roman"/>
          <w:color w:val="000000" w:themeColor="text1"/>
          <w:lang w:val="en-GB" w:bidi="en-US"/>
        </w:rPr>
        <w:t>at</w:t>
      </w:r>
      <w:r w:rsidR="005E7B67" w:rsidRPr="004903FB">
        <w:rPr>
          <w:rFonts w:ascii="Times New Roman" w:eastAsia="Times New Roman" w:hAnsi="Times New Roman"/>
          <w:color w:val="000000" w:themeColor="text1"/>
          <w:lang w:val="en-GB" w:bidi="en-US"/>
        </w:rPr>
        <w:t xml:space="preserve"> the</w:t>
      </w:r>
      <w:r w:rsidR="00336000" w:rsidRPr="004903FB">
        <w:rPr>
          <w:rFonts w:ascii="Times New Roman" w:eastAsia="Times New Roman" w:hAnsi="Times New Roman"/>
          <w:color w:val="000000" w:themeColor="text1"/>
          <w:lang w:val="en-GB" w:bidi="en-US"/>
        </w:rPr>
        <w:t xml:space="preserve"> country level</w:t>
      </w:r>
      <w:r w:rsidR="005E7B67" w:rsidRPr="004903FB">
        <w:rPr>
          <w:rFonts w:ascii="Times New Roman" w:eastAsia="Times New Roman" w:hAnsi="Times New Roman"/>
          <w:color w:val="000000" w:themeColor="text1"/>
          <w:lang w:val="en-GB" w:bidi="en-US"/>
        </w:rPr>
        <w:t>.</w:t>
      </w:r>
      <w:r w:rsidR="00336000" w:rsidRPr="004903FB">
        <w:rPr>
          <w:rFonts w:ascii="Times New Roman" w:eastAsia="Times New Roman" w:hAnsi="Times New Roman"/>
          <w:color w:val="000000" w:themeColor="text1"/>
          <w:lang w:val="en-GB" w:bidi="en-US"/>
        </w:rPr>
        <w:t xml:space="preserve"> </w:t>
      </w:r>
    </w:p>
    <w:p w14:paraId="0C649F73" w14:textId="77777777" w:rsidR="00357B88" w:rsidRPr="004903FB" w:rsidRDefault="00357B88" w:rsidP="00B1672C">
      <w:pPr>
        <w:pStyle w:val="ColorfulShading-Accent31"/>
        <w:ind w:left="0"/>
        <w:jc w:val="both"/>
        <w:rPr>
          <w:rFonts w:ascii="Times New Roman" w:eastAsia="Times New Roman" w:hAnsi="Times New Roman"/>
          <w:color w:val="000000" w:themeColor="text1"/>
          <w:lang w:val="en-GB" w:bidi="en-US"/>
        </w:rPr>
      </w:pPr>
    </w:p>
    <w:p w14:paraId="7A795C1E" w14:textId="7934D57C" w:rsidR="00EF0AB5" w:rsidRPr="004903FB" w:rsidRDefault="00357B88" w:rsidP="00B1672C">
      <w:pPr>
        <w:pStyle w:val="ColorfulShading-Accent31"/>
        <w:ind w:left="0"/>
        <w:jc w:val="both"/>
        <w:rPr>
          <w:rFonts w:ascii="Times New Roman" w:eastAsia="Times New Roman,Batang" w:hAnsi="Times New Roman"/>
          <w:bCs/>
          <w:lang w:eastAsia="ko-KR"/>
        </w:rPr>
      </w:pPr>
      <w:r w:rsidRPr="004903FB">
        <w:rPr>
          <w:rFonts w:ascii="Times New Roman" w:eastAsia="Times New Roman,Batang" w:hAnsi="Times New Roman"/>
          <w:lang w:eastAsia="ko-KR"/>
        </w:rPr>
        <w:t>ADRs</w:t>
      </w:r>
      <w:r w:rsidR="00297846" w:rsidRPr="004903FB">
        <w:rPr>
          <w:rFonts w:ascii="Times New Roman" w:eastAsia="Times New Roman,Batang" w:hAnsi="Times New Roman"/>
          <w:lang w:eastAsia="ko-KR"/>
        </w:rPr>
        <w:t xml:space="preserve"> were in 2017 completed</w:t>
      </w:r>
      <w:r w:rsidR="00297846" w:rsidRPr="004903FB">
        <w:rPr>
          <w:rFonts w:ascii="Times New Roman" w:hAnsi="Times New Roman"/>
          <w:vertAlign w:val="superscript"/>
          <w:lang w:eastAsia="ko-KR"/>
        </w:rPr>
        <w:footnoteReference w:id="11"/>
      </w:r>
      <w:r w:rsidR="00297846" w:rsidRPr="004903FB">
        <w:rPr>
          <w:rFonts w:ascii="Times New Roman" w:eastAsia="Times New Roman,Batang" w:hAnsi="Times New Roman"/>
          <w:lang w:eastAsia="ko-KR"/>
        </w:rPr>
        <w:t xml:space="preserve"> in Mexico, Equatorial Guinea, Pakistan, Kyrgyzstan, Cameroon and Jordan. </w:t>
      </w:r>
      <w:r w:rsidR="00366ED4" w:rsidRPr="004903FB">
        <w:rPr>
          <w:rFonts w:ascii="Times New Roman" w:eastAsia="Times New Roman,Batang" w:hAnsi="Times New Roman"/>
          <w:lang w:eastAsia="ko-KR"/>
        </w:rPr>
        <w:t xml:space="preserve">In addition, IEO commenced in 2017 to conduct ICPEs in </w:t>
      </w:r>
      <w:r w:rsidR="00366ED4" w:rsidRPr="004903FB">
        <w:rPr>
          <w:rFonts w:ascii="Times New Roman" w:hAnsi="Times New Roman"/>
        </w:rPr>
        <w:t>Bhutan, Chile, Republic of the Congo, Kuwait, Namibia, the Republic of the Philippines, Rwanda and Togo, as noted in the Annual Report on Evaluation</w:t>
      </w:r>
      <w:r w:rsidR="00366ED4" w:rsidRPr="004903FB">
        <w:rPr>
          <w:rFonts w:ascii="Times New Roman" w:hAnsi="Times New Roman"/>
          <w:lang w:val="en-GB"/>
        </w:rPr>
        <w:t xml:space="preserve">. </w:t>
      </w:r>
      <w:r w:rsidR="00366ED4" w:rsidRPr="004903FB">
        <w:rPr>
          <w:rFonts w:ascii="Times New Roman" w:eastAsia="Times New Roman,Batang" w:hAnsi="Times New Roman"/>
          <w:lang w:eastAsia="ko-KR"/>
        </w:rPr>
        <w:t xml:space="preserve">These eight ICPEs are required to accompany </w:t>
      </w:r>
      <w:r w:rsidRPr="004903FB">
        <w:rPr>
          <w:rFonts w:ascii="Times New Roman" w:eastAsia="Times New Roman,Batang" w:hAnsi="Times New Roman"/>
          <w:lang w:eastAsia="ko-KR"/>
        </w:rPr>
        <w:t xml:space="preserve">the </w:t>
      </w:r>
      <w:r w:rsidR="00366ED4" w:rsidRPr="004903FB">
        <w:rPr>
          <w:rFonts w:ascii="Times New Roman" w:eastAsia="Times New Roman,Batang" w:hAnsi="Times New Roman"/>
          <w:lang w:eastAsia="ko-KR"/>
        </w:rPr>
        <w:t>CPDs tabled for the Executi</w:t>
      </w:r>
      <w:r w:rsidR="00A36365" w:rsidRPr="004903FB">
        <w:rPr>
          <w:rFonts w:ascii="Times New Roman" w:eastAsia="Times New Roman,Batang" w:hAnsi="Times New Roman"/>
          <w:lang w:eastAsia="ko-KR"/>
        </w:rPr>
        <w:t>ve Board in 2018, and UNDP look</w:t>
      </w:r>
      <w:r w:rsidR="00906E69">
        <w:rPr>
          <w:rFonts w:ascii="Times New Roman" w:eastAsia="Times New Roman,Batang" w:hAnsi="Times New Roman"/>
          <w:lang w:eastAsia="ko-KR"/>
        </w:rPr>
        <w:t>s</w:t>
      </w:r>
      <w:r w:rsidR="00366ED4" w:rsidRPr="004903FB">
        <w:rPr>
          <w:rFonts w:ascii="Times New Roman" w:eastAsia="Times New Roman,Batang" w:hAnsi="Times New Roman"/>
          <w:lang w:eastAsia="ko-KR"/>
        </w:rPr>
        <w:t xml:space="preserve"> forward to their timely completion. </w:t>
      </w:r>
    </w:p>
    <w:p w14:paraId="16BA94C4" w14:textId="7E072386" w:rsidR="00A33AE9" w:rsidRPr="005E0208" w:rsidRDefault="00A33AE9" w:rsidP="004903FB">
      <w:pPr>
        <w:spacing w:after="0" w:line="240" w:lineRule="auto"/>
        <w:contextualSpacing/>
        <w:jc w:val="both"/>
        <w:rPr>
          <w:rFonts w:ascii="Times New Roman" w:eastAsia="Times New Roman,Batang" w:hAnsi="Times New Roman"/>
          <w:b/>
          <w:bCs/>
          <w:i/>
          <w:lang w:eastAsia="ko-KR"/>
        </w:rPr>
      </w:pPr>
      <w:r w:rsidRPr="005E0208">
        <w:rPr>
          <w:rFonts w:ascii="Times New Roman" w:eastAsia="Times New Roman,Batang" w:hAnsi="Times New Roman"/>
          <w:b/>
          <w:bCs/>
          <w:i/>
          <w:lang w:eastAsia="ko-KR"/>
        </w:rPr>
        <w:t>Indepe</w:t>
      </w:r>
      <w:r w:rsidR="00E775B4" w:rsidRPr="005E0208">
        <w:rPr>
          <w:rFonts w:ascii="Times New Roman" w:eastAsia="Times New Roman,Batang" w:hAnsi="Times New Roman"/>
          <w:b/>
          <w:bCs/>
          <w:i/>
          <w:lang w:eastAsia="ko-KR"/>
        </w:rPr>
        <w:t xml:space="preserve">ndent Evaluation Office support, </w:t>
      </w:r>
      <w:r w:rsidRPr="005E0208">
        <w:rPr>
          <w:rFonts w:ascii="Times New Roman" w:eastAsia="Times New Roman,Batang" w:hAnsi="Times New Roman"/>
          <w:b/>
          <w:bCs/>
          <w:i/>
          <w:lang w:eastAsia="ko-KR"/>
        </w:rPr>
        <w:t>collaboration</w:t>
      </w:r>
      <w:r w:rsidR="00E775B4" w:rsidRPr="005E0208">
        <w:rPr>
          <w:rFonts w:ascii="Times New Roman" w:eastAsia="Times New Roman,Batang" w:hAnsi="Times New Roman"/>
          <w:b/>
          <w:bCs/>
          <w:i/>
          <w:lang w:eastAsia="ko-KR"/>
        </w:rPr>
        <w:t xml:space="preserve"> and overview</w:t>
      </w:r>
    </w:p>
    <w:p w14:paraId="27BD0530" w14:textId="6BC03AFA" w:rsidR="00CC1CB1" w:rsidRPr="00AC3BA3" w:rsidRDefault="00D11CA7" w:rsidP="00B1672C">
      <w:pPr>
        <w:pStyle w:val="ListParagraph"/>
        <w:tabs>
          <w:tab w:val="left" w:pos="540"/>
          <w:tab w:val="left" w:pos="810"/>
          <w:tab w:val="left" w:pos="8100"/>
        </w:tabs>
        <w:spacing w:after="0"/>
        <w:ind w:left="0"/>
        <w:contextualSpacing w:val="0"/>
        <w:jc w:val="both"/>
        <w:rPr>
          <w:rFonts w:ascii="Times New Roman" w:eastAsia="Times New Roman,Batang" w:hAnsi="Times New Roman"/>
          <w:bCs/>
          <w:lang w:eastAsia="ko-KR"/>
        </w:rPr>
      </w:pPr>
      <w:r w:rsidRPr="004903FB">
        <w:rPr>
          <w:rFonts w:ascii="Times New Roman" w:eastAsia="Times New Roman" w:hAnsi="Times New Roman"/>
        </w:rPr>
        <w:t xml:space="preserve">UNDP management </w:t>
      </w:r>
      <w:r w:rsidR="00AC3BA3">
        <w:rPr>
          <w:rFonts w:ascii="Times New Roman" w:eastAsia="Times New Roman" w:hAnsi="Times New Roman"/>
        </w:rPr>
        <w:t>appreciates</w:t>
      </w:r>
      <w:r w:rsidRPr="004903FB">
        <w:rPr>
          <w:rFonts w:ascii="Times New Roman" w:eastAsia="Times New Roman" w:hAnsi="Times New Roman"/>
        </w:rPr>
        <w:t xml:space="preserve"> the information</w:t>
      </w:r>
      <w:r w:rsidR="00A33AE9" w:rsidRPr="004903FB">
        <w:rPr>
          <w:rFonts w:ascii="Times New Roman" w:eastAsia="Times New Roman" w:hAnsi="Times New Roman"/>
        </w:rPr>
        <w:t xml:space="preserve"> provided in the </w:t>
      </w:r>
      <w:r w:rsidRPr="004903FB">
        <w:rPr>
          <w:rFonts w:ascii="Times New Roman" w:eastAsia="Times New Roman" w:hAnsi="Times New Roman"/>
        </w:rPr>
        <w:t>Annual Report on</w:t>
      </w:r>
      <w:r w:rsidR="00A33AE9" w:rsidRPr="004903FB">
        <w:rPr>
          <w:rFonts w:ascii="Times New Roman" w:eastAsia="Times New Roman" w:hAnsi="Times New Roman"/>
        </w:rPr>
        <w:t xml:space="preserve"> </w:t>
      </w:r>
      <w:r w:rsidR="00AC3BA3">
        <w:rPr>
          <w:rFonts w:ascii="Times New Roman" w:eastAsia="Times New Roman" w:hAnsi="Times New Roman"/>
        </w:rPr>
        <w:t xml:space="preserve">Evaluation on </w:t>
      </w:r>
      <w:r w:rsidR="00A33AE9" w:rsidRPr="004903FB">
        <w:rPr>
          <w:rFonts w:ascii="Times New Roman" w:eastAsia="Times New Roman" w:hAnsi="Times New Roman"/>
        </w:rPr>
        <w:t>the strengthened collaboration with, and support provided by</w:t>
      </w:r>
      <w:r w:rsidR="00AC3BA3">
        <w:rPr>
          <w:rFonts w:ascii="Times New Roman" w:eastAsia="Times New Roman" w:hAnsi="Times New Roman"/>
        </w:rPr>
        <w:t>,</w:t>
      </w:r>
      <w:r w:rsidR="00A33AE9" w:rsidRPr="004903FB">
        <w:rPr>
          <w:rFonts w:ascii="Times New Roman" w:eastAsia="Times New Roman" w:hAnsi="Times New Roman"/>
        </w:rPr>
        <w:t xml:space="preserve"> the </w:t>
      </w:r>
      <w:r w:rsidR="00AC3BA3">
        <w:rPr>
          <w:rFonts w:ascii="Times New Roman" w:eastAsia="Times New Roman,Batang" w:hAnsi="Times New Roman"/>
          <w:bCs/>
          <w:lang w:eastAsia="ko-KR"/>
        </w:rPr>
        <w:t xml:space="preserve">Evaluation Advisory Panel, and </w:t>
      </w:r>
      <w:r w:rsidR="00A33AE9" w:rsidRPr="004903FB">
        <w:rPr>
          <w:rFonts w:ascii="Times New Roman" w:eastAsia="Times New Roman,Batang" w:hAnsi="Times New Roman"/>
          <w:bCs/>
          <w:lang w:eastAsia="ko-KR"/>
        </w:rPr>
        <w:t xml:space="preserve">the Office’s continued prominent role within </w:t>
      </w:r>
      <w:r w:rsidR="008E7CDF">
        <w:rPr>
          <w:rFonts w:ascii="Times New Roman" w:eastAsia="Times New Roman,Batang" w:hAnsi="Times New Roman"/>
          <w:bCs/>
          <w:lang w:eastAsia="ko-KR"/>
        </w:rPr>
        <w:t>the United Nations Evaluation Group</w:t>
      </w:r>
      <w:r w:rsidR="00A33AE9" w:rsidRPr="004903FB">
        <w:rPr>
          <w:rFonts w:ascii="Times New Roman" w:eastAsia="Times New Roman,Batang" w:hAnsi="Times New Roman"/>
          <w:bCs/>
          <w:lang w:eastAsia="ko-KR"/>
        </w:rPr>
        <w:t xml:space="preserve">. </w:t>
      </w:r>
    </w:p>
    <w:p w14:paraId="2567401A" w14:textId="797617F4" w:rsidR="00671FAC" w:rsidRDefault="00671FAC" w:rsidP="00CC1CB1">
      <w:pPr>
        <w:tabs>
          <w:tab w:val="left" w:pos="360"/>
        </w:tabs>
        <w:spacing w:after="0" w:line="240" w:lineRule="auto"/>
        <w:jc w:val="both"/>
        <w:rPr>
          <w:rFonts w:ascii="Times New Roman" w:eastAsia="Times New Roman,Batang" w:hAnsi="Times New Roman"/>
          <w:lang w:eastAsia="ko-KR"/>
        </w:rPr>
      </w:pPr>
    </w:p>
    <w:p w14:paraId="1994AE23" w14:textId="31DEA053" w:rsidR="00D11CA7" w:rsidRPr="005473E2" w:rsidRDefault="00BF416D" w:rsidP="005473E2">
      <w:pPr>
        <w:pStyle w:val="ListParagraph"/>
        <w:tabs>
          <w:tab w:val="left" w:pos="360"/>
        </w:tabs>
        <w:spacing w:after="0" w:line="240" w:lineRule="auto"/>
        <w:ind w:left="0"/>
        <w:jc w:val="both"/>
        <w:rPr>
          <w:rFonts w:ascii="Times New Roman" w:eastAsia="Batang" w:hAnsi="Times New Roman"/>
          <w:b/>
          <w:i/>
          <w:color w:val="FF0000"/>
          <w:lang w:eastAsia="ko-KR"/>
        </w:rPr>
      </w:pPr>
      <w:r>
        <w:rPr>
          <w:rFonts w:ascii="Times New Roman" w:eastAsia="Times New Roman,Batang" w:hAnsi="Times New Roman"/>
          <w:b/>
          <w:iCs/>
          <w:lang w:eastAsia="ko-KR"/>
        </w:rPr>
        <w:t xml:space="preserve">8. </w:t>
      </w:r>
      <w:r w:rsidR="00FA5FD4">
        <w:rPr>
          <w:rFonts w:ascii="Times New Roman" w:eastAsia="Times New Roman,Batang" w:hAnsi="Times New Roman"/>
          <w:b/>
          <w:iCs/>
          <w:lang w:eastAsia="ko-KR"/>
        </w:rPr>
        <w:t>Status of implementation of management r</w:t>
      </w:r>
      <w:r w:rsidR="00D11CA7" w:rsidRPr="00FA399F">
        <w:rPr>
          <w:rFonts w:ascii="Times New Roman" w:eastAsia="Times New Roman,Batang" w:hAnsi="Times New Roman"/>
          <w:b/>
          <w:iCs/>
          <w:lang w:eastAsia="ko-KR"/>
        </w:rPr>
        <w:t>esponse commitme</w:t>
      </w:r>
      <w:r w:rsidR="00DF30E5">
        <w:rPr>
          <w:rFonts w:ascii="Times New Roman" w:eastAsia="Times New Roman,Batang" w:hAnsi="Times New Roman"/>
          <w:b/>
          <w:iCs/>
          <w:lang w:eastAsia="ko-KR"/>
        </w:rPr>
        <w:t>nts for independent evaluations</w:t>
      </w:r>
      <w:r w:rsidR="00D11CA7" w:rsidRPr="00FA399F">
        <w:rPr>
          <w:rFonts w:ascii="Times New Roman" w:eastAsia="Times New Roman,Batang" w:hAnsi="Times New Roman"/>
          <w:b/>
          <w:iCs/>
          <w:lang w:eastAsia="ko-KR"/>
        </w:rPr>
        <w:t xml:space="preserve"> </w:t>
      </w:r>
      <w:r w:rsidR="00864AD2">
        <w:rPr>
          <w:rFonts w:ascii="Times New Roman" w:eastAsia="Times New Roman,Batang" w:hAnsi="Times New Roman"/>
          <w:b/>
          <w:iCs/>
          <w:lang w:eastAsia="ko-KR"/>
        </w:rPr>
        <w:t>(2014 to 2017)</w:t>
      </w:r>
    </w:p>
    <w:p w14:paraId="4E674750" w14:textId="1856AC88" w:rsidR="000163B2" w:rsidRDefault="000163B2" w:rsidP="00D11CA7">
      <w:pPr>
        <w:tabs>
          <w:tab w:val="left" w:pos="360"/>
        </w:tabs>
        <w:spacing w:after="0" w:line="240" w:lineRule="auto"/>
        <w:contextualSpacing/>
        <w:jc w:val="both"/>
        <w:rPr>
          <w:rFonts w:ascii="Times New Roman" w:eastAsia="Times New Roman,Batang" w:hAnsi="Times New Roman"/>
          <w:b/>
          <w:bCs/>
          <w:lang w:eastAsia="ko-KR"/>
        </w:rPr>
      </w:pPr>
    </w:p>
    <w:p w14:paraId="13CFC8D6" w14:textId="13125A67" w:rsidR="00D11CA7" w:rsidRDefault="00D11CA7" w:rsidP="00D11CA7">
      <w:pPr>
        <w:tabs>
          <w:tab w:val="left" w:pos="360"/>
        </w:tabs>
        <w:spacing w:after="0" w:line="240" w:lineRule="auto"/>
        <w:contextualSpacing/>
        <w:jc w:val="both"/>
        <w:rPr>
          <w:rFonts w:ascii="Times New Roman" w:eastAsia="Times New Roman,Batang" w:hAnsi="Times New Roman"/>
          <w:b/>
          <w:bCs/>
          <w:lang w:eastAsia="ko-KR"/>
        </w:rPr>
      </w:pPr>
      <w:r w:rsidRPr="004D5BD2">
        <w:rPr>
          <w:rFonts w:ascii="Times New Roman" w:eastAsia="Times New Roman,Batang" w:hAnsi="Times New Roman"/>
          <w:b/>
          <w:bCs/>
          <w:lang w:eastAsia="ko-KR"/>
        </w:rPr>
        <w:t>Thematic Evaluations</w:t>
      </w:r>
    </w:p>
    <w:p w14:paraId="6C24D77F" w14:textId="597DA93B" w:rsidR="00830431" w:rsidRDefault="00830431" w:rsidP="00830431">
      <w:pPr>
        <w:tabs>
          <w:tab w:val="left" w:pos="360"/>
        </w:tabs>
        <w:spacing w:after="0" w:line="240" w:lineRule="auto"/>
        <w:contextualSpacing/>
        <w:jc w:val="both"/>
        <w:rPr>
          <w:rFonts w:ascii="Times New Roman" w:eastAsia="Times New Roman,Batang" w:hAnsi="Times New Roman"/>
          <w:i/>
          <w:iCs/>
          <w:lang w:eastAsia="ko-KR"/>
        </w:rPr>
      </w:pPr>
      <w:r w:rsidRPr="00B24A61">
        <w:rPr>
          <w:rFonts w:ascii="Times New Roman" w:eastAsia="Times New Roman,Batang" w:hAnsi="Times New Roman"/>
          <w:i/>
          <w:iCs/>
          <w:lang w:eastAsia="ko-KR"/>
        </w:rPr>
        <w:t>Status of Management Response commitments for themat</w:t>
      </w:r>
      <w:r>
        <w:rPr>
          <w:rFonts w:ascii="Times New Roman" w:eastAsia="Times New Roman,Batang" w:hAnsi="Times New Roman"/>
          <w:i/>
          <w:iCs/>
          <w:lang w:eastAsia="ko-KR"/>
        </w:rPr>
        <w:t>ic evaluations completed in 2017</w:t>
      </w:r>
    </w:p>
    <w:p w14:paraId="5C6C2297" w14:textId="77777777" w:rsidR="00830431" w:rsidRPr="00B24A61" w:rsidRDefault="00830431" w:rsidP="00830431">
      <w:pPr>
        <w:tabs>
          <w:tab w:val="left" w:pos="360"/>
        </w:tabs>
        <w:spacing w:after="0" w:line="240" w:lineRule="auto"/>
        <w:contextualSpacing/>
        <w:jc w:val="both"/>
        <w:rPr>
          <w:rFonts w:ascii="Times New Roman" w:eastAsia="Times New Roman,Batang" w:hAnsi="Times New Roman"/>
          <w:i/>
          <w:iCs/>
          <w:lang w:eastAsia="ko-KR"/>
        </w:rPr>
      </w:pPr>
    </w:p>
    <w:p w14:paraId="3B77D3A5" w14:textId="75FA8222" w:rsidR="00830431" w:rsidRDefault="00830431" w:rsidP="00B1672C">
      <w:pPr>
        <w:tabs>
          <w:tab w:val="left" w:pos="360"/>
        </w:tabs>
        <w:spacing w:after="0"/>
        <w:contextualSpacing/>
        <w:jc w:val="both"/>
        <w:rPr>
          <w:rFonts w:ascii="Times New Roman" w:hAnsi="Times New Roman"/>
        </w:rPr>
      </w:pPr>
      <w:r w:rsidRPr="006B44C3">
        <w:rPr>
          <w:rFonts w:ascii="Times New Roman" w:eastAsia="Times New Roman,Batang" w:hAnsi="Times New Roman"/>
          <w:bCs/>
          <w:lang w:eastAsia="ko-KR"/>
        </w:rPr>
        <w:t xml:space="preserve">The </w:t>
      </w:r>
      <w:r w:rsidRPr="006B44C3">
        <w:rPr>
          <w:rFonts w:ascii="Times New Roman" w:eastAsia="Times New Roman,Batang" w:hAnsi="Times New Roman"/>
          <w:b/>
          <w:bCs/>
          <w:lang w:eastAsia="ko-KR"/>
        </w:rPr>
        <w:t xml:space="preserve">Joint Assessment of the Institutional Effectiveness of UNDP </w:t>
      </w:r>
      <w:r w:rsidRPr="006B44C3">
        <w:rPr>
          <w:rFonts w:ascii="Times New Roman" w:hAnsi="Times New Roman"/>
        </w:rPr>
        <w:t xml:space="preserve">included 6 recommendations, to which UNDP committed to implement 17 key actions. 9 (53%) have already been completed, 7 are ongoing and one is no longer considered applicable.  The CPD guidance has been updated to provide </w:t>
      </w:r>
      <w:r w:rsidRPr="00C24FCB">
        <w:rPr>
          <w:rFonts w:ascii="Times New Roman" w:eastAsia="Times New Roman" w:hAnsi="Times New Roman"/>
        </w:rPr>
        <w:t>clear guidance on how to reflect UNDP’s compara</w:t>
      </w:r>
      <w:r w:rsidR="004811C7">
        <w:rPr>
          <w:rFonts w:ascii="Times New Roman" w:eastAsia="Times New Roman" w:hAnsi="Times New Roman"/>
        </w:rPr>
        <w:t>tive advantage based on evidence, and t</w:t>
      </w:r>
      <w:r w:rsidRPr="003B1B35">
        <w:rPr>
          <w:rFonts w:ascii="Times New Roman" w:eastAsia="Times New Roman" w:hAnsi="Times New Roman"/>
        </w:rPr>
        <w:t xml:space="preserve">he preliminary project appraisal of CPDs </w:t>
      </w:r>
      <w:r w:rsidRPr="006B44C3">
        <w:rPr>
          <w:rFonts w:ascii="Times New Roman" w:eastAsia="Times New Roman" w:hAnsi="Times New Roman"/>
        </w:rPr>
        <w:t xml:space="preserve">now </w:t>
      </w:r>
      <w:r w:rsidRPr="003B1B35">
        <w:rPr>
          <w:rFonts w:ascii="Times New Roman" w:eastAsia="Times New Roman" w:hAnsi="Times New Roman"/>
        </w:rPr>
        <w:t>include</w:t>
      </w:r>
      <w:r w:rsidRPr="006B44C3">
        <w:rPr>
          <w:rFonts w:ascii="Times New Roman" w:eastAsia="Times New Roman" w:hAnsi="Times New Roman"/>
        </w:rPr>
        <w:t>s</w:t>
      </w:r>
      <w:r w:rsidRPr="003B1B35">
        <w:rPr>
          <w:rFonts w:ascii="Times New Roman" w:eastAsia="Times New Roman" w:hAnsi="Times New Roman"/>
        </w:rPr>
        <w:t xml:space="preserve"> a review of the completeness and internal </w:t>
      </w:r>
      <w:r>
        <w:rPr>
          <w:rFonts w:ascii="Times New Roman" w:eastAsia="Times New Roman" w:hAnsi="Times New Roman"/>
        </w:rPr>
        <w:t>logic of the Theory of C</w:t>
      </w:r>
      <w:r w:rsidRPr="006B44C3">
        <w:rPr>
          <w:rFonts w:ascii="Times New Roman" w:eastAsia="Times New Roman" w:hAnsi="Times New Roman"/>
        </w:rPr>
        <w:t xml:space="preserve">hange. </w:t>
      </w:r>
      <w:r w:rsidRPr="00CD75B8">
        <w:rPr>
          <w:rFonts w:ascii="Times New Roman" w:eastAsia="Times New Roman" w:hAnsi="Times New Roman"/>
        </w:rPr>
        <w:t>A policy review of the programming standards was conducted in 2017, following the completion of the first year of project quality assurance roll-out. The results of this review were released in November 2017.</w:t>
      </w:r>
      <w:r w:rsidRPr="006B44C3">
        <w:rPr>
          <w:rFonts w:ascii="Times New Roman" w:hAnsi="Times New Roman"/>
        </w:rPr>
        <w:t xml:space="preserve"> In response to the policy review of the programming standards, the parameters of quality programming </w:t>
      </w:r>
      <w:r w:rsidR="004811C7">
        <w:rPr>
          <w:rFonts w:ascii="Times New Roman" w:hAnsi="Times New Roman"/>
        </w:rPr>
        <w:t xml:space="preserve">are currently </w:t>
      </w:r>
      <w:r w:rsidR="004811C7">
        <w:rPr>
          <w:rFonts w:ascii="Times New Roman" w:hAnsi="Times New Roman"/>
        </w:rPr>
        <w:lastRenderedPageBreak/>
        <w:t xml:space="preserve">being revised. </w:t>
      </w:r>
      <w:r w:rsidRPr="006B44C3">
        <w:rPr>
          <w:rFonts w:ascii="Times New Roman" w:hAnsi="Times New Roman"/>
        </w:rPr>
        <w:t xml:space="preserve">This is expected to be concluded in Q1 2018. Coherent RBM training modules were developed in 2017 and delivered through a series of trainings delivered with </w:t>
      </w:r>
      <w:r w:rsidR="004811C7">
        <w:rPr>
          <w:rFonts w:ascii="Times New Roman" w:hAnsi="Times New Roman"/>
        </w:rPr>
        <w:t xml:space="preserve">for example </w:t>
      </w:r>
      <w:r w:rsidRPr="006B44C3">
        <w:rPr>
          <w:rFonts w:ascii="Times New Roman" w:hAnsi="Times New Roman"/>
        </w:rPr>
        <w:t xml:space="preserve">Regional Bureaus, </w:t>
      </w:r>
      <w:r w:rsidR="004811C7">
        <w:rPr>
          <w:rFonts w:ascii="Times New Roman" w:hAnsi="Times New Roman"/>
        </w:rPr>
        <w:t xml:space="preserve">and </w:t>
      </w:r>
      <w:r w:rsidRPr="006B44C3">
        <w:rPr>
          <w:rFonts w:ascii="Times New Roman" w:hAnsi="Times New Roman"/>
        </w:rPr>
        <w:t>JPOs</w:t>
      </w:r>
      <w:r>
        <w:rPr>
          <w:rFonts w:ascii="Times New Roman" w:hAnsi="Times New Roman"/>
        </w:rPr>
        <w:t xml:space="preserve">. </w:t>
      </w:r>
      <w:r w:rsidRPr="006B44C3">
        <w:rPr>
          <w:rFonts w:ascii="Times New Roman" w:hAnsi="Times New Roman"/>
        </w:rPr>
        <w:t xml:space="preserve">The People Search function is ready to be introduced to staff in </w:t>
      </w:r>
      <w:r w:rsidR="00FA4A9F">
        <w:rPr>
          <w:rFonts w:ascii="Times New Roman" w:hAnsi="Times New Roman"/>
        </w:rPr>
        <w:t xml:space="preserve">Q2 </w:t>
      </w:r>
      <w:r w:rsidRPr="006B44C3">
        <w:rPr>
          <w:rFonts w:ascii="Times New Roman" w:hAnsi="Times New Roman"/>
        </w:rPr>
        <w:t>2018</w:t>
      </w:r>
      <w:r w:rsidR="00FA4A9F">
        <w:rPr>
          <w:rFonts w:ascii="Times New Roman" w:hAnsi="Times New Roman"/>
        </w:rPr>
        <w:t>, pending further definition of the policy function of the organization</w:t>
      </w:r>
      <w:r w:rsidRPr="006B44C3">
        <w:rPr>
          <w:rFonts w:ascii="Times New Roman" w:hAnsi="Times New Roman"/>
        </w:rPr>
        <w:t>. The past year has seen a 30% growth in users on UND</w:t>
      </w:r>
      <w:r>
        <w:rPr>
          <w:rFonts w:ascii="Times New Roman" w:hAnsi="Times New Roman"/>
        </w:rPr>
        <w:t>P’s social networking platform (</w:t>
      </w:r>
      <w:r w:rsidRPr="006B44C3">
        <w:rPr>
          <w:rFonts w:ascii="Times New Roman" w:hAnsi="Times New Roman"/>
        </w:rPr>
        <w:t>Yammer</w:t>
      </w:r>
      <w:r>
        <w:rPr>
          <w:rFonts w:ascii="Times New Roman" w:hAnsi="Times New Roman"/>
        </w:rPr>
        <w:t>)</w:t>
      </w:r>
      <w:r w:rsidR="004811C7">
        <w:rPr>
          <w:rFonts w:ascii="Times New Roman" w:hAnsi="Times New Roman"/>
        </w:rPr>
        <w:t>.</w:t>
      </w:r>
    </w:p>
    <w:p w14:paraId="7EFF4425" w14:textId="77777777" w:rsidR="00830431" w:rsidRPr="006B44C3" w:rsidRDefault="00830431" w:rsidP="00B1672C">
      <w:pPr>
        <w:tabs>
          <w:tab w:val="left" w:pos="360"/>
        </w:tabs>
        <w:spacing w:after="0"/>
        <w:contextualSpacing/>
        <w:jc w:val="both"/>
        <w:rPr>
          <w:rFonts w:ascii="Times New Roman" w:eastAsia="Times New Roman,Batang" w:hAnsi="Times New Roman"/>
          <w:b/>
          <w:bCs/>
          <w:lang w:eastAsia="ko-K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30431" w:rsidRPr="00CD75B8" w14:paraId="2633AABA" w14:textId="77777777" w:rsidTr="004248EC">
        <w:trPr>
          <w:tblCellSpacing w:w="15" w:type="dxa"/>
        </w:trPr>
        <w:tc>
          <w:tcPr>
            <w:tcW w:w="0" w:type="auto"/>
            <w:vAlign w:val="center"/>
            <w:hideMark/>
          </w:tcPr>
          <w:p w14:paraId="21E62C2A" w14:textId="77777777" w:rsidR="00830431" w:rsidRPr="00CD75B8" w:rsidRDefault="00830431" w:rsidP="00B1672C">
            <w:pPr>
              <w:spacing w:after="0"/>
              <w:rPr>
                <w:rFonts w:ascii="Times New Roman" w:eastAsia="Times New Roman" w:hAnsi="Times New Roman"/>
                <w:sz w:val="20"/>
                <w:szCs w:val="20"/>
              </w:rPr>
            </w:pPr>
          </w:p>
        </w:tc>
        <w:tc>
          <w:tcPr>
            <w:tcW w:w="0" w:type="auto"/>
            <w:vAlign w:val="center"/>
            <w:hideMark/>
          </w:tcPr>
          <w:p w14:paraId="16391051" w14:textId="77777777" w:rsidR="00830431" w:rsidRPr="00CD75B8" w:rsidRDefault="00830431" w:rsidP="00B1672C">
            <w:pPr>
              <w:spacing w:after="0"/>
              <w:rPr>
                <w:rFonts w:ascii="Times New Roman" w:eastAsia="Times New Roman" w:hAnsi="Times New Roman"/>
                <w:sz w:val="24"/>
                <w:szCs w:val="24"/>
              </w:rPr>
            </w:pPr>
          </w:p>
        </w:tc>
      </w:tr>
    </w:tbl>
    <w:p w14:paraId="272956FF" w14:textId="4CF4D11D" w:rsidR="00830431" w:rsidRPr="003372C2" w:rsidRDefault="00830431" w:rsidP="00B1672C">
      <w:pPr>
        <w:tabs>
          <w:tab w:val="left" w:pos="360"/>
        </w:tabs>
        <w:spacing w:after="0"/>
        <w:jc w:val="both"/>
        <w:rPr>
          <w:rFonts w:ascii="Times New Roman" w:eastAsia="Times New Roman,Batang" w:hAnsi="Times New Roman"/>
          <w:bCs/>
          <w:lang w:eastAsia="ko-KR"/>
        </w:rPr>
      </w:pPr>
      <w:r w:rsidRPr="00273252">
        <w:rPr>
          <w:rFonts w:ascii="Times New Roman" w:eastAsia="Times New Roman,Batang" w:hAnsi="Times New Roman"/>
          <w:bCs/>
          <w:lang w:eastAsia="ko-KR"/>
        </w:rPr>
        <w:t xml:space="preserve">The </w:t>
      </w:r>
      <w:r w:rsidRPr="00273252">
        <w:rPr>
          <w:rFonts w:ascii="Times New Roman" w:eastAsia="Times New Roman,Batang" w:hAnsi="Times New Roman"/>
          <w:b/>
          <w:bCs/>
          <w:lang w:eastAsia="ko-KR"/>
        </w:rPr>
        <w:t>Evaluation of the UNDP Strategic Plan and Global and Regional Programmes</w:t>
      </w:r>
      <w:r w:rsidRPr="00273252">
        <w:rPr>
          <w:rFonts w:ascii="Times New Roman" w:eastAsia="Times New Roman,Batang" w:hAnsi="Times New Roman"/>
          <w:bCs/>
          <w:lang w:eastAsia="ko-KR"/>
        </w:rPr>
        <w:t xml:space="preserve"> </w:t>
      </w:r>
      <w:r w:rsidR="00431894" w:rsidRPr="003372C2">
        <w:rPr>
          <w:rFonts w:ascii="Times New Roman" w:eastAsiaTheme="minorEastAsia" w:hAnsi="Times New Roman"/>
        </w:rPr>
        <w:t>provided critical guidance to UNDP in the selection of its future priorities and business model and processes</w:t>
      </w:r>
      <w:r w:rsidR="00431894">
        <w:rPr>
          <w:rFonts w:ascii="Times New Roman" w:eastAsiaTheme="minorEastAsia" w:hAnsi="Times New Roman"/>
        </w:rPr>
        <w:t>, and in the development of the Strategic Plan 2018-21</w:t>
      </w:r>
      <w:r w:rsidR="00431894" w:rsidRPr="003372C2">
        <w:rPr>
          <w:rFonts w:ascii="Times New Roman" w:eastAsiaTheme="minorEastAsia" w:hAnsi="Times New Roman"/>
        </w:rPr>
        <w:t>.</w:t>
      </w:r>
      <w:r w:rsidR="00431894">
        <w:rPr>
          <w:rFonts w:ascii="Times New Roman" w:eastAsiaTheme="minorEastAsia" w:hAnsi="Times New Roman"/>
        </w:rPr>
        <w:t xml:space="preserve"> In response to the </w:t>
      </w:r>
      <w:r w:rsidRPr="003372C2">
        <w:rPr>
          <w:rFonts w:ascii="Times New Roman" w:eastAsia="Times New Roman,Batang" w:hAnsi="Times New Roman"/>
          <w:bCs/>
          <w:lang w:eastAsia="ko-KR"/>
        </w:rPr>
        <w:t xml:space="preserve">16 recommendations, UNDP </w:t>
      </w:r>
      <w:r w:rsidR="000B621B">
        <w:rPr>
          <w:rFonts w:ascii="Times New Roman" w:eastAsia="Times New Roman,Batang" w:hAnsi="Times New Roman"/>
          <w:bCs/>
          <w:lang w:eastAsia="ko-KR"/>
        </w:rPr>
        <w:t>committed to implement</w:t>
      </w:r>
      <w:r w:rsidRPr="003372C2">
        <w:rPr>
          <w:rFonts w:ascii="Times New Roman" w:eastAsia="Times New Roman,Batang" w:hAnsi="Times New Roman"/>
          <w:bCs/>
          <w:lang w:eastAsia="ko-KR"/>
        </w:rPr>
        <w:t xml:space="preserve"> 29 key actions</w:t>
      </w:r>
      <w:r w:rsidR="00431894">
        <w:rPr>
          <w:rFonts w:ascii="Times New Roman" w:eastAsia="Times New Roman,Batang" w:hAnsi="Times New Roman"/>
          <w:bCs/>
          <w:lang w:eastAsia="ko-KR"/>
        </w:rPr>
        <w:t xml:space="preserve">, out of which </w:t>
      </w:r>
      <w:r w:rsidR="0098448D">
        <w:rPr>
          <w:rFonts w:ascii="Times New Roman" w:eastAsia="Times New Roman,Batang" w:hAnsi="Times New Roman"/>
          <w:bCs/>
          <w:lang w:eastAsia="ko-KR"/>
        </w:rPr>
        <w:t xml:space="preserve">3 </w:t>
      </w:r>
      <w:r w:rsidRPr="003372C2">
        <w:rPr>
          <w:rFonts w:ascii="Times New Roman" w:eastAsia="Times New Roman,Batang" w:hAnsi="Times New Roman"/>
          <w:bCs/>
          <w:lang w:eastAsia="ko-KR"/>
        </w:rPr>
        <w:t xml:space="preserve">(10%) have been completed, 21 are ongoing and 5 have not yet been initiated. </w:t>
      </w:r>
      <w:r w:rsidRPr="003372C2">
        <w:rPr>
          <w:rFonts w:ascii="Times New Roman" w:hAnsi="Times New Roman"/>
        </w:rPr>
        <w:t>One</w:t>
      </w:r>
      <w:r>
        <w:rPr>
          <w:rFonts w:ascii="Times New Roman" w:hAnsi="Times New Roman"/>
        </w:rPr>
        <w:t xml:space="preserve"> result</w:t>
      </w:r>
      <w:r w:rsidRPr="003372C2">
        <w:rPr>
          <w:rFonts w:ascii="Times New Roman" w:hAnsi="Times New Roman"/>
        </w:rPr>
        <w:t xml:space="preserve"> achieved thus far </w:t>
      </w:r>
      <w:r w:rsidR="000B621B">
        <w:rPr>
          <w:rFonts w:ascii="Times New Roman" w:hAnsi="Times New Roman"/>
        </w:rPr>
        <w:t>is</w:t>
      </w:r>
      <w:r w:rsidRPr="003372C2">
        <w:rPr>
          <w:rFonts w:ascii="Times New Roman" w:hAnsi="Times New Roman"/>
        </w:rPr>
        <w:t xml:space="preserve"> that the global programme has been converted into a service line</w:t>
      </w:r>
      <w:r>
        <w:rPr>
          <w:rFonts w:ascii="Times New Roman" w:hAnsi="Times New Roman"/>
        </w:rPr>
        <w:t xml:space="preserve"> to support staff positions at global and regional levels</w:t>
      </w:r>
      <w:r w:rsidRPr="003372C2">
        <w:rPr>
          <w:rFonts w:ascii="Times New Roman" w:hAnsi="Times New Roman"/>
        </w:rPr>
        <w:t xml:space="preserve">. </w:t>
      </w:r>
    </w:p>
    <w:p w14:paraId="71836C00" w14:textId="73CBBCAE" w:rsidR="00F42205" w:rsidRDefault="00F42205" w:rsidP="00B1672C">
      <w:pPr>
        <w:tabs>
          <w:tab w:val="left" w:pos="360"/>
        </w:tabs>
        <w:spacing w:after="0"/>
        <w:contextualSpacing/>
        <w:jc w:val="both"/>
        <w:rPr>
          <w:rFonts w:ascii="Times New Roman" w:eastAsia="Times New Roman,Batang" w:hAnsi="Times New Roman"/>
          <w:b/>
          <w:bCs/>
          <w:lang w:eastAsia="ko-KR"/>
        </w:rPr>
      </w:pPr>
    </w:p>
    <w:p w14:paraId="496B2F04" w14:textId="77777777" w:rsidR="00830431" w:rsidRDefault="00830431" w:rsidP="00B1672C">
      <w:pPr>
        <w:tabs>
          <w:tab w:val="left" w:pos="360"/>
        </w:tabs>
        <w:spacing w:after="0"/>
        <w:contextualSpacing/>
        <w:jc w:val="both"/>
        <w:rPr>
          <w:rFonts w:ascii="Times New Roman" w:eastAsia="Times New Roman,Batang" w:hAnsi="Times New Roman"/>
          <w:i/>
          <w:iCs/>
          <w:lang w:eastAsia="ko-KR"/>
        </w:rPr>
      </w:pPr>
      <w:r w:rsidRPr="00B24A61">
        <w:rPr>
          <w:rFonts w:ascii="Times New Roman" w:eastAsia="Times New Roman,Batang" w:hAnsi="Times New Roman"/>
          <w:i/>
          <w:iCs/>
          <w:lang w:eastAsia="ko-KR"/>
        </w:rPr>
        <w:t>Status of Management Response commitments for themat</w:t>
      </w:r>
      <w:r>
        <w:rPr>
          <w:rFonts w:ascii="Times New Roman" w:eastAsia="Times New Roman,Batang" w:hAnsi="Times New Roman"/>
          <w:i/>
          <w:iCs/>
          <w:lang w:eastAsia="ko-KR"/>
        </w:rPr>
        <w:t>ic evaluations completed in 2016</w:t>
      </w:r>
    </w:p>
    <w:p w14:paraId="2FF77642" w14:textId="77777777" w:rsidR="00830431" w:rsidRPr="00B24A61" w:rsidRDefault="00830431" w:rsidP="00B1672C">
      <w:pPr>
        <w:tabs>
          <w:tab w:val="left" w:pos="360"/>
        </w:tabs>
        <w:spacing w:after="0"/>
        <w:contextualSpacing/>
        <w:jc w:val="both"/>
        <w:rPr>
          <w:rFonts w:ascii="Times New Roman" w:eastAsia="Times New Roman,Batang" w:hAnsi="Times New Roman"/>
          <w:i/>
          <w:iCs/>
          <w:lang w:eastAsia="ko-KR"/>
        </w:rPr>
      </w:pPr>
    </w:p>
    <w:p w14:paraId="43809898" w14:textId="216422F8" w:rsidR="00830431" w:rsidRPr="00361E09" w:rsidRDefault="00830431" w:rsidP="00B1672C">
      <w:pPr>
        <w:tabs>
          <w:tab w:val="left" w:pos="360"/>
        </w:tabs>
        <w:spacing w:after="0"/>
        <w:contextualSpacing/>
        <w:jc w:val="both"/>
        <w:rPr>
          <w:rFonts w:ascii="Times New Roman" w:eastAsia="Times New Roman,Batang" w:hAnsi="Times New Roman"/>
          <w:b/>
          <w:bCs/>
          <w:lang w:eastAsia="ko-KR"/>
        </w:rPr>
      </w:pPr>
      <w:r w:rsidRPr="00361E09">
        <w:rPr>
          <w:rFonts w:ascii="Times New Roman" w:eastAsia="Times New Roman,Batang" w:hAnsi="Times New Roman"/>
          <w:bCs/>
          <w:lang w:eastAsia="ko-KR"/>
        </w:rPr>
        <w:t xml:space="preserve">The </w:t>
      </w:r>
      <w:r w:rsidRPr="00361E09">
        <w:rPr>
          <w:rFonts w:ascii="Times New Roman" w:eastAsia="Times New Roman,Batang" w:hAnsi="Times New Roman"/>
          <w:b/>
          <w:bCs/>
          <w:lang w:eastAsia="ko-KR"/>
        </w:rPr>
        <w:t>Evaluation of UNDP support to disability-inclusive development</w:t>
      </w:r>
      <w:r w:rsidRPr="00361E09">
        <w:rPr>
          <w:rFonts w:ascii="Times New Roman" w:eastAsia="Times New Roman,Batang" w:hAnsi="Times New Roman"/>
          <w:bCs/>
          <w:lang w:eastAsia="ko-KR"/>
        </w:rPr>
        <w:t xml:space="preserve"> </w:t>
      </w:r>
      <w:r w:rsidRPr="00361E09">
        <w:rPr>
          <w:rFonts w:ascii="Times New Roman" w:eastAsiaTheme="minorHAnsi" w:hAnsi="Times New Roman"/>
          <w:color w:val="000000"/>
        </w:rPr>
        <w:t xml:space="preserve">had 16 recommendations, to which UNDP committed to implement </w:t>
      </w:r>
      <w:r w:rsidRPr="00361E09">
        <w:rPr>
          <w:rFonts w:ascii="Times New Roman" w:eastAsia="Times New Roman,Batang" w:hAnsi="Times New Roman"/>
          <w:bCs/>
          <w:lang w:eastAsia="ko-KR"/>
        </w:rPr>
        <w:t>31 key actions. 5 (16%) have been completed, 21 are ongoing and 4 have not yet been initiated.</w:t>
      </w:r>
      <w:r w:rsidRPr="00361E09">
        <w:rPr>
          <w:rFonts w:ascii="Times New Roman" w:eastAsia="Times New Roman,Batang" w:hAnsi="Times New Roman"/>
          <w:b/>
          <w:bCs/>
          <w:lang w:eastAsia="ko-KR"/>
        </w:rPr>
        <w:t xml:space="preserve"> </w:t>
      </w:r>
      <w:r w:rsidRPr="00361E09">
        <w:rPr>
          <w:rFonts w:ascii="Times New Roman" w:hAnsi="Times New Roman"/>
        </w:rPr>
        <w:t>UNDP Strategic Plan 2018-2021 identifies persons with disabilities</w:t>
      </w:r>
      <w:r>
        <w:rPr>
          <w:rFonts w:ascii="Times New Roman" w:hAnsi="Times New Roman"/>
        </w:rPr>
        <w:t xml:space="preserve"> </w:t>
      </w:r>
      <w:r w:rsidRPr="00361E09">
        <w:rPr>
          <w:rFonts w:ascii="Times New Roman" w:hAnsi="Times New Roman"/>
        </w:rPr>
        <w:t xml:space="preserve">as a critical target group in its multi-sectoral integrated poverty eradication efforts, as well as the inclusion of civil society representing persons with disability to implement the 2030 </w:t>
      </w:r>
      <w:r>
        <w:rPr>
          <w:rFonts w:ascii="Times New Roman" w:hAnsi="Times New Roman"/>
        </w:rPr>
        <w:t>Agenda and in mechanisms for</w:t>
      </w:r>
      <w:r w:rsidRPr="00361E09">
        <w:rPr>
          <w:rFonts w:ascii="Times New Roman" w:hAnsi="Times New Roman"/>
        </w:rPr>
        <w:t xml:space="preserve"> peaceful resolution of conflict and advancing social cohesion. UNDP has developed internal tools on how to align employment and livelihoods improvement with the Convention on the Rights of Persons with Disabilities. During 2017 a policy document was developed entitled “Ensuring the Participation of People with Intellectual and/or Psychosocial Disabilities in Political and Public Life’. By Decembe</w:t>
      </w:r>
      <w:r>
        <w:rPr>
          <w:rFonts w:ascii="Times New Roman" w:hAnsi="Times New Roman"/>
        </w:rPr>
        <w:t>r 2017 and annually thereafter t</w:t>
      </w:r>
      <w:r w:rsidRPr="00361E09">
        <w:rPr>
          <w:rFonts w:ascii="Times New Roman" w:hAnsi="Times New Roman"/>
        </w:rPr>
        <w:t xml:space="preserve">he Human Impact assessment guidelines </w:t>
      </w:r>
      <w:r>
        <w:rPr>
          <w:rFonts w:ascii="Times New Roman" w:hAnsi="Times New Roman"/>
        </w:rPr>
        <w:t>will include</w:t>
      </w:r>
      <w:r w:rsidRPr="00361E09">
        <w:rPr>
          <w:rFonts w:ascii="Times New Roman" w:hAnsi="Times New Roman"/>
        </w:rPr>
        <w:t xml:space="preserve"> a section on assessing impacts of people living with disabilities. The UNDP’s Social and Environmental Standards will </w:t>
      </w:r>
      <w:r w:rsidR="00896133">
        <w:rPr>
          <w:rFonts w:ascii="Times New Roman" w:hAnsi="Times New Roman"/>
        </w:rPr>
        <w:t>be updated</w:t>
      </w:r>
      <w:r w:rsidRPr="00361E09">
        <w:rPr>
          <w:rFonts w:ascii="Times New Roman" w:hAnsi="Times New Roman"/>
        </w:rPr>
        <w:t xml:space="preserve"> in 2018 to ensure greater alignment with the evolving UN common approach to socia</w:t>
      </w:r>
      <w:r>
        <w:rPr>
          <w:rFonts w:ascii="Times New Roman" w:hAnsi="Times New Roman"/>
        </w:rPr>
        <w:t xml:space="preserve">l and environmental safeguards and </w:t>
      </w:r>
      <w:r w:rsidRPr="00361E09">
        <w:rPr>
          <w:rFonts w:ascii="Times New Roman" w:hAnsi="Times New Roman"/>
        </w:rPr>
        <w:t xml:space="preserve">that disability inclusion is addressed. </w:t>
      </w:r>
      <w:r w:rsidR="00896133">
        <w:rPr>
          <w:rFonts w:ascii="Times New Roman" w:hAnsi="Times New Roman"/>
        </w:rPr>
        <w:t>T</w:t>
      </w:r>
      <w:r w:rsidRPr="00361E09">
        <w:rPr>
          <w:rFonts w:ascii="Times New Roman" w:hAnsi="Times New Roman"/>
        </w:rPr>
        <w:t xml:space="preserve">he first draft guidance note on reasonable accommodation </w:t>
      </w:r>
      <w:r w:rsidR="00FA6F0F">
        <w:rPr>
          <w:rFonts w:ascii="Times New Roman" w:hAnsi="Times New Roman"/>
        </w:rPr>
        <w:t>has been</w:t>
      </w:r>
      <w:r w:rsidRPr="00361E09">
        <w:rPr>
          <w:rFonts w:ascii="Times New Roman" w:hAnsi="Times New Roman"/>
        </w:rPr>
        <w:t xml:space="preserve"> prepared in the context of the new talent programme for </w:t>
      </w:r>
      <w:r>
        <w:rPr>
          <w:rFonts w:ascii="Times New Roman" w:hAnsi="Times New Roman"/>
        </w:rPr>
        <w:t xml:space="preserve">persons with disabilities </w:t>
      </w:r>
      <w:r w:rsidRPr="00361E09">
        <w:rPr>
          <w:rFonts w:ascii="Times New Roman" w:hAnsi="Times New Roman"/>
        </w:rPr>
        <w:t>and will be piloted as part of the programme in 2018. A review of HR polices has</w:t>
      </w:r>
      <w:r w:rsidR="00896133">
        <w:rPr>
          <w:rFonts w:ascii="Times New Roman" w:hAnsi="Times New Roman"/>
        </w:rPr>
        <w:t xml:space="preserve"> furthermore</w:t>
      </w:r>
      <w:r w:rsidRPr="00361E09">
        <w:rPr>
          <w:rFonts w:ascii="Times New Roman" w:hAnsi="Times New Roman"/>
        </w:rPr>
        <w:t xml:space="preserve"> been completed by the Nati</w:t>
      </w:r>
      <w:r w:rsidR="00896133">
        <w:rPr>
          <w:rFonts w:ascii="Times New Roman" w:hAnsi="Times New Roman"/>
        </w:rPr>
        <w:t>onal Organization on Disability, which UNDP partnered with to advance inclusion of</w:t>
      </w:r>
      <w:r w:rsidRPr="00361E09">
        <w:rPr>
          <w:rFonts w:ascii="Times New Roman" w:hAnsi="Times New Roman"/>
        </w:rPr>
        <w:t xml:space="preserve"> </w:t>
      </w:r>
      <w:r>
        <w:rPr>
          <w:rFonts w:ascii="Times New Roman" w:hAnsi="Times New Roman"/>
        </w:rPr>
        <w:t>persons with disabilities</w:t>
      </w:r>
      <w:r w:rsidRPr="00361E09">
        <w:rPr>
          <w:rFonts w:ascii="Times New Roman" w:hAnsi="Times New Roman"/>
        </w:rPr>
        <w:t xml:space="preserve">. </w:t>
      </w:r>
    </w:p>
    <w:p w14:paraId="376AD829" w14:textId="77777777" w:rsidR="00830431" w:rsidRDefault="00830431" w:rsidP="00B1672C">
      <w:pPr>
        <w:tabs>
          <w:tab w:val="left" w:pos="360"/>
        </w:tabs>
        <w:spacing w:after="0"/>
        <w:contextualSpacing/>
        <w:jc w:val="both"/>
        <w:rPr>
          <w:rFonts w:ascii="Times New Roman" w:eastAsia="Times New Roman,Batang" w:hAnsi="Times New Roman"/>
          <w:b/>
          <w:bCs/>
          <w:lang w:eastAsia="ko-KR"/>
        </w:rPr>
      </w:pPr>
    </w:p>
    <w:p w14:paraId="670F2CE6" w14:textId="18205530" w:rsidR="00F42205" w:rsidRPr="00830431" w:rsidRDefault="00830431" w:rsidP="00B1672C">
      <w:pPr>
        <w:spacing w:after="0"/>
        <w:jc w:val="both"/>
        <w:rPr>
          <w:rFonts w:ascii="Times New Roman" w:eastAsia="Times New Roman" w:hAnsi="Times New Roman"/>
          <w:color w:val="000000"/>
        </w:rPr>
      </w:pPr>
      <w:r>
        <w:rPr>
          <w:rFonts w:ascii="Times New Roman" w:eastAsia="Times New Roman,Batang" w:hAnsi="Times New Roman"/>
          <w:bCs/>
          <w:lang w:eastAsia="ko-KR"/>
        </w:rPr>
        <w:t>T</w:t>
      </w:r>
      <w:r w:rsidRPr="0087053C">
        <w:rPr>
          <w:rFonts w:ascii="Times New Roman" w:eastAsia="Times New Roman,Batang" w:hAnsi="Times New Roman"/>
          <w:bCs/>
          <w:lang w:eastAsia="ko-KR"/>
        </w:rPr>
        <w:t xml:space="preserve">he </w:t>
      </w:r>
      <w:r w:rsidRPr="0087053C">
        <w:rPr>
          <w:rFonts w:ascii="Times New Roman" w:eastAsia="Times New Roman,Batang" w:hAnsi="Times New Roman"/>
          <w:b/>
          <w:bCs/>
          <w:lang w:eastAsia="ko-KR"/>
        </w:rPr>
        <w:t>Evaluation of UNDP contribution to anti-corruption and a</w:t>
      </w:r>
      <w:r>
        <w:rPr>
          <w:rFonts w:ascii="Times New Roman" w:eastAsia="Times New Roman,Batang" w:hAnsi="Times New Roman"/>
          <w:b/>
          <w:bCs/>
          <w:lang w:eastAsia="ko-KR"/>
        </w:rPr>
        <w:t xml:space="preserve">ddressing drivers of corruption </w:t>
      </w:r>
      <w:r>
        <w:rPr>
          <w:rFonts w:ascii="Times New Roman" w:eastAsia="Times New Roman,Batang" w:hAnsi="Times New Roman"/>
          <w:bCs/>
          <w:lang w:eastAsia="ko-KR"/>
        </w:rPr>
        <w:t>provided</w:t>
      </w:r>
      <w:r w:rsidRPr="0087053C">
        <w:rPr>
          <w:rFonts w:ascii="Times New Roman" w:eastAsia="Times New Roman,Batang" w:hAnsi="Times New Roman"/>
          <w:b/>
          <w:bCs/>
          <w:lang w:eastAsia="ko-KR"/>
        </w:rPr>
        <w:t xml:space="preserve"> </w:t>
      </w:r>
      <w:r w:rsidRPr="0087053C">
        <w:rPr>
          <w:rFonts w:ascii="Times New Roman" w:eastAsia="Times New Roman,Batang" w:hAnsi="Times New Roman"/>
          <w:bCs/>
          <w:lang w:eastAsia="ko-KR"/>
        </w:rPr>
        <w:t>UNDP</w:t>
      </w:r>
      <w:r>
        <w:rPr>
          <w:rFonts w:ascii="Times New Roman" w:eastAsia="Times New Roman,Batang" w:hAnsi="Times New Roman"/>
          <w:bCs/>
          <w:lang w:eastAsia="ko-KR"/>
        </w:rPr>
        <w:t xml:space="preserve"> with 7 </w:t>
      </w:r>
      <w:r w:rsidRPr="00FF0EB8">
        <w:rPr>
          <w:rFonts w:ascii="Times New Roman" w:eastAsia="Times New Roman,Batang" w:hAnsi="Times New Roman"/>
          <w:bCs/>
          <w:lang w:eastAsia="ko-KR"/>
        </w:rPr>
        <w:t>recommendations, to which UNDP committed to implement 15 key actions. 4 (27%) have been completed, while the other 11 are ongoing.</w:t>
      </w:r>
      <w:r w:rsidRPr="00FF0EB8">
        <w:rPr>
          <w:rFonts w:ascii="Times New Roman" w:eastAsia="Times New Roman,Batang" w:hAnsi="Times New Roman"/>
          <w:b/>
          <w:bCs/>
          <w:lang w:eastAsia="ko-KR"/>
        </w:rPr>
        <w:t xml:space="preserve"> </w:t>
      </w:r>
      <w:r w:rsidR="009949BE">
        <w:rPr>
          <w:rFonts w:ascii="Times New Roman" w:eastAsia="Times New Roman,Batang" w:hAnsi="Times New Roman"/>
          <w:bCs/>
          <w:lang w:eastAsia="ko-KR"/>
        </w:rPr>
        <w:t>Anti-corruption is included in t</w:t>
      </w:r>
      <w:r w:rsidRPr="00FF0EB8">
        <w:rPr>
          <w:rFonts w:ascii="Times New Roman" w:eastAsia="Times New Roman,Batang" w:hAnsi="Times New Roman"/>
          <w:bCs/>
          <w:lang w:eastAsia="ko-KR"/>
        </w:rPr>
        <w:t>he Strategic Plan</w:t>
      </w:r>
      <w:r>
        <w:rPr>
          <w:rFonts w:ascii="Times New Roman" w:eastAsia="Times New Roman,Batang" w:hAnsi="Times New Roman"/>
          <w:bCs/>
          <w:lang w:eastAsia="ko-KR"/>
        </w:rPr>
        <w:t xml:space="preserve"> 2018-21</w:t>
      </w:r>
      <w:r w:rsidRPr="00FF0EB8">
        <w:rPr>
          <w:rFonts w:ascii="Times New Roman" w:eastAsia="Times New Roman,Batang" w:hAnsi="Times New Roman"/>
          <w:bCs/>
          <w:lang w:eastAsia="ko-KR"/>
        </w:rPr>
        <w:t xml:space="preserve"> and </w:t>
      </w:r>
      <w:r w:rsidRPr="00FF0EB8">
        <w:rPr>
          <w:rFonts w:ascii="Times New Roman" w:eastAsia="Times New Roman" w:hAnsi="Times New Roman"/>
          <w:color w:val="000000"/>
        </w:rPr>
        <w:t>anti-corruption targets</w:t>
      </w:r>
      <w:r w:rsidR="009949BE">
        <w:rPr>
          <w:rFonts w:ascii="Times New Roman" w:eastAsia="Times New Roman" w:hAnsi="Times New Roman"/>
          <w:color w:val="000000"/>
        </w:rPr>
        <w:t xml:space="preserve"> have been</w:t>
      </w:r>
      <w:r w:rsidRPr="00915964">
        <w:rPr>
          <w:rFonts w:ascii="Times New Roman" w:eastAsia="Times New Roman" w:hAnsi="Times New Roman"/>
          <w:color w:val="000000"/>
        </w:rPr>
        <w:t xml:space="preserve"> integrated in</w:t>
      </w:r>
      <w:r w:rsidR="009949BE">
        <w:rPr>
          <w:rFonts w:ascii="Times New Roman" w:eastAsia="Times New Roman" w:hAnsi="Times New Roman"/>
          <w:color w:val="000000"/>
        </w:rPr>
        <w:t>to the SP</w:t>
      </w:r>
      <w:r w:rsidRPr="00915964">
        <w:rPr>
          <w:rFonts w:ascii="Times New Roman" w:eastAsia="Times New Roman" w:hAnsi="Times New Roman"/>
          <w:color w:val="000000"/>
        </w:rPr>
        <w:t xml:space="preserve"> IRRF and the </w:t>
      </w:r>
      <w:r w:rsidR="009949BE">
        <w:rPr>
          <w:rFonts w:ascii="Times New Roman" w:eastAsia="Times New Roman" w:hAnsi="Times New Roman"/>
          <w:color w:val="000000"/>
        </w:rPr>
        <w:t>results frameworks</w:t>
      </w:r>
      <w:r w:rsidRPr="0087053C">
        <w:rPr>
          <w:rFonts w:ascii="Times New Roman" w:eastAsia="Times New Roman" w:hAnsi="Times New Roman"/>
          <w:color w:val="000000"/>
        </w:rPr>
        <w:t xml:space="preserve"> of the regional programmes.</w:t>
      </w:r>
      <w:r w:rsidRPr="0087053C">
        <w:rPr>
          <w:rFonts w:ascii="Times New Roman" w:hAnsi="Times New Roman"/>
        </w:rPr>
        <w:t xml:space="preserve"> Anti-corruption has also bee</w:t>
      </w:r>
      <w:r>
        <w:rPr>
          <w:rFonts w:ascii="Times New Roman" w:hAnsi="Times New Roman"/>
        </w:rPr>
        <w:t>n integrated in</w:t>
      </w:r>
      <w:r w:rsidR="00645D8B">
        <w:rPr>
          <w:rFonts w:ascii="Times New Roman" w:hAnsi="Times New Roman"/>
        </w:rPr>
        <w:t>to the</w:t>
      </w:r>
      <w:r>
        <w:rPr>
          <w:rFonts w:ascii="Times New Roman" w:hAnsi="Times New Roman"/>
        </w:rPr>
        <w:t xml:space="preserve"> MAPS approach</w:t>
      </w:r>
      <w:r w:rsidR="00645D8B">
        <w:rPr>
          <w:rFonts w:ascii="Times New Roman" w:hAnsi="Times New Roman"/>
        </w:rPr>
        <w:t>,</w:t>
      </w:r>
      <w:r>
        <w:rPr>
          <w:rFonts w:ascii="Times New Roman" w:hAnsi="Times New Roman"/>
        </w:rPr>
        <w:t xml:space="preserve"> and </w:t>
      </w:r>
      <w:r>
        <w:rPr>
          <w:rFonts w:ascii="Times New Roman" w:eastAsia="Times New Roman" w:hAnsi="Times New Roman"/>
          <w:color w:val="000000"/>
        </w:rPr>
        <w:t>UNDP together with other UN partners aim</w:t>
      </w:r>
      <w:r w:rsidRPr="00915964">
        <w:rPr>
          <w:rFonts w:ascii="Times New Roman" w:eastAsia="Times New Roman" w:hAnsi="Times New Roman"/>
          <w:color w:val="000000"/>
        </w:rPr>
        <w:t xml:space="preserve"> to integrate anti-corruption into national </w:t>
      </w:r>
      <w:r>
        <w:rPr>
          <w:rFonts w:ascii="Times New Roman" w:eastAsia="Times New Roman" w:hAnsi="Times New Roman"/>
          <w:color w:val="000000"/>
        </w:rPr>
        <w:t>plans and development processes</w:t>
      </w:r>
      <w:r w:rsidRPr="00915964">
        <w:rPr>
          <w:rFonts w:ascii="Times New Roman" w:eastAsia="Times New Roman" w:hAnsi="Times New Roman"/>
          <w:color w:val="000000"/>
        </w:rPr>
        <w:t xml:space="preserve"> through UNDAFs and other country-level UN programmes and projects.</w:t>
      </w:r>
      <w:r w:rsidRPr="006B2C93">
        <w:rPr>
          <w:rFonts w:ascii="Times New Roman" w:eastAsia="Times New Roman" w:hAnsi="Times New Roman"/>
          <w:color w:val="000000"/>
        </w:rPr>
        <w:t xml:space="preserve"> </w:t>
      </w:r>
      <w:r w:rsidRPr="006B2C93">
        <w:rPr>
          <w:rFonts w:ascii="Times New Roman" w:hAnsi="Times New Roman"/>
        </w:rPr>
        <w:t>Within the context of UNDP work on the SDG indicators (particularly for goal 16), the guide for measuring corruption for SDGs 16.5.1 and 16.5.2 have been finalized together with UNODC.</w:t>
      </w:r>
      <w:r w:rsidR="00645D8B">
        <w:rPr>
          <w:rFonts w:ascii="Times New Roman" w:hAnsi="Times New Roman"/>
        </w:rPr>
        <w:t xml:space="preserve"> Seven</w:t>
      </w:r>
      <w:r w:rsidRPr="006B2C93">
        <w:rPr>
          <w:rFonts w:ascii="Times New Roman" w:hAnsi="Times New Roman"/>
        </w:rPr>
        <w:t xml:space="preserve"> country level projects linked to anti-</w:t>
      </w:r>
      <w:r w:rsidRPr="006B2C93">
        <w:rPr>
          <w:rFonts w:ascii="Times New Roman" w:hAnsi="Times New Roman"/>
        </w:rPr>
        <w:lastRenderedPageBreak/>
        <w:t xml:space="preserve">corruption and governance integrity diagnostics and measurement are supported by the global </w:t>
      </w:r>
      <w:r w:rsidRPr="006B2C93">
        <w:rPr>
          <w:rStyle w:val="st"/>
          <w:rFonts w:ascii="Times New Roman" w:hAnsi="Times New Roman"/>
        </w:rPr>
        <w:t>Anti-Corruption for Peaceful and Inclusive Societies (</w:t>
      </w:r>
      <w:r w:rsidRPr="006B2C93">
        <w:rPr>
          <w:rFonts w:ascii="Times New Roman" w:hAnsi="Times New Roman"/>
        </w:rPr>
        <w:t>ACPIS) programme.</w:t>
      </w:r>
    </w:p>
    <w:p w14:paraId="27883690" w14:textId="77777777" w:rsidR="00F42205" w:rsidRPr="004D5BD2" w:rsidRDefault="00F42205" w:rsidP="00B1672C">
      <w:pPr>
        <w:tabs>
          <w:tab w:val="left" w:pos="360"/>
        </w:tabs>
        <w:spacing w:after="0"/>
        <w:contextualSpacing/>
        <w:jc w:val="both"/>
        <w:rPr>
          <w:rFonts w:ascii="Times New Roman" w:eastAsia="Times New Roman,Batang" w:hAnsi="Times New Roman"/>
          <w:b/>
          <w:bCs/>
          <w:lang w:eastAsia="ko-KR"/>
        </w:rPr>
      </w:pPr>
    </w:p>
    <w:p w14:paraId="2E47D99A" w14:textId="65ACE947" w:rsidR="00D11CA7" w:rsidRDefault="00D11CA7" w:rsidP="00B1672C">
      <w:pPr>
        <w:tabs>
          <w:tab w:val="left" w:pos="360"/>
        </w:tabs>
        <w:spacing w:after="0"/>
        <w:contextualSpacing/>
        <w:jc w:val="both"/>
        <w:rPr>
          <w:rFonts w:ascii="Times New Roman" w:eastAsia="Times New Roman,Batang" w:hAnsi="Times New Roman"/>
          <w:i/>
          <w:iCs/>
          <w:lang w:eastAsia="ko-KR"/>
        </w:rPr>
      </w:pPr>
      <w:r w:rsidRPr="002F2B3C">
        <w:rPr>
          <w:rFonts w:ascii="Times New Roman" w:eastAsia="Times New Roman,Batang" w:hAnsi="Times New Roman"/>
          <w:i/>
          <w:iCs/>
          <w:lang w:eastAsia="ko-KR"/>
        </w:rPr>
        <w:t>Status of Management Response commitments for themati</w:t>
      </w:r>
      <w:r w:rsidR="00FA17CB">
        <w:rPr>
          <w:rFonts w:ascii="Times New Roman" w:eastAsia="Times New Roman,Batang" w:hAnsi="Times New Roman"/>
          <w:i/>
          <w:iCs/>
          <w:lang w:eastAsia="ko-KR"/>
        </w:rPr>
        <w:t>c evaluations completed in 2015</w:t>
      </w:r>
    </w:p>
    <w:p w14:paraId="6411693C" w14:textId="77777777" w:rsidR="00D364D2" w:rsidRPr="002F2B3C" w:rsidRDefault="00D364D2" w:rsidP="00B1672C">
      <w:pPr>
        <w:tabs>
          <w:tab w:val="left" w:pos="360"/>
        </w:tabs>
        <w:spacing w:after="0"/>
        <w:contextualSpacing/>
        <w:jc w:val="both"/>
        <w:rPr>
          <w:rFonts w:ascii="Times New Roman" w:eastAsia="Times New Roman,Batang" w:hAnsi="Times New Roman"/>
          <w:i/>
          <w:iCs/>
          <w:lang w:eastAsia="ko-KR"/>
        </w:rPr>
      </w:pPr>
    </w:p>
    <w:p w14:paraId="110DB859" w14:textId="06B5FB1F" w:rsidR="00D11CA7" w:rsidRPr="002F2B3C" w:rsidRDefault="00D11CA7" w:rsidP="00B1672C">
      <w:pPr>
        <w:pStyle w:val="ListParagraph"/>
        <w:autoSpaceDE w:val="0"/>
        <w:autoSpaceDN w:val="0"/>
        <w:adjustRightInd w:val="0"/>
        <w:spacing w:after="0"/>
        <w:ind w:left="0"/>
        <w:contextualSpacing w:val="0"/>
        <w:jc w:val="both"/>
        <w:rPr>
          <w:rFonts w:ascii="Times New Roman" w:eastAsia="Times New Roman" w:hAnsi="Times New Roman"/>
          <w:color w:val="FF0000"/>
        </w:rPr>
      </w:pPr>
      <w:r w:rsidRPr="002F2B3C">
        <w:rPr>
          <w:rFonts w:ascii="Times New Roman" w:eastAsia="Times New Roman,Batang" w:hAnsi="Times New Roman"/>
          <w:lang w:val="en-GB" w:eastAsia="ko-KR"/>
        </w:rPr>
        <w:t xml:space="preserve">The </w:t>
      </w:r>
      <w:r w:rsidRPr="002F2B3C">
        <w:rPr>
          <w:rFonts w:ascii="Times New Roman" w:eastAsia="Times New Roman,Batang" w:hAnsi="Times New Roman"/>
          <w:b/>
          <w:bCs/>
          <w:lang w:val="en-GB" w:eastAsia="ko-KR"/>
        </w:rPr>
        <w:t xml:space="preserve">Evaluation of the Role of UNDP in Supporting National Achievement of the Millennium Development Goals </w:t>
      </w:r>
      <w:r w:rsidRPr="002F2B3C">
        <w:rPr>
          <w:rFonts w:ascii="Times New Roman" w:eastAsia="Times New Roman,Batang" w:hAnsi="Times New Roman"/>
          <w:lang w:eastAsia="ko-KR"/>
        </w:rPr>
        <w:t>provided a comprehensive and forward-looking assessment of UNDP’s role in supporting the achievement of the MDGs. It stated that “</w:t>
      </w:r>
      <w:r w:rsidRPr="002F2B3C">
        <w:rPr>
          <w:rFonts w:ascii="Times New Roman" w:eastAsia="Times New Roman" w:hAnsi="Times New Roman"/>
        </w:rPr>
        <w:t>UNDP is well positioned to approach the post-2015 era and help countries to achieve the sustainable development goals. The evaluation</w:t>
      </w:r>
      <w:r w:rsidRPr="002F2B3C">
        <w:rPr>
          <w:rFonts w:ascii="Times New Roman" w:eastAsia="Times New Roman,Batang" w:hAnsi="Times New Roman"/>
          <w:lang w:eastAsia="ko-KR"/>
        </w:rPr>
        <w:t xml:space="preserve"> provided UNDP with </w:t>
      </w:r>
      <w:r w:rsidRPr="002F2B3C">
        <w:rPr>
          <w:rFonts w:ascii="Times New Roman" w:eastAsia="Times New Roman,Batang" w:hAnsi="Times New Roman"/>
          <w:lang w:val="en-GB" w:eastAsia="ko-KR"/>
        </w:rPr>
        <w:t xml:space="preserve">5 recommendations that UNDP responded to by identifying 15 key actions, which all </w:t>
      </w:r>
      <w:r w:rsidR="00326116" w:rsidRPr="002F2B3C">
        <w:rPr>
          <w:rFonts w:ascii="Times New Roman" w:eastAsia="Times New Roman,Batang" w:hAnsi="Times New Roman"/>
          <w:lang w:val="en-GB" w:eastAsia="ko-KR"/>
        </w:rPr>
        <w:t>had</w:t>
      </w:r>
      <w:r w:rsidRPr="002F2B3C">
        <w:rPr>
          <w:rFonts w:ascii="Times New Roman" w:eastAsia="Times New Roman,Batang" w:hAnsi="Times New Roman"/>
          <w:lang w:val="en-GB" w:eastAsia="ko-KR"/>
        </w:rPr>
        <w:t xml:space="preserve"> been completed as of mid-March 2017. </w:t>
      </w:r>
    </w:p>
    <w:p w14:paraId="5665DE49" w14:textId="77777777" w:rsidR="00D11CA7" w:rsidRPr="005B2FC0" w:rsidRDefault="00D11CA7" w:rsidP="00B1672C">
      <w:pPr>
        <w:autoSpaceDE w:val="0"/>
        <w:autoSpaceDN w:val="0"/>
        <w:adjustRightInd w:val="0"/>
        <w:spacing w:after="0"/>
        <w:jc w:val="both"/>
        <w:rPr>
          <w:rFonts w:ascii="Times New Roman" w:hAnsi="Times New Roman"/>
          <w:color w:val="FF0000"/>
        </w:rPr>
      </w:pPr>
    </w:p>
    <w:p w14:paraId="1D0D79F4" w14:textId="69879304" w:rsidR="00D11CA7" w:rsidRPr="005B2FC0" w:rsidRDefault="00DD62C8" w:rsidP="00BA446D">
      <w:pPr>
        <w:pStyle w:val="ListParagraph"/>
        <w:spacing w:after="0"/>
        <w:ind w:left="0"/>
        <w:contextualSpacing w:val="0"/>
        <w:jc w:val="both"/>
        <w:rPr>
          <w:rFonts w:ascii="Times New Roman" w:eastAsia="Times New Roman,Batang" w:hAnsi="Times New Roman"/>
          <w:color w:val="FF0000"/>
          <w:lang w:val="en-GB" w:eastAsia="ko-KR"/>
        </w:rPr>
      </w:pPr>
      <w:r>
        <w:rPr>
          <w:rFonts w:ascii="Times New Roman" w:eastAsia="Times New Roman,Batang" w:hAnsi="Times New Roman"/>
          <w:lang w:val="en-GB" w:eastAsia="ko-KR"/>
        </w:rPr>
        <w:t>T</w:t>
      </w:r>
      <w:r w:rsidR="00D11CA7" w:rsidRPr="0075345C">
        <w:rPr>
          <w:rFonts w:ascii="Times New Roman" w:eastAsia="Times New Roman,Batang" w:hAnsi="Times New Roman"/>
          <w:lang w:val="en-GB" w:eastAsia="ko-KR"/>
        </w:rPr>
        <w:t xml:space="preserve">he </w:t>
      </w:r>
      <w:r w:rsidR="00D11CA7" w:rsidRPr="0075345C">
        <w:rPr>
          <w:rFonts w:ascii="Times New Roman" w:eastAsia="Times New Roman,Batang" w:hAnsi="Times New Roman"/>
          <w:b/>
          <w:bCs/>
          <w:lang w:val="en-GB" w:eastAsia="ko-KR"/>
        </w:rPr>
        <w:t xml:space="preserve">Evaluation of the contribution of the Global and Regional Human Development Reports to Public Policy Processes </w:t>
      </w:r>
      <w:r w:rsidR="00D11CA7" w:rsidRPr="0075345C">
        <w:rPr>
          <w:rFonts w:ascii="Times New Roman" w:eastAsia="Times New Roman,Batang" w:hAnsi="Times New Roman"/>
          <w:lang w:val="en-GB" w:eastAsia="ko-KR"/>
        </w:rPr>
        <w:t xml:space="preserve">had 8 recommendations to which UNDP responded with 17 key actions. </w:t>
      </w:r>
      <w:r w:rsidR="0075345C" w:rsidRPr="0075345C">
        <w:rPr>
          <w:rFonts w:ascii="Times New Roman" w:eastAsia="Times New Roman,Batang" w:hAnsi="Times New Roman"/>
          <w:lang w:val="en-GB" w:eastAsia="ko-KR"/>
        </w:rPr>
        <w:t xml:space="preserve">15 </w:t>
      </w:r>
      <w:r w:rsidR="00D11CA7" w:rsidRPr="0075345C">
        <w:rPr>
          <w:rFonts w:ascii="Times New Roman" w:eastAsia="Times New Roman,Batang" w:hAnsi="Times New Roman"/>
          <w:lang w:val="en-GB" w:eastAsia="ko-KR"/>
        </w:rPr>
        <w:t xml:space="preserve">(or </w:t>
      </w:r>
      <w:r w:rsidR="0075345C">
        <w:rPr>
          <w:rFonts w:ascii="Times New Roman" w:eastAsia="Times New Roman,Batang" w:hAnsi="Times New Roman"/>
          <w:lang w:val="en-GB" w:eastAsia="ko-KR"/>
        </w:rPr>
        <w:t>88</w:t>
      </w:r>
      <w:r w:rsidR="00D11CA7" w:rsidRPr="0075345C">
        <w:rPr>
          <w:rFonts w:ascii="Times New Roman" w:eastAsia="Times New Roman,Batang" w:hAnsi="Times New Roman"/>
          <w:lang w:val="en-GB" w:eastAsia="ko-KR"/>
        </w:rPr>
        <w:t>%) have been completed or</w:t>
      </w:r>
      <w:r w:rsidR="00A0788A">
        <w:rPr>
          <w:rFonts w:ascii="Times New Roman" w:eastAsia="Times New Roman,Batang" w:hAnsi="Times New Roman"/>
          <w:lang w:val="en-GB" w:eastAsia="ko-KR"/>
        </w:rPr>
        <w:t xml:space="preserve"> are ongoing without a due date and four</w:t>
      </w:r>
      <w:r w:rsidR="00D11CA7" w:rsidRPr="0075345C">
        <w:rPr>
          <w:rFonts w:ascii="Times New Roman" w:eastAsia="Times New Roman,Batang" w:hAnsi="Times New Roman"/>
          <w:lang w:val="en-GB" w:eastAsia="ko-KR"/>
        </w:rPr>
        <w:t xml:space="preserve"> a</w:t>
      </w:r>
      <w:r>
        <w:rPr>
          <w:rFonts w:ascii="Times New Roman" w:eastAsia="Times New Roman,Batang" w:hAnsi="Times New Roman"/>
          <w:lang w:val="en-GB" w:eastAsia="ko-KR"/>
        </w:rPr>
        <w:t>re ongoing, as of mid-March 2018</w:t>
      </w:r>
      <w:r w:rsidR="00D11CA7" w:rsidRPr="0075345C">
        <w:rPr>
          <w:rFonts w:ascii="Times New Roman" w:eastAsia="Times New Roman,Batang" w:hAnsi="Times New Roman"/>
          <w:lang w:val="en-GB" w:eastAsia="ko-KR"/>
        </w:rPr>
        <w:t xml:space="preserve">. </w:t>
      </w:r>
      <w:r w:rsidR="00A0788A">
        <w:rPr>
          <w:rFonts w:ascii="Times New Roman" w:eastAsia="Times New Roman" w:hAnsi="Times New Roman"/>
        </w:rPr>
        <w:t>A</w:t>
      </w:r>
      <w:r w:rsidR="00D11CA7" w:rsidRPr="00EB73F2">
        <w:rPr>
          <w:rFonts w:ascii="Times New Roman" w:eastAsia="Times New Roman" w:hAnsi="Times New Roman"/>
        </w:rPr>
        <w:t xml:space="preserve">nalytical papers on topics such as capability approaches, linkages between inequalities and human development, horizontal inequality and human development in a globalized world, and in-house research on barriers to universal human development and analytical linkages between human development and the 2030 Agenda/the SDGs have contributed to rethinking the concept of human development within UNDP. </w:t>
      </w:r>
      <w:r w:rsidR="00EB73F2" w:rsidRPr="00EB73F2">
        <w:rPr>
          <w:rFonts w:ascii="Times New Roman" w:hAnsi="Times New Roman"/>
        </w:rPr>
        <w:t>Prof. Stephan Klasen, a leading thinker on human development measurements</w:t>
      </w:r>
      <w:r w:rsidR="00A0788A">
        <w:rPr>
          <w:rFonts w:ascii="Times New Roman" w:hAnsi="Times New Roman"/>
        </w:rPr>
        <w:t>,</w:t>
      </w:r>
      <w:r w:rsidR="00EB73F2" w:rsidRPr="00EB73F2">
        <w:rPr>
          <w:rFonts w:ascii="Times New Roman" w:hAnsi="Times New Roman"/>
        </w:rPr>
        <w:t xml:space="preserve"> has produced a final review paper taking</w:t>
      </w:r>
      <w:r w:rsidR="00A0788A">
        <w:rPr>
          <w:rFonts w:ascii="Times New Roman" w:hAnsi="Times New Roman"/>
        </w:rPr>
        <w:t xml:space="preserve"> a historical perspective which </w:t>
      </w:r>
      <w:r w:rsidR="00EB73F2" w:rsidRPr="00EB73F2">
        <w:rPr>
          <w:rFonts w:ascii="Times New Roman" w:hAnsi="Times New Roman"/>
        </w:rPr>
        <w:t>contributed to the ongoing HDRO work on refining various human development measures.</w:t>
      </w:r>
      <w:r w:rsidR="00EB73F2" w:rsidRPr="00EB73F2">
        <w:rPr>
          <w:rFonts w:ascii="Times New Roman" w:eastAsia="Times New Roman" w:hAnsi="Times New Roman"/>
        </w:rPr>
        <w:t xml:space="preserve"> </w:t>
      </w:r>
      <w:r w:rsidR="00D11CA7" w:rsidRPr="00EB73F2">
        <w:rPr>
          <w:rFonts w:ascii="Times New Roman" w:eastAsia="Times New Roman" w:hAnsi="Times New Roman"/>
        </w:rPr>
        <w:t xml:space="preserve">In order to revisit the purpose of human development indices and examine the value added, substantial discussions were held with the Statistical Advisory Panel, meetings </w:t>
      </w:r>
      <w:r>
        <w:rPr>
          <w:rFonts w:ascii="Times New Roman" w:eastAsia="Times New Roman" w:hAnsi="Times New Roman"/>
        </w:rPr>
        <w:t>took place</w:t>
      </w:r>
      <w:r w:rsidR="00D11CA7" w:rsidRPr="00EB73F2">
        <w:rPr>
          <w:rFonts w:ascii="Times New Roman" w:eastAsia="Times New Roman" w:hAnsi="Times New Roman"/>
        </w:rPr>
        <w:t xml:space="preserve"> with leading thinkers, and bilateral meetings were pursued on statistical issues during the UN Statistical Commission meeting with heads of National Statistical Offices from Cuba, Nigeria, United Arab Emirates, Uzbekistan and Senegal. </w:t>
      </w:r>
      <w:r w:rsidR="00EB73F2" w:rsidRPr="00EB73F2">
        <w:rPr>
          <w:rFonts w:ascii="Times New Roman" w:hAnsi="Times New Roman"/>
        </w:rPr>
        <w:t>With the active guidance and advice from Nobel laureate Prof. A</w:t>
      </w:r>
      <w:r w:rsidR="00A0788A">
        <w:rPr>
          <w:rFonts w:ascii="Times New Roman" w:hAnsi="Times New Roman"/>
        </w:rPr>
        <w:t xml:space="preserve">martya Sen, Prof. Sudhir Anand </w:t>
      </w:r>
      <w:r w:rsidR="00EB73F2" w:rsidRPr="00EB73F2">
        <w:rPr>
          <w:rFonts w:ascii="Times New Roman" w:hAnsi="Times New Roman"/>
        </w:rPr>
        <w:t xml:space="preserve">has completed a final paper on ‘Recasting Human Development Measures’, which critically evaluates all human development composite indices and suggests alternative methodologies. The paper has been shared with leading thinkers on human development measurements for their feedbacks and comments. In March 2018, there will be a high-level expert group meeting to have a debate on various suggestions and decide on the refinements. </w:t>
      </w:r>
    </w:p>
    <w:p w14:paraId="290C3A8B" w14:textId="77777777" w:rsidR="00D11CA7" w:rsidRPr="005B2FC0" w:rsidRDefault="00D11CA7" w:rsidP="00BA446D">
      <w:pPr>
        <w:spacing w:after="0"/>
        <w:jc w:val="both"/>
        <w:rPr>
          <w:rFonts w:ascii="Times New Roman" w:hAnsi="Times New Roman"/>
          <w:color w:val="FF0000"/>
        </w:rPr>
      </w:pPr>
    </w:p>
    <w:p w14:paraId="09F3E8E7" w14:textId="2F493E35" w:rsidR="00BD61CB" w:rsidRPr="00402CF8" w:rsidRDefault="00D11CA7" w:rsidP="00BA446D">
      <w:pPr>
        <w:pStyle w:val="xmsonormal"/>
        <w:spacing w:line="276" w:lineRule="auto"/>
        <w:jc w:val="both"/>
        <w:rPr>
          <w:sz w:val="22"/>
          <w:szCs w:val="22"/>
        </w:rPr>
      </w:pPr>
      <w:r w:rsidRPr="006A12D3">
        <w:rPr>
          <w:rFonts w:eastAsia="Times New Roman"/>
          <w:sz w:val="22"/>
          <w:szCs w:val="22"/>
        </w:rPr>
        <w:t>In response to the 5 recommendations of the</w:t>
      </w:r>
      <w:r w:rsidRPr="006A12D3">
        <w:rPr>
          <w:rFonts w:eastAsia="Times New Roman"/>
          <w:b/>
          <w:bCs/>
          <w:sz w:val="22"/>
          <w:szCs w:val="22"/>
        </w:rPr>
        <w:t xml:space="preserve"> Evaluation of the UNDP Contribution to Gender Equality and Women’s Empowerment</w:t>
      </w:r>
      <w:r w:rsidRPr="006A12D3">
        <w:rPr>
          <w:rFonts w:eastAsia="Times New Roman"/>
          <w:sz w:val="22"/>
          <w:szCs w:val="22"/>
        </w:rPr>
        <w:t xml:space="preserve">, UNDP committed </w:t>
      </w:r>
      <w:r w:rsidR="007A500C" w:rsidRPr="006A12D3">
        <w:rPr>
          <w:rFonts w:eastAsia="Times New Roman"/>
          <w:sz w:val="22"/>
          <w:szCs w:val="22"/>
        </w:rPr>
        <w:t xml:space="preserve">to implement 19 key actions out of which </w:t>
      </w:r>
      <w:r w:rsidR="006A12D3" w:rsidRPr="006A12D3">
        <w:rPr>
          <w:rFonts w:eastAsia="Times New Roman"/>
          <w:sz w:val="22"/>
          <w:szCs w:val="22"/>
        </w:rPr>
        <w:t>13 (or 6</w:t>
      </w:r>
      <w:r w:rsidRPr="006A12D3">
        <w:rPr>
          <w:rFonts w:eastAsia="Times New Roman"/>
          <w:sz w:val="22"/>
          <w:szCs w:val="22"/>
        </w:rPr>
        <w:t xml:space="preserve">8%) have been completed, and </w:t>
      </w:r>
      <w:r w:rsidR="00500EBB">
        <w:rPr>
          <w:rFonts w:eastAsia="Times New Roman"/>
          <w:sz w:val="22"/>
          <w:szCs w:val="22"/>
        </w:rPr>
        <w:t>six</w:t>
      </w:r>
      <w:r w:rsidRPr="006A12D3">
        <w:rPr>
          <w:rFonts w:eastAsia="Times New Roman"/>
          <w:sz w:val="22"/>
          <w:szCs w:val="22"/>
        </w:rPr>
        <w:t xml:space="preserve"> are ongoing. </w:t>
      </w:r>
      <w:r w:rsidR="000317C0">
        <w:rPr>
          <w:sz w:val="22"/>
          <w:szCs w:val="22"/>
        </w:rPr>
        <w:t>Two publications were</w:t>
      </w:r>
      <w:r w:rsidR="0044463B" w:rsidRPr="006A12D3">
        <w:rPr>
          <w:sz w:val="22"/>
          <w:szCs w:val="22"/>
        </w:rPr>
        <w:t xml:space="preserve"> launched in 2015 to support the integration of gender in ener</w:t>
      </w:r>
      <w:r w:rsidR="00DD62C8">
        <w:rPr>
          <w:sz w:val="22"/>
          <w:szCs w:val="22"/>
        </w:rPr>
        <w:t>gy and environment programming (</w:t>
      </w:r>
      <w:r w:rsidR="0044463B" w:rsidRPr="006A12D3">
        <w:rPr>
          <w:sz w:val="22"/>
          <w:szCs w:val="22"/>
        </w:rPr>
        <w:t>Gender Responsive National Communications Toolkit and Gender Mainstreaming in Mitigation and Technology Development and Transfer Interventions produced in partnership with UNEP</w:t>
      </w:r>
      <w:r w:rsidR="00DD62C8">
        <w:rPr>
          <w:sz w:val="22"/>
          <w:szCs w:val="22"/>
        </w:rPr>
        <w:t>)</w:t>
      </w:r>
      <w:r w:rsidR="0044463B" w:rsidRPr="006A12D3">
        <w:rPr>
          <w:sz w:val="22"/>
          <w:szCs w:val="22"/>
        </w:rPr>
        <w:t xml:space="preserve">. </w:t>
      </w:r>
      <w:r w:rsidR="00402CF8">
        <w:rPr>
          <w:sz w:val="22"/>
          <w:szCs w:val="22"/>
        </w:rPr>
        <w:t xml:space="preserve">The </w:t>
      </w:r>
      <w:r w:rsidRPr="006A12D3">
        <w:rPr>
          <w:rFonts w:eastAsia="Times New Roman"/>
          <w:sz w:val="22"/>
          <w:szCs w:val="22"/>
        </w:rPr>
        <w:t>Social and Environmental screening procedures include gender equality as a key</w:t>
      </w:r>
      <w:r w:rsidR="0044463B" w:rsidRPr="006A12D3">
        <w:rPr>
          <w:rFonts w:eastAsia="Times New Roman"/>
          <w:sz w:val="22"/>
          <w:szCs w:val="22"/>
        </w:rPr>
        <w:t xml:space="preserve"> principal, gender analysis is </w:t>
      </w:r>
      <w:r w:rsidR="00402CF8">
        <w:rPr>
          <w:rFonts w:eastAsia="Times New Roman"/>
          <w:sz w:val="22"/>
          <w:szCs w:val="22"/>
        </w:rPr>
        <w:t xml:space="preserve">now </w:t>
      </w:r>
      <w:r w:rsidRPr="006A12D3">
        <w:rPr>
          <w:rFonts w:eastAsia="Times New Roman"/>
          <w:sz w:val="22"/>
          <w:szCs w:val="22"/>
        </w:rPr>
        <w:t xml:space="preserve">a requirement in the project </w:t>
      </w:r>
      <w:r w:rsidR="00402CF8">
        <w:rPr>
          <w:rFonts w:eastAsia="Times New Roman"/>
          <w:sz w:val="22"/>
          <w:szCs w:val="22"/>
        </w:rPr>
        <w:t>QA</w:t>
      </w:r>
      <w:r w:rsidRPr="006A12D3">
        <w:rPr>
          <w:rFonts w:eastAsia="Times New Roman"/>
          <w:sz w:val="22"/>
          <w:szCs w:val="22"/>
        </w:rPr>
        <w:t xml:space="preserve"> process and the gender marker rating is included in the project document template. The gender marker guidance note has been revised to include specific instructions on how to improve gender marker accuracy. </w:t>
      </w:r>
      <w:r w:rsidR="0044463B" w:rsidRPr="006A12D3">
        <w:rPr>
          <w:sz w:val="22"/>
          <w:szCs w:val="22"/>
        </w:rPr>
        <w:t xml:space="preserve">Discussions </w:t>
      </w:r>
      <w:r w:rsidR="00402CF8">
        <w:rPr>
          <w:sz w:val="22"/>
          <w:szCs w:val="22"/>
        </w:rPr>
        <w:t xml:space="preserve">are ongoing </w:t>
      </w:r>
      <w:r w:rsidR="0044463B" w:rsidRPr="006A12D3">
        <w:rPr>
          <w:sz w:val="22"/>
          <w:szCs w:val="22"/>
        </w:rPr>
        <w:t>with OAI regarding how to develop gender-responsive auditing</w:t>
      </w:r>
      <w:r w:rsidR="00E93220">
        <w:rPr>
          <w:sz w:val="22"/>
          <w:szCs w:val="22"/>
        </w:rPr>
        <w:t>. Ge</w:t>
      </w:r>
      <w:r w:rsidR="0044463B" w:rsidRPr="0044463B">
        <w:rPr>
          <w:rFonts w:eastAsia="Times New Roman"/>
          <w:sz w:val="22"/>
          <w:szCs w:val="22"/>
        </w:rPr>
        <w:t xml:space="preserve">nder equality </w:t>
      </w:r>
      <w:r w:rsidR="0044463B" w:rsidRPr="0044463B">
        <w:rPr>
          <w:rFonts w:eastAsia="Times New Roman"/>
          <w:sz w:val="22"/>
          <w:szCs w:val="22"/>
        </w:rPr>
        <w:lastRenderedPageBreak/>
        <w:t xml:space="preserve">and women's empowerment have been </w:t>
      </w:r>
      <w:r w:rsidR="00402CF8">
        <w:rPr>
          <w:rFonts w:eastAsia="Times New Roman"/>
          <w:sz w:val="22"/>
          <w:szCs w:val="22"/>
        </w:rPr>
        <w:t>integrated</w:t>
      </w:r>
      <w:r w:rsidR="0044463B" w:rsidRPr="0044463B">
        <w:rPr>
          <w:rFonts w:eastAsia="Times New Roman"/>
          <w:sz w:val="22"/>
          <w:szCs w:val="22"/>
        </w:rPr>
        <w:t xml:space="preserve"> in the </w:t>
      </w:r>
      <w:r w:rsidR="00402CF8">
        <w:rPr>
          <w:rFonts w:eastAsia="Times New Roman"/>
          <w:sz w:val="22"/>
          <w:szCs w:val="22"/>
        </w:rPr>
        <w:t>new</w:t>
      </w:r>
      <w:r w:rsidR="0044463B" w:rsidRPr="0044463B">
        <w:rPr>
          <w:rFonts w:eastAsia="Times New Roman"/>
          <w:sz w:val="22"/>
          <w:szCs w:val="22"/>
        </w:rPr>
        <w:t xml:space="preserve"> Strategic Plan </w:t>
      </w:r>
      <w:r w:rsidR="00402CF8">
        <w:rPr>
          <w:rFonts w:eastAsia="Times New Roman"/>
          <w:sz w:val="22"/>
          <w:szCs w:val="22"/>
        </w:rPr>
        <w:t>(</w:t>
      </w:r>
      <w:r w:rsidR="0044463B" w:rsidRPr="0044463B">
        <w:rPr>
          <w:rFonts w:eastAsia="Times New Roman"/>
          <w:sz w:val="22"/>
          <w:szCs w:val="22"/>
        </w:rPr>
        <w:t>2018-2021</w:t>
      </w:r>
      <w:r w:rsidR="00402CF8">
        <w:rPr>
          <w:rFonts w:eastAsia="Times New Roman"/>
          <w:sz w:val="22"/>
          <w:szCs w:val="22"/>
        </w:rPr>
        <w:t>)</w:t>
      </w:r>
      <w:r w:rsidR="00E93220">
        <w:rPr>
          <w:rFonts w:eastAsia="Times New Roman"/>
          <w:sz w:val="22"/>
          <w:szCs w:val="22"/>
        </w:rPr>
        <w:t>, and t</w:t>
      </w:r>
      <w:r w:rsidR="00402CF8">
        <w:rPr>
          <w:sz w:val="22"/>
          <w:szCs w:val="22"/>
        </w:rPr>
        <w:t>he Gender S</w:t>
      </w:r>
      <w:r w:rsidR="0044463B" w:rsidRPr="006A12D3">
        <w:rPr>
          <w:sz w:val="22"/>
          <w:szCs w:val="22"/>
        </w:rPr>
        <w:t>trategy</w:t>
      </w:r>
      <w:r w:rsidR="0044463B" w:rsidRPr="006A12D3">
        <w:rPr>
          <w:rFonts w:eastAsia="Times New Roman"/>
          <w:sz w:val="22"/>
          <w:szCs w:val="22"/>
        </w:rPr>
        <w:t xml:space="preserve"> will be presented to the Executive Board in </w:t>
      </w:r>
      <w:r w:rsidR="00906E69">
        <w:rPr>
          <w:rFonts w:eastAsia="Times New Roman"/>
          <w:sz w:val="22"/>
          <w:szCs w:val="22"/>
        </w:rPr>
        <w:t>September</w:t>
      </w:r>
      <w:r w:rsidR="00906E69" w:rsidRPr="006A12D3">
        <w:rPr>
          <w:rFonts w:eastAsia="Times New Roman"/>
          <w:sz w:val="22"/>
          <w:szCs w:val="22"/>
        </w:rPr>
        <w:t xml:space="preserve"> </w:t>
      </w:r>
      <w:r w:rsidR="0044463B" w:rsidRPr="006A12D3">
        <w:rPr>
          <w:rFonts w:eastAsia="Times New Roman"/>
          <w:sz w:val="22"/>
          <w:szCs w:val="22"/>
        </w:rPr>
        <w:t xml:space="preserve">2018. </w:t>
      </w:r>
      <w:r w:rsidR="006A12D3" w:rsidRPr="006A12D3">
        <w:rPr>
          <w:sz w:val="22"/>
          <w:szCs w:val="22"/>
          <w:lang w:val="en-CA"/>
        </w:rPr>
        <w:t xml:space="preserve">During the Strategic Plan 2014-2017 period, UNDP enhanced the ability of UNDP Country Offices to contribute to national gender equality goals through the UNDP Gender Equality Seal. This is an innovative corporate certification process which provides Country Offices with a practical roadmap to reduce gender gaps in the workplace, enhance staff capacity, strengthen programme planning and evaluation, foster partnerships and stimulate innovation. The Seal accelerates organisational change to improve gender equality results. </w:t>
      </w:r>
      <w:r w:rsidR="00A57802" w:rsidRPr="002A2D85">
        <w:rPr>
          <w:sz w:val="22"/>
          <w:szCs w:val="22"/>
        </w:rPr>
        <w:t xml:space="preserve">During 2014-2017, 46 Country Offices were certified in recognition of their significant progress on gender mainstreaming in a range of performance areas aligned to the UN SWAP, including gender parity and eradication of sexual harassment. </w:t>
      </w:r>
    </w:p>
    <w:p w14:paraId="79346759" w14:textId="77777777" w:rsidR="00D11CA7" w:rsidRPr="005B2FC0" w:rsidRDefault="00D11CA7" w:rsidP="00BA446D">
      <w:pPr>
        <w:tabs>
          <w:tab w:val="left" w:pos="360"/>
        </w:tabs>
        <w:spacing w:after="0"/>
        <w:contextualSpacing/>
        <w:jc w:val="both"/>
        <w:rPr>
          <w:rFonts w:ascii="Times New Roman" w:hAnsi="Times New Roman"/>
          <w:color w:val="FF0000"/>
        </w:rPr>
      </w:pPr>
    </w:p>
    <w:p w14:paraId="30F6C333" w14:textId="19D2DE51" w:rsidR="00A42BEF" w:rsidRDefault="00D11CA7" w:rsidP="00B1672C">
      <w:pPr>
        <w:pStyle w:val="ListParagraph"/>
        <w:tabs>
          <w:tab w:val="left" w:pos="360"/>
        </w:tabs>
        <w:spacing w:after="0"/>
        <w:ind w:left="0"/>
        <w:jc w:val="both"/>
        <w:rPr>
          <w:rFonts w:ascii="Times New Roman" w:eastAsia="Times New Roman" w:hAnsi="Times New Roman"/>
        </w:rPr>
      </w:pPr>
      <w:r w:rsidRPr="00913BF9">
        <w:rPr>
          <w:rFonts w:ascii="Times New Roman" w:eastAsia="Times New Roman" w:hAnsi="Times New Roman"/>
        </w:rPr>
        <w:t xml:space="preserve">The </w:t>
      </w:r>
      <w:r w:rsidRPr="00913BF9">
        <w:rPr>
          <w:rFonts w:ascii="Times New Roman" w:eastAsia="Times New Roman" w:hAnsi="Times New Roman"/>
          <w:b/>
          <w:bCs/>
        </w:rPr>
        <w:t xml:space="preserve">Evaluation of the UNDP contribution to Mine Action </w:t>
      </w:r>
      <w:r w:rsidR="00641485" w:rsidRPr="00913BF9">
        <w:rPr>
          <w:rFonts w:ascii="Times New Roman" w:eastAsia="Times New Roman" w:hAnsi="Times New Roman"/>
        </w:rPr>
        <w:t>provided UNDP with 3 recommendations, to which UNDP committed to implement 15 k</w:t>
      </w:r>
      <w:r w:rsidR="00AB3B3D">
        <w:rPr>
          <w:rFonts w:ascii="Times New Roman" w:eastAsia="Times New Roman" w:hAnsi="Times New Roman"/>
        </w:rPr>
        <w:t>ey actions. As of mid-March 2018</w:t>
      </w:r>
      <w:r w:rsidR="00641485" w:rsidRPr="00913BF9">
        <w:rPr>
          <w:rFonts w:ascii="Times New Roman" w:eastAsia="Times New Roman" w:hAnsi="Times New Roman"/>
        </w:rPr>
        <w:t>, 4 actions (or 26%) have been completed, while 11 are ongoing.</w:t>
      </w:r>
      <w:r w:rsidR="00913BF9">
        <w:rPr>
          <w:rFonts w:ascii="Times New Roman" w:eastAsia="Times New Roman" w:hAnsi="Times New Roman"/>
        </w:rPr>
        <w:t xml:space="preserve"> </w:t>
      </w:r>
      <w:r w:rsidRPr="00913BF9">
        <w:rPr>
          <w:rFonts w:ascii="Times New Roman" w:eastAsia="Times New Roman" w:hAnsi="Times New Roman"/>
        </w:rPr>
        <w:t>The UN Policy on Vi</w:t>
      </w:r>
      <w:r w:rsidR="00661AE6" w:rsidRPr="00913BF9">
        <w:rPr>
          <w:rFonts w:ascii="Times New Roman" w:eastAsia="Times New Roman" w:hAnsi="Times New Roman"/>
        </w:rPr>
        <w:t xml:space="preserve">ctim Assistance in Mine Action </w:t>
      </w:r>
      <w:r w:rsidRPr="00913BF9">
        <w:rPr>
          <w:rFonts w:ascii="Times New Roman" w:eastAsia="Times New Roman" w:hAnsi="Times New Roman"/>
        </w:rPr>
        <w:t xml:space="preserve">was </w:t>
      </w:r>
      <w:r w:rsidR="00661AE6" w:rsidRPr="00913BF9">
        <w:rPr>
          <w:rFonts w:ascii="Times New Roman" w:eastAsia="Times New Roman" w:hAnsi="Times New Roman"/>
        </w:rPr>
        <w:t>finalized</w:t>
      </w:r>
      <w:r w:rsidRPr="00913BF9">
        <w:rPr>
          <w:rFonts w:ascii="Times New Roman" w:eastAsia="Times New Roman" w:hAnsi="Times New Roman"/>
        </w:rPr>
        <w:t xml:space="preserve"> in 2016 through collaboration with the Inter-Agency Coo</w:t>
      </w:r>
      <w:r w:rsidR="00E36ECB">
        <w:rPr>
          <w:rFonts w:ascii="Times New Roman" w:eastAsia="Times New Roman" w:hAnsi="Times New Roman"/>
        </w:rPr>
        <w:t>rdination Group on Mine Action, and i</w:t>
      </w:r>
      <w:r w:rsidR="00913BF9" w:rsidRPr="00913BF9">
        <w:rPr>
          <w:rFonts w:ascii="Times New Roman" w:hAnsi="Times New Roman"/>
        </w:rPr>
        <w:t xml:space="preserve">n June </w:t>
      </w:r>
      <w:r w:rsidR="00E36ECB">
        <w:rPr>
          <w:rFonts w:ascii="Times New Roman" w:hAnsi="Times New Roman"/>
        </w:rPr>
        <w:t>the same year</w:t>
      </w:r>
      <w:r w:rsidR="00913BF9" w:rsidRPr="00913BF9">
        <w:rPr>
          <w:rFonts w:ascii="Times New Roman" w:hAnsi="Times New Roman"/>
        </w:rPr>
        <w:t xml:space="preserve"> UNDP produced an Issue Brief on “Development and Mine Action Policy and Programming”. </w:t>
      </w:r>
      <w:r w:rsidR="00913BF9" w:rsidRPr="00145780">
        <w:rPr>
          <w:rFonts w:ascii="Times New Roman" w:eastAsia="Times New Roman" w:hAnsi="Times New Roman"/>
        </w:rPr>
        <w:t>The D</w:t>
      </w:r>
      <w:r w:rsidR="00917EF9">
        <w:rPr>
          <w:rFonts w:ascii="Times New Roman" w:eastAsia="Times New Roman" w:hAnsi="Times New Roman"/>
        </w:rPr>
        <w:t xml:space="preserve">irectorate of </w:t>
      </w:r>
      <w:r w:rsidR="00913BF9" w:rsidRPr="00145780">
        <w:rPr>
          <w:rFonts w:ascii="Times New Roman" w:eastAsia="Times New Roman" w:hAnsi="Times New Roman"/>
        </w:rPr>
        <w:t>M</w:t>
      </w:r>
      <w:r w:rsidR="00917EF9">
        <w:rPr>
          <w:rFonts w:ascii="Times New Roman" w:eastAsia="Times New Roman" w:hAnsi="Times New Roman"/>
        </w:rPr>
        <w:t xml:space="preserve">ine </w:t>
      </w:r>
      <w:r w:rsidR="00913BF9" w:rsidRPr="00145780">
        <w:rPr>
          <w:rFonts w:ascii="Times New Roman" w:eastAsia="Times New Roman" w:hAnsi="Times New Roman"/>
        </w:rPr>
        <w:t>A</w:t>
      </w:r>
      <w:r w:rsidR="001B68FA">
        <w:rPr>
          <w:rFonts w:ascii="Times New Roman" w:eastAsia="Times New Roman" w:hAnsi="Times New Roman"/>
        </w:rPr>
        <w:t>ction (DMA)</w:t>
      </w:r>
      <w:r w:rsidR="00913BF9" w:rsidRPr="00145780">
        <w:rPr>
          <w:rFonts w:ascii="Times New Roman" w:eastAsia="Times New Roman" w:hAnsi="Times New Roman"/>
        </w:rPr>
        <w:t xml:space="preserve"> knowledge platform now includes an online community of practice of 115 members </w:t>
      </w:r>
      <w:r w:rsidR="00913BF9" w:rsidRPr="00913BF9">
        <w:rPr>
          <w:rFonts w:ascii="Times New Roman" w:eastAsia="Times New Roman" w:hAnsi="Times New Roman"/>
        </w:rPr>
        <w:t xml:space="preserve">sharing </w:t>
      </w:r>
      <w:r w:rsidR="00913BF9" w:rsidRPr="00913BF9">
        <w:rPr>
          <w:rFonts w:ascii="Times New Roman" w:hAnsi="Times New Roman"/>
        </w:rPr>
        <w:t xml:space="preserve">experiences, lessons learned, innovations and best practices on gender and diversity in mine action. Gender is also included in exchanges on socio, economic and environmental impact assessments of mine action within the framework of the SDGs. </w:t>
      </w:r>
      <w:r w:rsidR="00145780" w:rsidRPr="00913BF9">
        <w:rPr>
          <w:rFonts w:ascii="Times New Roman" w:hAnsi="Times New Roman"/>
        </w:rPr>
        <w:t xml:space="preserve">Institutional capacity assessments were conducted in Lebanon, </w:t>
      </w:r>
      <w:r w:rsidR="00917EF9">
        <w:rPr>
          <w:rFonts w:ascii="Times New Roman" w:hAnsi="Times New Roman"/>
        </w:rPr>
        <w:t>Bosnia and Herzegovina (</w:t>
      </w:r>
      <w:r w:rsidR="00145780" w:rsidRPr="00913BF9">
        <w:rPr>
          <w:rFonts w:ascii="Times New Roman" w:hAnsi="Times New Roman"/>
        </w:rPr>
        <w:t>BiH</w:t>
      </w:r>
      <w:r w:rsidR="00917EF9">
        <w:rPr>
          <w:rFonts w:ascii="Times New Roman" w:hAnsi="Times New Roman"/>
        </w:rPr>
        <w:t>)</w:t>
      </w:r>
      <w:r w:rsidR="00145780" w:rsidRPr="00913BF9">
        <w:rPr>
          <w:rFonts w:ascii="Times New Roman" w:hAnsi="Times New Roman"/>
        </w:rPr>
        <w:t xml:space="preserve">, Zimbabwe, South Sudan, Turkey and Ukraine </w:t>
      </w:r>
      <w:r w:rsidR="009508EC" w:rsidRPr="00913BF9">
        <w:rPr>
          <w:rFonts w:ascii="Times New Roman" w:hAnsi="Times New Roman"/>
        </w:rPr>
        <w:t>in 2017</w:t>
      </w:r>
      <w:r w:rsidR="009508EC">
        <w:rPr>
          <w:rFonts w:ascii="Times New Roman" w:hAnsi="Times New Roman"/>
        </w:rPr>
        <w:t>,</w:t>
      </w:r>
      <w:r w:rsidR="009508EC" w:rsidRPr="00913BF9">
        <w:rPr>
          <w:rFonts w:ascii="Times New Roman" w:hAnsi="Times New Roman"/>
        </w:rPr>
        <w:t xml:space="preserve"> </w:t>
      </w:r>
      <w:r w:rsidR="00145780" w:rsidRPr="00913BF9">
        <w:rPr>
          <w:rFonts w:ascii="Times New Roman" w:hAnsi="Times New Roman"/>
        </w:rPr>
        <w:t xml:space="preserve">which led to re-focused strategies and/or plans. </w:t>
      </w:r>
      <w:r w:rsidR="00672539" w:rsidRPr="00913BF9">
        <w:rPr>
          <w:rFonts w:ascii="Times New Roman" w:hAnsi="Times New Roman"/>
        </w:rPr>
        <w:t xml:space="preserve">In 2017 </w:t>
      </w:r>
      <w:r w:rsidR="00A42BEF" w:rsidRPr="00913BF9">
        <w:rPr>
          <w:rFonts w:ascii="Times New Roman" w:hAnsi="Times New Roman"/>
        </w:rPr>
        <w:t xml:space="preserve">support was </w:t>
      </w:r>
      <w:r w:rsidR="00913BF9" w:rsidRPr="00913BF9">
        <w:rPr>
          <w:rFonts w:ascii="Times New Roman" w:hAnsi="Times New Roman"/>
        </w:rPr>
        <w:t xml:space="preserve">also </w:t>
      </w:r>
      <w:r w:rsidR="00A42BEF" w:rsidRPr="00913BF9">
        <w:rPr>
          <w:rFonts w:ascii="Times New Roman" w:hAnsi="Times New Roman"/>
        </w:rPr>
        <w:t>provided to the Country Offices of Azerbaijan, Armenia</w:t>
      </w:r>
      <w:r w:rsidR="009508EC">
        <w:rPr>
          <w:rFonts w:ascii="Times New Roman" w:hAnsi="Times New Roman"/>
        </w:rPr>
        <w:t>, BiH, Lebanon, Turkey, Ukraine and</w:t>
      </w:r>
      <w:r w:rsidR="00A42BEF" w:rsidRPr="00913BF9">
        <w:rPr>
          <w:rFonts w:ascii="Times New Roman" w:hAnsi="Times New Roman"/>
        </w:rPr>
        <w:t xml:space="preserve"> Zimbabwe on linking mine acti</w:t>
      </w:r>
      <w:r w:rsidR="00672539" w:rsidRPr="00913BF9">
        <w:rPr>
          <w:rFonts w:ascii="Times New Roman" w:hAnsi="Times New Roman"/>
        </w:rPr>
        <w:t>o</w:t>
      </w:r>
      <w:r w:rsidR="00A42BEF" w:rsidRPr="00913BF9">
        <w:rPr>
          <w:rFonts w:ascii="Times New Roman" w:hAnsi="Times New Roman"/>
        </w:rPr>
        <w:t>n to local development challenges</w:t>
      </w:r>
      <w:r w:rsidR="00672539" w:rsidRPr="00913BF9">
        <w:rPr>
          <w:rFonts w:ascii="Times New Roman" w:hAnsi="Times New Roman"/>
        </w:rPr>
        <w:t>.</w:t>
      </w:r>
      <w:r w:rsidR="00A42BEF" w:rsidRPr="00913BF9">
        <w:rPr>
          <w:rFonts w:ascii="Times New Roman" w:hAnsi="Times New Roman"/>
        </w:rPr>
        <w:t xml:space="preserve"> </w:t>
      </w:r>
      <w:r w:rsidR="00672539" w:rsidRPr="00145780">
        <w:rPr>
          <w:rFonts w:ascii="Times New Roman" w:eastAsia="Times New Roman" w:hAnsi="Times New Roman"/>
        </w:rPr>
        <w:t>A webinar on Mine Action for Sustainable Development brought together BPPS and CO colleagues in the first of a series</w:t>
      </w:r>
      <w:r w:rsidR="009508EC">
        <w:rPr>
          <w:rFonts w:ascii="Times New Roman" w:eastAsia="Times New Roman" w:hAnsi="Times New Roman"/>
        </w:rPr>
        <w:t>, which will be further developed in 2018</w:t>
      </w:r>
      <w:r w:rsidR="00913BF9" w:rsidRPr="00913BF9">
        <w:rPr>
          <w:rFonts w:ascii="Times New Roman" w:eastAsia="Times New Roman" w:hAnsi="Times New Roman"/>
        </w:rPr>
        <w:t xml:space="preserve">. </w:t>
      </w:r>
      <w:r w:rsidR="00672539" w:rsidRPr="00145780">
        <w:rPr>
          <w:rFonts w:ascii="Times New Roman" w:eastAsia="Times New Roman" w:hAnsi="Times New Roman"/>
        </w:rPr>
        <w:t xml:space="preserve">UNDP entered into </w:t>
      </w:r>
      <w:r w:rsidR="009508EC">
        <w:rPr>
          <w:rFonts w:ascii="Times New Roman" w:eastAsia="Times New Roman" w:hAnsi="Times New Roman"/>
        </w:rPr>
        <w:t xml:space="preserve">a </w:t>
      </w:r>
      <w:r w:rsidR="00672539" w:rsidRPr="00145780">
        <w:rPr>
          <w:rFonts w:ascii="Times New Roman" w:eastAsia="Times New Roman" w:hAnsi="Times New Roman"/>
        </w:rPr>
        <w:t>partners</w:t>
      </w:r>
      <w:r w:rsidR="00AB3B3D">
        <w:rPr>
          <w:rFonts w:ascii="Times New Roman" w:eastAsia="Times New Roman" w:hAnsi="Times New Roman"/>
        </w:rPr>
        <w:t>hip with the Geneva C</w:t>
      </w:r>
      <w:r w:rsidR="00913BF9" w:rsidRPr="00913BF9">
        <w:rPr>
          <w:rFonts w:ascii="Times New Roman" w:eastAsia="Times New Roman" w:hAnsi="Times New Roman"/>
        </w:rPr>
        <w:t xml:space="preserve">entre for </w:t>
      </w:r>
      <w:r w:rsidR="00AB3B3D">
        <w:rPr>
          <w:rFonts w:ascii="Times New Roman" w:eastAsia="Times New Roman" w:hAnsi="Times New Roman"/>
        </w:rPr>
        <w:t>Humanitarian D</w:t>
      </w:r>
      <w:r w:rsidR="00672539" w:rsidRPr="00145780">
        <w:rPr>
          <w:rFonts w:ascii="Times New Roman" w:eastAsia="Times New Roman" w:hAnsi="Times New Roman"/>
        </w:rPr>
        <w:t xml:space="preserve">emining on producing a study on </w:t>
      </w:r>
      <w:r w:rsidR="00913BF9" w:rsidRPr="00913BF9">
        <w:rPr>
          <w:rFonts w:ascii="Times New Roman" w:eastAsia="Times New Roman" w:hAnsi="Times New Roman"/>
        </w:rPr>
        <w:t>the link between mine action and SDG</w:t>
      </w:r>
      <w:r w:rsidR="00E36ECB">
        <w:rPr>
          <w:rFonts w:ascii="Times New Roman" w:eastAsia="Times New Roman" w:hAnsi="Times New Roman"/>
        </w:rPr>
        <w:t xml:space="preserve"> implementation.</w:t>
      </w:r>
      <w:r w:rsidR="00913BF9" w:rsidRPr="00913BF9">
        <w:rPr>
          <w:rFonts w:ascii="Times New Roman" w:eastAsia="Times New Roman" w:hAnsi="Times New Roman"/>
        </w:rPr>
        <w:t xml:space="preserve"> </w:t>
      </w:r>
    </w:p>
    <w:p w14:paraId="0FC8BC15" w14:textId="2EA25192" w:rsidR="00F92564" w:rsidRDefault="00F92564" w:rsidP="00B1672C">
      <w:pPr>
        <w:pStyle w:val="ListParagraph"/>
        <w:tabs>
          <w:tab w:val="left" w:pos="360"/>
        </w:tabs>
        <w:spacing w:after="0"/>
        <w:ind w:left="0"/>
        <w:jc w:val="both"/>
        <w:rPr>
          <w:rFonts w:ascii="Times New Roman" w:eastAsia="Times New Roman" w:hAnsi="Times New Roman"/>
        </w:rPr>
      </w:pPr>
    </w:p>
    <w:p w14:paraId="7E85ADCD" w14:textId="036F0DF4" w:rsidR="00D14EFB" w:rsidRPr="00211FA6" w:rsidRDefault="00211FA6" w:rsidP="00B1672C">
      <w:pPr>
        <w:jc w:val="both"/>
        <w:rPr>
          <w:rFonts w:ascii="Times New Roman" w:hAnsi="Times New Roman"/>
        </w:rPr>
      </w:pPr>
      <w:bookmarkStart w:id="5" w:name="_Hlk509413805"/>
      <w:r w:rsidRPr="00211FA6">
        <w:rPr>
          <w:rFonts w:ascii="Times New Roman" w:hAnsi="Times New Roman"/>
        </w:rPr>
        <w:t xml:space="preserve">The </w:t>
      </w:r>
      <w:r w:rsidRPr="00211FA6">
        <w:rPr>
          <w:rFonts w:ascii="Times New Roman" w:hAnsi="Times New Roman"/>
          <w:b/>
          <w:bCs/>
        </w:rPr>
        <w:t xml:space="preserve">Joint Evaluation of the Small Grants Programme by GEF/UNDP </w:t>
      </w:r>
      <w:r w:rsidRPr="00211FA6">
        <w:rPr>
          <w:rFonts w:ascii="Times New Roman" w:hAnsi="Times New Roman"/>
        </w:rPr>
        <w:t>included four recommendations,</w:t>
      </w:r>
      <w:r w:rsidR="007C43F0">
        <w:rPr>
          <w:rFonts w:ascii="Times New Roman" w:hAnsi="Times New Roman"/>
        </w:rPr>
        <w:t xml:space="preserve"> to which UNDP committed to implement four actions.</w:t>
      </w:r>
      <w:r w:rsidRPr="00211FA6">
        <w:rPr>
          <w:rFonts w:ascii="Times New Roman" w:hAnsi="Times New Roman"/>
        </w:rPr>
        <w:t xml:space="preserve"> </w:t>
      </w:r>
      <w:r w:rsidR="007C43F0">
        <w:rPr>
          <w:rFonts w:ascii="Times New Roman" w:hAnsi="Times New Roman"/>
        </w:rPr>
        <w:t>Three of these (75%) have been completed while</w:t>
      </w:r>
      <w:r w:rsidRPr="00211FA6">
        <w:rPr>
          <w:rFonts w:ascii="Times New Roman" w:hAnsi="Times New Roman"/>
        </w:rPr>
        <w:t xml:space="preserve"> one is ongoing. Progress is being made towards developing a more practical monitoring function adapted to the needs, resources and community focus of the SGP. In FY 2017, SGP recruited a Results Management, Monitoring and Evaluation Specialist to advise and strengthen the function at global, country and project levels. Focus on</w:t>
      </w:r>
      <w:r w:rsidRPr="00211FA6">
        <w:rPr>
          <w:rFonts w:ascii="Times New Roman" w:hAnsi="Times New Roman"/>
          <w:b/>
          <w:bCs/>
        </w:rPr>
        <w:t xml:space="preserve"> </w:t>
      </w:r>
      <w:r w:rsidRPr="00211FA6">
        <w:rPr>
          <w:rFonts w:ascii="Times New Roman" w:hAnsi="Times New Roman"/>
        </w:rPr>
        <w:t xml:space="preserve">strengthening SGP’s monitoring and evaluation is a key priority for SGP- using both monitoring and evaluation methodologies, a system that supports measurement of environmental impact, and provides </w:t>
      </w:r>
      <w:r w:rsidR="00211751" w:rsidRPr="00211FA6">
        <w:rPr>
          <w:rFonts w:ascii="Times New Roman" w:hAnsi="Times New Roman"/>
        </w:rPr>
        <w:t>evidence-based</w:t>
      </w:r>
      <w:r w:rsidRPr="00211FA6">
        <w:rPr>
          <w:rFonts w:ascii="Times New Roman" w:hAnsi="Times New Roman"/>
        </w:rPr>
        <w:t xml:space="preserve"> thought leadership and </w:t>
      </w:r>
      <w:r w:rsidR="00211751" w:rsidRPr="00211FA6">
        <w:rPr>
          <w:rFonts w:ascii="Times New Roman" w:hAnsi="Times New Roman"/>
        </w:rPr>
        <w:t>results-based</w:t>
      </w:r>
      <w:r w:rsidRPr="00211FA6">
        <w:rPr>
          <w:rFonts w:ascii="Times New Roman" w:hAnsi="Times New Roman"/>
        </w:rPr>
        <w:t xml:space="preserve"> management is envisioned. Building on the recommendations of Joint GEF-UNDP Evaluation, efforts are being made to improve existing M&amp;E, design more streamlined and useful M&amp;E tools and activities that balance the need to measure with the need to provide support to local communities in tackling environmental issues.</w:t>
      </w:r>
      <w:r>
        <w:rPr>
          <w:rFonts w:ascii="Times New Roman" w:hAnsi="Times New Roman"/>
        </w:rPr>
        <w:t xml:space="preserve"> </w:t>
      </w:r>
      <w:r w:rsidRPr="00211FA6">
        <w:rPr>
          <w:rFonts w:ascii="Times New Roman" w:hAnsi="Times New Roman"/>
          <w:lang w:val="en-GB"/>
        </w:rPr>
        <w:t xml:space="preserve">For OP6, the Country Programme Strategy process included wide consultations with country stakeholders, including CSOs, NSC members, government, UNDP and other donors and partners- with the aim of identifying SGP’s priority areas of intervention, in alignment with national priorities and relevant programmes. A total of 104 strategies were approved and are under implementation by mid-2017. The Global SGP Steering Committee </w:t>
      </w:r>
      <w:r w:rsidRPr="00211FA6">
        <w:rPr>
          <w:rFonts w:ascii="Times New Roman" w:hAnsi="Times New Roman"/>
          <w:lang w:val="en-GB"/>
        </w:rPr>
        <w:lastRenderedPageBreak/>
        <w:t>convened twice during the reporting year providing strategic guidance to the programme and are held in conjunction with GEF Council meetings.</w:t>
      </w:r>
    </w:p>
    <w:bookmarkEnd w:id="5"/>
    <w:p w14:paraId="3AB4DCE7" w14:textId="02E702B8" w:rsidR="00830431" w:rsidRDefault="00830431" w:rsidP="00B1672C">
      <w:pPr>
        <w:tabs>
          <w:tab w:val="left" w:pos="360"/>
        </w:tabs>
        <w:spacing w:after="0"/>
        <w:contextualSpacing/>
        <w:jc w:val="both"/>
        <w:rPr>
          <w:rFonts w:ascii="Times New Roman" w:eastAsia="Times New Roman,Batang" w:hAnsi="Times New Roman"/>
          <w:b/>
          <w:iCs/>
          <w:lang w:eastAsia="ko-KR"/>
        </w:rPr>
      </w:pPr>
      <w:r>
        <w:rPr>
          <w:rFonts w:ascii="Times New Roman" w:eastAsia="Times New Roman,Batang" w:hAnsi="Times New Roman"/>
          <w:b/>
          <w:iCs/>
          <w:lang w:eastAsia="ko-KR"/>
        </w:rPr>
        <w:t xml:space="preserve">Other independent evaluations </w:t>
      </w:r>
    </w:p>
    <w:p w14:paraId="0511D679" w14:textId="77777777" w:rsidR="00830431" w:rsidRPr="00830431" w:rsidRDefault="00830431" w:rsidP="00B1672C">
      <w:pPr>
        <w:tabs>
          <w:tab w:val="left" w:pos="360"/>
        </w:tabs>
        <w:spacing w:after="0"/>
        <w:contextualSpacing/>
        <w:jc w:val="both"/>
        <w:rPr>
          <w:rFonts w:ascii="Times New Roman" w:eastAsia="Times New Roman,Batang" w:hAnsi="Times New Roman"/>
          <w:b/>
          <w:iCs/>
          <w:lang w:eastAsia="ko-KR"/>
        </w:rPr>
      </w:pPr>
    </w:p>
    <w:p w14:paraId="407933C7" w14:textId="45806F5A" w:rsidR="00830431" w:rsidRPr="00846A03" w:rsidRDefault="00830431" w:rsidP="00B1672C">
      <w:pPr>
        <w:jc w:val="both"/>
        <w:rPr>
          <w:rFonts w:ascii="Times New Roman" w:eastAsia="Times New Roman" w:hAnsi="Times New Roman"/>
        </w:rPr>
      </w:pPr>
      <w:r w:rsidRPr="00B110E8">
        <w:rPr>
          <w:rFonts w:ascii="Times New Roman" w:eastAsia="Times New Roman,Batang" w:hAnsi="Times New Roman"/>
          <w:b/>
          <w:bCs/>
          <w:lang w:eastAsia="ko-KR"/>
        </w:rPr>
        <w:t xml:space="preserve">The Review of the UNDP Evaluation Policy </w:t>
      </w:r>
      <w:r w:rsidRPr="00B110E8">
        <w:rPr>
          <w:rFonts w:ascii="Times New Roman" w:eastAsia="Times New Roman,Batang" w:hAnsi="Times New Roman"/>
          <w:lang w:eastAsia="ko-KR"/>
        </w:rPr>
        <w:t>(</w:t>
      </w:r>
      <w:r w:rsidRPr="00B110E8">
        <w:rPr>
          <w:rFonts w:ascii="Times New Roman" w:eastAsia="Times New Roman,Batang" w:hAnsi="Times New Roman"/>
          <w:i/>
          <w:iCs/>
          <w:lang w:eastAsia="ko-KR"/>
        </w:rPr>
        <w:t xml:space="preserve">completed in </w:t>
      </w:r>
      <w:r w:rsidRPr="00830431">
        <w:rPr>
          <w:rFonts w:ascii="Times New Roman" w:eastAsia="Times New Roman,Batang" w:hAnsi="Times New Roman"/>
          <w:i/>
          <w:iCs/>
          <w:lang w:eastAsia="ko-KR"/>
        </w:rPr>
        <w:t>2014</w:t>
      </w:r>
      <w:r w:rsidRPr="00830431">
        <w:rPr>
          <w:rFonts w:ascii="Times New Roman" w:eastAsia="Times New Roman,Batang" w:hAnsi="Times New Roman"/>
          <w:lang w:eastAsia="ko-KR"/>
        </w:rPr>
        <w:t>)</w:t>
      </w:r>
      <w:r w:rsidRPr="00830431">
        <w:rPr>
          <w:rFonts w:ascii="Times New Roman" w:eastAsia="Times New Roman,Batang" w:hAnsi="Times New Roman"/>
          <w:b/>
          <w:bCs/>
          <w:lang w:eastAsia="ko-KR"/>
        </w:rPr>
        <w:t xml:space="preserve"> </w:t>
      </w:r>
      <w:r w:rsidRPr="00830431">
        <w:rPr>
          <w:rFonts w:ascii="Times New Roman" w:eastAsia="Times New Roman,Batang" w:hAnsi="Times New Roman"/>
          <w:lang w:eastAsia="ko-KR"/>
        </w:rPr>
        <w:t>provided</w:t>
      </w:r>
      <w:r w:rsidRPr="00B110E8">
        <w:rPr>
          <w:rFonts w:ascii="Times New Roman" w:eastAsia="Times New Roman,Batang" w:hAnsi="Times New Roman"/>
          <w:lang w:eastAsia="ko-KR"/>
        </w:rPr>
        <w:t xml:space="preserve"> a comprehensive review of the UNDP evaluation function, and offered </w:t>
      </w:r>
      <w:r w:rsidRPr="00B110E8">
        <w:rPr>
          <w:rFonts w:ascii="Times New Roman" w:eastAsia="Times New Roman" w:hAnsi="Times New Roman"/>
        </w:rPr>
        <w:t xml:space="preserve">guidance on how to improve the Evaluation Policy going forward. UNDP addressed the 5 recommendations by committing to implement 11 key actions, out of which </w:t>
      </w:r>
      <w:r w:rsidRPr="00DA3FFA">
        <w:rPr>
          <w:rFonts w:ascii="Times New Roman" w:eastAsia="Times New Roman" w:hAnsi="Times New Roman"/>
        </w:rPr>
        <w:t>9 (o</w:t>
      </w:r>
      <w:r w:rsidR="00136A02">
        <w:rPr>
          <w:rFonts w:ascii="Times New Roman" w:eastAsia="Times New Roman" w:hAnsi="Times New Roman"/>
        </w:rPr>
        <w:t>r 81%) have been completed and two</w:t>
      </w:r>
      <w:r w:rsidRPr="00DA3FFA">
        <w:rPr>
          <w:rFonts w:ascii="Times New Roman" w:eastAsia="Times New Roman" w:hAnsi="Times New Roman"/>
        </w:rPr>
        <w:t xml:space="preserve"> are ongoing as of mid-March 2018. UNDP </w:t>
      </w:r>
      <w:r>
        <w:rPr>
          <w:rFonts w:ascii="Times New Roman" w:eastAsia="Times New Roman" w:hAnsi="Times New Roman"/>
        </w:rPr>
        <w:t>and the IEO are</w:t>
      </w:r>
      <w:r w:rsidRPr="00DA3FFA">
        <w:rPr>
          <w:rFonts w:ascii="Times New Roman" w:eastAsia="Times New Roman" w:hAnsi="Times New Roman"/>
        </w:rPr>
        <w:t xml:space="preserve"> </w:t>
      </w:r>
      <w:r>
        <w:rPr>
          <w:rFonts w:ascii="Times New Roman" w:eastAsia="Times New Roman" w:hAnsi="Times New Roman"/>
        </w:rPr>
        <w:t>implementing</w:t>
      </w:r>
      <w:r w:rsidRPr="00DA3FFA">
        <w:rPr>
          <w:rFonts w:ascii="Times New Roman" w:eastAsia="Times New Roman" w:hAnsi="Times New Roman"/>
        </w:rPr>
        <w:t xml:space="preserve"> the </w:t>
      </w:r>
      <w:r>
        <w:rPr>
          <w:rFonts w:ascii="Times New Roman" w:eastAsia="Times New Roman" w:hAnsi="Times New Roman"/>
        </w:rPr>
        <w:t xml:space="preserve">Evaluation </w:t>
      </w:r>
      <w:r w:rsidRPr="00DA3FFA">
        <w:rPr>
          <w:rFonts w:ascii="Times New Roman" w:eastAsia="Times New Roman" w:hAnsi="Times New Roman"/>
        </w:rPr>
        <w:t xml:space="preserve">Policy and the joint Action Plan. </w:t>
      </w:r>
      <w:r>
        <w:rPr>
          <w:rFonts w:ascii="Times New Roman" w:eastAsia="Times New Roman" w:hAnsi="Times New Roman"/>
        </w:rPr>
        <w:t xml:space="preserve">Six </w:t>
      </w:r>
      <w:r w:rsidRPr="006335A1">
        <w:rPr>
          <w:rFonts w:ascii="Times New Roman" w:eastAsia="Times New Roman" w:hAnsi="Times New Roman"/>
        </w:rPr>
        <w:t>UNDP-IEO M&amp;E workshops wer</w:t>
      </w:r>
      <w:r w:rsidR="00E36ECB">
        <w:rPr>
          <w:rFonts w:ascii="Times New Roman" w:eastAsia="Times New Roman" w:hAnsi="Times New Roman"/>
        </w:rPr>
        <w:t>e carried out in 2016 and 2017.</w:t>
      </w:r>
      <w:r w:rsidRPr="006335A1">
        <w:rPr>
          <w:rFonts w:ascii="Times New Roman" w:eastAsia="Times New Roman" w:hAnsi="Times New Roman"/>
        </w:rPr>
        <w:t xml:space="preserve"> The workshops were highly appreciated and requests for </w:t>
      </w:r>
      <w:r>
        <w:rPr>
          <w:rFonts w:ascii="Times New Roman" w:eastAsia="Times New Roman" w:hAnsi="Times New Roman"/>
        </w:rPr>
        <w:t>additional</w:t>
      </w:r>
      <w:r w:rsidRPr="006335A1">
        <w:rPr>
          <w:rFonts w:ascii="Times New Roman" w:eastAsia="Times New Roman" w:hAnsi="Times New Roman"/>
        </w:rPr>
        <w:t xml:space="preserve"> </w:t>
      </w:r>
      <w:r>
        <w:rPr>
          <w:rFonts w:ascii="Times New Roman" w:eastAsia="Times New Roman" w:hAnsi="Times New Roman"/>
        </w:rPr>
        <w:t>training on evaluation planning and budgeting</w:t>
      </w:r>
      <w:r w:rsidR="00B3524D">
        <w:rPr>
          <w:rFonts w:ascii="Times New Roman" w:eastAsia="Times New Roman" w:hAnsi="Times New Roman"/>
        </w:rPr>
        <w:t>, as well as</w:t>
      </w:r>
      <w:r>
        <w:rPr>
          <w:rFonts w:ascii="Times New Roman" w:eastAsia="Times New Roman" w:hAnsi="Times New Roman"/>
        </w:rPr>
        <w:t xml:space="preserve"> new guidance</w:t>
      </w:r>
      <w:r w:rsidRPr="006335A1">
        <w:rPr>
          <w:rFonts w:ascii="Times New Roman" w:eastAsia="Times New Roman" w:hAnsi="Times New Roman"/>
        </w:rPr>
        <w:t xml:space="preserve"> have been made. </w:t>
      </w:r>
      <w:r>
        <w:rPr>
          <w:rFonts w:ascii="Times New Roman" w:eastAsia="Times New Roman" w:hAnsi="Times New Roman"/>
        </w:rPr>
        <w:t>The UNV-UNDP partnership in the Arab States region was successfully implemented and resulted in a lesson learned report which will be circulated</w:t>
      </w:r>
      <w:r w:rsidR="00E36ECB">
        <w:rPr>
          <w:rFonts w:ascii="Times New Roman" w:eastAsia="Times New Roman" w:hAnsi="Times New Roman"/>
        </w:rPr>
        <w:t xml:space="preserve"> within UNDP and with the IEO. UNDP has provided inputs to the revision process of the ERC (</w:t>
      </w:r>
      <w:r>
        <w:rPr>
          <w:rFonts w:ascii="Times New Roman" w:eastAsia="Times New Roman" w:hAnsi="Times New Roman"/>
        </w:rPr>
        <w:t xml:space="preserve">to enable better </w:t>
      </w:r>
      <w:r w:rsidR="00E36ECB">
        <w:rPr>
          <w:rFonts w:ascii="Times New Roman" w:eastAsia="Times New Roman" w:hAnsi="Times New Roman"/>
        </w:rPr>
        <w:t>oversight, reporting</w:t>
      </w:r>
      <w:r>
        <w:rPr>
          <w:rFonts w:ascii="Times New Roman" w:eastAsia="Times New Roman" w:hAnsi="Times New Roman"/>
        </w:rPr>
        <w:t xml:space="preserve"> and follow-up of management responses and lessons learned</w:t>
      </w:r>
      <w:r w:rsidR="00E36ECB">
        <w:rPr>
          <w:rFonts w:ascii="Times New Roman" w:eastAsia="Times New Roman" w:hAnsi="Times New Roman"/>
        </w:rPr>
        <w:t>)</w:t>
      </w:r>
      <w:r>
        <w:rPr>
          <w:rFonts w:ascii="Times New Roman" w:eastAsia="Times New Roman" w:hAnsi="Times New Roman"/>
        </w:rPr>
        <w:t xml:space="preserve">, </w:t>
      </w:r>
      <w:r w:rsidR="00E36ECB">
        <w:rPr>
          <w:rFonts w:ascii="Times New Roman" w:eastAsia="Times New Roman" w:hAnsi="Times New Roman"/>
        </w:rPr>
        <w:t>and e</w:t>
      </w:r>
      <w:r>
        <w:rPr>
          <w:rFonts w:ascii="Times New Roman" w:eastAsia="Times New Roman" w:hAnsi="Times New Roman"/>
        </w:rPr>
        <w:t xml:space="preserve">valuation </w:t>
      </w:r>
      <w:r w:rsidR="00E36ECB">
        <w:rPr>
          <w:rFonts w:ascii="Times New Roman" w:eastAsia="Times New Roman" w:hAnsi="Times New Roman"/>
        </w:rPr>
        <w:t xml:space="preserve">related guidance. Both processes are expected to be finalized in 2018. </w:t>
      </w:r>
    </w:p>
    <w:p w14:paraId="4B3DDB53" w14:textId="6D0FCB2B" w:rsidR="00D11CA7" w:rsidRDefault="00D11CA7" w:rsidP="00B1672C">
      <w:pPr>
        <w:tabs>
          <w:tab w:val="left" w:pos="360"/>
        </w:tabs>
        <w:spacing w:after="0"/>
        <w:contextualSpacing/>
        <w:jc w:val="both"/>
        <w:rPr>
          <w:rFonts w:ascii="Times New Roman" w:eastAsia="Times New Roman,Batang" w:hAnsi="Times New Roman"/>
          <w:b/>
          <w:bCs/>
          <w:lang w:eastAsia="ko-KR"/>
        </w:rPr>
      </w:pPr>
      <w:r w:rsidRPr="003372C2">
        <w:rPr>
          <w:rFonts w:ascii="Times New Roman" w:eastAsia="Times New Roman,Batang" w:hAnsi="Times New Roman"/>
          <w:b/>
          <w:bCs/>
          <w:lang w:eastAsia="ko-KR"/>
        </w:rPr>
        <w:t xml:space="preserve">Assessments of Development Results </w:t>
      </w:r>
      <w:r w:rsidR="00F075E1" w:rsidRPr="003372C2">
        <w:rPr>
          <w:rFonts w:ascii="Times New Roman" w:eastAsia="Times New Roman,Batang" w:hAnsi="Times New Roman"/>
          <w:b/>
          <w:bCs/>
          <w:lang w:eastAsia="ko-KR"/>
        </w:rPr>
        <w:t>2017</w:t>
      </w:r>
    </w:p>
    <w:p w14:paraId="5A1BDB8D" w14:textId="577058FC" w:rsidR="00D11CA7" w:rsidRPr="003372C2" w:rsidRDefault="00D11CA7" w:rsidP="00B1672C">
      <w:pPr>
        <w:tabs>
          <w:tab w:val="left" w:pos="360"/>
        </w:tabs>
        <w:spacing w:after="0"/>
        <w:contextualSpacing/>
        <w:jc w:val="both"/>
        <w:rPr>
          <w:rFonts w:ascii="Times New Roman" w:eastAsia="Times New Roman,Batang" w:hAnsi="Times New Roman"/>
          <w:i/>
          <w:lang w:eastAsia="ko-KR"/>
        </w:rPr>
      </w:pPr>
      <w:r w:rsidRPr="003372C2">
        <w:rPr>
          <w:rFonts w:ascii="Times New Roman" w:eastAsia="Times New Roman,Batang" w:hAnsi="Times New Roman"/>
          <w:i/>
          <w:lang w:eastAsia="ko-KR"/>
        </w:rPr>
        <w:t>Status of Management Response commit</w:t>
      </w:r>
      <w:r w:rsidR="00F075E1" w:rsidRPr="003372C2">
        <w:rPr>
          <w:rFonts w:ascii="Times New Roman" w:eastAsia="Times New Roman,Batang" w:hAnsi="Times New Roman"/>
          <w:i/>
          <w:lang w:eastAsia="ko-KR"/>
        </w:rPr>
        <w:t>ments for ADRs completed in 2017</w:t>
      </w:r>
      <w:r w:rsidR="00DD13A0">
        <w:rPr>
          <w:rStyle w:val="FootnoteReference"/>
          <w:rFonts w:ascii="Times New Roman" w:eastAsia="Times New Roman,Batang" w:hAnsi="Times New Roman"/>
          <w:i/>
          <w:lang w:eastAsia="ko-KR"/>
        </w:rPr>
        <w:footnoteReference w:id="12"/>
      </w:r>
      <w:r w:rsidR="00DD13A0">
        <w:rPr>
          <w:rFonts w:ascii="Times New Roman" w:eastAsia="Times New Roman,Batang" w:hAnsi="Times New Roman"/>
          <w:i/>
          <w:lang w:eastAsia="ko-KR"/>
        </w:rPr>
        <w:t xml:space="preserve"> </w:t>
      </w:r>
      <w:r w:rsidR="00A821D9" w:rsidRPr="003372C2">
        <w:rPr>
          <w:rFonts w:ascii="Times New Roman" w:eastAsia="Times New Roman,Batang" w:hAnsi="Times New Roman"/>
          <w:i/>
          <w:lang w:eastAsia="ko-KR"/>
        </w:rPr>
        <w:t>Mexico</w:t>
      </w:r>
      <w:r w:rsidRPr="003372C2">
        <w:rPr>
          <w:rFonts w:ascii="Times New Roman" w:eastAsia="Times New Roman,Batang" w:hAnsi="Times New Roman"/>
          <w:i/>
          <w:lang w:eastAsia="ko-KR"/>
        </w:rPr>
        <w:t xml:space="preserve">, </w:t>
      </w:r>
      <w:r w:rsidR="002318E2" w:rsidRPr="003372C2">
        <w:rPr>
          <w:rFonts w:ascii="Times New Roman" w:eastAsia="Times New Roman,Batang" w:hAnsi="Times New Roman"/>
          <w:i/>
          <w:lang w:eastAsia="ko-KR"/>
        </w:rPr>
        <w:t>the Republic of Equatorial Guinea</w:t>
      </w:r>
      <w:r w:rsidR="00A821D9" w:rsidRPr="003372C2">
        <w:rPr>
          <w:rFonts w:ascii="Times New Roman" w:eastAsia="Times New Roman,Batang" w:hAnsi="Times New Roman"/>
          <w:i/>
          <w:lang w:eastAsia="ko-KR"/>
        </w:rPr>
        <w:t>, Pakistan, Kyrgyzstan, Cameroon, Jordan,</w:t>
      </w:r>
    </w:p>
    <w:p w14:paraId="19AA5FCE" w14:textId="7E2430A2" w:rsidR="00195000" w:rsidRPr="003372C2" w:rsidRDefault="00195000" w:rsidP="00B1672C">
      <w:pPr>
        <w:tabs>
          <w:tab w:val="left" w:pos="360"/>
        </w:tabs>
        <w:spacing w:after="0"/>
        <w:contextualSpacing/>
        <w:jc w:val="both"/>
        <w:rPr>
          <w:rFonts w:ascii="Times New Roman" w:eastAsia="Times New Roman,Batang" w:hAnsi="Times New Roman"/>
          <w:i/>
          <w:lang w:eastAsia="ko-KR"/>
        </w:rPr>
      </w:pPr>
    </w:p>
    <w:p w14:paraId="08A3F6B3" w14:textId="0369537F" w:rsidR="00584166" w:rsidRDefault="00195000" w:rsidP="00B1672C">
      <w:pPr>
        <w:tabs>
          <w:tab w:val="left" w:pos="360"/>
        </w:tabs>
        <w:jc w:val="both"/>
        <w:rPr>
          <w:rFonts w:ascii="Times New Roman" w:eastAsia="Times New Roman,Batang" w:hAnsi="Times New Roman"/>
          <w:lang w:eastAsia="ko-KR"/>
        </w:rPr>
      </w:pPr>
      <w:r w:rsidRPr="003372C2">
        <w:rPr>
          <w:rFonts w:ascii="Times New Roman" w:eastAsia="Times New Roman,Batang" w:hAnsi="Times New Roman"/>
          <w:lang w:eastAsia="ko-KR"/>
        </w:rPr>
        <w:t>UNDP management is pleased to note that the assessments confirmed that UNDP’s interventions have been relevant and aligned with national development priorities</w:t>
      </w:r>
      <w:r w:rsidR="00584166">
        <w:rPr>
          <w:rFonts w:ascii="Times New Roman" w:eastAsia="Times New Roman,Batang" w:hAnsi="Times New Roman"/>
          <w:lang w:eastAsia="ko-KR"/>
        </w:rPr>
        <w:t>,</w:t>
      </w:r>
      <w:r w:rsidRPr="003372C2">
        <w:rPr>
          <w:rFonts w:ascii="Times New Roman" w:eastAsia="Times New Roman,Batang" w:hAnsi="Times New Roman"/>
          <w:lang w:eastAsia="ko-KR"/>
        </w:rPr>
        <w:t xml:space="preserve"> and that UNDP has been considered a </w:t>
      </w:r>
      <w:r w:rsidRPr="003372C2">
        <w:rPr>
          <w:rFonts w:ascii="Times New Roman" w:eastAsia="Times New Roman" w:hAnsi="Times New Roman"/>
        </w:rPr>
        <w:t>longstanding, trusted, credible and responsive partner.</w:t>
      </w:r>
      <w:r w:rsidRPr="003372C2">
        <w:rPr>
          <w:rFonts w:ascii="Times New Roman" w:eastAsia="Times New Roman,Batang" w:hAnsi="Times New Roman"/>
          <w:lang w:eastAsia="ko-KR"/>
        </w:rPr>
        <w:t xml:space="preserve"> </w:t>
      </w:r>
      <w:r w:rsidR="003372C2" w:rsidRPr="003372C2">
        <w:rPr>
          <w:rFonts w:ascii="Times New Roman" w:hAnsi="Times New Roman"/>
        </w:rPr>
        <w:t>UNDP</w:t>
      </w:r>
      <w:r w:rsidR="00584166">
        <w:rPr>
          <w:rFonts w:ascii="Times New Roman" w:hAnsi="Times New Roman"/>
        </w:rPr>
        <w:t>’s</w:t>
      </w:r>
      <w:r w:rsidR="003372C2" w:rsidRPr="003372C2">
        <w:rPr>
          <w:rFonts w:ascii="Times New Roman" w:hAnsi="Times New Roman"/>
        </w:rPr>
        <w:t xml:space="preserve"> long-term, close relationship with many Governments has </w:t>
      </w:r>
      <w:r w:rsidR="00584166">
        <w:rPr>
          <w:rFonts w:ascii="Times New Roman" w:hAnsi="Times New Roman"/>
        </w:rPr>
        <w:t>provided</w:t>
      </w:r>
      <w:r w:rsidR="003372C2" w:rsidRPr="003372C2">
        <w:rPr>
          <w:rFonts w:ascii="Times New Roman" w:hAnsi="Times New Roman"/>
        </w:rPr>
        <w:t xml:space="preserve"> </w:t>
      </w:r>
      <w:r w:rsidR="00584166">
        <w:rPr>
          <w:rFonts w:ascii="Times New Roman" w:hAnsi="Times New Roman"/>
        </w:rPr>
        <w:t>the organization</w:t>
      </w:r>
      <w:r w:rsidR="003372C2" w:rsidRPr="003372C2">
        <w:rPr>
          <w:rFonts w:ascii="Times New Roman" w:hAnsi="Times New Roman"/>
        </w:rPr>
        <w:t xml:space="preserve"> </w:t>
      </w:r>
      <w:r w:rsidR="00211751">
        <w:rPr>
          <w:rFonts w:ascii="Times New Roman" w:hAnsi="Times New Roman"/>
        </w:rPr>
        <w:t xml:space="preserve">with </w:t>
      </w:r>
      <w:r w:rsidR="00211751" w:rsidRPr="003372C2">
        <w:rPr>
          <w:rFonts w:ascii="Times New Roman" w:hAnsi="Times New Roman"/>
        </w:rPr>
        <w:t>unique</w:t>
      </w:r>
      <w:r w:rsidR="003372C2" w:rsidRPr="003372C2">
        <w:rPr>
          <w:rFonts w:ascii="Times New Roman" w:hAnsi="Times New Roman"/>
        </w:rPr>
        <w:t xml:space="preserve"> access to work in sensitive regions, resources to address specific government needs through government cost-sharing agreements and opportunities to lead and champion important national-level development topics. </w:t>
      </w:r>
      <w:r w:rsidR="00D11CA7" w:rsidRPr="003372C2">
        <w:rPr>
          <w:rFonts w:ascii="Times New Roman" w:eastAsia="Times New Roman,Batang" w:hAnsi="Times New Roman"/>
          <w:lang w:eastAsia="ko-KR"/>
        </w:rPr>
        <w:t xml:space="preserve">Out of the committed actions: </w:t>
      </w:r>
      <w:r w:rsidR="00E10118" w:rsidRPr="003372C2">
        <w:rPr>
          <w:rFonts w:ascii="Times New Roman" w:eastAsia="Times New Roman,Batang" w:hAnsi="Times New Roman"/>
          <w:lang w:eastAsia="ko-KR"/>
        </w:rPr>
        <w:t xml:space="preserve">Kyrgyzstan has </w:t>
      </w:r>
      <w:r w:rsidR="00E10118">
        <w:rPr>
          <w:rFonts w:ascii="Times New Roman" w:eastAsia="Times New Roman,Batang" w:hAnsi="Times New Roman"/>
          <w:lang w:eastAsia="ko-KR"/>
        </w:rPr>
        <w:t xml:space="preserve">completed 10/13 (77%) and </w:t>
      </w:r>
      <w:r w:rsidR="00E10118" w:rsidRPr="003372C2">
        <w:rPr>
          <w:rFonts w:ascii="Times New Roman" w:eastAsia="Times New Roman,Batang" w:hAnsi="Times New Roman"/>
          <w:lang w:eastAsia="ko-KR"/>
        </w:rPr>
        <w:t>Cameroon 3/23 (13%)</w:t>
      </w:r>
      <w:r w:rsidR="00E10118">
        <w:rPr>
          <w:rFonts w:ascii="Times New Roman" w:eastAsia="Times New Roman,Batang" w:hAnsi="Times New Roman"/>
          <w:lang w:eastAsia="ko-KR"/>
        </w:rPr>
        <w:t>.</w:t>
      </w:r>
      <w:r w:rsidR="00E10118" w:rsidRPr="003372C2">
        <w:rPr>
          <w:rFonts w:ascii="Times New Roman" w:eastAsia="Times New Roman,Batang" w:hAnsi="Times New Roman"/>
          <w:lang w:eastAsia="ko-KR"/>
        </w:rPr>
        <w:t xml:space="preserve"> </w:t>
      </w:r>
      <w:r w:rsidR="00E10118">
        <w:rPr>
          <w:rFonts w:ascii="Times New Roman" w:eastAsia="Times New Roman,Batang" w:hAnsi="Times New Roman"/>
          <w:lang w:eastAsia="ko-KR"/>
        </w:rPr>
        <w:t xml:space="preserve">None of the planned actions in </w:t>
      </w:r>
      <w:r w:rsidR="00026F97" w:rsidRPr="003372C2">
        <w:rPr>
          <w:rFonts w:ascii="Times New Roman" w:eastAsia="Times New Roman,Batang" w:hAnsi="Times New Roman"/>
          <w:lang w:eastAsia="ko-KR"/>
        </w:rPr>
        <w:t xml:space="preserve">Mexico </w:t>
      </w:r>
      <w:r w:rsidR="00E10118">
        <w:rPr>
          <w:rFonts w:ascii="Times New Roman" w:eastAsia="Times New Roman,Batang" w:hAnsi="Times New Roman"/>
          <w:lang w:eastAsia="ko-KR"/>
        </w:rPr>
        <w:t>(34)</w:t>
      </w:r>
      <w:r w:rsidR="00D11CA7" w:rsidRPr="003372C2">
        <w:rPr>
          <w:rFonts w:ascii="Times New Roman" w:eastAsia="Times New Roman,Batang" w:hAnsi="Times New Roman"/>
          <w:lang w:eastAsia="ko-KR"/>
        </w:rPr>
        <w:t xml:space="preserve">, </w:t>
      </w:r>
      <w:r w:rsidR="00026F97" w:rsidRPr="003372C2">
        <w:rPr>
          <w:rFonts w:ascii="Times New Roman" w:eastAsia="Times New Roman,Batang" w:hAnsi="Times New Roman"/>
          <w:lang w:eastAsia="ko-KR"/>
        </w:rPr>
        <w:t>Pakistan</w:t>
      </w:r>
      <w:r w:rsidR="00D11CA7" w:rsidRPr="003372C2">
        <w:rPr>
          <w:rFonts w:ascii="Times New Roman" w:eastAsia="Times New Roman,Batang" w:hAnsi="Times New Roman"/>
          <w:lang w:eastAsia="ko-KR"/>
        </w:rPr>
        <w:t xml:space="preserve"> </w:t>
      </w:r>
      <w:r w:rsidR="00E10118">
        <w:rPr>
          <w:rFonts w:ascii="Times New Roman" w:eastAsia="Times New Roman,Batang" w:hAnsi="Times New Roman"/>
          <w:lang w:eastAsia="ko-KR"/>
        </w:rPr>
        <w:t>(</w:t>
      </w:r>
      <w:r w:rsidR="00FC61A8" w:rsidRPr="003372C2">
        <w:rPr>
          <w:rFonts w:ascii="Times New Roman" w:eastAsia="Times New Roman,Batang" w:hAnsi="Times New Roman"/>
          <w:lang w:eastAsia="ko-KR"/>
        </w:rPr>
        <w:t>5</w:t>
      </w:r>
      <w:r w:rsidR="00E10118">
        <w:rPr>
          <w:rFonts w:ascii="Times New Roman" w:eastAsia="Times New Roman,Batang" w:hAnsi="Times New Roman"/>
          <w:lang w:eastAsia="ko-KR"/>
        </w:rPr>
        <w:t>) or</w:t>
      </w:r>
      <w:r w:rsidR="00D11CA7" w:rsidRPr="003372C2">
        <w:rPr>
          <w:rFonts w:ascii="Times New Roman" w:eastAsia="Times New Roman,Batang" w:hAnsi="Times New Roman"/>
          <w:lang w:eastAsia="ko-KR"/>
        </w:rPr>
        <w:t xml:space="preserve"> </w:t>
      </w:r>
      <w:r w:rsidR="00026F97" w:rsidRPr="003372C2">
        <w:rPr>
          <w:rFonts w:ascii="Times New Roman" w:eastAsia="Times New Roman,Batang" w:hAnsi="Times New Roman"/>
          <w:lang w:eastAsia="ko-KR"/>
        </w:rPr>
        <w:t xml:space="preserve">Jordan </w:t>
      </w:r>
      <w:r w:rsidR="00E10118">
        <w:rPr>
          <w:rFonts w:ascii="Times New Roman" w:eastAsia="Times New Roman,Batang" w:hAnsi="Times New Roman"/>
          <w:lang w:eastAsia="ko-KR"/>
        </w:rPr>
        <w:t>(5</w:t>
      </w:r>
      <w:r w:rsidR="00AB59C6" w:rsidRPr="003372C2">
        <w:rPr>
          <w:rFonts w:ascii="Times New Roman" w:eastAsia="Times New Roman,Batang" w:hAnsi="Times New Roman"/>
          <w:lang w:eastAsia="ko-KR"/>
        </w:rPr>
        <w:t>)</w:t>
      </w:r>
      <w:r w:rsidR="00E10118">
        <w:rPr>
          <w:rFonts w:ascii="Times New Roman" w:eastAsia="Times New Roman,Batang" w:hAnsi="Times New Roman"/>
          <w:lang w:eastAsia="ko-KR"/>
        </w:rPr>
        <w:t xml:space="preserve"> have been completed</w:t>
      </w:r>
      <w:r w:rsidR="00D11CA7" w:rsidRPr="003372C2">
        <w:rPr>
          <w:rFonts w:ascii="Times New Roman" w:eastAsia="Times New Roman,Batang" w:hAnsi="Times New Roman"/>
          <w:lang w:eastAsia="ko-KR"/>
        </w:rPr>
        <w:t xml:space="preserve">. </w:t>
      </w:r>
      <w:r w:rsidR="000F1D19" w:rsidRPr="003372C2">
        <w:rPr>
          <w:rFonts w:ascii="Times New Roman" w:eastAsia="Times New Roman,Batang" w:hAnsi="Times New Roman"/>
          <w:lang w:eastAsia="ko-KR"/>
        </w:rPr>
        <w:t xml:space="preserve">The Republic of Equatorial Guinea </w:t>
      </w:r>
      <w:r w:rsidR="00D11CA7" w:rsidRPr="003372C2">
        <w:rPr>
          <w:rFonts w:ascii="Times New Roman" w:eastAsia="Times New Roman,Batang" w:hAnsi="Times New Roman"/>
          <w:lang w:eastAsia="ko-KR"/>
        </w:rPr>
        <w:t>do</w:t>
      </w:r>
      <w:r w:rsidR="000F1D19" w:rsidRPr="003372C2">
        <w:rPr>
          <w:rFonts w:ascii="Times New Roman" w:eastAsia="Times New Roman,Batang" w:hAnsi="Times New Roman"/>
          <w:lang w:eastAsia="ko-KR"/>
        </w:rPr>
        <w:t>es</w:t>
      </w:r>
      <w:r w:rsidR="00D11CA7" w:rsidRPr="003372C2">
        <w:rPr>
          <w:rFonts w:ascii="Times New Roman" w:eastAsia="Times New Roman,Batang" w:hAnsi="Times New Roman"/>
          <w:lang w:eastAsia="ko-KR"/>
        </w:rPr>
        <w:t xml:space="preserve"> not have a m</w:t>
      </w:r>
      <w:r w:rsidR="000F1D19" w:rsidRPr="003372C2">
        <w:rPr>
          <w:rFonts w:ascii="Times New Roman" w:eastAsia="Times New Roman,Batang" w:hAnsi="Times New Roman"/>
          <w:lang w:eastAsia="ko-KR"/>
        </w:rPr>
        <w:t>anagement response to their ADR</w:t>
      </w:r>
      <w:r w:rsidR="00B3524D">
        <w:rPr>
          <w:rFonts w:ascii="Times New Roman" w:eastAsia="Times New Roman,Batang" w:hAnsi="Times New Roman"/>
          <w:lang w:eastAsia="ko-KR"/>
        </w:rPr>
        <w:t xml:space="preserve"> as of mid-March 2018</w:t>
      </w:r>
      <w:r w:rsidR="00D11CA7" w:rsidRPr="003372C2">
        <w:rPr>
          <w:rFonts w:ascii="Times New Roman" w:eastAsia="Times New Roman,Batang" w:hAnsi="Times New Roman"/>
          <w:lang w:eastAsia="ko-KR"/>
        </w:rPr>
        <w:t xml:space="preserve">. </w:t>
      </w:r>
    </w:p>
    <w:p w14:paraId="635A673D" w14:textId="1CBE4A3C" w:rsidR="00D11CA7" w:rsidRPr="00EF6882" w:rsidRDefault="00584166" w:rsidP="00B1672C">
      <w:pPr>
        <w:tabs>
          <w:tab w:val="left" w:pos="360"/>
        </w:tabs>
        <w:jc w:val="both"/>
        <w:rPr>
          <w:rFonts w:ascii="Times New Roman" w:hAnsi="Times New Roman"/>
        </w:rPr>
      </w:pPr>
      <w:r>
        <w:rPr>
          <w:rFonts w:ascii="Times New Roman" w:eastAsia="Times New Roman,Batang" w:hAnsi="Times New Roman"/>
          <w:lang w:eastAsia="ko-KR"/>
        </w:rPr>
        <w:t>Details of how each Country O</w:t>
      </w:r>
      <w:r w:rsidR="00673D6C" w:rsidRPr="003372C2">
        <w:rPr>
          <w:rFonts w:ascii="Times New Roman" w:eastAsia="Times New Roman,Batang" w:hAnsi="Times New Roman"/>
          <w:lang w:eastAsia="ko-KR"/>
        </w:rPr>
        <w:t xml:space="preserve">ffice has responded to the ADR recommendations can be found in their respective management responses, which are made public through the </w:t>
      </w:r>
      <w:r w:rsidR="00E10118">
        <w:rPr>
          <w:rFonts w:ascii="Times New Roman" w:eastAsia="Times New Roman,Batang" w:hAnsi="Times New Roman"/>
          <w:lang w:eastAsia="ko-KR"/>
        </w:rPr>
        <w:t>ERC</w:t>
      </w:r>
      <w:r w:rsidR="00673D6C" w:rsidRPr="003372C2">
        <w:rPr>
          <w:rFonts w:ascii="Times New Roman" w:eastAsia="Times New Roman,Batang" w:hAnsi="Times New Roman"/>
          <w:lang w:eastAsia="ko-KR"/>
        </w:rPr>
        <w:t xml:space="preserve">. </w:t>
      </w:r>
    </w:p>
    <w:sectPr w:rsidR="00D11CA7" w:rsidRPr="00EF6882" w:rsidSect="005C1FD9">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C375" w14:textId="77777777" w:rsidR="000E37B2" w:rsidRDefault="000E37B2" w:rsidP="00396007">
      <w:pPr>
        <w:spacing w:after="0" w:line="240" w:lineRule="auto"/>
      </w:pPr>
      <w:r>
        <w:separator/>
      </w:r>
    </w:p>
  </w:endnote>
  <w:endnote w:type="continuationSeparator" w:id="0">
    <w:p w14:paraId="50F14EE6" w14:textId="77777777" w:rsidR="000E37B2" w:rsidRDefault="000E37B2" w:rsidP="003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Times New Roman,Batang">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134C" w14:textId="3D7282B8" w:rsidR="00F97C6C" w:rsidRDefault="00F97C6C">
    <w:pPr>
      <w:pStyle w:val="Footer"/>
      <w:jc w:val="center"/>
    </w:pPr>
    <w:r>
      <w:fldChar w:fldCharType="begin"/>
    </w:r>
    <w:r>
      <w:instrText xml:space="preserve"> PAGE   \* MERGEFORMAT </w:instrText>
    </w:r>
    <w:r>
      <w:fldChar w:fldCharType="separate"/>
    </w:r>
    <w:r w:rsidR="00E37708">
      <w:rPr>
        <w:noProof/>
      </w:rPr>
      <w:t>1</w:t>
    </w:r>
    <w:r>
      <w:rPr>
        <w:noProof/>
      </w:rPr>
      <w:fldChar w:fldCharType="end"/>
    </w:r>
  </w:p>
  <w:p w14:paraId="2D792E91" w14:textId="77777777" w:rsidR="00F97C6C" w:rsidRDefault="00F9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2F0C" w14:textId="5B2F6608" w:rsidR="00E10B23" w:rsidRDefault="00E10B23">
    <w:pPr>
      <w:pStyle w:val="Footer"/>
    </w:pPr>
  </w:p>
  <w:p w14:paraId="51DC871E" w14:textId="77777777" w:rsidR="00E10B23" w:rsidRDefault="00E1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1C7C" w14:textId="77777777" w:rsidR="000E37B2" w:rsidRDefault="000E37B2" w:rsidP="00396007">
      <w:pPr>
        <w:spacing w:after="0" w:line="240" w:lineRule="auto"/>
      </w:pPr>
      <w:r>
        <w:separator/>
      </w:r>
    </w:p>
  </w:footnote>
  <w:footnote w:type="continuationSeparator" w:id="0">
    <w:p w14:paraId="22CA6F1B" w14:textId="77777777" w:rsidR="000E37B2" w:rsidRDefault="000E37B2" w:rsidP="00396007">
      <w:pPr>
        <w:spacing w:after="0" w:line="240" w:lineRule="auto"/>
      </w:pPr>
      <w:r>
        <w:continuationSeparator/>
      </w:r>
    </w:p>
  </w:footnote>
  <w:footnote w:id="1">
    <w:p w14:paraId="42BC562B" w14:textId="77777777" w:rsidR="008D6EA0" w:rsidRPr="006070B6" w:rsidRDefault="008D6EA0" w:rsidP="008D6EA0">
      <w:pPr>
        <w:pStyle w:val="FootnoteText"/>
        <w:rPr>
          <w:rFonts w:ascii="Times New Roman" w:hAnsi="Times New Roman"/>
        </w:rPr>
      </w:pPr>
      <w:r w:rsidRPr="006070B6">
        <w:rPr>
          <w:rStyle w:val="FootnoteReference"/>
          <w:rFonts w:ascii="Times New Roman" w:hAnsi="Times New Roman"/>
        </w:rPr>
        <w:footnoteRef/>
      </w:r>
      <w:r w:rsidRPr="006070B6">
        <w:rPr>
          <w:rFonts w:ascii="Times New Roman" w:hAnsi="Times New Roman"/>
        </w:rPr>
        <w:t xml:space="preserve"> Including ADRs, Global Programme evaluation, five Regional Programme evaluations, the Review of the Evaluation Policy and thematic evaluations.</w:t>
      </w:r>
    </w:p>
  </w:footnote>
  <w:footnote w:id="2">
    <w:p w14:paraId="682A9659" w14:textId="3159394C" w:rsidR="008D6EA0" w:rsidRDefault="008D6EA0" w:rsidP="008D6EA0">
      <w:pPr>
        <w:pStyle w:val="FootnoteText"/>
      </w:pPr>
      <w:r w:rsidRPr="006070B6">
        <w:rPr>
          <w:rStyle w:val="FootnoteReference"/>
          <w:rFonts w:ascii="Times New Roman" w:hAnsi="Times New Roman"/>
        </w:rPr>
        <w:footnoteRef/>
      </w:r>
      <w:r w:rsidRPr="006070B6">
        <w:rPr>
          <w:rFonts w:ascii="Times New Roman" w:hAnsi="Times New Roman"/>
        </w:rPr>
        <w:t xml:space="preserve"> According to IRRF reporting the </w:t>
      </w:r>
      <w:r w:rsidR="00B3524D">
        <w:rPr>
          <w:rFonts w:ascii="Times New Roman" w:hAnsi="Times New Roman"/>
        </w:rPr>
        <w:t>corresponding</w:t>
      </w:r>
      <w:r w:rsidR="00B3524D" w:rsidRPr="006070B6">
        <w:rPr>
          <w:rFonts w:ascii="Times New Roman" w:hAnsi="Times New Roman"/>
        </w:rPr>
        <w:t xml:space="preserve"> percentage in</w:t>
      </w:r>
      <w:r w:rsidRPr="006070B6">
        <w:rPr>
          <w:rFonts w:ascii="Times New Roman" w:hAnsi="Times New Roman"/>
        </w:rPr>
        <w:t xml:space="preserve"> 2015</w:t>
      </w:r>
      <w:r w:rsidR="00B3524D">
        <w:rPr>
          <w:rFonts w:ascii="Times New Roman" w:hAnsi="Times New Roman"/>
        </w:rPr>
        <w:t xml:space="preserve"> was</w:t>
      </w:r>
      <w:r w:rsidRPr="006070B6">
        <w:rPr>
          <w:rFonts w:ascii="Times New Roman" w:hAnsi="Times New Roman"/>
        </w:rPr>
        <w:t xml:space="preserve"> 83.50% and 96% 2016.</w:t>
      </w:r>
    </w:p>
  </w:footnote>
  <w:footnote w:id="3">
    <w:p w14:paraId="4F2BAEB0" w14:textId="6408BCBD" w:rsidR="00F97C6C" w:rsidRPr="00363986" w:rsidRDefault="00F97C6C" w:rsidP="00363986">
      <w:pPr>
        <w:pStyle w:val="FootnoteText"/>
        <w:jc w:val="both"/>
        <w:rPr>
          <w:rFonts w:ascii="Times New Roman" w:hAnsi="Times New Roman"/>
        </w:rPr>
      </w:pPr>
      <w:r w:rsidRPr="00363986">
        <w:rPr>
          <w:rStyle w:val="FootnoteReference"/>
          <w:rFonts w:ascii="Times New Roman" w:hAnsi="Times New Roman"/>
        </w:rPr>
        <w:footnoteRef/>
      </w:r>
      <w:r w:rsidRPr="00363986">
        <w:rPr>
          <w:rFonts w:ascii="Times New Roman" w:hAnsi="Times New Roman"/>
        </w:rPr>
        <w:t xml:space="preserve"> </w:t>
      </w:r>
      <w:r w:rsidR="00D27720" w:rsidRPr="00363986">
        <w:rPr>
          <w:rFonts w:ascii="Times New Roman" w:hAnsi="Times New Roman"/>
        </w:rPr>
        <w:t>The corresponding figure</w:t>
      </w:r>
      <w:r w:rsidRPr="00363986">
        <w:rPr>
          <w:rFonts w:ascii="Times New Roman" w:hAnsi="Times New Roman"/>
        </w:rPr>
        <w:t xml:space="preserve"> </w:t>
      </w:r>
      <w:r w:rsidR="00D27720" w:rsidRPr="00363986">
        <w:rPr>
          <w:rFonts w:ascii="Times New Roman" w:hAnsi="Times New Roman"/>
        </w:rPr>
        <w:t xml:space="preserve">was </w:t>
      </w:r>
      <w:r w:rsidRPr="00363986">
        <w:rPr>
          <w:rFonts w:ascii="Times New Roman" w:hAnsi="Times New Roman"/>
        </w:rPr>
        <w:t>in 2016</w:t>
      </w:r>
      <w:r w:rsidR="00D27720" w:rsidRPr="00363986">
        <w:rPr>
          <w:rFonts w:ascii="Times New Roman" w:hAnsi="Times New Roman"/>
        </w:rPr>
        <w:t xml:space="preserve"> </w:t>
      </w:r>
      <w:r w:rsidRPr="00363986">
        <w:rPr>
          <w:rFonts w:ascii="Times New Roman" w:eastAsia="Batang" w:hAnsi="Times New Roman"/>
          <w:lang w:eastAsia="ko-KR"/>
        </w:rPr>
        <w:t>98% and 86% in 2015</w:t>
      </w:r>
      <w:r w:rsidR="00D27720" w:rsidRPr="00363986">
        <w:rPr>
          <w:rFonts w:ascii="Times New Roman" w:eastAsia="Batang" w:hAnsi="Times New Roman"/>
          <w:lang w:eastAsia="ko-KR"/>
        </w:rPr>
        <w:t>.</w:t>
      </w:r>
    </w:p>
  </w:footnote>
  <w:footnote w:id="4">
    <w:p w14:paraId="62B54288" w14:textId="3B434A99" w:rsidR="00BC4441" w:rsidRPr="00363986" w:rsidRDefault="00BC4441" w:rsidP="00363986">
      <w:pPr>
        <w:pStyle w:val="FootnoteText"/>
        <w:jc w:val="both"/>
        <w:rPr>
          <w:rFonts w:ascii="Times New Roman" w:hAnsi="Times New Roman"/>
        </w:rPr>
      </w:pPr>
      <w:r w:rsidRPr="00363986">
        <w:rPr>
          <w:rStyle w:val="FootnoteReference"/>
          <w:rFonts w:ascii="Times New Roman" w:hAnsi="Times New Roman"/>
        </w:rPr>
        <w:footnoteRef/>
      </w:r>
      <w:r w:rsidRPr="00363986">
        <w:rPr>
          <w:rFonts w:ascii="Times New Roman" w:hAnsi="Times New Roman"/>
        </w:rPr>
        <w:t xml:space="preserve"> Completed and ongoing actions divided by total planned actions minus no longer applicable</w:t>
      </w:r>
      <w:r w:rsidR="00B73457" w:rsidRPr="00363986">
        <w:rPr>
          <w:rFonts w:ascii="Times New Roman" w:hAnsi="Times New Roman"/>
        </w:rPr>
        <w:t xml:space="preserve"> actions</w:t>
      </w:r>
      <w:r w:rsidRPr="00363986">
        <w:rPr>
          <w:rFonts w:ascii="Times New Roman" w:hAnsi="Times New Roman"/>
        </w:rPr>
        <w:t>.</w:t>
      </w:r>
    </w:p>
  </w:footnote>
  <w:footnote w:id="5">
    <w:p w14:paraId="75FFE21E" w14:textId="44ACE850" w:rsidR="00F97C6C" w:rsidRPr="006070B6" w:rsidRDefault="00F97C6C" w:rsidP="00363986">
      <w:pPr>
        <w:pStyle w:val="FootnoteText"/>
        <w:jc w:val="both"/>
        <w:rPr>
          <w:rFonts w:ascii="Times New Roman" w:hAnsi="Times New Roman"/>
        </w:rPr>
      </w:pPr>
      <w:r w:rsidRPr="00363986">
        <w:rPr>
          <w:rStyle w:val="FootnoteReference"/>
          <w:rFonts w:ascii="Times New Roman" w:hAnsi="Times New Roman"/>
        </w:rPr>
        <w:footnoteRef/>
      </w:r>
      <w:r w:rsidRPr="00363986">
        <w:rPr>
          <w:rFonts w:ascii="Times New Roman" w:hAnsi="Times New Roman"/>
        </w:rPr>
        <w:t xml:space="preserve"> According to IRRF reporting the </w:t>
      </w:r>
      <w:r w:rsidR="00176631">
        <w:rPr>
          <w:rFonts w:ascii="Times New Roman" w:hAnsi="Times New Roman"/>
        </w:rPr>
        <w:t>corresponding</w:t>
      </w:r>
      <w:r w:rsidR="00176631" w:rsidRPr="00363986">
        <w:rPr>
          <w:rFonts w:ascii="Times New Roman" w:hAnsi="Times New Roman"/>
        </w:rPr>
        <w:t xml:space="preserve"> percentage in</w:t>
      </w:r>
      <w:r w:rsidRPr="00363986">
        <w:rPr>
          <w:rFonts w:ascii="Times New Roman" w:hAnsi="Times New Roman"/>
        </w:rPr>
        <w:t xml:space="preserve"> 2015</w:t>
      </w:r>
      <w:r w:rsidR="00176631">
        <w:rPr>
          <w:rFonts w:ascii="Times New Roman" w:hAnsi="Times New Roman"/>
        </w:rPr>
        <w:t xml:space="preserve"> was</w:t>
      </w:r>
      <w:r w:rsidRPr="00363986">
        <w:rPr>
          <w:rFonts w:ascii="Times New Roman" w:hAnsi="Times New Roman"/>
        </w:rPr>
        <w:t xml:space="preserve"> 85.20% and </w:t>
      </w:r>
      <w:r w:rsidR="00046FE0" w:rsidRPr="00363986">
        <w:rPr>
          <w:rFonts w:ascii="Times New Roman" w:hAnsi="Times New Roman"/>
        </w:rPr>
        <w:t>88% in 2016</w:t>
      </w:r>
      <w:r w:rsidR="00D27720" w:rsidRPr="00363986">
        <w:rPr>
          <w:rFonts w:ascii="Times New Roman" w:hAnsi="Times New Roman"/>
        </w:rPr>
        <w:t>.</w:t>
      </w:r>
    </w:p>
  </w:footnote>
  <w:footnote w:id="6">
    <w:p w14:paraId="15232D22" w14:textId="5EC9BFDC" w:rsidR="00F97C6C" w:rsidRPr="006070B6" w:rsidRDefault="00F97C6C">
      <w:pPr>
        <w:pStyle w:val="FootnoteText"/>
        <w:rPr>
          <w:rFonts w:ascii="Times New Roman" w:hAnsi="Times New Roman"/>
        </w:rPr>
      </w:pPr>
      <w:r w:rsidRPr="006070B6">
        <w:rPr>
          <w:rStyle w:val="FootnoteReference"/>
          <w:rFonts w:ascii="Times New Roman" w:hAnsi="Times New Roman"/>
        </w:rPr>
        <w:footnoteRef/>
      </w:r>
      <w:r w:rsidRPr="006070B6">
        <w:rPr>
          <w:rFonts w:ascii="Times New Roman" w:hAnsi="Times New Roman"/>
        </w:rPr>
        <w:t xml:space="preserve"> </w:t>
      </w:r>
      <w:r w:rsidR="0075113F" w:rsidRPr="006070B6">
        <w:rPr>
          <w:rFonts w:ascii="Times New Roman" w:hAnsi="Times New Roman"/>
        </w:rPr>
        <w:t>The figures are based on ERC data as of January 31</w:t>
      </w:r>
      <w:r w:rsidR="0075113F" w:rsidRPr="006070B6">
        <w:rPr>
          <w:rFonts w:ascii="Times New Roman" w:hAnsi="Times New Roman"/>
          <w:vertAlign w:val="superscript"/>
        </w:rPr>
        <w:t>st</w:t>
      </w:r>
      <w:r w:rsidR="008E499B" w:rsidRPr="006070B6">
        <w:rPr>
          <w:rFonts w:ascii="Times New Roman" w:hAnsi="Times New Roman"/>
        </w:rPr>
        <w:t>, 2018</w:t>
      </w:r>
      <w:r w:rsidR="0075113F" w:rsidRPr="006070B6">
        <w:rPr>
          <w:rFonts w:ascii="Times New Roman" w:hAnsi="Times New Roman"/>
        </w:rPr>
        <w:t>.</w:t>
      </w:r>
    </w:p>
  </w:footnote>
  <w:footnote w:id="7">
    <w:p w14:paraId="29E855F2" w14:textId="23A09D70" w:rsidR="00F97C6C" w:rsidRDefault="00F97C6C">
      <w:pPr>
        <w:pStyle w:val="FootnoteText"/>
      </w:pPr>
      <w:r w:rsidRPr="00FB451E">
        <w:rPr>
          <w:rStyle w:val="FootnoteReference"/>
          <w:rFonts w:ascii="Times New Roman" w:hAnsi="Times New Roman"/>
        </w:rPr>
        <w:footnoteRef/>
      </w:r>
      <w:r w:rsidRPr="00FB451E">
        <w:rPr>
          <w:rFonts w:ascii="Times New Roman" w:hAnsi="Times New Roman"/>
        </w:rPr>
        <w:t xml:space="preserve"> “</w:t>
      </w:r>
      <w:r w:rsidRPr="00FB451E">
        <w:rPr>
          <w:rFonts w:ascii="Times New Roman" w:eastAsia="Batang" w:hAnsi="Times New Roman"/>
          <w:lang w:eastAsia="ko-KR"/>
        </w:rPr>
        <w:t xml:space="preserve">Action Plan for implementing </w:t>
      </w:r>
      <w:r w:rsidRPr="00FB451E">
        <w:rPr>
          <w:rFonts w:ascii="Times New Roman" w:hAnsi="Times New Roman"/>
        </w:rPr>
        <w:t>provisions of the new Evaluation Policy”, presented to the Board in Jan 2017</w:t>
      </w:r>
    </w:p>
  </w:footnote>
  <w:footnote w:id="8">
    <w:p w14:paraId="6FD4E880" w14:textId="06C616F5" w:rsidR="00B574CF" w:rsidRPr="00B574CF" w:rsidRDefault="00B574CF">
      <w:pPr>
        <w:pStyle w:val="FootnoteText"/>
        <w:rPr>
          <w:rFonts w:ascii="Times New Roman" w:hAnsi="Times New Roman"/>
        </w:rPr>
      </w:pPr>
      <w:r w:rsidRPr="00B574CF">
        <w:rPr>
          <w:rStyle w:val="FootnoteReference"/>
          <w:rFonts w:ascii="Times New Roman" w:hAnsi="Times New Roman"/>
        </w:rPr>
        <w:footnoteRef/>
      </w:r>
      <w:r w:rsidRPr="00B574CF">
        <w:rPr>
          <w:rFonts w:ascii="Times New Roman" w:hAnsi="Times New Roman"/>
        </w:rPr>
        <w:t xml:space="preserve"> Arab States in November 2016, Asia Pacific in May 2017, </w:t>
      </w:r>
      <w:r>
        <w:rPr>
          <w:rFonts w:ascii="Times New Roman" w:hAnsi="Times New Roman"/>
        </w:rPr>
        <w:t xml:space="preserve">two workshops in </w:t>
      </w:r>
      <w:r w:rsidRPr="00B574CF">
        <w:rPr>
          <w:rFonts w:ascii="Times New Roman" w:hAnsi="Times New Roman"/>
        </w:rPr>
        <w:t>Africa in June/ July 2017, Latin America and the Caribbean in September 2017, and Europe and CIS in October 2017.</w:t>
      </w:r>
    </w:p>
  </w:footnote>
  <w:footnote w:id="9">
    <w:p w14:paraId="10A33ED4" w14:textId="77777777" w:rsidR="00702A18" w:rsidRPr="00FB451E" w:rsidRDefault="00702A18" w:rsidP="00702A18">
      <w:pPr>
        <w:pStyle w:val="FootnoteText"/>
        <w:rPr>
          <w:rFonts w:ascii="Times New Roman" w:hAnsi="Times New Roman"/>
        </w:rPr>
      </w:pPr>
      <w:r w:rsidRPr="00FB451E">
        <w:rPr>
          <w:rStyle w:val="FootnoteReference"/>
          <w:rFonts w:ascii="Times New Roman" w:hAnsi="Times New Roman"/>
        </w:rPr>
        <w:footnoteRef/>
      </w:r>
      <w:r w:rsidRPr="00FB451E">
        <w:rPr>
          <w:rFonts w:ascii="Times New Roman" w:hAnsi="Times New Roman"/>
        </w:rPr>
        <w:t xml:space="preserve"> Para 26 of the Evaluation Policy notes “</w:t>
      </w:r>
      <w:r w:rsidRPr="00FB451E">
        <w:rPr>
          <w:rFonts w:ascii="Times New Roman" w:hAnsi="Times New Roman"/>
          <w:color w:val="000000"/>
          <w:lang w:val="en-GB"/>
        </w:rPr>
        <w:t xml:space="preserve">At the overall organizational level, UNDP </w:t>
      </w:r>
      <w:r w:rsidRPr="00FB451E">
        <w:rPr>
          <w:rFonts w:ascii="Times New Roman" w:hAnsi="Times New Roman"/>
          <w:i/>
          <w:color w:val="000000"/>
          <w:lang w:val="en-GB"/>
        </w:rPr>
        <w:t>will aim</w:t>
      </w:r>
      <w:r w:rsidRPr="00FB451E">
        <w:rPr>
          <w:rFonts w:ascii="Times New Roman" w:hAnsi="Times New Roman"/>
          <w:color w:val="000000"/>
          <w:lang w:val="en-GB"/>
        </w:rPr>
        <w:t xml:space="preserve"> at allocating 1% of combined programmatic (core and non-core) resources to the evaluation function, with no less than 0.2% reserved for the work of the IEO, subject to availability of resources”</w:t>
      </w:r>
    </w:p>
  </w:footnote>
  <w:footnote w:id="10">
    <w:p w14:paraId="0ED75DFA" w14:textId="1121DF11" w:rsidR="0058249C" w:rsidRPr="0058249C" w:rsidRDefault="0058249C">
      <w:pPr>
        <w:pStyle w:val="FootnoteText"/>
        <w:rPr>
          <w:rFonts w:ascii="Times New Roman" w:hAnsi="Times New Roman"/>
        </w:rPr>
      </w:pPr>
      <w:r w:rsidRPr="0058249C">
        <w:rPr>
          <w:rStyle w:val="FootnoteReference"/>
          <w:rFonts w:ascii="Times New Roman" w:hAnsi="Times New Roman"/>
        </w:rPr>
        <w:footnoteRef/>
      </w:r>
      <w:r w:rsidRPr="0058249C">
        <w:rPr>
          <w:rFonts w:ascii="Times New Roman" w:hAnsi="Times New Roman"/>
        </w:rPr>
        <w:t xml:space="preserve"> The </w:t>
      </w:r>
      <w:r w:rsidR="00DD5E18">
        <w:rPr>
          <w:rFonts w:ascii="Times New Roman" w:hAnsi="Times New Roman"/>
        </w:rPr>
        <w:t xml:space="preserve">UNDP </w:t>
      </w:r>
      <w:r w:rsidRPr="0058249C">
        <w:rPr>
          <w:rFonts w:ascii="Times New Roman" w:hAnsi="Times New Roman"/>
        </w:rPr>
        <w:t>Monitoring Policy (</w:t>
      </w:r>
      <w:r w:rsidR="00F11C02">
        <w:rPr>
          <w:rFonts w:ascii="Times New Roman" w:hAnsi="Times New Roman"/>
        </w:rPr>
        <w:t>effective as of February 2016</w:t>
      </w:r>
      <w:r w:rsidRPr="0058249C">
        <w:rPr>
          <w:rFonts w:ascii="Times New Roman" w:hAnsi="Times New Roman"/>
        </w:rPr>
        <w:t xml:space="preserve">) notes under ‘Resources for Monitoring’ that “a minimum of 1% of annual development expenditures by region must be spent on monitoring and evaluation’. </w:t>
      </w:r>
    </w:p>
  </w:footnote>
  <w:footnote w:id="11">
    <w:p w14:paraId="26CEB705" w14:textId="77777777" w:rsidR="00F97C6C" w:rsidRDefault="00F97C6C" w:rsidP="00297846">
      <w:pPr>
        <w:pStyle w:val="FootnoteText"/>
      </w:pPr>
      <w:r w:rsidRPr="00956E32">
        <w:rPr>
          <w:rStyle w:val="FootnoteReference"/>
          <w:rFonts w:ascii="Times New Roman" w:hAnsi="Times New Roman"/>
        </w:rPr>
        <w:footnoteRef/>
      </w:r>
      <w:r w:rsidRPr="00956E32">
        <w:rPr>
          <w:rFonts w:ascii="Times New Roman" w:hAnsi="Times New Roman"/>
        </w:rPr>
        <w:t xml:space="preserve"> </w:t>
      </w:r>
      <w:r w:rsidRPr="00956E32">
        <w:rPr>
          <w:rFonts w:ascii="Times New Roman" w:eastAsia="Times New Roman" w:hAnsi="Times New Roman"/>
        </w:rPr>
        <w:t>Based on publication date of the ADR reports</w:t>
      </w:r>
    </w:p>
  </w:footnote>
  <w:footnote w:id="12">
    <w:p w14:paraId="0C0D90A9" w14:textId="254777BE" w:rsidR="00DD13A0" w:rsidRPr="0064755B" w:rsidRDefault="00DD13A0">
      <w:pPr>
        <w:pStyle w:val="FootnoteText"/>
        <w:rPr>
          <w:rFonts w:ascii="Times New Roman" w:hAnsi="Times New Roman"/>
        </w:rPr>
      </w:pPr>
      <w:r w:rsidRPr="0064755B">
        <w:rPr>
          <w:rStyle w:val="FootnoteReference"/>
          <w:rFonts w:ascii="Times New Roman" w:hAnsi="Times New Roman"/>
        </w:rPr>
        <w:footnoteRef/>
      </w:r>
      <w:r w:rsidRPr="0064755B">
        <w:rPr>
          <w:rFonts w:ascii="Times New Roman" w:hAnsi="Times New Roman"/>
        </w:rPr>
        <w:t xml:space="preserve"> </w:t>
      </w:r>
      <w:r w:rsidRPr="0064755B">
        <w:rPr>
          <w:rFonts w:ascii="Times New Roman" w:eastAsia="Times New Roman" w:hAnsi="Times New Roman"/>
        </w:rPr>
        <w:t>Based on publication date of the ADR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58FC" w14:textId="77777777" w:rsidR="00F97C6C" w:rsidRDefault="00F97C6C">
    <w:pPr>
      <w:pStyle w:val="Header"/>
    </w:pPr>
    <w:r>
      <w:tab/>
    </w:r>
    <w:r>
      <w:tab/>
    </w:r>
    <w:r w:rsidRPr="00614F74">
      <w:rPr>
        <w:noProof/>
        <w:sz w:val="28"/>
        <w:szCs w:val="28"/>
      </w:rPr>
      <w:drawing>
        <wp:inline distT="0" distB="0" distL="0" distR="0" wp14:anchorId="145E6FD8" wp14:editId="05F55C55">
          <wp:extent cx="485775" cy="904875"/>
          <wp:effectExtent l="0" t="0" r="0" b="0"/>
          <wp:docPr id="1"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E969" w14:textId="77777777" w:rsidR="00F97C6C" w:rsidRDefault="00F97C6C" w:rsidP="00993C82">
    <w:pPr>
      <w:pStyle w:val="Header"/>
      <w:jc w:val="right"/>
    </w:pPr>
    <w:r w:rsidRPr="00614F74">
      <w:rPr>
        <w:noProof/>
        <w:sz w:val="28"/>
        <w:szCs w:val="28"/>
      </w:rPr>
      <w:drawing>
        <wp:inline distT="0" distB="0" distL="0" distR="0" wp14:anchorId="30E3D876" wp14:editId="2FF3E775">
          <wp:extent cx="485775" cy="904875"/>
          <wp:effectExtent l="0" t="0" r="0" b="0"/>
          <wp:docPr id="2"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D1B"/>
    <w:multiLevelType w:val="hybridMultilevel"/>
    <w:tmpl w:val="1E3C5160"/>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A69"/>
    <w:multiLevelType w:val="hybridMultilevel"/>
    <w:tmpl w:val="2C24A6C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B39"/>
    <w:multiLevelType w:val="hybridMultilevel"/>
    <w:tmpl w:val="BB9E1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5816AD"/>
    <w:multiLevelType w:val="hybridMultilevel"/>
    <w:tmpl w:val="60040F3C"/>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22821"/>
    <w:multiLevelType w:val="hybridMultilevel"/>
    <w:tmpl w:val="4D52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0D5"/>
    <w:multiLevelType w:val="hybridMultilevel"/>
    <w:tmpl w:val="319EF26E"/>
    <w:lvl w:ilvl="0" w:tplc="79B20C1E">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3B61A2"/>
    <w:multiLevelType w:val="hybridMultilevel"/>
    <w:tmpl w:val="925C5722"/>
    <w:lvl w:ilvl="0" w:tplc="A1E8A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8424AC"/>
    <w:multiLevelType w:val="hybridMultilevel"/>
    <w:tmpl w:val="3FB80582"/>
    <w:lvl w:ilvl="0" w:tplc="B2607F22">
      <w:start w:val="1"/>
      <w:numFmt w:val="bullet"/>
      <w:lvlText w:val="•"/>
      <w:lvlJc w:val="left"/>
      <w:pPr>
        <w:tabs>
          <w:tab w:val="num" w:pos="720"/>
        </w:tabs>
        <w:ind w:left="720" w:hanging="360"/>
      </w:pPr>
      <w:rPr>
        <w:rFonts w:ascii="Arial" w:hAnsi="Arial" w:hint="default"/>
      </w:rPr>
    </w:lvl>
    <w:lvl w:ilvl="1" w:tplc="B0CE7254" w:tentative="1">
      <w:start w:val="1"/>
      <w:numFmt w:val="bullet"/>
      <w:lvlText w:val="•"/>
      <w:lvlJc w:val="left"/>
      <w:pPr>
        <w:tabs>
          <w:tab w:val="num" w:pos="1440"/>
        </w:tabs>
        <w:ind w:left="1440" w:hanging="360"/>
      </w:pPr>
      <w:rPr>
        <w:rFonts w:ascii="Arial" w:hAnsi="Arial" w:hint="default"/>
      </w:rPr>
    </w:lvl>
    <w:lvl w:ilvl="2" w:tplc="7E0AAB46" w:tentative="1">
      <w:start w:val="1"/>
      <w:numFmt w:val="bullet"/>
      <w:lvlText w:val="•"/>
      <w:lvlJc w:val="left"/>
      <w:pPr>
        <w:tabs>
          <w:tab w:val="num" w:pos="2160"/>
        </w:tabs>
        <w:ind w:left="2160" w:hanging="360"/>
      </w:pPr>
      <w:rPr>
        <w:rFonts w:ascii="Arial" w:hAnsi="Arial" w:hint="default"/>
      </w:rPr>
    </w:lvl>
    <w:lvl w:ilvl="3" w:tplc="2864F3F4" w:tentative="1">
      <w:start w:val="1"/>
      <w:numFmt w:val="bullet"/>
      <w:lvlText w:val="•"/>
      <w:lvlJc w:val="left"/>
      <w:pPr>
        <w:tabs>
          <w:tab w:val="num" w:pos="2880"/>
        </w:tabs>
        <w:ind w:left="2880" w:hanging="360"/>
      </w:pPr>
      <w:rPr>
        <w:rFonts w:ascii="Arial" w:hAnsi="Arial" w:hint="default"/>
      </w:rPr>
    </w:lvl>
    <w:lvl w:ilvl="4" w:tplc="5ADC231C" w:tentative="1">
      <w:start w:val="1"/>
      <w:numFmt w:val="bullet"/>
      <w:lvlText w:val="•"/>
      <w:lvlJc w:val="left"/>
      <w:pPr>
        <w:tabs>
          <w:tab w:val="num" w:pos="3600"/>
        </w:tabs>
        <w:ind w:left="3600" w:hanging="360"/>
      </w:pPr>
      <w:rPr>
        <w:rFonts w:ascii="Arial" w:hAnsi="Arial" w:hint="default"/>
      </w:rPr>
    </w:lvl>
    <w:lvl w:ilvl="5" w:tplc="6694B5E8" w:tentative="1">
      <w:start w:val="1"/>
      <w:numFmt w:val="bullet"/>
      <w:lvlText w:val="•"/>
      <w:lvlJc w:val="left"/>
      <w:pPr>
        <w:tabs>
          <w:tab w:val="num" w:pos="4320"/>
        </w:tabs>
        <w:ind w:left="4320" w:hanging="360"/>
      </w:pPr>
      <w:rPr>
        <w:rFonts w:ascii="Arial" w:hAnsi="Arial" w:hint="default"/>
      </w:rPr>
    </w:lvl>
    <w:lvl w:ilvl="6" w:tplc="3222C508" w:tentative="1">
      <w:start w:val="1"/>
      <w:numFmt w:val="bullet"/>
      <w:lvlText w:val="•"/>
      <w:lvlJc w:val="left"/>
      <w:pPr>
        <w:tabs>
          <w:tab w:val="num" w:pos="5040"/>
        </w:tabs>
        <w:ind w:left="5040" w:hanging="360"/>
      </w:pPr>
      <w:rPr>
        <w:rFonts w:ascii="Arial" w:hAnsi="Arial" w:hint="default"/>
      </w:rPr>
    </w:lvl>
    <w:lvl w:ilvl="7" w:tplc="512ED05C" w:tentative="1">
      <w:start w:val="1"/>
      <w:numFmt w:val="bullet"/>
      <w:lvlText w:val="•"/>
      <w:lvlJc w:val="left"/>
      <w:pPr>
        <w:tabs>
          <w:tab w:val="num" w:pos="5760"/>
        </w:tabs>
        <w:ind w:left="5760" w:hanging="360"/>
      </w:pPr>
      <w:rPr>
        <w:rFonts w:ascii="Arial" w:hAnsi="Arial" w:hint="default"/>
      </w:rPr>
    </w:lvl>
    <w:lvl w:ilvl="8" w:tplc="FEC216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422F19"/>
    <w:multiLevelType w:val="hybridMultilevel"/>
    <w:tmpl w:val="3620B64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3B0E"/>
    <w:multiLevelType w:val="hybridMultilevel"/>
    <w:tmpl w:val="8ACE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CF29E3"/>
    <w:multiLevelType w:val="hybridMultilevel"/>
    <w:tmpl w:val="F6DA9DA6"/>
    <w:lvl w:ilvl="0" w:tplc="704C71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63D28"/>
    <w:multiLevelType w:val="hybridMultilevel"/>
    <w:tmpl w:val="925AEA68"/>
    <w:lvl w:ilvl="0" w:tplc="E3B65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A05B5"/>
    <w:multiLevelType w:val="hybridMultilevel"/>
    <w:tmpl w:val="16CCD1D6"/>
    <w:lvl w:ilvl="0" w:tplc="18969E44">
      <w:start w:val="1"/>
      <w:numFmt w:val="decimal"/>
      <w:lvlText w:val="%1."/>
      <w:lvlJc w:val="left"/>
      <w:pPr>
        <w:tabs>
          <w:tab w:val="num" w:pos="1710"/>
        </w:tabs>
        <w:ind w:left="1422" w:hanging="72"/>
      </w:pPr>
      <w:rPr>
        <w:rFonts w:ascii="Times New Roman" w:hAnsi="Times New Roman" w:cs="Times New Roman" w:hint="default"/>
        <w:b w:val="0"/>
        <w:i w:val="0"/>
        <w:sz w:val="20"/>
        <w:szCs w:val="20"/>
      </w:rPr>
    </w:lvl>
    <w:lvl w:ilvl="1" w:tplc="A1E8ADEA">
      <w:start w:val="1"/>
      <w:numFmt w:val="lowerLetter"/>
      <w:lvlText w:val="(%2)"/>
      <w:lvlJc w:val="left"/>
      <w:pPr>
        <w:tabs>
          <w:tab w:val="num" w:pos="3374"/>
        </w:tabs>
        <w:ind w:left="3374" w:hanging="360"/>
      </w:pPr>
      <w:rPr>
        <w:rFonts w:hint="default"/>
      </w:rPr>
    </w:lvl>
    <w:lvl w:ilvl="2" w:tplc="0409000F">
      <w:start w:val="1"/>
      <w:numFmt w:val="decimal"/>
      <w:lvlText w:val="%3."/>
      <w:lvlJc w:val="left"/>
      <w:pPr>
        <w:tabs>
          <w:tab w:val="num" w:pos="4274"/>
        </w:tabs>
        <w:ind w:left="4274" w:hanging="360"/>
      </w:pPr>
      <w:rPr>
        <w:rFonts w:hint="default"/>
        <w:sz w:val="20"/>
        <w:szCs w:val="20"/>
      </w:rPr>
    </w:lvl>
    <w:lvl w:ilvl="3" w:tplc="018E1E26">
      <w:start w:val="1"/>
      <w:numFmt w:val="lowerLetter"/>
      <w:lvlText w:val="(%4)"/>
      <w:lvlJc w:val="left"/>
      <w:pPr>
        <w:tabs>
          <w:tab w:val="num" w:pos="4814"/>
        </w:tabs>
        <w:ind w:left="4814" w:hanging="360"/>
      </w:pPr>
      <w:rPr>
        <w:rFonts w:hint="default"/>
      </w:rPr>
    </w:lvl>
    <w:lvl w:ilvl="4" w:tplc="04090017">
      <w:start w:val="1"/>
      <w:numFmt w:val="lowerLetter"/>
      <w:lvlText w:val="%5)"/>
      <w:lvlJc w:val="left"/>
      <w:pPr>
        <w:tabs>
          <w:tab w:val="num" w:pos="5534"/>
        </w:tabs>
        <w:ind w:left="5534" w:hanging="360"/>
      </w:pPr>
      <w:rPr>
        <w:rFonts w:hint="default"/>
        <w:sz w:val="20"/>
        <w:szCs w:val="20"/>
      </w:rPr>
    </w:lvl>
    <w:lvl w:ilvl="5" w:tplc="E676BF74">
      <w:start w:val="58"/>
      <w:numFmt w:val="decimal"/>
      <w:lvlText w:val="%6."/>
      <w:lvlJc w:val="left"/>
      <w:pPr>
        <w:tabs>
          <w:tab w:val="num" w:pos="6434"/>
        </w:tabs>
        <w:ind w:left="6434" w:hanging="360"/>
      </w:pPr>
      <w:rPr>
        <w:rFonts w:hint="default"/>
        <w:b w:val="0"/>
      </w:rPr>
    </w:lvl>
    <w:lvl w:ilvl="6" w:tplc="0409000F" w:tentative="1">
      <w:start w:val="1"/>
      <w:numFmt w:val="decimal"/>
      <w:lvlText w:val="%7."/>
      <w:lvlJc w:val="left"/>
      <w:pPr>
        <w:tabs>
          <w:tab w:val="num" w:pos="6974"/>
        </w:tabs>
        <w:ind w:left="6974" w:hanging="360"/>
      </w:pPr>
    </w:lvl>
    <w:lvl w:ilvl="7" w:tplc="04090019" w:tentative="1">
      <w:start w:val="1"/>
      <w:numFmt w:val="lowerLetter"/>
      <w:lvlText w:val="%8."/>
      <w:lvlJc w:val="left"/>
      <w:pPr>
        <w:tabs>
          <w:tab w:val="num" w:pos="7694"/>
        </w:tabs>
        <w:ind w:left="7694" w:hanging="360"/>
      </w:pPr>
    </w:lvl>
    <w:lvl w:ilvl="8" w:tplc="0409001B" w:tentative="1">
      <w:start w:val="1"/>
      <w:numFmt w:val="lowerRoman"/>
      <w:lvlText w:val="%9."/>
      <w:lvlJc w:val="right"/>
      <w:pPr>
        <w:tabs>
          <w:tab w:val="num" w:pos="8414"/>
        </w:tabs>
        <w:ind w:left="8414" w:hanging="180"/>
      </w:pPr>
    </w:lvl>
  </w:abstractNum>
  <w:abstractNum w:abstractNumId="13" w15:restartNumberingAfterBreak="0">
    <w:nsid w:val="3D8B3491"/>
    <w:multiLevelType w:val="hybridMultilevel"/>
    <w:tmpl w:val="A7F0114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97529"/>
    <w:multiLevelType w:val="hybridMultilevel"/>
    <w:tmpl w:val="EE12E4EA"/>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476D4"/>
    <w:multiLevelType w:val="hybridMultilevel"/>
    <w:tmpl w:val="F7BA1CC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21355"/>
    <w:multiLevelType w:val="hybridMultilevel"/>
    <w:tmpl w:val="7D5CBDF8"/>
    <w:lvl w:ilvl="0" w:tplc="7674DB7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E2FB8"/>
    <w:multiLevelType w:val="multilevel"/>
    <w:tmpl w:val="B97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83F18"/>
    <w:multiLevelType w:val="hybridMultilevel"/>
    <w:tmpl w:val="0040D7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9" w15:restartNumberingAfterBreak="0">
    <w:nsid w:val="467416E3"/>
    <w:multiLevelType w:val="hybridMultilevel"/>
    <w:tmpl w:val="5AACE1C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D6C2D"/>
    <w:multiLevelType w:val="hybridMultilevel"/>
    <w:tmpl w:val="FCE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24972"/>
    <w:multiLevelType w:val="hybridMultilevel"/>
    <w:tmpl w:val="816EFB0C"/>
    <w:lvl w:ilvl="0" w:tplc="7D94F874">
      <w:start w:val="4"/>
      <w:numFmt w:val="decimal"/>
      <w:lvlText w:val="%1."/>
      <w:lvlJc w:val="left"/>
      <w:pPr>
        <w:ind w:left="360" w:hanging="360"/>
      </w:pPr>
      <w:rPr>
        <w:rFonts w:eastAsia="Times New Roman"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84362"/>
    <w:multiLevelType w:val="hybridMultilevel"/>
    <w:tmpl w:val="72CA4E14"/>
    <w:lvl w:ilvl="0" w:tplc="04090013">
      <w:start w:val="1"/>
      <w:numFmt w:val="upperRoman"/>
      <w:lvlText w:val="%1."/>
      <w:lvlJc w:val="right"/>
      <w:pPr>
        <w:ind w:left="72"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553765"/>
    <w:multiLevelType w:val="hybridMultilevel"/>
    <w:tmpl w:val="F17018B0"/>
    <w:lvl w:ilvl="0" w:tplc="B40E319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0080A"/>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D2A5B"/>
    <w:multiLevelType w:val="hybridMultilevel"/>
    <w:tmpl w:val="D4FEA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41044"/>
    <w:multiLevelType w:val="hybridMultilevel"/>
    <w:tmpl w:val="58729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F472F"/>
    <w:multiLevelType w:val="hybridMultilevel"/>
    <w:tmpl w:val="914450F0"/>
    <w:lvl w:ilvl="0" w:tplc="AE241CC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3E5C45"/>
    <w:multiLevelType w:val="hybridMultilevel"/>
    <w:tmpl w:val="CC58D48C"/>
    <w:lvl w:ilvl="0" w:tplc="9CAE2AC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6515D"/>
    <w:multiLevelType w:val="hybridMultilevel"/>
    <w:tmpl w:val="691CB36C"/>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6D5484"/>
    <w:multiLevelType w:val="hybridMultilevel"/>
    <w:tmpl w:val="6EDC7B22"/>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FAC7BEB"/>
    <w:multiLevelType w:val="multilevel"/>
    <w:tmpl w:val="78DE6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052F4D"/>
    <w:multiLevelType w:val="hybridMultilevel"/>
    <w:tmpl w:val="F51CBA88"/>
    <w:lvl w:ilvl="0" w:tplc="D39A5E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727777"/>
    <w:multiLevelType w:val="hybridMultilevel"/>
    <w:tmpl w:val="CD9694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71F21BB"/>
    <w:multiLevelType w:val="hybridMultilevel"/>
    <w:tmpl w:val="377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916FD"/>
    <w:multiLevelType w:val="hybridMultilevel"/>
    <w:tmpl w:val="1CA67F3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91A5C"/>
    <w:multiLevelType w:val="hybridMultilevel"/>
    <w:tmpl w:val="E348C7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A7936AD"/>
    <w:multiLevelType w:val="hybridMultilevel"/>
    <w:tmpl w:val="3CE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82671E"/>
    <w:multiLevelType w:val="hybridMultilevel"/>
    <w:tmpl w:val="783AE228"/>
    <w:lvl w:ilvl="0" w:tplc="C3FE5F8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24B3A"/>
    <w:multiLevelType w:val="hybridMultilevel"/>
    <w:tmpl w:val="87345A6A"/>
    <w:lvl w:ilvl="0" w:tplc="EBC6C380">
      <w:start w:val="1"/>
      <w:numFmt w:val="bullet"/>
      <w:lvlText w:val=""/>
      <w:lvlJc w:val="left"/>
      <w:pPr>
        <w:tabs>
          <w:tab w:val="num" w:pos="720"/>
        </w:tabs>
        <w:ind w:left="720" w:hanging="360"/>
      </w:pPr>
      <w:rPr>
        <w:rFonts w:ascii="Wingdings" w:hAnsi="Wingdings" w:hint="default"/>
      </w:rPr>
    </w:lvl>
    <w:lvl w:ilvl="1" w:tplc="A1747AEC" w:tentative="1">
      <w:start w:val="1"/>
      <w:numFmt w:val="bullet"/>
      <w:lvlText w:val=""/>
      <w:lvlJc w:val="left"/>
      <w:pPr>
        <w:tabs>
          <w:tab w:val="num" w:pos="1440"/>
        </w:tabs>
        <w:ind w:left="1440" w:hanging="360"/>
      </w:pPr>
      <w:rPr>
        <w:rFonts w:ascii="Wingdings" w:hAnsi="Wingdings" w:hint="default"/>
      </w:rPr>
    </w:lvl>
    <w:lvl w:ilvl="2" w:tplc="0E1471FE" w:tentative="1">
      <w:start w:val="1"/>
      <w:numFmt w:val="bullet"/>
      <w:lvlText w:val=""/>
      <w:lvlJc w:val="left"/>
      <w:pPr>
        <w:tabs>
          <w:tab w:val="num" w:pos="2160"/>
        </w:tabs>
        <w:ind w:left="2160" w:hanging="360"/>
      </w:pPr>
      <w:rPr>
        <w:rFonts w:ascii="Wingdings" w:hAnsi="Wingdings" w:hint="default"/>
      </w:rPr>
    </w:lvl>
    <w:lvl w:ilvl="3" w:tplc="97CE4670" w:tentative="1">
      <w:start w:val="1"/>
      <w:numFmt w:val="bullet"/>
      <w:lvlText w:val=""/>
      <w:lvlJc w:val="left"/>
      <w:pPr>
        <w:tabs>
          <w:tab w:val="num" w:pos="2880"/>
        </w:tabs>
        <w:ind w:left="2880" w:hanging="360"/>
      </w:pPr>
      <w:rPr>
        <w:rFonts w:ascii="Wingdings" w:hAnsi="Wingdings" w:hint="default"/>
      </w:rPr>
    </w:lvl>
    <w:lvl w:ilvl="4" w:tplc="C6D8F502" w:tentative="1">
      <w:start w:val="1"/>
      <w:numFmt w:val="bullet"/>
      <w:lvlText w:val=""/>
      <w:lvlJc w:val="left"/>
      <w:pPr>
        <w:tabs>
          <w:tab w:val="num" w:pos="3600"/>
        </w:tabs>
        <w:ind w:left="3600" w:hanging="360"/>
      </w:pPr>
      <w:rPr>
        <w:rFonts w:ascii="Wingdings" w:hAnsi="Wingdings" w:hint="default"/>
      </w:rPr>
    </w:lvl>
    <w:lvl w:ilvl="5" w:tplc="095AFFD4" w:tentative="1">
      <w:start w:val="1"/>
      <w:numFmt w:val="bullet"/>
      <w:lvlText w:val=""/>
      <w:lvlJc w:val="left"/>
      <w:pPr>
        <w:tabs>
          <w:tab w:val="num" w:pos="4320"/>
        </w:tabs>
        <w:ind w:left="4320" w:hanging="360"/>
      </w:pPr>
      <w:rPr>
        <w:rFonts w:ascii="Wingdings" w:hAnsi="Wingdings" w:hint="default"/>
      </w:rPr>
    </w:lvl>
    <w:lvl w:ilvl="6" w:tplc="0D165198" w:tentative="1">
      <w:start w:val="1"/>
      <w:numFmt w:val="bullet"/>
      <w:lvlText w:val=""/>
      <w:lvlJc w:val="left"/>
      <w:pPr>
        <w:tabs>
          <w:tab w:val="num" w:pos="5040"/>
        </w:tabs>
        <w:ind w:left="5040" w:hanging="360"/>
      </w:pPr>
      <w:rPr>
        <w:rFonts w:ascii="Wingdings" w:hAnsi="Wingdings" w:hint="default"/>
      </w:rPr>
    </w:lvl>
    <w:lvl w:ilvl="7" w:tplc="C5F8726E" w:tentative="1">
      <w:start w:val="1"/>
      <w:numFmt w:val="bullet"/>
      <w:lvlText w:val=""/>
      <w:lvlJc w:val="left"/>
      <w:pPr>
        <w:tabs>
          <w:tab w:val="num" w:pos="5760"/>
        </w:tabs>
        <w:ind w:left="5760" w:hanging="360"/>
      </w:pPr>
      <w:rPr>
        <w:rFonts w:ascii="Wingdings" w:hAnsi="Wingdings" w:hint="default"/>
      </w:rPr>
    </w:lvl>
    <w:lvl w:ilvl="8" w:tplc="5032FFC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79225A"/>
    <w:multiLevelType w:val="hybridMultilevel"/>
    <w:tmpl w:val="0A14F05A"/>
    <w:lvl w:ilvl="0" w:tplc="766A517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22"/>
  </w:num>
  <w:num w:numId="4">
    <w:abstractNumId w:val="40"/>
  </w:num>
  <w:num w:numId="5">
    <w:abstractNumId w:val="9"/>
  </w:num>
  <w:num w:numId="6">
    <w:abstractNumId w:val="33"/>
  </w:num>
  <w:num w:numId="7">
    <w:abstractNumId w:val="26"/>
  </w:num>
  <w:num w:numId="8">
    <w:abstractNumId w:val="37"/>
  </w:num>
  <w:num w:numId="9">
    <w:abstractNumId w:val="3"/>
  </w:num>
  <w:num w:numId="10">
    <w:abstractNumId w:val="30"/>
  </w:num>
  <w:num w:numId="11">
    <w:abstractNumId w:val="39"/>
  </w:num>
  <w:num w:numId="12">
    <w:abstractNumId w:val="14"/>
  </w:num>
  <w:num w:numId="13">
    <w:abstractNumId w:val="2"/>
  </w:num>
  <w:num w:numId="14">
    <w:abstractNumId w:val="2"/>
  </w:num>
  <w:num w:numId="15">
    <w:abstractNumId w:val="19"/>
  </w:num>
  <w:num w:numId="16">
    <w:abstractNumId w:val="0"/>
  </w:num>
  <w:num w:numId="17">
    <w:abstractNumId w:val="35"/>
  </w:num>
  <w:num w:numId="18">
    <w:abstractNumId w:val="15"/>
  </w:num>
  <w:num w:numId="19">
    <w:abstractNumId w:val="8"/>
  </w:num>
  <w:num w:numId="20">
    <w:abstractNumId w:val="6"/>
  </w:num>
  <w:num w:numId="21">
    <w:abstractNumId w:val="1"/>
  </w:num>
  <w:num w:numId="22">
    <w:abstractNumId w:val="13"/>
  </w:num>
  <w:num w:numId="23">
    <w:abstractNumId w:val="38"/>
  </w:num>
  <w:num w:numId="24">
    <w:abstractNumId w:val="20"/>
  </w:num>
  <w:num w:numId="25">
    <w:abstractNumId w:val="32"/>
  </w:num>
  <w:num w:numId="26">
    <w:abstractNumId w:val="11"/>
  </w:num>
  <w:num w:numId="27">
    <w:abstractNumId w:val="18"/>
  </w:num>
  <w:num w:numId="28">
    <w:abstractNumId w:val="36"/>
  </w:num>
  <w:num w:numId="29">
    <w:abstractNumId w:val="12"/>
  </w:num>
  <w:num w:numId="30">
    <w:abstractNumId w:val="24"/>
  </w:num>
  <w:num w:numId="31">
    <w:abstractNumId w:val="5"/>
  </w:num>
  <w:num w:numId="32">
    <w:abstractNumId w:val="16"/>
  </w:num>
  <w:num w:numId="33">
    <w:abstractNumId w:val="28"/>
  </w:num>
  <w:num w:numId="34">
    <w:abstractNumId w:val="25"/>
  </w:num>
  <w:num w:numId="35">
    <w:abstractNumId w:val="21"/>
  </w:num>
  <w:num w:numId="36">
    <w:abstractNumId w:val="10"/>
  </w:num>
  <w:num w:numId="37">
    <w:abstractNumId w:val="7"/>
  </w:num>
  <w:num w:numId="38">
    <w:abstractNumId w:val="23"/>
  </w:num>
  <w:num w:numId="39">
    <w:abstractNumId w:val="17"/>
  </w:num>
  <w:num w:numId="40">
    <w:abstractNumId w:val="4"/>
  </w:num>
  <w:num w:numId="41">
    <w:abstractNumId w:val="31"/>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E6"/>
    <w:rsid w:val="0000037E"/>
    <w:rsid w:val="000008C8"/>
    <w:rsid w:val="000012B8"/>
    <w:rsid w:val="000015B6"/>
    <w:rsid w:val="0000199C"/>
    <w:rsid w:val="000019E1"/>
    <w:rsid w:val="00001BED"/>
    <w:rsid w:val="000020AA"/>
    <w:rsid w:val="00003B59"/>
    <w:rsid w:val="00005561"/>
    <w:rsid w:val="00005EE7"/>
    <w:rsid w:val="00007F8B"/>
    <w:rsid w:val="00007F96"/>
    <w:rsid w:val="00011078"/>
    <w:rsid w:val="00011360"/>
    <w:rsid w:val="00011894"/>
    <w:rsid w:val="00014D74"/>
    <w:rsid w:val="00016080"/>
    <w:rsid w:val="000163B2"/>
    <w:rsid w:val="00016944"/>
    <w:rsid w:val="00017116"/>
    <w:rsid w:val="000204A5"/>
    <w:rsid w:val="000211C3"/>
    <w:rsid w:val="00021556"/>
    <w:rsid w:val="00021EA1"/>
    <w:rsid w:val="00023A53"/>
    <w:rsid w:val="000244A8"/>
    <w:rsid w:val="00024CD4"/>
    <w:rsid w:val="00024F3C"/>
    <w:rsid w:val="000259A7"/>
    <w:rsid w:val="000263D4"/>
    <w:rsid w:val="00026AB2"/>
    <w:rsid w:val="00026F97"/>
    <w:rsid w:val="000317C0"/>
    <w:rsid w:val="00032F29"/>
    <w:rsid w:val="00036276"/>
    <w:rsid w:val="00037597"/>
    <w:rsid w:val="00037625"/>
    <w:rsid w:val="00041703"/>
    <w:rsid w:val="000418E6"/>
    <w:rsid w:val="00041B23"/>
    <w:rsid w:val="00042FCF"/>
    <w:rsid w:val="00044AFD"/>
    <w:rsid w:val="00045D56"/>
    <w:rsid w:val="00046C54"/>
    <w:rsid w:val="00046FE0"/>
    <w:rsid w:val="00050C40"/>
    <w:rsid w:val="00051FCA"/>
    <w:rsid w:val="000532C1"/>
    <w:rsid w:val="000534B8"/>
    <w:rsid w:val="00053954"/>
    <w:rsid w:val="0005536B"/>
    <w:rsid w:val="000565F3"/>
    <w:rsid w:val="000578AE"/>
    <w:rsid w:val="00061ABC"/>
    <w:rsid w:val="00061BCE"/>
    <w:rsid w:val="00063EBE"/>
    <w:rsid w:val="00066F2A"/>
    <w:rsid w:val="000703D0"/>
    <w:rsid w:val="0007096E"/>
    <w:rsid w:val="000712C1"/>
    <w:rsid w:val="000717D8"/>
    <w:rsid w:val="00071E2E"/>
    <w:rsid w:val="0007244D"/>
    <w:rsid w:val="00072A55"/>
    <w:rsid w:val="00072FE8"/>
    <w:rsid w:val="00073267"/>
    <w:rsid w:val="00074A63"/>
    <w:rsid w:val="00074C27"/>
    <w:rsid w:val="000757A2"/>
    <w:rsid w:val="00080534"/>
    <w:rsid w:val="0008103E"/>
    <w:rsid w:val="00081741"/>
    <w:rsid w:val="000853D5"/>
    <w:rsid w:val="0008763A"/>
    <w:rsid w:val="00090DDC"/>
    <w:rsid w:val="000920E4"/>
    <w:rsid w:val="0009288E"/>
    <w:rsid w:val="0009323F"/>
    <w:rsid w:val="0009352D"/>
    <w:rsid w:val="00097BF7"/>
    <w:rsid w:val="00097EE0"/>
    <w:rsid w:val="000A1C02"/>
    <w:rsid w:val="000A2CD7"/>
    <w:rsid w:val="000A3DC1"/>
    <w:rsid w:val="000A4895"/>
    <w:rsid w:val="000A4EF1"/>
    <w:rsid w:val="000A54C8"/>
    <w:rsid w:val="000A5D35"/>
    <w:rsid w:val="000A680D"/>
    <w:rsid w:val="000A6E5C"/>
    <w:rsid w:val="000B120C"/>
    <w:rsid w:val="000B26DA"/>
    <w:rsid w:val="000B41AA"/>
    <w:rsid w:val="000B556C"/>
    <w:rsid w:val="000B599D"/>
    <w:rsid w:val="000B621B"/>
    <w:rsid w:val="000B6C79"/>
    <w:rsid w:val="000B701B"/>
    <w:rsid w:val="000B701E"/>
    <w:rsid w:val="000B782B"/>
    <w:rsid w:val="000B79BC"/>
    <w:rsid w:val="000C0F0A"/>
    <w:rsid w:val="000C0F23"/>
    <w:rsid w:val="000C1004"/>
    <w:rsid w:val="000C3304"/>
    <w:rsid w:val="000C33AF"/>
    <w:rsid w:val="000C4AB1"/>
    <w:rsid w:val="000C4CF3"/>
    <w:rsid w:val="000C5013"/>
    <w:rsid w:val="000C5F17"/>
    <w:rsid w:val="000C62ED"/>
    <w:rsid w:val="000C76B3"/>
    <w:rsid w:val="000C77F9"/>
    <w:rsid w:val="000C7B6E"/>
    <w:rsid w:val="000C7DB1"/>
    <w:rsid w:val="000D1DD2"/>
    <w:rsid w:val="000D2118"/>
    <w:rsid w:val="000D253C"/>
    <w:rsid w:val="000D3AEA"/>
    <w:rsid w:val="000D42F4"/>
    <w:rsid w:val="000D61DA"/>
    <w:rsid w:val="000D7059"/>
    <w:rsid w:val="000E2012"/>
    <w:rsid w:val="000E37B2"/>
    <w:rsid w:val="000E41A4"/>
    <w:rsid w:val="000E57C6"/>
    <w:rsid w:val="000E60CE"/>
    <w:rsid w:val="000E7233"/>
    <w:rsid w:val="000F0D22"/>
    <w:rsid w:val="000F14DE"/>
    <w:rsid w:val="000F1D19"/>
    <w:rsid w:val="000F32B5"/>
    <w:rsid w:val="000F3783"/>
    <w:rsid w:val="000F5C78"/>
    <w:rsid w:val="000F69D1"/>
    <w:rsid w:val="000F77A4"/>
    <w:rsid w:val="000F7E55"/>
    <w:rsid w:val="00100220"/>
    <w:rsid w:val="00101A8C"/>
    <w:rsid w:val="00103C43"/>
    <w:rsid w:val="001040DE"/>
    <w:rsid w:val="00105C48"/>
    <w:rsid w:val="00106ECF"/>
    <w:rsid w:val="001072EA"/>
    <w:rsid w:val="00107CA5"/>
    <w:rsid w:val="0011034F"/>
    <w:rsid w:val="00110F72"/>
    <w:rsid w:val="00112AA0"/>
    <w:rsid w:val="00112E9C"/>
    <w:rsid w:val="001149A6"/>
    <w:rsid w:val="00114C2C"/>
    <w:rsid w:val="00114DE7"/>
    <w:rsid w:val="001152F8"/>
    <w:rsid w:val="00117C0F"/>
    <w:rsid w:val="001204CA"/>
    <w:rsid w:val="001230FE"/>
    <w:rsid w:val="001232C9"/>
    <w:rsid w:val="00123301"/>
    <w:rsid w:val="001249EE"/>
    <w:rsid w:val="00125A33"/>
    <w:rsid w:val="00125E00"/>
    <w:rsid w:val="00125EF1"/>
    <w:rsid w:val="00127796"/>
    <w:rsid w:val="00136A02"/>
    <w:rsid w:val="00136E12"/>
    <w:rsid w:val="001372B5"/>
    <w:rsid w:val="001411CF"/>
    <w:rsid w:val="00141C80"/>
    <w:rsid w:val="00142A89"/>
    <w:rsid w:val="00143295"/>
    <w:rsid w:val="00143CAF"/>
    <w:rsid w:val="00145780"/>
    <w:rsid w:val="00145895"/>
    <w:rsid w:val="00145A52"/>
    <w:rsid w:val="00145DBD"/>
    <w:rsid w:val="00146282"/>
    <w:rsid w:val="0014735F"/>
    <w:rsid w:val="0014784E"/>
    <w:rsid w:val="00150306"/>
    <w:rsid w:val="00150D6D"/>
    <w:rsid w:val="00151D64"/>
    <w:rsid w:val="00152C5A"/>
    <w:rsid w:val="0015323C"/>
    <w:rsid w:val="0015377B"/>
    <w:rsid w:val="00153A9F"/>
    <w:rsid w:val="00153C06"/>
    <w:rsid w:val="00153F98"/>
    <w:rsid w:val="00154379"/>
    <w:rsid w:val="00154DEA"/>
    <w:rsid w:val="00155DCE"/>
    <w:rsid w:val="0015642E"/>
    <w:rsid w:val="00156435"/>
    <w:rsid w:val="00156A72"/>
    <w:rsid w:val="00156E14"/>
    <w:rsid w:val="00157B3D"/>
    <w:rsid w:val="001607DA"/>
    <w:rsid w:val="001614F4"/>
    <w:rsid w:val="00161867"/>
    <w:rsid w:val="00162554"/>
    <w:rsid w:val="001626B4"/>
    <w:rsid w:val="001634E5"/>
    <w:rsid w:val="00163CC7"/>
    <w:rsid w:val="00163F55"/>
    <w:rsid w:val="0016507C"/>
    <w:rsid w:val="00170033"/>
    <w:rsid w:val="0017042D"/>
    <w:rsid w:val="00171402"/>
    <w:rsid w:val="00171992"/>
    <w:rsid w:val="001729CF"/>
    <w:rsid w:val="00173DA9"/>
    <w:rsid w:val="00173FD4"/>
    <w:rsid w:val="00176631"/>
    <w:rsid w:val="00176797"/>
    <w:rsid w:val="001767E7"/>
    <w:rsid w:val="00177293"/>
    <w:rsid w:val="00177540"/>
    <w:rsid w:val="00181669"/>
    <w:rsid w:val="00181994"/>
    <w:rsid w:val="00182CE8"/>
    <w:rsid w:val="001832C5"/>
    <w:rsid w:val="00183D44"/>
    <w:rsid w:val="00184C07"/>
    <w:rsid w:val="0018514F"/>
    <w:rsid w:val="001863B6"/>
    <w:rsid w:val="00186B44"/>
    <w:rsid w:val="00186CDE"/>
    <w:rsid w:val="00190CA1"/>
    <w:rsid w:val="00191057"/>
    <w:rsid w:val="001917FC"/>
    <w:rsid w:val="00191914"/>
    <w:rsid w:val="00192711"/>
    <w:rsid w:val="00194949"/>
    <w:rsid w:val="00195000"/>
    <w:rsid w:val="0019539C"/>
    <w:rsid w:val="00196456"/>
    <w:rsid w:val="001A041A"/>
    <w:rsid w:val="001A48CD"/>
    <w:rsid w:val="001A52D6"/>
    <w:rsid w:val="001A5DE2"/>
    <w:rsid w:val="001B00DD"/>
    <w:rsid w:val="001B20D4"/>
    <w:rsid w:val="001B29F1"/>
    <w:rsid w:val="001B3A23"/>
    <w:rsid w:val="001B3CF7"/>
    <w:rsid w:val="001B3DF4"/>
    <w:rsid w:val="001B423B"/>
    <w:rsid w:val="001B50E5"/>
    <w:rsid w:val="001B599A"/>
    <w:rsid w:val="001B5B18"/>
    <w:rsid w:val="001B68FA"/>
    <w:rsid w:val="001B6989"/>
    <w:rsid w:val="001B6A19"/>
    <w:rsid w:val="001B7C16"/>
    <w:rsid w:val="001C107A"/>
    <w:rsid w:val="001C1502"/>
    <w:rsid w:val="001C1531"/>
    <w:rsid w:val="001C18D4"/>
    <w:rsid w:val="001C26B9"/>
    <w:rsid w:val="001C4566"/>
    <w:rsid w:val="001C47AC"/>
    <w:rsid w:val="001C4924"/>
    <w:rsid w:val="001C6674"/>
    <w:rsid w:val="001C741F"/>
    <w:rsid w:val="001D0DB9"/>
    <w:rsid w:val="001D14EC"/>
    <w:rsid w:val="001D173E"/>
    <w:rsid w:val="001D2B23"/>
    <w:rsid w:val="001D2BE1"/>
    <w:rsid w:val="001D345F"/>
    <w:rsid w:val="001D4609"/>
    <w:rsid w:val="001D7A19"/>
    <w:rsid w:val="001E2462"/>
    <w:rsid w:val="001E2C50"/>
    <w:rsid w:val="001E3D43"/>
    <w:rsid w:val="001E3F31"/>
    <w:rsid w:val="001E4D0C"/>
    <w:rsid w:val="001E6860"/>
    <w:rsid w:val="001F18E4"/>
    <w:rsid w:val="001F1B74"/>
    <w:rsid w:val="001F2D29"/>
    <w:rsid w:val="001F2EAB"/>
    <w:rsid w:val="001F3731"/>
    <w:rsid w:val="001F4C65"/>
    <w:rsid w:val="001F525F"/>
    <w:rsid w:val="001F6140"/>
    <w:rsid w:val="001F6F1C"/>
    <w:rsid w:val="001F7C0C"/>
    <w:rsid w:val="00200887"/>
    <w:rsid w:val="00200A8A"/>
    <w:rsid w:val="002011FB"/>
    <w:rsid w:val="00203668"/>
    <w:rsid w:val="00203CE2"/>
    <w:rsid w:val="00203D4E"/>
    <w:rsid w:val="002062C0"/>
    <w:rsid w:val="002108EF"/>
    <w:rsid w:val="00210909"/>
    <w:rsid w:val="00211079"/>
    <w:rsid w:val="00211751"/>
    <w:rsid w:val="00211FA6"/>
    <w:rsid w:val="002121F9"/>
    <w:rsid w:val="00212F49"/>
    <w:rsid w:val="00213FFC"/>
    <w:rsid w:val="00214840"/>
    <w:rsid w:val="00214990"/>
    <w:rsid w:val="00214C52"/>
    <w:rsid w:val="002169FD"/>
    <w:rsid w:val="00216AC9"/>
    <w:rsid w:val="0022250E"/>
    <w:rsid w:val="00224620"/>
    <w:rsid w:val="00226F48"/>
    <w:rsid w:val="002273D7"/>
    <w:rsid w:val="00227ADE"/>
    <w:rsid w:val="00230BB6"/>
    <w:rsid w:val="002318E2"/>
    <w:rsid w:val="002333F8"/>
    <w:rsid w:val="0023483B"/>
    <w:rsid w:val="0023559D"/>
    <w:rsid w:val="00237EAF"/>
    <w:rsid w:val="0024073D"/>
    <w:rsid w:val="00240F42"/>
    <w:rsid w:val="002418CF"/>
    <w:rsid w:val="00241A22"/>
    <w:rsid w:val="00241D5B"/>
    <w:rsid w:val="00246146"/>
    <w:rsid w:val="0024677D"/>
    <w:rsid w:val="00246B78"/>
    <w:rsid w:val="00247062"/>
    <w:rsid w:val="00247E30"/>
    <w:rsid w:val="00251424"/>
    <w:rsid w:val="00251621"/>
    <w:rsid w:val="00254195"/>
    <w:rsid w:val="00256B57"/>
    <w:rsid w:val="0025763A"/>
    <w:rsid w:val="0025777F"/>
    <w:rsid w:val="00261D9E"/>
    <w:rsid w:val="00262FD9"/>
    <w:rsid w:val="002630AE"/>
    <w:rsid w:val="002634C7"/>
    <w:rsid w:val="002716B8"/>
    <w:rsid w:val="002719E3"/>
    <w:rsid w:val="00272279"/>
    <w:rsid w:val="00273252"/>
    <w:rsid w:val="002737A1"/>
    <w:rsid w:val="00274619"/>
    <w:rsid w:val="00274EAD"/>
    <w:rsid w:val="00277EC7"/>
    <w:rsid w:val="00280DDB"/>
    <w:rsid w:val="00280F5A"/>
    <w:rsid w:val="00281159"/>
    <w:rsid w:val="0028297E"/>
    <w:rsid w:val="002841E7"/>
    <w:rsid w:val="00284A5F"/>
    <w:rsid w:val="00284C17"/>
    <w:rsid w:val="00284F8D"/>
    <w:rsid w:val="00285637"/>
    <w:rsid w:val="002861A5"/>
    <w:rsid w:val="002864DC"/>
    <w:rsid w:val="00286E06"/>
    <w:rsid w:val="00290C40"/>
    <w:rsid w:val="00290DB4"/>
    <w:rsid w:val="0029216C"/>
    <w:rsid w:val="002923A1"/>
    <w:rsid w:val="00292AE7"/>
    <w:rsid w:val="00293DB7"/>
    <w:rsid w:val="00295AC8"/>
    <w:rsid w:val="002964E2"/>
    <w:rsid w:val="002971DD"/>
    <w:rsid w:val="00297846"/>
    <w:rsid w:val="00297FF8"/>
    <w:rsid w:val="002A02DD"/>
    <w:rsid w:val="002A11A3"/>
    <w:rsid w:val="002A157E"/>
    <w:rsid w:val="002A2140"/>
    <w:rsid w:val="002A2295"/>
    <w:rsid w:val="002A2493"/>
    <w:rsid w:val="002A2AF6"/>
    <w:rsid w:val="002A2D85"/>
    <w:rsid w:val="002A2DB8"/>
    <w:rsid w:val="002A4132"/>
    <w:rsid w:val="002A7126"/>
    <w:rsid w:val="002A76FC"/>
    <w:rsid w:val="002B2BDD"/>
    <w:rsid w:val="002B4BCE"/>
    <w:rsid w:val="002B76D1"/>
    <w:rsid w:val="002B7E30"/>
    <w:rsid w:val="002C0BC1"/>
    <w:rsid w:val="002C22D9"/>
    <w:rsid w:val="002C455E"/>
    <w:rsid w:val="002C5303"/>
    <w:rsid w:val="002C591A"/>
    <w:rsid w:val="002C7AE3"/>
    <w:rsid w:val="002C7B15"/>
    <w:rsid w:val="002C7CDD"/>
    <w:rsid w:val="002D116D"/>
    <w:rsid w:val="002D13E7"/>
    <w:rsid w:val="002D1769"/>
    <w:rsid w:val="002D19F0"/>
    <w:rsid w:val="002D23E9"/>
    <w:rsid w:val="002D2ED4"/>
    <w:rsid w:val="002D2F38"/>
    <w:rsid w:val="002D3A21"/>
    <w:rsid w:val="002D4DC5"/>
    <w:rsid w:val="002D5045"/>
    <w:rsid w:val="002D5A7F"/>
    <w:rsid w:val="002E046B"/>
    <w:rsid w:val="002E072F"/>
    <w:rsid w:val="002E36E7"/>
    <w:rsid w:val="002E3C0F"/>
    <w:rsid w:val="002E4458"/>
    <w:rsid w:val="002E522F"/>
    <w:rsid w:val="002E5534"/>
    <w:rsid w:val="002E5E1A"/>
    <w:rsid w:val="002E65C7"/>
    <w:rsid w:val="002E6AC4"/>
    <w:rsid w:val="002E754F"/>
    <w:rsid w:val="002F1CEF"/>
    <w:rsid w:val="002F1F3E"/>
    <w:rsid w:val="002F2B3C"/>
    <w:rsid w:val="002F3750"/>
    <w:rsid w:val="002F382E"/>
    <w:rsid w:val="002F4628"/>
    <w:rsid w:val="002F698B"/>
    <w:rsid w:val="003006FF"/>
    <w:rsid w:val="003013CA"/>
    <w:rsid w:val="00301EB6"/>
    <w:rsid w:val="00303375"/>
    <w:rsid w:val="0030384B"/>
    <w:rsid w:val="00303A50"/>
    <w:rsid w:val="003056CA"/>
    <w:rsid w:val="00305C45"/>
    <w:rsid w:val="0030725A"/>
    <w:rsid w:val="00307EE7"/>
    <w:rsid w:val="0031038A"/>
    <w:rsid w:val="00310459"/>
    <w:rsid w:val="00311A63"/>
    <w:rsid w:val="00311D9B"/>
    <w:rsid w:val="00312358"/>
    <w:rsid w:val="003151C3"/>
    <w:rsid w:val="00315387"/>
    <w:rsid w:val="00315FC5"/>
    <w:rsid w:val="00316BAB"/>
    <w:rsid w:val="00316EA9"/>
    <w:rsid w:val="00317B39"/>
    <w:rsid w:val="00321317"/>
    <w:rsid w:val="0032185E"/>
    <w:rsid w:val="00323686"/>
    <w:rsid w:val="00324395"/>
    <w:rsid w:val="00325E6E"/>
    <w:rsid w:val="00326116"/>
    <w:rsid w:val="003261DA"/>
    <w:rsid w:val="00326AB2"/>
    <w:rsid w:val="00326DE8"/>
    <w:rsid w:val="003275B4"/>
    <w:rsid w:val="003302A6"/>
    <w:rsid w:val="003311D0"/>
    <w:rsid w:val="0033167B"/>
    <w:rsid w:val="00332F5B"/>
    <w:rsid w:val="00333819"/>
    <w:rsid w:val="00336000"/>
    <w:rsid w:val="00336DFB"/>
    <w:rsid w:val="003372C2"/>
    <w:rsid w:val="00340521"/>
    <w:rsid w:val="003416BC"/>
    <w:rsid w:val="0034354A"/>
    <w:rsid w:val="00344F79"/>
    <w:rsid w:val="0034702E"/>
    <w:rsid w:val="003474F8"/>
    <w:rsid w:val="00350B6B"/>
    <w:rsid w:val="00350CA6"/>
    <w:rsid w:val="00351E74"/>
    <w:rsid w:val="00352699"/>
    <w:rsid w:val="00353244"/>
    <w:rsid w:val="00353B69"/>
    <w:rsid w:val="00353F4C"/>
    <w:rsid w:val="00355691"/>
    <w:rsid w:val="003572AF"/>
    <w:rsid w:val="003572D3"/>
    <w:rsid w:val="0035744E"/>
    <w:rsid w:val="00357B88"/>
    <w:rsid w:val="00357E1E"/>
    <w:rsid w:val="00360DAF"/>
    <w:rsid w:val="00361712"/>
    <w:rsid w:val="00361E09"/>
    <w:rsid w:val="00362221"/>
    <w:rsid w:val="00362C61"/>
    <w:rsid w:val="003632BF"/>
    <w:rsid w:val="0036383B"/>
    <w:rsid w:val="00363986"/>
    <w:rsid w:val="00366B48"/>
    <w:rsid w:val="00366ED4"/>
    <w:rsid w:val="00367E40"/>
    <w:rsid w:val="00370CB5"/>
    <w:rsid w:val="00372750"/>
    <w:rsid w:val="0037349A"/>
    <w:rsid w:val="003736C7"/>
    <w:rsid w:val="003738D6"/>
    <w:rsid w:val="00373C26"/>
    <w:rsid w:val="00374545"/>
    <w:rsid w:val="00374AC2"/>
    <w:rsid w:val="00375976"/>
    <w:rsid w:val="00377BB2"/>
    <w:rsid w:val="00381A91"/>
    <w:rsid w:val="00381FBD"/>
    <w:rsid w:val="00381FEE"/>
    <w:rsid w:val="00383A71"/>
    <w:rsid w:val="0038474B"/>
    <w:rsid w:val="003862EE"/>
    <w:rsid w:val="003869B5"/>
    <w:rsid w:val="0038724D"/>
    <w:rsid w:val="00387408"/>
    <w:rsid w:val="003875DB"/>
    <w:rsid w:val="00390E05"/>
    <w:rsid w:val="0039114A"/>
    <w:rsid w:val="00391FF5"/>
    <w:rsid w:val="00392E95"/>
    <w:rsid w:val="00393A03"/>
    <w:rsid w:val="00395B6F"/>
    <w:rsid w:val="00396007"/>
    <w:rsid w:val="00397C2B"/>
    <w:rsid w:val="003A080A"/>
    <w:rsid w:val="003A09DA"/>
    <w:rsid w:val="003A0B7B"/>
    <w:rsid w:val="003A2494"/>
    <w:rsid w:val="003A30C1"/>
    <w:rsid w:val="003A4673"/>
    <w:rsid w:val="003A4BE9"/>
    <w:rsid w:val="003A5B02"/>
    <w:rsid w:val="003A5E68"/>
    <w:rsid w:val="003A6DC0"/>
    <w:rsid w:val="003A7E27"/>
    <w:rsid w:val="003B0B54"/>
    <w:rsid w:val="003B1B35"/>
    <w:rsid w:val="003B1EF6"/>
    <w:rsid w:val="003B348B"/>
    <w:rsid w:val="003B4200"/>
    <w:rsid w:val="003B5379"/>
    <w:rsid w:val="003B5B8D"/>
    <w:rsid w:val="003B6E8D"/>
    <w:rsid w:val="003B7253"/>
    <w:rsid w:val="003B7B25"/>
    <w:rsid w:val="003C03D6"/>
    <w:rsid w:val="003C1FC1"/>
    <w:rsid w:val="003C32C7"/>
    <w:rsid w:val="003C3EA0"/>
    <w:rsid w:val="003C4A69"/>
    <w:rsid w:val="003C563B"/>
    <w:rsid w:val="003C58A4"/>
    <w:rsid w:val="003C7878"/>
    <w:rsid w:val="003C7AD7"/>
    <w:rsid w:val="003D035E"/>
    <w:rsid w:val="003D19FD"/>
    <w:rsid w:val="003D2F2B"/>
    <w:rsid w:val="003D3FFA"/>
    <w:rsid w:val="003D4F6E"/>
    <w:rsid w:val="003D5550"/>
    <w:rsid w:val="003D5E8D"/>
    <w:rsid w:val="003D771B"/>
    <w:rsid w:val="003E34D4"/>
    <w:rsid w:val="003E39BE"/>
    <w:rsid w:val="003E422D"/>
    <w:rsid w:val="003E46CF"/>
    <w:rsid w:val="003E48A3"/>
    <w:rsid w:val="003E550A"/>
    <w:rsid w:val="003E60DB"/>
    <w:rsid w:val="003E70CD"/>
    <w:rsid w:val="003F0E32"/>
    <w:rsid w:val="003F222B"/>
    <w:rsid w:val="003F2B77"/>
    <w:rsid w:val="003F3BDD"/>
    <w:rsid w:val="003F5293"/>
    <w:rsid w:val="003F58B9"/>
    <w:rsid w:val="003F5F81"/>
    <w:rsid w:val="003F6378"/>
    <w:rsid w:val="003F6899"/>
    <w:rsid w:val="003F75E3"/>
    <w:rsid w:val="00401B1D"/>
    <w:rsid w:val="0040284C"/>
    <w:rsid w:val="00402CF8"/>
    <w:rsid w:val="00403398"/>
    <w:rsid w:val="00404815"/>
    <w:rsid w:val="00404A68"/>
    <w:rsid w:val="004052C5"/>
    <w:rsid w:val="00405D42"/>
    <w:rsid w:val="0040646D"/>
    <w:rsid w:val="00407C33"/>
    <w:rsid w:val="00410615"/>
    <w:rsid w:val="00410AED"/>
    <w:rsid w:val="00410E5D"/>
    <w:rsid w:val="00410FF8"/>
    <w:rsid w:val="004111CF"/>
    <w:rsid w:val="00411BD0"/>
    <w:rsid w:val="00412F4C"/>
    <w:rsid w:val="00414445"/>
    <w:rsid w:val="004176F0"/>
    <w:rsid w:val="00417C7C"/>
    <w:rsid w:val="00417DD1"/>
    <w:rsid w:val="0042038F"/>
    <w:rsid w:val="004208E6"/>
    <w:rsid w:val="004216FD"/>
    <w:rsid w:val="00421B14"/>
    <w:rsid w:val="004220FE"/>
    <w:rsid w:val="0042318D"/>
    <w:rsid w:val="00425075"/>
    <w:rsid w:val="00426E13"/>
    <w:rsid w:val="00426EAD"/>
    <w:rsid w:val="00430752"/>
    <w:rsid w:val="00431894"/>
    <w:rsid w:val="00431B16"/>
    <w:rsid w:val="00432763"/>
    <w:rsid w:val="00434131"/>
    <w:rsid w:val="0043463B"/>
    <w:rsid w:val="00435893"/>
    <w:rsid w:val="0043596E"/>
    <w:rsid w:val="0044165F"/>
    <w:rsid w:val="00442042"/>
    <w:rsid w:val="00443A63"/>
    <w:rsid w:val="0044463B"/>
    <w:rsid w:val="004446D7"/>
    <w:rsid w:val="00445160"/>
    <w:rsid w:val="0044557E"/>
    <w:rsid w:val="00445D7A"/>
    <w:rsid w:val="00446D34"/>
    <w:rsid w:val="00447851"/>
    <w:rsid w:val="00447EB1"/>
    <w:rsid w:val="00450800"/>
    <w:rsid w:val="0045141E"/>
    <w:rsid w:val="004524D7"/>
    <w:rsid w:val="00452610"/>
    <w:rsid w:val="004531E4"/>
    <w:rsid w:val="00453E43"/>
    <w:rsid w:val="004542FE"/>
    <w:rsid w:val="00455BD9"/>
    <w:rsid w:val="004603E0"/>
    <w:rsid w:val="0046044F"/>
    <w:rsid w:val="00460A2B"/>
    <w:rsid w:val="0046274F"/>
    <w:rsid w:val="00464220"/>
    <w:rsid w:val="00464E68"/>
    <w:rsid w:val="00465F8A"/>
    <w:rsid w:val="00467C0E"/>
    <w:rsid w:val="00467E0C"/>
    <w:rsid w:val="004727B0"/>
    <w:rsid w:val="004732DA"/>
    <w:rsid w:val="00474575"/>
    <w:rsid w:val="004747D5"/>
    <w:rsid w:val="00475213"/>
    <w:rsid w:val="00475B1F"/>
    <w:rsid w:val="00475D4A"/>
    <w:rsid w:val="004761D5"/>
    <w:rsid w:val="00476787"/>
    <w:rsid w:val="00476B9E"/>
    <w:rsid w:val="00477AF2"/>
    <w:rsid w:val="00477C16"/>
    <w:rsid w:val="00477D4B"/>
    <w:rsid w:val="004811C7"/>
    <w:rsid w:val="0048142F"/>
    <w:rsid w:val="00481D00"/>
    <w:rsid w:val="00481D92"/>
    <w:rsid w:val="004834DC"/>
    <w:rsid w:val="00483F53"/>
    <w:rsid w:val="00484FD5"/>
    <w:rsid w:val="004851BC"/>
    <w:rsid w:val="00485449"/>
    <w:rsid w:val="0048544F"/>
    <w:rsid w:val="0048676E"/>
    <w:rsid w:val="00486C7D"/>
    <w:rsid w:val="00486E0E"/>
    <w:rsid w:val="004903FB"/>
    <w:rsid w:val="00490865"/>
    <w:rsid w:val="00492A35"/>
    <w:rsid w:val="00492F2C"/>
    <w:rsid w:val="0049345B"/>
    <w:rsid w:val="0049426F"/>
    <w:rsid w:val="0049519D"/>
    <w:rsid w:val="00495527"/>
    <w:rsid w:val="00495C4A"/>
    <w:rsid w:val="00496500"/>
    <w:rsid w:val="00497981"/>
    <w:rsid w:val="004A1831"/>
    <w:rsid w:val="004A2748"/>
    <w:rsid w:val="004A3661"/>
    <w:rsid w:val="004A4223"/>
    <w:rsid w:val="004A496D"/>
    <w:rsid w:val="004A4F50"/>
    <w:rsid w:val="004A5B90"/>
    <w:rsid w:val="004A5BB3"/>
    <w:rsid w:val="004A70FD"/>
    <w:rsid w:val="004B0F35"/>
    <w:rsid w:val="004B3126"/>
    <w:rsid w:val="004B3640"/>
    <w:rsid w:val="004B57AE"/>
    <w:rsid w:val="004B64CC"/>
    <w:rsid w:val="004B6B51"/>
    <w:rsid w:val="004B6B5B"/>
    <w:rsid w:val="004C0035"/>
    <w:rsid w:val="004C09BC"/>
    <w:rsid w:val="004C0D52"/>
    <w:rsid w:val="004C0F83"/>
    <w:rsid w:val="004C1765"/>
    <w:rsid w:val="004C2DE8"/>
    <w:rsid w:val="004C411E"/>
    <w:rsid w:val="004C43A3"/>
    <w:rsid w:val="004C463E"/>
    <w:rsid w:val="004C5969"/>
    <w:rsid w:val="004C5A86"/>
    <w:rsid w:val="004C5B40"/>
    <w:rsid w:val="004C6316"/>
    <w:rsid w:val="004C6399"/>
    <w:rsid w:val="004C654C"/>
    <w:rsid w:val="004C74AA"/>
    <w:rsid w:val="004D482E"/>
    <w:rsid w:val="004D5BD2"/>
    <w:rsid w:val="004D5FBB"/>
    <w:rsid w:val="004D75A8"/>
    <w:rsid w:val="004D7AD8"/>
    <w:rsid w:val="004D7CDC"/>
    <w:rsid w:val="004E13DF"/>
    <w:rsid w:val="004E1C0C"/>
    <w:rsid w:val="004E2C24"/>
    <w:rsid w:val="004E329A"/>
    <w:rsid w:val="004E3618"/>
    <w:rsid w:val="004E4E53"/>
    <w:rsid w:val="004E5DE5"/>
    <w:rsid w:val="004E645F"/>
    <w:rsid w:val="004E735A"/>
    <w:rsid w:val="004F035A"/>
    <w:rsid w:val="004F107D"/>
    <w:rsid w:val="004F1E27"/>
    <w:rsid w:val="004F3976"/>
    <w:rsid w:val="004F4BC8"/>
    <w:rsid w:val="004F5232"/>
    <w:rsid w:val="004F5B84"/>
    <w:rsid w:val="004F5EBE"/>
    <w:rsid w:val="004F6412"/>
    <w:rsid w:val="004F652E"/>
    <w:rsid w:val="004F65C1"/>
    <w:rsid w:val="004F7149"/>
    <w:rsid w:val="004F79CD"/>
    <w:rsid w:val="00500EBB"/>
    <w:rsid w:val="00502045"/>
    <w:rsid w:val="00502334"/>
    <w:rsid w:val="00504168"/>
    <w:rsid w:val="00504C85"/>
    <w:rsid w:val="00505F65"/>
    <w:rsid w:val="00505F74"/>
    <w:rsid w:val="00506ECD"/>
    <w:rsid w:val="0050726B"/>
    <w:rsid w:val="0051045A"/>
    <w:rsid w:val="005106FD"/>
    <w:rsid w:val="00510886"/>
    <w:rsid w:val="00511662"/>
    <w:rsid w:val="0051297A"/>
    <w:rsid w:val="00512AA4"/>
    <w:rsid w:val="00513060"/>
    <w:rsid w:val="0051671C"/>
    <w:rsid w:val="0051799F"/>
    <w:rsid w:val="00520061"/>
    <w:rsid w:val="00521001"/>
    <w:rsid w:val="00521AF3"/>
    <w:rsid w:val="005238D1"/>
    <w:rsid w:val="0052637B"/>
    <w:rsid w:val="00526A6B"/>
    <w:rsid w:val="00527611"/>
    <w:rsid w:val="00527A41"/>
    <w:rsid w:val="005323D3"/>
    <w:rsid w:val="00532A8D"/>
    <w:rsid w:val="005330EB"/>
    <w:rsid w:val="00537932"/>
    <w:rsid w:val="00537D76"/>
    <w:rsid w:val="00540808"/>
    <w:rsid w:val="00541F6C"/>
    <w:rsid w:val="005442D2"/>
    <w:rsid w:val="005449D3"/>
    <w:rsid w:val="005453AF"/>
    <w:rsid w:val="00546CE5"/>
    <w:rsid w:val="005473E2"/>
    <w:rsid w:val="005479F9"/>
    <w:rsid w:val="00547B59"/>
    <w:rsid w:val="00550940"/>
    <w:rsid w:val="00551D69"/>
    <w:rsid w:val="00551E65"/>
    <w:rsid w:val="00551FD3"/>
    <w:rsid w:val="00553D98"/>
    <w:rsid w:val="00554E8D"/>
    <w:rsid w:val="005554E6"/>
    <w:rsid w:val="00555CF5"/>
    <w:rsid w:val="00555E9D"/>
    <w:rsid w:val="00557A6E"/>
    <w:rsid w:val="00560649"/>
    <w:rsid w:val="00562DE8"/>
    <w:rsid w:val="00562FDC"/>
    <w:rsid w:val="00563F47"/>
    <w:rsid w:val="00566C9C"/>
    <w:rsid w:val="00566D32"/>
    <w:rsid w:val="005670BF"/>
    <w:rsid w:val="00570F27"/>
    <w:rsid w:val="00570FB7"/>
    <w:rsid w:val="00571AAA"/>
    <w:rsid w:val="00573892"/>
    <w:rsid w:val="00574186"/>
    <w:rsid w:val="005760CA"/>
    <w:rsid w:val="005767F7"/>
    <w:rsid w:val="00576E4C"/>
    <w:rsid w:val="00577227"/>
    <w:rsid w:val="00577BCA"/>
    <w:rsid w:val="00577F66"/>
    <w:rsid w:val="005804B8"/>
    <w:rsid w:val="00580B4C"/>
    <w:rsid w:val="00580D0A"/>
    <w:rsid w:val="00581057"/>
    <w:rsid w:val="0058249C"/>
    <w:rsid w:val="00583D56"/>
    <w:rsid w:val="00584078"/>
    <w:rsid w:val="00584166"/>
    <w:rsid w:val="005843C5"/>
    <w:rsid w:val="00584513"/>
    <w:rsid w:val="00584BD2"/>
    <w:rsid w:val="00584DF1"/>
    <w:rsid w:val="00586427"/>
    <w:rsid w:val="0059035C"/>
    <w:rsid w:val="005923BC"/>
    <w:rsid w:val="00592B4A"/>
    <w:rsid w:val="00592C46"/>
    <w:rsid w:val="00592EE4"/>
    <w:rsid w:val="005934B8"/>
    <w:rsid w:val="0059571D"/>
    <w:rsid w:val="00597449"/>
    <w:rsid w:val="00597B53"/>
    <w:rsid w:val="00597BD7"/>
    <w:rsid w:val="005A13BB"/>
    <w:rsid w:val="005A186E"/>
    <w:rsid w:val="005A1ECD"/>
    <w:rsid w:val="005A2F7A"/>
    <w:rsid w:val="005A35C8"/>
    <w:rsid w:val="005A5E91"/>
    <w:rsid w:val="005A6D95"/>
    <w:rsid w:val="005A7D8D"/>
    <w:rsid w:val="005B0354"/>
    <w:rsid w:val="005B2126"/>
    <w:rsid w:val="005B2AE8"/>
    <w:rsid w:val="005B2FC0"/>
    <w:rsid w:val="005B42AB"/>
    <w:rsid w:val="005B4A24"/>
    <w:rsid w:val="005B5EC9"/>
    <w:rsid w:val="005B60D0"/>
    <w:rsid w:val="005B74A7"/>
    <w:rsid w:val="005B7E42"/>
    <w:rsid w:val="005C050D"/>
    <w:rsid w:val="005C1FD9"/>
    <w:rsid w:val="005C29EB"/>
    <w:rsid w:val="005C3934"/>
    <w:rsid w:val="005C5442"/>
    <w:rsid w:val="005C5EC9"/>
    <w:rsid w:val="005C6688"/>
    <w:rsid w:val="005C7743"/>
    <w:rsid w:val="005C78AE"/>
    <w:rsid w:val="005C7A5B"/>
    <w:rsid w:val="005D16B9"/>
    <w:rsid w:val="005D2A28"/>
    <w:rsid w:val="005D2C18"/>
    <w:rsid w:val="005D3000"/>
    <w:rsid w:val="005D4140"/>
    <w:rsid w:val="005D5BED"/>
    <w:rsid w:val="005D6B71"/>
    <w:rsid w:val="005D7F08"/>
    <w:rsid w:val="005E0208"/>
    <w:rsid w:val="005E0883"/>
    <w:rsid w:val="005E0B85"/>
    <w:rsid w:val="005E11BA"/>
    <w:rsid w:val="005E28BD"/>
    <w:rsid w:val="005E30F8"/>
    <w:rsid w:val="005E3943"/>
    <w:rsid w:val="005E47C1"/>
    <w:rsid w:val="005E4BB1"/>
    <w:rsid w:val="005E5BAF"/>
    <w:rsid w:val="005E684D"/>
    <w:rsid w:val="005E7B3C"/>
    <w:rsid w:val="005E7B67"/>
    <w:rsid w:val="005E7DD0"/>
    <w:rsid w:val="005F09A8"/>
    <w:rsid w:val="005F10DE"/>
    <w:rsid w:val="005F1267"/>
    <w:rsid w:val="005F15C6"/>
    <w:rsid w:val="005F178E"/>
    <w:rsid w:val="005F351D"/>
    <w:rsid w:val="005F48A8"/>
    <w:rsid w:val="005F52C7"/>
    <w:rsid w:val="005F6006"/>
    <w:rsid w:val="005F6081"/>
    <w:rsid w:val="005F7032"/>
    <w:rsid w:val="00601736"/>
    <w:rsid w:val="006024CF"/>
    <w:rsid w:val="00602A40"/>
    <w:rsid w:val="00603B52"/>
    <w:rsid w:val="00604B8E"/>
    <w:rsid w:val="00605226"/>
    <w:rsid w:val="00606E93"/>
    <w:rsid w:val="006070B6"/>
    <w:rsid w:val="00607D43"/>
    <w:rsid w:val="0061198C"/>
    <w:rsid w:val="006121E5"/>
    <w:rsid w:val="006141B8"/>
    <w:rsid w:val="00614754"/>
    <w:rsid w:val="00614C35"/>
    <w:rsid w:val="00614F74"/>
    <w:rsid w:val="0061579F"/>
    <w:rsid w:val="00617A76"/>
    <w:rsid w:val="00621F25"/>
    <w:rsid w:val="006222AD"/>
    <w:rsid w:val="00623251"/>
    <w:rsid w:val="00623F0E"/>
    <w:rsid w:val="00624200"/>
    <w:rsid w:val="00626048"/>
    <w:rsid w:val="00626568"/>
    <w:rsid w:val="00632BC7"/>
    <w:rsid w:val="006335A1"/>
    <w:rsid w:val="0063464B"/>
    <w:rsid w:val="00635471"/>
    <w:rsid w:val="006365E9"/>
    <w:rsid w:val="006366D8"/>
    <w:rsid w:val="006377CA"/>
    <w:rsid w:val="00641485"/>
    <w:rsid w:val="006417B4"/>
    <w:rsid w:val="00641E9A"/>
    <w:rsid w:val="006453B0"/>
    <w:rsid w:val="00645D8B"/>
    <w:rsid w:val="00646999"/>
    <w:rsid w:val="00646DFC"/>
    <w:rsid w:val="0064714C"/>
    <w:rsid w:val="0064755B"/>
    <w:rsid w:val="00647A51"/>
    <w:rsid w:val="0065139B"/>
    <w:rsid w:val="00652C36"/>
    <w:rsid w:val="00652ED1"/>
    <w:rsid w:val="00653DAD"/>
    <w:rsid w:val="00654CF1"/>
    <w:rsid w:val="00656091"/>
    <w:rsid w:val="00661A2B"/>
    <w:rsid w:val="00661AE6"/>
    <w:rsid w:val="00662819"/>
    <w:rsid w:val="00666BBA"/>
    <w:rsid w:val="00666C71"/>
    <w:rsid w:val="006676D2"/>
    <w:rsid w:val="00670E13"/>
    <w:rsid w:val="00671A91"/>
    <w:rsid w:val="00671FAC"/>
    <w:rsid w:val="0067213B"/>
    <w:rsid w:val="00672539"/>
    <w:rsid w:val="00672A73"/>
    <w:rsid w:val="00673BC7"/>
    <w:rsid w:val="00673CBB"/>
    <w:rsid w:val="00673D6C"/>
    <w:rsid w:val="006756CB"/>
    <w:rsid w:val="006776ED"/>
    <w:rsid w:val="00677DE9"/>
    <w:rsid w:val="00680C1C"/>
    <w:rsid w:val="00681414"/>
    <w:rsid w:val="00681548"/>
    <w:rsid w:val="00681F29"/>
    <w:rsid w:val="006822ED"/>
    <w:rsid w:val="0068279D"/>
    <w:rsid w:val="00683539"/>
    <w:rsid w:val="00684305"/>
    <w:rsid w:val="00685592"/>
    <w:rsid w:val="0068571A"/>
    <w:rsid w:val="006860C9"/>
    <w:rsid w:val="0068651E"/>
    <w:rsid w:val="00686C97"/>
    <w:rsid w:val="00686DD1"/>
    <w:rsid w:val="00687799"/>
    <w:rsid w:val="006909D7"/>
    <w:rsid w:val="006918DE"/>
    <w:rsid w:val="0069255D"/>
    <w:rsid w:val="0069345F"/>
    <w:rsid w:val="006942A7"/>
    <w:rsid w:val="00694522"/>
    <w:rsid w:val="006946E5"/>
    <w:rsid w:val="00695878"/>
    <w:rsid w:val="00697761"/>
    <w:rsid w:val="00697850"/>
    <w:rsid w:val="00697DCB"/>
    <w:rsid w:val="006A0307"/>
    <w:rsid w:val="006A09AC"/>
    <w:rsid w:val="006A0E96"/>
    <w:rsid w:val="006A12D3"/>
    <w:rsid w:val="006A1F27"/>
    <w:rsid w:val="006A3A85"/>
    <w:rsid w:val="006A45D8"/>
    <w:rsid w:val="006A4D54"/>
    <w:rsid w:val="006A5B42"/>
    <w:rsid w:val="006A610C"/>
    <w:rsid w:val="006A7725"/>
    <w:rsid w:val="006B2C93"/>
    <w:rsid w:val="006B4483"/>
    <w:rsid w:val="006B44C3"/>
    <w:rsid w:val="006B453C"/>
    <w:rsid w:val="006B5834"/>
    <w:rsid w:val="006B59B8"/>
    <w:rsid w:val="006B5B55"/>
    <w:rsid w:val="006B5F9A"/>
    <w:rsid w:val="006B696E"/>
    <w:rsid w:val="006B6F5B"/>
    <w:rsid w:val="006B78FF"/>
    <w:rsid w:val="006B7AD6"/>
    <w:rsid w:val="006C1080"/>
    <w:rsid w:val="006C14E5"/>
    <w:rsid w:val="006C1B0F"/>
    <w:rsid w:val="006C2D13"/>
    <w:rsid w:val="006C36C7"/>
    <w:rsid w:val="006C3CB7"/>
    <w:rsid w:val="006C4879"/>
    <w:rsid w:val="006C68C7"/>
    <w:rsid w:val="006C713D"/>
    <w:rsid w:val="006C73B3"/>
    <w:rsid w:val="006D4024"/>
    <w:rsid w:val="006D5049"/>
    <w:rsid w:val="006D7041"/>
    <w:rsid w:val="006D72F4"/>
    <w:rsid w:val="006E01C4"/>
    <w:rsid w:val="006E04F1"/>
    <w:rsid w:val="006E0534"/>
    <w:rsid w:val="006E1C99"/>
    <w:rsid w:val="006E2408"/>
    <w:rsid w:val="006E2E11"/>
    <w:rsid w:val="006E473D"/>
    <w:rsid w:val="006E5E9C"/>
    <w:rsid w:val="006E5F8A"/>
    <w:rsid w:val="006E6E7F"/>
    <w:rsid w:val="006E7399"/>
    <w:rsid w:val="006F025D"/>
    <w:rsid w:val="006F0687"/>
    <w:rsid w:val="006F19CB"/>
    <w:rsid w:val="006F1F40"/>
    <w:rsid w:val="006F2D89"/>
    <w:rsid w:val="006F42C5"/>
    <w:rsid w:val="006F4A65"/>
    <w:rsid w:val="006F6F67"/>
    <w:rsid w:val="007008BA"/>
    <w:rsid w:val="007013FA"/>
    <w:rsid w:val="00702449"/>
    <w:rsid w:val="00702A18"/>
    <w:rsid w:val="00703B47"/>
    <w:rsid w:val="0070416E"/>
    <w:rsid w:val="007050D3"/>
    <w:rsid w:val="0071176B"/>
    <w:rsid w:val="00712BDE"/>
    <w:rsid w:val="0071340C"/>
    <w:rsid w:val="00714450"/>
    <w:rsid w:val="00715162"/>
    <w:rsid w:val="00715D71"/>
    <w:rsid w:val="00715EEC"/>
    <w:rsid w:val="00716C27"/>
    <w:rsid w:val="007179C1"/>
    <w:rsid w:val="0072062E"/>
    <w:rsid w:val="0072213D"/>
    <w:rsid w:val="00722566"/>
    <w:rsid w:val="007248D1"/>
    <w:rsid w:val="0072534B"/>
    <w:rsid w:val="00725D20"/>
    <w:rsid w:val="00726305"/>
    <w:rsid w:val="007267D6"/>
    <w:rsid w:val="00726A2C"/>
    <w:rsid w:val="00726E89"/>
    <w:rsid w:val="007276DC"/>
    <w:rsid w:val="00730DD5"/>
    <w:rsid w:val="00731403"/>
    <w:rsid w:val="00731807"/>
    <w:rsid w:val="00733254"/>
    <w:rsid w:val="007332DD"/>
    <w:rsid w:val="00736373"/>
    <w:rsid w:val="007378A5"/>
    <w:rsid w:val="00741419"/>
    <w:rsid w:val="00741AD7"/>
    <w:rsid w:val="0074478C"/>
    <w:rsid w:val="007450AA"/>
    <w:rsid w:val="007461A6"/>
    <w:rsid w:val="007466CB"/>
    <w:rsid w:val="00747C6B"/>
    <w:rsid w:val="0075049C"/>
    <w:rsid w:val="0075113F"/>
    <w:rsid w:val="00751827"/>
    <w:rsid w:val="00751D25"/>
    <w:rsid w:val="00751DB8"/>
    <w:rsid w:val="007524A0"/>
    <w:rsid w:val="0075337D"/>
    <w:rsid w:val="0075345C"/>
    <w:rsid w:val="00753BB9"/>
    <w:rsid w:val="00754533"/>
    <w:rsid w:val="00754A8F"/>
    <w:rsid w:val="00755A35"/>
    <w:rsid w:val="00757311"/>
    <w:rsid w:val="007574F2"/>
    <w:rsid w:val="00760C26"/>
    <w:rsid w:val="00761887"/>
    <w:rsid w:val="00763365"/>
    <w:rsid w:val="00764D4E"/>
    <w:rsid w:val="007657DA"/>
    <w:rsid w:val="007663E9"/>
    <w:rsid w:val="00766A94"/>
    <w:rsid w:val="00767892"/>
    <w:rsid w:val="00770907"/>
    <w:rsid w:val="00770F67"/>
    <w:rsid w:val="00773115"/>
    <w:rsid w:val="00773664"/>
    <w:rsid w:val="00774DC0"/>
    <w:rsid w:val="0077522E"/>
    <w:rsid w:val="0077529C"/>
    <w:rsid w:val="007772B0"/>
    <w:rsid w:val="00777429"/>
    <w:rsid w:val="0077752E"/>
    <w:rsid w:val="00781268"/>
    <w:rsid w:val="007826E3"/>
    <w:rsid w:val="007831B4"/>
    <w:rsid w:val="007838D2"/>
    <w:rsid w:val="00783E1C"/>
    <w:rsid w:val="00785E55"/>
    <w:rsid w:val="00785F6D"/>
    <w:rsid w:val="0078614B"/>
    <w:rsid w:val="00786842"/>
    <w:rsid w:val="00787228"/>
    <w:rsid w:val="0078757F"/>
    <w:rsid w:val="00787651"/>
    <w:rsid w:val="007877F8"/>
    <w:rsid w:val="00787AB3"/>
    <w:rsid w:val="00790013"/>
    <w:rsid w:val="0079260C"/>
    <w:rsid w:val="007926B8"/>
    <w:rsid w:val="00793619"/>
    <w:rsid w:val="00793C56"/>
    <w:rsid w:val="00793FEE"/>
    <w:rsid w:val="007954FF"/>
    <w:rsid w:val="00796F04"/>
    <w:rsid w:val="007A098E"/>
    <w:rsid w:val="007A11BC"/>
    <w:rsid w:val="007A1F5C"/>
    <w:rsid w:val="007A500C"/>
    <w:rsid w:val="007A59B9"/>
    <w:rsid w:val="007B25DC"/>
    <w:rsid w:val="007B55A1"/>
    <w:rsid w:val="007B79C8"/>
    <w:rsid w:val="007B7F7E"/>
    <w:rsid w:val="007C2CDA"/>
    <w:rsid w:val="007C388C"/>
    <w:rsid w:val="007C43F0"/>
    <w:rsid w:val="007C64F3"/>
    <w:rsid w:val="007C6506"/>
    <w:rsid w:val="007C7A14"/>
    <w:rsid w:val="007C7CE1"/>
    <w:rsid w:val="007C7F33"/>
    <w:rsid w:val="007D2F81"/>
    <w:rsid w:val="007D32BE"/>
    <w:rsid w:val="007D409C"/>
    <w:rsid w:val="007D5C4E"/>
    <w:rsid w:val="007D5E08"/>
    <w:rsid w:val="007D73E5"/>
    <w:rsid w:val="007E10DD"/>
    <w:rsid w:val="007E2A39"/>
    <w:rsid w:val="007E4AB9"/>
    <w:rsid w:val="007F2A49"/>
    <w:rsid w:val="007F3DCF"/>
    <w:rsid w:val="007F4703"/>
    <w:rsid w:val="007F5CF8"/>
    <w:rsid w:val="007F6EA4"/>
    <w:rsid w:val="007F70C5"/>
    <w:rsid w:val="00800684"/>
    <w:rsid w:val="00800C4B"/>
    <w:rsid w:val="00802442"/>
    <w:rsid w:val="008037F2"/>
    <w:rsid w:val="00803D6F"/>
    <w:rsid w:val="00804A50"/>
    <w:rsid w:val="0080583E"/>
    <w:rsid w:val="00805CAA"/>
    <w:rsid w:val="0081194C"/>
    <w:rsid w:val="00813BF0"/>
    <w:rsid w:val="00813DD2"/>
    <w:rsid w:val="00813F07"/>
    <w:rsid w:val="008156CF"/>
    <w:rsid w:val="00815B2E"/>
    <w:rsid w:val="00820017"/>
    <w:rsid w:val="008215C0"/>
    <w:rsid w:val="00821F1A"/>
    <w:rsid w:val="00822B9B"/>
    <w:rsid w:val="00822C00"/>
    <w:rsid w:val="0082321D"/>
    <w:rsid w:val="00823509"/>
    <w:rsid w:val="008237FF"/>
    <w:rsid w:val="008251EE"/>
    <w:rsid w:val="008268D3"/>
    <w:rsid w:val="00827DF0"/>
    <w:rsid w:val="00830431"/>
    <w:rsid w:val="00830E13"/>
    <w:rsid w:val="00831A04"/>
    <w:rsid w:val="008326C9"/>
    <w:rsid w:val="0083427F"/>
    <w:rsid w:val="008350B9"/>
    <w:rsid w:val="0083699C"/>
    <w:rsid w:val="008371AB"/>
    <w:rsid w:val="00837F49"/>
    <w:rsid w:val="008408B9"/>
    <w:rsid w:val="0084302D"/>
    <w:rsid w:val="00843359"/>
    <w:rsid w:val="008442D4"/>
    <w:rsid w:val="00845BA8"/>
    <w:rsid w:val="00846705"/>
    <w:rsid w:val="00846A03"/>
    <w:rsid w:val="00847597"/>
    <w:rsid w:val="00850671"/>
    <w:rsid w:val="00851AE8"/>
    <w:rsid w:val="0085298F"/>
    <w:rsid w:val="00852D27"/>
    <w:rsid w:val="00852F9D"/>
    <w:rsid w:val="00854B30"/>
    <w:rsid w:val="00856867"/>
    <w:rsid w:val="00861AB4"/>
    <w:rsid w:val="00861E1F"/>
    <w:rsid w:val="008625AD"/>
    <w:rsid w:val="00862F15"/>
    <w:rsid w:val="00864AD2"/>
    <w:rsid w:val="00867503"/>
    <w:rsid w:val="00870123"/>
    <w:rsid w:val="0087053C"/>
    <w:rsid w:val="0087220A"/>
    <w:rsid w:val="00873782"/>
    <w:rsid w:val="00877860"/>
    <w:rsid w:val="00877FE9"/>
    <w:rsid w:val="008809E5"/>
    <w:rsid w:val="0088125A"/>
    <w:rsid w:val="00881EA8"/>
    <w:rsid w:val="00883881"/>
    <w:rsid w:val="00883B35"/>
    <w:rsid w:val="00884048"/>
    <w:rsid w:val="00884716"/>
    <w:rsid w:val="00885F69"/>
    <w:rsid w:val="008869C2"/>
    <w:rsid w:val="00886EAE"/>
    <w:rsid w:val="00887828"/>
    <w:rsid w:val="00887F65"/>
    <w:rsid w:val="00890155"/>
    <w:rsid w:val="00890389"/>
    <w:rsid w:val="008906E0"/>
    <w:rsid w:val="00890D49"/>
    <w:rsid w:val="0089185C"/>
    <w:rsid w:val="00891EA6"/>
    <w:rsid w:val="00893460"/>
    <w:rsid w:val="008935D8"/>
    <w:rsid w:val="00894E4B"/>
    <w:rsid w:val="00895893"/>
    <w:rsid w:val="00895C3B"/>
    <w:rsid w:val="00896133"/>
    <w:rsid w:val="00896434"/>
    <w:rsid w:val="00896652"/>
    <w:rsid w:val="00896926"/>
    <w:rsid w:val="008974AE"/>
    <w:rsid w:val="008A14AF"/>
    <w:rsid w:val="008A1BF4"/>
    <w:rsid w:val="008A3069"/>
    <w:rsid w:val="008A4DB6"/>
    <w:rsid w:val="008B076E"/>
    <w:rsid w:val="008B0CAA"/>
    <w:rsid w:val="008B0DF3"/>
    <w:rsid w:val="008B2776"/>
    <w:rsid w:val="008B3688"/>
    <w:rsid w:val="008B3D6C"/>
    <w:rsid w:val="008B6318"/>
    <w:rsid w:val="008B664F"/>
    <w:rsid w:val="008B67A1"/>
    <w:rsid w:val="008B67A3"/>
    <w:rsid w:val="008B6A8E"/>
    <w:rsid w:val="008B703C"/>
    <w:rsid w:val="008B75D5"/>
    <w:rsid w:val="008C29F1"/>
    <w:rsid w:val="008C3366"/>
    <w:rsid w:val="008C3D83"/>
    <w:rsid w:val="008C4412"/>
    <w:rsid w:val="008C475C"/>
    <w:rsid w:val="008C47DB"/>
    <w:rsid w:val="008C5993"/>
    <w:rsid w:val="008C7623"/>
    <w:rsid w:val="008C7B07"/>
    <w:rsid w:val="008D15AC"/>
    <w:rsid w:val="008D179D"/>
    <w:rsid w:val="008D1F2F"/>
    <w:rsid w:val="008D2677"/>
    <w:rsid w:val="008D280D"/>
    <w:rsid w:val="008D2825"/>
    <w:rsid w:val="008D34CA"/>
    <w:rsid w:val="008D50AC"/>
    <w:rsid w:val="008D5A9C"/>
    <w:rsid w:val="008D5FB5"/>
    <w:rsid w:val="008D5FD3"/>
    <w:rsid w:val="008D6067"/>
    <w:rsid w:val="008D63A3"/>
    <w:rsid w:val="008D6810"/>
    <w:rsid w:val="008D6A21"/>
    <w:rsid w:val="008D6DDD"/>
    <w:rsid w:val="008D6EA0"/>
    <w:rsid w:val="008E0646"/>
    <w:rsid w:val="008E145E"/>
    <w:rsid w:val="008E188F"/>
    <w:rsid w:val="008E20DE"/>
    <w:rsid w:val="008E4064"/>
    <w:rsid w:val="008E499B"/>
    <w:rsid w:val="008E59FB"/>
    <w:rsid w:val="008E6451"/>
    <w:rsid w:val="008E6CB2"/>
    <w:rsid w:val="008E6F86"/>
    <w:rsid w:val="008E77C6"/>
    <w:rsid w:val="008E7A03"/>
    <w:rsid w:val="008E7CDF"/>
    <w:rsid w:val="008F01A4"/>
    <w:rsid w:val="008F0C8B"/>
    <w:rsid w:val="008F2EC1"/>
    <w:rsid w:val="008F304F"/>
    <w:rsid w:val="008F3253"/>
    <w:rsid w:val="008F32E4"/>
    <w:rsid w:val="008F36EE"/>
    <w:rsid w:val="008F3A8A"/>
    <w:rsid w:val="008F3F17"/>
    <w:rsid w:val="008F7061"/>
    <w:rsid w:val="0090065E"/>
    <w:rsid w:val="00900B55"/>
    <w:rsid w:val="009020F7"/>
    <w:rsid w:val="00903707"/>
    <w:rsid w:val="00904037"/>
    <w:rsid w:val="0090413D"/>
    <w:rsid w:val="00904B06"/>
    <w:rsid w:val="009050B4"/>
    <w:rsid w:val="009057B6"/>
    <w:rsid w:val="00906E69"/>
    <w:rsid w:val="00907268"/>
    <w:rsid w:val="00907913"/>
    <w:rsid w:val="00910BBE"/>
    <w:rsid w:val="00911030"/>
    <w:rsid w:val="00912183"/>
    <w:rsid w:val="009124E1"/>
    <w:rsid w:val="009133D3"/>
    <w:rsid w:val="00913801"/>
    <w:rsid w:val="00913BF9"/>
    <w:rsid w:val="009153A4"/>
    <w:rsid w:val="00915683"/>
    <w:rsid w:val="00915964"/>
    <w:rsid w:val="00916222"/>
    <w:rsid w:val="0091642A"/>
    <w:rsid w:val="00917EF9"/>
    <w:rsid w:val="00920A09"/>
    <w:rsid w:val="00920B95"/>
    <w:rsid w:val="00921069"/>
    <w:rsid w:val="00921185"/>
    <w:rsid w:val="00922546"/>
    <w:rsid w:val="009225DB"/>
    <w:rsid w:val="009226F1"/>
    <w:rsid w:val="009232C9"/>
    <w:rsid w:val="00924CD3"/>
    <w:rsid w:val="00925B8D"/>
    <w:rsid w:val="00926891"/>
    <w:rsid w:val="00926DB5"/>
    <w:rsid w:val="00930FBE"/>
    <w:rsid w:val="00934CFC"/>
    <w:rsid w:val="00934E98"/>
    <w:rsid w:val="009352BD"/>
    <w:rsid w:val="009366F7"/>
    <w:rsid w:val="00936B9B"/>
    <w:rsid w:val="00936BA0"/>
    <w:rsid w:val="00937523"/>
    <w:rsid w:val="00937AF2"/>
    <w:rsid w:val="00937B06"/>
    <w:rsid w:val="00937D75"/>
    <w:rsid w:val="00943FE7"/>
    <w:rsid w:val="00944EAB"/>
    <w:rsid w:val="00945380"/>
    <w:rsid w:val="009473EA"/>
    <w:rsid w:val="0094795A"/>
    <w:rsid w:val="00947FB6"/>
    <w:rsid w:val="009508EC"/>
    <w:rsid w:val="00951A3C"/>
    <w:rsid w:val="00952574"/>
    <w:rsid w:val="00952BF4"/>
    <w:rsid w:val="00953A15"/>
    <w:rsid w:val="00953A3B"/>
    <w:rsid w:val="00953F6E"/>
    <w:rsid w:val="00954BBE"/>
    <w:rsid w:val="00954F40"/>
    <w:rsid w:val="00955177"/>
    <w:rsid w:val="0095560D"/>
    <w:rsid w:val="00955FEC"/>
    <w:rsid w:val="009564A0"/>
    <w:rsid w:val="00956E32"/>
    <w:rsid w:val="00960D64"/>
    <w:rsid w:val="00961C2C"/>
    <w:rsid w:val="00961EA5"/>
    <w:rsid w:val="00962C24"/>
    <w:rsid w:val="00962D72"/>
    <w:rsid w:val="00962F25"/>
    <w:rsid w:val="0096372C"/>
    <w:rsid w:val="009646B0"/>
    <w:rsid w:val="00964A20"/>
    <w:rsid w:val="00965BB2"/>
    <w:rsid w:val="00966DC3"/>
    <w:rsid w:val="0096749D"/>
    <w:rsid w:val="00967ED5"/>
    <w:rsid w:val="0097167F"/>
    <w:rsid w:val="00971F1B"/>
    <w:rsid w:val="009735FA"/>
    <w:rsid w:val="009736CB"/>
    <w:rsid w:val="00974BF8"/>
    <w:rsid w:val="00974DE8"/>
    <w:rsid w:val="009753EA"/>
    <w:rsid w:val="00976096"/>
    <w:rsid w:val="009809BC"/>
    <w:rsid w:val="009809DA"/>
    <w:rsid w:val="009827F7"/>
    <w:rsid w:val="009832E0"/>
    <w:rsid w:val="00983ED0"/>
    <w:rsid w:val="0098448D"/>
    <w:rsid w:val="009846FF"/>
    <w:rsid w:val="0098716C"/>
    <w:rsid w:val="00987290"/>
    <w:rsid w:val="00990AC8"/>
    <w:rsid w:val="009920D8"/>
    <w:rsid w:val="009930E0"/>
    <w:rsid w:val="00993733"/>
    <w:rsid w:val="00993C82"/>
    <w:rsid w:val="00994527"/>
    <w:rsid w:val="009946C9"/>
    <w:rsid w:val="009949BE"/>
    <w:rsid w:val="00994B15"/>
    <w:rsid w:val="00996BC7"/>
    <w:rsid w:val="00996E57"/>
    <w:rsid w:val="00997CFF"/>
    <w:rsid w:val="009A0F1A"/>
    <w:rsid w:val="009A1387"/>
    <w:rsid w:val="009A35A0"/>
    <w:rsid w:val="009A3FDD"/>
    <w:rsid w:val="009A461C"/>
    <w:rsid w:val="009A52AD"/>
    <w:rsid w:val="009A6BE9"/>
    <w:rsid w:val="009A738F"/>
    <w:rsid w:val="009B039A"/>
    <w:rsid w:val="009B0B11"/>
    <w:rsid w:val="009B0CF3"/>
    <w:rsid w:val="009B200B"/>
    <w:rsid w:val="009C07F0"/>
    <w:rsid w:val="009C0978"/>
    <w:rsid w:val="009C0A5F"/>
    <w:rsid w:val="009C1221"/>
    <w:rsid w:val="009C237F"/>
    <w:rsid w:val="009C352D"/>
    <w:rsid w:val="009C3E71"/>
    <w:rsid w:val="009C3EC8"/>
    <w:rsid w:val="009C4A22"/>
    <w:rsid w:val="009C5552"/>
    <w:rsid w:val="009C5872"/>
    <w:rsid w:val="009C5946"/>
    <w:rsid w:val="009C5B8F"/>
    <w:rsid w:val="009C7A5D"/>
    <w:rsid w:val="009D25C2"/>
    <w:rsid w:val="009D3401"/>
    <w:rsid w:val="009D3E0F"/>
    <w:rsid w:val="009D4A77"/>
    <w:rsid w:val="009D5288"/>
    <w:rsid w:val="009D6058"/>
    <w:rsid w:val="009D6670"/>
    <w:rsid w:val="009D77E0"/>
    <w:rsid w:val="009E01C4"/>
    <w:rsid w:val="009E0EC8"/>
    <w:rsid w:val="009E20F1"/>
    <w:rsid w:val="009E2F55"/>
    <w:rsid w:val="009E4D18"/>
    <w:rsid w:val="009E4F1E"/>
    <w:rsid w:val="009E5DD7"/>
    <w:rsid w:val="009E6095"/>
    <w:rsid w:val="009F1C7B"/>
    <w:rsid w:val="009F294C"/>
    <w:rsid w:val="009F387B"/>
    <w:rsid w:val="009F7700"/>
    <w:rsid w:val="009F7A96"/>
    <w:rsid w:val="009F7E78"/>
    <w:rsid w:val="00A00376"/>
    <w:rsid w:val="00A00480"/>
    <w:rsid w:val="00A019CE"/>
    <w:rsid w:val="00A0415C"/>
    <w:rsid w:val="00A05322"/>
    <w:rsid w:val="00A0543A"/>
    <w:rsid w:val="00A06792"/>
    <w:rsid w:val="00A0788A"/>
    <w:rsid w:val="00A10EF2"/>
    <w:rsid w:val="00A12116"/>
    <w:rsid w:val="00A12E87"/>
    <w:rsid w:val="00A17BA9"/>
    <w:rsid w:val="00A223DA"/>
    <w:rsid w:val="00A223F9"/>
    <w:rsid w:val="00A23585"/>
    <w:rsid w:val="00A25911"/>
    <w:rsid w:val="00A27C30"/>
    <w:rsid w:val="00A31D40"/>
    <w:rsid w:val="00A31FFB"/>
    <w:rsid w:val="00A33AE9"/>
    <w:rsid w:val="00A34FB4"/>
    <w:rsid w:val="00A35423"/>
    <w:rsid w:val="00A35638"/>
    <w:rsid w:val="00A361A7"/>
    <w:rsid w:val="00A36365"/>
    <w:rsid w:val="00A373CF"/>
    <w:rsid w:val="00A37B6C"/>
    <w:rsid w:val="00A40BFD"/>
    <w:rsid w:val="00A41092"/>
    <w:rsid w:val="00A411B1"/>
    <w:rsid w:val="00A426D2"/>
    <w:rsid w:val="00A42753"/>
    <w:rsid w:val="00A42BEF"/>
    <w:rsid w:val="00A42F94"/>
    <w:rsid w:val="00A45A15"/>
    <w:rsid w:val="00A50515"/>
    <w:rsid w:val="00A5058A"/>
    <w:rsid w:val="00A5062C"/>
    <w:rsid w:val="00A5330F"/>
    <w:rsid w:val="00A539C3"/>
    <w:rsid w:val="00A53BA5"/>
    <w:rsid w:val="00A53E9A"/>
    <w:rsid w:val="00A556C2"/>
    <w:rsid w:val="00A55C73"/>
    <w:rsid w:val="00A5643E"/>
    <w:rsid w:val="00A56A0E"/>
    <w:rsid w:val="00A5701D"/>
    <w:rsid w:val="00A57802"/>
    <w:rsid w:val="00A57C35"/>
    <w:rsid w:val="00A60D5A"/>
    <w:rsid w:val="00A61BFA"/>
    <w:rsid w:val="00A62AE7"/>
    <w:rsid w:val="00A63E7E"/>
    <w:rsid w:val="00A6505D"/>
    <w:rsid w:val="00A6520E"/>
    <w:rsid w:val="00A65E4B"/>
    <w:rsid w:val="00A67A5F"/>
    <w:rsid w:val="00A67B62"/>
    <w:rsid w:val="00A73E0D"/>
    <w:rsid w:val="00A748FF"/>
    <w:rsid w:val="00A75818"/>
    <w:rsid w:val="00A804BD"/>
    <w:rsid w:val="00A821D9"/>
    <w:rsid w:val="00A8362D"/>
    <w:rsid w:val="00A83F7D"/>
    <w:rsid w:val="00A8415E"/>
    <w:rsid w:val="00A84551"/>
    <w:rsid w:val="00A85BD7"/>
    <w:rsid w:val="00A85C1E"/>
    <w:rsid w:val="00A86229"/>
    <w:rsid w:val="00A87A9F"/>
    <w:rsid w:val="00A87CB4"/>
    <w:rsid w:val="00A901D9"/>
    <w:rsid w:val="00A90423"/>
    <w:rsid w:val="00A92C58"/>
    <w:rsid w:val="00A92E64"/>
    <w:rsid w:val="00A931CE"/>
    <w:rsid w:val="00A93292"/>
    <w:rsid w:val="00A938A0"/>
    <w:rsid w:val="00A93FBD"/>
    <w:rsid w:val="00A94254"/>
    <w:rsid w:val="00A94C88"/>
    <w:rsid w:val="00A96CF8"/>
    <w:rsid w:val="00A96D23"/>
    <w:rsid w:val="00A974CE"/>
    <w:rsid w:val="00A97BE4"/>
    <w:rsid w:val="00A97CDE"/>
    <w:rsid w:val="00AA0CDF"/>
    <w:rsid w:val="00AA1B10"/>
    <w:rsid w:val="00AA3676"/>
    <w:rsid w:val="00AA4AF5"/>
    <w:rsid w:val="00AA6D73"/>
    <w:rsid w:val="00AB15D9"/>
    <w:rsid w:val="00AB19E6"/>
    <w:rsid w:val="00AB27CF"/>
    <w:rsid w:val="00AB3034"/>
    <w:rsid w:val="00AB349D"/>
    <w:rsid w:val="00AB36DA"/>
    <w:rsid w:val="00AB3B3D"/>
    <w:rsid w:val="00AB42A1"/>
    <w:rsid w:val="00AB509F"/>
    <w:rsid w:val="00AB59C6"/>
    <w:rsid w:val="00AB60E1"/>
    <w:rsid w:val="00AB7842"/>
    <w:rsid w:val="00AB796C"/>
    <w:rsid w:val="00AC19A5"/>
    <w:rsid w:val="00AC220C"/>
    <w:rsid w:val="00AC2684"/>
    <w:rsid w:val="00AC3BA3"/>
    <w:rsid w:val="00AC410A"/>
    <w:rsid w:val="00AC60C0"/>
    <w:rsid w:val="00AC67DB"/>
    <w:rsid w:val="00AD00D6"/>
    <w:rsid w:val="00AD0A39"/>
    <w:rsid w:val="00AD0E2C"/>
    <w:rsid w:val="00AD1331"/>
    <w:rsid w:val="00AD171F"/>
    <w:rsid w:val="00AD1752"/>
    <w:rsid w:val="00AD20A6"/>
    <w:rsid w:val="00AD277C"/>
    <w:rsid w:val="00AD2969"/>
    <w:rsid w:val="00AD4988"/>
    <w:rsid w:val="00AD55C1"/>
    <w:rsid w:val="00AD5A1B"/>
    <w:rsid w:val="00AD5B98"/>
    <w:rsid w:val="00AD6B98"/>
    <w:rsid w:val="00AD7505"/>
    <w:rsid w:val="00AD79C7"/>
    <w:rsid w:val="00AE0AE7"/>
    <w:rsid w:val="00AE1A6F"/>
    <w:rsid w:val="00AE3E6D"/>
    <w:rsid w:val="00AE4993"/>
    <w:rsid w:val="00AE6234"/>
    <w:rsid w:val="00AE64E4"/>
    <w:rsid w:val="00AE6D22"/>
    <w:rsid w:val="00AE71D8"/>
    <w:rsid w:val="00AF246C"/>
    <w:rsid w:val="00AF348A"/>
    <w:rsid w:val="00AF3E7C"/>
    <w:rsid w:val="00AF6AB4"/>
    <w:rsid w:val="00AF6EB1"/>
    <w:rsid w:val="00AF7CDE"/>
    <w:rsid w:val="00B004AF"/>
    <w:rsid w:val="00B00E51"/>
    <w:rsid w:val="00B00FE7"/>
    <w:rsid w:val="00B01D45"/>
    <w:rsid w:val="00B02C17"/>
    <w:rsid w:val="00B0326C"/>
    <w:rsid w:val="00B0416A"/>
    <w:rsid w:val="00B105A4"/>
    <w:rsid w:val="00B10FA6"/>
    <w:rsid w:val="00B110E8"/>
    <w:rsid w:val="00B1177C"/>
    <w:rsid w:val="00B119D9"/>
    <w:rsid w:val="00B11D04"/>
    <w:rsid w:val="00B1504A"/>
    <w:rsid w:val="00B1672C"/>
    <w:rsid w:val="00B171E5"/>
    <w:rsid w:val="00B17E73"/>
    <w:rsid w:val="00B20681"/>
    <w:rsid w:val="00B208D7"/>
    <w:rsid w:val="00B21590"/>
    <w:rsid w:val="00B216C9"/>
    <w:rsid w:val="00B21768"/>
    <w:rsid w:val="00B21B71"/>
    <w:rsid w:val="00B21D30"/>
    <w:rsid w:val="00B22934"/>
    <w:rsid w:val="00B22D07"/>
    <w:rsid w:val="00B23757"/>
    <w:rsid w:val="00B23BB4"/>
    <w:rsid w:val="00B2457A"/>
    <w:rsid w:val="00B24A61"/>
    <w:rsid w:val="00B24F60"/>
    <w:rsid w:val="00B317F6"/>
    <w:rsid w:val="00B32D10"/>
    <w:rsid w:val="00B347D7"/>
    <w:rsid w:val="00B350AA"/>
    <w:rsid w:val="00B3524D"/>
    <w:rsid w:val="00B36141"/>
    <w:rsid w:val="00B36592"/>
    <w:rsid w:val="00B3700D"/>
    <w:rsid w:val="00B37158"/>
    <w:rsid w:val="00B40C58"/>
    <w:rsid w:val="00B41446"/>
    <w:rsid w:val="00B434D4"/>
    <w:rsid w:val="00B44551"/>
    <w:rsid w:val="00B4606F"/>
    <w:rsid w:val="00B4709C"/>
    <w:rsid w:val="00B4722B"/>
    <w:rsid w:val="00B54867"/>
    <w:rsid w:val="00B55756"/>
    <w:rsid w:val="00B5625E"/>
    <w:rsid w:val="00B574CF"/>
    <w:rsid w:val="00B617FA"/>
    <w:rsid w:val="00B62639"/>
    <w:rsid w:val="00B62ACC"/>
    <w:rsid w:val="00B64AB0"/>
    <w:rsid w:val="00B664C0"/>
    <w:rsid w:val="00B715AC"/>
    <w:rsid w:val="00B71791"/>
    <w:rsid w:val="00B7256D"/>
    <w:rsid w:val="00B73457"/>
    <w:rsid w:val="00B7349C"/>
    <w:rsid w:val="00B73858"/>
    <w:rsid w:val="00B7724F"/>
    <w:rsid w:val="00B812FF"/>
    <w:rsid w:val="00B82647"/>
    <w:rsid w:val="00B82DC7"/>
    <w:rsid w:val="00B90314"/>
    <w:rsid w:val="00B94422"/>
    <w:rsid w:val="00B948F6"/>
    <w:rsid w:val="00B95466"/>
    <w:rsid w:val="00B95D16"/>
    <w:rsid w:val="00BA178E"/>
    <w:rsid w:val="00BA2174"/>
    <w:rsid w:val="00BA2526"/>
    <w:rsid w:val="00BA39CA"/>
    <w:rsid w:val="00BA3E34"/>
    <w:rsid w:val="00BA446D"/>
    <w:rsid w:val="00BA5AFA"/>
    <w:rsid w:val="00BB075B"/>
    <w:rsid w:val="00BB0EB9"/>
    <w:rsid w:val="00BB3283"/>
    <w:rsid w:val="00BB3EFF"/>
    <w:rsid w:val="00BB4A2E"/>
    <w:rsid w:val="00BC02AB"/>
    <w:rsid w:val="00BC1185"/>
    <w:rsid w:val="00BC282C"/>
    <w:rsid w:val="00BC2C32"/>
    <w:rsid w:val="00BC4441"/>
    <w:rsid w:val="00BD0361"/>
    <w:rsid w:val="00BD1164"/>
    <w:rsid w:val="00BD1F2C"/>
    <w:rsid w:val="00BD2656"/>
    <w:rsid w:val="00BD4FF3"/>
    <w:rsid w:val="00BD54B2"/>
    <w:rsid w:val="00BD61CB"/>
    <w:rsid w:val="00BD6DEF"/>
    <w:rsid w:val="00BD722C"/>
    <w:rsid w:val="00BE1377"/>
    <w:rsid w:val="00BE1FC7"/>
    <w:rsid w:val="00BE4CA1"/>
    <w:rsid w:val="00BE4D3F"/>
    <w:rsid w:val="00BE4F69"/>
    <w:rsid w:val="00BE664A"/>
    <w:rsid w:val="00BE6DB6"/>
    <w:rsid w:val="00BF1BD0"/>
    <w:rsid w:val="00BF1E9B"/>
    <w:rsid w:val="00BF2A25"/>
    <w:rsid w:val="00BF30ED"/>
    <w:rsid w:val="00BF3AF4"/>
    <w:rsid w:val="00BF416D"/>
    <w:rsid w:val="00BF4255"/>
    <w:rsid w:val="00BF5D59"/>
    <w:rsid w:val="00BF6B6C"/>
    <w:rsid w:val="00BF73E6"/>
    <w:rsid w:val="00BF76EC"/>
    <w:rsid w:val="00BF7759"/>
    <w:rsid w:val="00C004A7"/>
    <w:rsid w:val="00C004F6"/>
    <w:rsid w:val="00C00533"/>
    <w:rsid w:val="00C00781"/>
    <w:rsid w:val="00C00E16"/>
    <w:rsid w:val="00C01095"/>
    <w:rsid w:val="00C01A90"/>
    <w:rsid w:val="00C01BBC"/>
    <w:rsid w:val="00C02DD7"/>
    <w:rsid w:val="00C03212"/>
    <w:rsid w:val="00C047E2"/>
    <w:rsid w:val="00C0593B"/>
    <w:rsid w:val="00C10D78"/>
    <w:rsid w:val="00C128F4"/>
    <w:rsid w:val="00C13391"/>
    <w:rsid w:val="00C140A7"/>
    <w:rsid w:val="00C151ED"/>
    <w:rsid w:val="00C15337"/>
    <w:rsid w:val="00C15F06"/>
    <w:rsid w:val="00C16753"/>
    <w:rsid w:val="00C1715B"/>
    <w:rsid w:val="00C17556"/>
    <w:rsid w:val="00C20755"/>
    <w:rsid w:val="00C20B4E"/>
    <w:rsid w:val="00C22769"/>
    <w:rsid w:val="00C23D81"/>
    <w:rsid w:val="00C24BD8"/>
    <w:rsid w:val="00C24FCB"/>
    <w:rsid w:val="00C251F4"/>
    <w:rsid w:val="00C26E95"/>
    <w:rsid w:val="00C271FF"/>
    <w:rsid w:val="00C2771D"/>
    <w:rsid w:val="00C31116"/>
    <w:rsid w:val="00C34FEF"/>
    <w:rsid w:val="00C3723E"/>
    <w:rsid w:val="00C40A48"/>
    <w:rsid w:val="00C40B62"/>
    <w:rsid w:val="00C411A7"/>
    <w:rsid w:val="00C418C5"/>
    <w:rsid w:val="00C420D8"/>
    <w:rsid w:val="00C424F2"/>
    <w:rsid w:val="00C437C5"/>
    <w:rsid w:val="00C43BF6"/>
    <w:rsid w:val="00C45490"/>
    <w:rsid w:val="00C45ACD"/>
    <w:rsid w:val="00C473A6"/>
    <w:rsid w:val="00C51352"/>
    <w:rsid w:val="00C514FC"/>
    <w:rsid w:val="00C5246A"/>
    <w:rsid w:val="00C5246B"/>
    <w:rsid w:val="00C524F0"/>
    <w:rsid w:val="00C52AD7"/>
    <w:rsid w:val="00C52CA2"/>
    <w:rsid w:val="00C53830"/>
    <w:rsid w:val="00C54CEC"/>
    <w:rsid w:val="00C55230"/>
    <w:rsid w:val="00C55FF2"/>
    <w:rsid w:val="00C5693E"/>
    <w:rsid w:val="00C56C8E"/>
    <w:rsid w:val="00C57FCF"/>
    <w:rsid w:val="00C604AA"/>
    <w:rsid w:val="00C606B7"/>
    <w:rsid w:val="00C60CCC"/>
    <w:rsid w:val="00C60CFA"/>
    <w:rsid w:val="00C61675"/>
    <w:rsid w:val="00C62C2C"/>
    <w:rsid w:val="00C65ADD"/>
    <w:rsid w:val="00C66D83"/>
    <w:rsid w:val="00C66EA7"/>
    <w:rsid w:val="00C70D72"/>
    <w:rsid w:val="00C713E8"/>
    <w:rsid w:val="00C72974"/>
    <w:rsid w:val="00C72B0D"/>
    <w:rsid w:val="00C74E81"/>
    <w:rsid w:val="00C761EA"/>
    <w:rsid w:val="00C766FC"/>
    <w:rsid w:val="00C768DD"/>
    <w:rsid w:val="00C77496"/>
    <w:rsid w:val="00C77741"/>
    <w:rsid w:val="00C77DB8"/>
    <w:rsid w:val="00C80954"/>
    <w:rsid w:val="00C80F02"/>
    <w:rsid w:val="00C810D2"/>
    <w:rsid w:val="00C81212"/>
    <w:rsid w:val="00C8503B"/>
    <w:rsid w:val="00C8528D"/>
    <w:rsid w:val="00C861EF"/>
    <w:rsid w:val="00C87D94"/>
    <w:rsid w:val="00C90039"/>
    <w:rsid w:val="00C924DE"/>
    <w:rsid w:val="00C94224"/>
    <w:rsid w:val="00C94BCA"/>
    <w:rsid w:val="00C94D50"/>
    <w:rsid w:val="00CA05E6"/>
    <w:rsid w:val="00CA06A4"/>
    <w:rsid w:val="00CA17BB"/>
    <w:rsid w:val="00CA19A4"/>
    <w:rsid w:val="00CA2F8B"/>
    <w:rsid w:val="00CA378C"/>
    <w:rsid w:val="00CA3C3E"/>
    <w:rsid w:val="00CA474D"/>
    <w:rsid w:val="00CA4855"/>
    <w:rsid w:val="00CA4F7D"/>
    <w:rsid w:val="00CA5579"/>
    <w:rsid w:val="00CA69D2"/>
    <w:rsid w:val="00CA7FF4"/>
    <w:rsid w:val="00CB004A"/>
    <w:rsid w:val="00CB09A9"/>
    <w:rsid w:val="00CB31DA"/>
    <w:rsid w:val="00CC0096"/>
    <w:rsid w:val="00CC181E"/>
    <w:rsid w:val="00CC1C7A"/>
    <w:rsid w:val="00CC1CB1"/>
    <w:rsid w:val="00CC2DE6"/>
    <w:rsid w:val="00CC319F"/>
    <w:rsid w:val="00CC31D9"/>
    <w:rsid w:val="00CC3BE5"/>
    <w:rsid w:val="00CC5C95"/>
    <w:rsid w:val="00CC5EDD"/>
    <w:rsid w:val="00CC7401"/>
    <w:rsid w:val="00CD1041"/>
    <w:rsid w:val="00CD3706"/>
    <w:rsid w:val="00CD44BA"/>
    <w:rsid w:val="00CD45DC"/>
    <w:rsid w:val="00CD5315"/>
    <w:rsid w:val="00CD5412"/>
    <w:rsid w:val="00CD75B8"/>
    <w:rsid w:val="00CE03A9"/>
    <w:rsid w:val="00CE2271"/>
    <w:rsid w:val="00CE4BFF"/>
    <w:rsid w:val="00CE5FEE"/>
    <w:rsid w:val="00CE68CC"/>
    <w:rsid w:val="00CE6F86"/>
    <w:rsid w:val="00CF2E53"/>
    <w:rsid w:val="00CF3E17"/>
    <w:rsid w:val="00CF4896"/>
    <w:rsid w:val="00CF510A"/>
    <w:rsid w:val="00CF56EB"/>
    <w:rsid w:val="00CF76F0"/>
    <w:rsid w:val="00CF79DF"/>
    <w:rsid w:val="00D00B80"/>
    <w:rsid w:val="00D00E1F"/>
    <w:rsid w:val="00D0434F"/>
    <w:rsid w:val="00D07085"/>
    <w:rsid w:val="00D07151"/>
    <w:rsid w:val="00D07480"/>
    <w:rsid w:val="00D07666"/>
    <w:rsid w:val="00D07DAD"/>
    <w:rsid w:val="00D10188"/>
    <w:rsid w:val="00D11CA7"/>
    <w:rsid w:val="00D126FB"/>
    <w:rsid w:val="00D1371E"/>
    <w:rsid w:val="00D14507"/>
    <w:rsid w:val="00D14EFB"/>
    <w:rsid w:val="00D15316"/>
    <w:rsid w:val="00D153CC"/>
    <w:rsid w:val="00D16884"/>
    <w:rsid w:val="00D17573"/>
    <w:rsid w:val="00D2046C"/>
    <w:rsid w:val="00D20AB6"/>
    <w:rsid w:val="00D218B9"/>
    <w:rsid w:val="00D24C22"/>
    <w:rsid w:val="00D26527"/>
    <w:rsid w:val="00D26E19"/>
    <w:rsid w:val="00D274BD"/>
    <w:rsid w:val="00D27720"/>
    <w:rsid w:val="00D27ECA"/>
    <w:rsid w:val="00D32AAC"/>
    <w:rsid w:val="00D33453"/>
    <w:rsid w:val="00D3400A"/>
    <w:rsid w:val="00D34C75"/>
    <w:rsid w:val="00D35EB2"/>
    <w:rsid w:val="00D364D2"/>
    <w:rsid w:val="00D36673"/>
    <w:rsid w:val="00D379A4"/>
    <w:rsid w:val="00D40465"/>
    <w:rsid w:val="00D40F11"/>
    <w:rsid w:val="00D410BD"/>
    <w:rsid w:val="00D43DF4"/>
    <w:rsid w:val="00D4417B"/>
    <w:rsid w:val="00D44377"/>
    <w:rsid w:val="00D45AE7"/>
    <w:rsid w:val="00D4678B"/>
    <w:rsid w:val="00D50990"/>
    <w:rsid w:val="00D51FC8"/>
    <w:rsid w:val="00D5226D"/>
    <w:rsid w:val="00D533F1"/>
    <w:rsid w:val="00D53472"/>
    <w:rsid w:val="00D534F0"/>
    <w:rsid w:val="00D53F9A"/>
    <w:rsid w:val="00D55CB1"/>
    <w:rsid w:val="00D56489"/>
    <w:rsid w:val="00D5689A"/>
    <w:rsid w:val="00D56B21"/>
    <w:rsid w:val="00D57271"/>
    <w:rsid w:val="00D57F57"/>
    <w:rsid w:val="00D61209"/>
    <w:rsid w:val="00D6156F"/>
    <w:rsid w:val="00D619E4"/>
    <w:rsid w:val="00D61E41"/>
    <w:rsid w:val="00D626A5"/>
    <w:rsid w:val="00D62F99"/>
    <w:rsid w:val="00D65056"/>
    <w:rsid w:val="00D668B6"/>
    <w:rsid w:val="00D66BDF"/>
    <w:rsid w:val="00D67EB9"/>
    <w:rsid w:val="00D72B18"/>
    <w:rsid w:val="00D72C6A"/>
    <w:rsid w:val="00D7367D"/>
    <w:rsid w:val="00D74084"/>
    <w:rsid w:val="00D742A1"/>
    <w:rsid w:val="00D74478"/>
    <w:rsid w:val="00D763B5"/>
    <w:rsid w:val="00D76E45"/>
    <w:rsid w:val="00D76F02"/>
    <w:rsid w:val="00D80A21"/>
    <w:rsid w:val="00D80DBB"/>
    <w:rsid w:val="00D81AB6"/>
    <w:rsid w:val="00D81FE0"/>
    <w:rsid w:val="00D82E41"/>
    <w:rsid w:val="00D8305F"/>
    <w:rsid w:val="00D84D3D"/>
    <w:rsid w:val="00D874E8"/>
    <w:rsid w:val="00D9010B"/>
    <w:rsid w:val="00D939C3"/>
    <w:rsid w:val="00D95457"/>
    <w:rsid w:val="00D959CB"/>
    <w:rsid w:val="00DA10DA"/>
    <w:rsid w:val="00DA16B6"/>
    <w:rsid w:val="00DA1A30"/>
    <w:rsid w:val="00DA1A9F"/>
    <w:rsid w:val="00DA1FCA"/>
    <w:rsid w:val="00DA3241"/>
    <w:rsid w:val="00DA3347"/>
    <w:rsid w:val="00DA3CC9"/>
    <w:rsid w:val="00DA3FFA"/>
    <w:rsid w:val="00DA4C46"/>
    <w:rsid w:val="00DB07C7"/>
    <w:rsid w:val="00DB138C"/>
    <w:rsid w:val="00DB50F6"/>
    <w:rsid w:val="00DB546F"/>
    <w:rsid w:val="00DB6759"/>
    <w:rsid w:val="00DB6A3A"/>
    <w:rsid w:val="00DC13FE"/>
    <w:rsid w:val="00DC1DC6"/>
    <w:rsid w:val="00DC2165"/>
    <w:rsid w:val="00DC4443"/>
    <w:rsid w:val="00DC4C00"/>
    <w:rsid w:val="00DC5E57"/>
    <w:rsid w:val="00DC5ECD"/>
    <w:rsid w:val="00DC6152"/>
    <w:rsid w:val="00DC72B6"/>
    <w:rsid w:val="00DC773F"/>
    <w:rsid w:val="00DC7CFF"/>
    <w:rsid w:val="00DD0208"/>
    <w:rsid w:val="00DD13A0"/>
    <w:rsid w:val="00DD245E"/>
    <w:rsid w:val="00DD32FF"/>
    <w:rsid w:val="00DD4EF3"/>
    <w:rsid w:val="00DD5E18"/>
    <w:rsid w:val="00DD62C8"/>
    <w:rsid w:val="00DD6BE3"/>
    <w:rsid w:val="00DD7742"/>
    <w:rsid w:val="00DE0A72"/>
    <w:rsid w:val="00DE3C5D"/>
    <w:rsid w:val="00DE4C3E"/>
    <w:rsid w:val="00DE59C7"/>
    <w:rsid w:val="00DE5B8A"/>
    <w:rsid w:val="00DE720E"/>
    <w:rsid w:val="00DE7403"/>
    <w:rsid w:val="00DF0393"/>
    <w:rsid w:val="00DF0D5B"/>
    <w:rsid w:val="00DF30E5"/>
    <w:rsid w:val="00DF3319"/>
    <w:rsid w:val="00DF34D5"/>
    <w:rsid w:val="00DF387C"/>
    <w:rsid w:val="00DF4586"/>
    <w:rsid w:val="00DF525E"/>
    <w:rsid w:val="00DF59FA"/>
    <w:rsid w:val="00DF655B"/>
    <w:rsid w:val="00DF6BA1"/>
    <w:rsid w:val="00DF6F9C"/>
    <w:rsid w:val="00E00121"/>
    <w:rsid w:val="00E01E3F"/>
    <w:rsid w:val="00E0371D"/>
    <w:rsid w:val="00E043AE"/>
    <w:rsid w:val="00E04428"/>
    <w:rsid w:val="00E04581"/>
    <w:rsid w:val="00E05009"/>
    <w:rsid w:val="00E06BD9"/>
    <w:rsid w:val="00E07DE8"/>
    <w:rsid w:val="00E10118"/>
    <w:rsid w:val="00E10B23"/>
    <w:rsid w:val="00E120E2"/>
    <w:rsid w:val="00E12EEC"/>
    <w:rsid w:val="00E1394C"/>
    <w:rsid w:val="00E13CB5"/>
    <w:rsid w:val="00E157D7"/>
    <w:rsid w:val="00E16A54"/>
    <w:rsid w:val="00E179C0"/>
    <w:rsid w:val="00E17D9F"/>
    <w:rsid w:val="00E202F9"/>
    <w:rsid w:val="00E20848"/>
    <w:rsid w:val="00E20CA2"/>
    <w:rsid w:val="00E20DA8"/>
    <w:rsid w:val="00E212A5"/>
    <w:rsid w:val="00E21385"/>
    <w:rsid w:val="00E21484"/>
    <w:rsid w:val="00E27F01"/>
    <w:rsid w:val="00E307F9"/>
    <w:rsid w:val="00E31654"/>
    <w:rsid w:val="00E32444"/>
    <w:rsid w:val="00E32631"/>
    <w:rsid w:val="00E32BB5"/>
    <w:rsid w:val="00E32D96"/>
    <w:rsid w:val="00E3350E"/>
    <w:rsid w:val="00E338E6"/>
    <w:rsid w:val="00E36101"/>
    <w:rsid w:val="00E36E4D"/>
    <w:rsid w:val="00E36ECB"/>
    <w:rsid w:val="00E37708"/>
    <w:rsid w:val="00E41278"/>
    <w:rsid w:val="00E41A78"/>
    <w:rsid w:val="00E42451"/>
    <w:rsid w:val="00E431DB"/>
    <w:rsid w:val="00E435AE"/>
    <w:rsid w:val="00E45296"/>
    <w:rsid w:val="00E46CFD"/>
    <w:rsid w:val="00E506C6"/>
    <w:rsid w:val="00E5161E"/>
    <w:rsid w:val="00E52514"/>
    <w:rsid w:val="00E540E2"/>
    <w:rsid w:val="00E54340"/>
    <w:rsid w:val="00E55411"/>
    <w:rsid w:val="00E55E83"/>
    <w:rsid w:val="00E573FE"/>
    <w:rsid w:val="00E60B8C"/>
    <w:rsid w:val="00E60D0C"/>
    <w:rsid w:val="00E61949"/>
    <w:rsid w:val="00E627BB"/>
    <w:rsid w:val="00E63D80"/>
    <w:rsid w:val="00E6519C"/>
    <w:rsid w:val="00E655BF"/>
    <w:rsid w:val="00E65FBD"/>
    <w:rsid w:val="00E66A2C"/>
    <w:rsid w:val="00E6733F"/>
    <w:rsid w:val="00E67B64"/>
    <w:rsid w:val="00E67BE8"/>
    <w:rsid w:val="00E70433"/>
    <w:rsid w:val="00E70B7A"/>
    <w:rsid w:val="00E712CE"/>
    <w:rsid w:val="00E72CAA"/>
    <w:rsid w:val="00E73746"/>
    <w:rsid w:val="00E73BEB"/>
    <w:rsid w:val="00E74E62"/>
    <w:rsid w:val="00E75889"/>
    <w:rsid w:val="00E75B6F"/>
    <w:rsid w:val="00E773F9"/>
    <w:rsid w:val="00E775B4"/>
    <w:rsid w:val="00E80C5C"/>
    <w:rsid w:val="00E817B2"/>
    <w:rsid w:val="00E8204E"/>
    <w:rsid w:val="00E820C0"/>
    <w:rsid w:val="00E826A3"/>
    <w:rsid w:val="00E8403B"/>
    <w:rsid w:val="00E86281"/>
    <w:rsid w:val="00E8680D"/>
    <w:rsid w:val="00E8699B"/>
    <w:rsid w:val="00E8769E"/>
    <w:rsid w:val="00E87A81"/>
    <w:rsid w:val="00E902A3"/>
    <w:rsid w:val="00E90ED4"/>
    <w:rsid w:val="00E91DBA"/>
    <w:rsid w:val="00E926AC"/>
    <w:rsid w:val="00E93220"/>
    <w:rsid w:val="00E93FE8"/>
    <w:rsid w:val="00E9689C"/>
    <w:rsid w:val="00E971E3"/>
    <w:rsid w:val="00EA0CC7"/>
    <w:rsid w:val="00EA0D25"/>
    <w:rsid w:val="00EA0FC5"/>
    <w:rsid w:val="00EA149D"/>
    <w:rsid w:val="00EA1607"/>
    <w:rsid w:val="00EA29B1"/>
    <w:rsid w:val="00EA42E2"/>
    <w:rsid w:val="00EA52B1"/>
    <w:rsid w:val="00EA5874"/>
    <w:rsid w:val="00EB02BB"/>
    <w:rsid w:val="00EB06C7"/>
    <w:rsid w:val="00EB0B33"/>
    <w:rsid w:val="00EB5630"/>
    <w:rsid w:val="00EB5F03"/>
    <w:rsid w:val="00EB72B8"/>
    <w:rsid w:val="00EB73F2"/>
    <w:rsid w:val="00EC2626"/>
    <w:rsid w:val="00EC3654"/>
    <w:rsid w:val="00EC3B6F"/>
    <w:rsid w:val="00EC490D"/>
    <w:rsid w:val="00EC5618"/>
    <w:rsid w:val="00EC57D5"/>
    <w:rsid w:val="00EC5A36"/>
    <w:rsid w:val="00EC70C1"/>
    <w:rsid w:val="00ED0CE8"/>
    <w:rsid w:val="00ED18CD"/>
    <w:rsid w:val="00ED1A4B"/>
    <w:rsid w:val="00ED1AFD"/>
    <w:rsid w:val="00ED2302"/>
    <w:rsid w:val="00ED6189"/>
    <w:rsid w:val="00ED67EA"/>
    <w:rsid w:val="00ED6937"/>
    <w:rsid w:val="00EE0E7A"/>
    <w:rsid w:val="00EE19B4"/>
    <w:rsid w:val="00EE4035"/>
    <w:rsid w:val="00EE42F0"/>
    <w:rsid w:val="00EE4FF8"/>
    <w:rsid w:val="00EE51CE"/>
    <w:rsid w:val="00EE5CF7"/>
    <w:rsid w:val="00EE690E"/>
    <w:rsid w:val="00EE7423"/>
    <w:rsid w:val="00EE7FD6"/>
    <w:rsid w:val="00EF0AB5"/>
    <w:rsid w:val="00EF105F"/>
    <w:rsid w:val="00EF2D0F"/>
    <w:rsid w:val="00EF3931"/>
    <w:rsid w:val="00EF41F9"/>
    <w:rsid w:val="00EF44F7"/>
    <w:rsid w:val="00EF4C8B"/>
    <w:rsid w:val="00EF640C"/>
    <w:rsid w:val="00EF6882"/>
    <w:rsid w:val="00EF6DA3"/>
    <w:rsid w:val="00F019BD"/>
    <w:rsid w:val="00F02045"/>
    <w:rsid w:val="00F045D0"/>
    <w:rsid w:val="00F0462F"/>
    <w:rsid w:val="00F06E3C"/>
    <w:rsid w:val="00F075E1"/>
    <w:rsid w:val="00F07F19"/>
    <w:rsid w:val="00F10B1E"/>
    <w:rsid w:val="00F11C02"/>
    <w:rsid w:val="00F11E64"/>
    <w:rsid w:val="00F12D06"/>
    <w:rsid w:val="00F1316E"/>
    <w:rsid w:val="00F1543B"/>
    <w:rsid w:val="00F1643A"/>
    <w:rsid w:val="00F16A90"/>
    <w:rsid w:val="00F17C2F"/>
    <w:rsid w:val="00F20575"/>
    <w:rsid w:val="00F219A4"/>
    <w:rsid w:val="00F21A4A"/>
    <w:rsid w:val="00F21F3D"/>
    <w:rsid w:val="00F22742"/>
    <w:rsid w:val="00F2283C"/>
    <w:rsid w:val="00F23267"/>
    <w:rsid w:val="00F239A1"/>
    <w:rsid w:val="00F24B05"/>
    <w:rsid w:val="00F30717"/>
    <w:rsid w:val="00F31214"/>
    <w:rsid w:val="00F322B0"/>
    <w:rsid w:val="00F33122"/>
    <w:rsid w:val="00F33155"/>
    <w:rsid w:val="00F34247"/>
    <w:rsid w:val="00F345F6"/>
    <w:rsid w:val="00F346B4"/>
    <w:rsid w:val="00F34BB3"/>
    <w:rsid w:val="00F353D9"/>
    <w:rsid w:val="00F35405"/>
    <w:rsid w:val="00F36CDF"/>
    <w:rsid w:val="00F40F22"/>
    <w:rsid w:val="00F415EA"/>
    <w:rsid w:val="00F42205"/>
    <w:rsid w:val="00F45FCD"/>
    <w:rsid w:val="00F47B65"/>
    <w:rsid w:val="00F50433"/>
    <w:rsid w:val="00F52A2E"/>
    <w:rsid w:val="00F537AE"/>
    <w:rsid w:val="00F5383E"/>
    <w:rsid w:val="00F53B8B"/>
    <w:rsid w:val="00F545D7"/>
    <w:rsid w:val="00F551ED"/>
    <w:rsid w:val="00F55C14"/>
    <w:rsid w:val="00F570F4"/>
    <w:rsid w:val="00F577E4"/>
    <w:rsid w:val="00F60AB6"/>
    <w:rsid w:val="00F6234A"/>
    <w:rsid w:val="00F67074"/>
    <w:rsid w:val="00F70109"/>
    <w:rsid w:val="00F725CA"/>
    <w:rsid w:val="00F7302C"/>
    <w:rsid w:val="00F73213"/>
    <w:rsid w:val="00F752DF"/>
    <w:rsid w:val="00F76B4A"/>
    <w:rsid w:val="00F76FD5"/>
    <w:rsid w:val="00F816EC"/>
    <w:rsid w:val="00F83157"/>
    <w:rsid w:val="00F8570A"/>
    <w:rsid w:val="00F85BA2"/>
    <w:rsid w:val="00F86758"/>
    <w:rsid w:val="00F86E66"/>
    <w:rsid w:val="00F8721C"/>
    <w:rsid w:val="00F87A82"/>
    <w:rsid w:val="00F87E3D"/>
    <w:rsid w:val="00F90AEB"/>
    <w:rsid w:val="00F90D9A"/>
    <w:rsid w:val="00F916AC"/>
    <w:rsid w:val="00F92564"/>
    <w:rsid w:val="00F92C56"/>
    <w:rsid w:val="00F92F11"/>
    <w:rsid w:val="00F9300E"/>
    <w:rsid w:val="00F96167"/>
    <w:rsid w:val="00F9714B"/>
    <w:rsid w:val="00F97C6C"/>
    <w:rsid w:val="00FA093E"/>
    <w:rsid w:val="00FA0B2A"/>
    <w:rsid w:val="00FA0FDA"/>
    <w:rsid w:val="00FA158E"/>
    <w:rsid w:val="00FA166D"/>
    <w:rsid w:val="00FA17CB"/>
    <w:rsid w:val="00FA2270"/>
    <w:rsid w:val="00FA399F"/>
    <w:rsid w:val="00FA4352"/>
    <w:rsid w:val="00FA4A9F"/>
    <w:rsid w:val="00FA5FD4"/>
    <w:rsid w:val="00FA6EF7"/>
    <w:rsid w:val="00FA6F0F"/>
    <w:rsid w:val="00FA7760"/>
    <w:rsid w:val="00FB1439"/>
    <w:rsid w:val="00FB21FE"/>
    <w:rsid w:val="00FB2647"/>
    <w:rsid w:val="00FB40D7"/>
    <w:rsid w:val="00FB42B7"/>
    <w:rsid w:val="00FB451E"/>
    <w:rsid w:val="00FB4D13"/>
    <w:rsid w:val="00FB7978"/>
    <w:rsid w:val="00FB7FDA"/>
    <w:rsid w:val="00FC0819"/>
    <w:rsid w:val="00FC13A4"/>
    <w:rsid w:val="00FC1607"/>
    <w:rsid w:val="00FC1C7C"/>
    <w:rsid w:val="00FC44E2"/>
    <w:rsid w:val="00FC4885"/>
    <w:rsid w:val="00FC595C"/>
    <w:rsid w:val="00FC61A8"/>
    <w:rsid w:val="00FC7829"/>
    <w:rsid w:val="00FC7964"/>
    <w:rsid w:val="00FD1D42"/>
    <w:rsid w:val="00FD3163"/>
    <w:rsid w:val="00FD3500"/>
    <w:rsid w:val="00FD5510"/>
    <w:rsid w:val="00FD598A"/>
    <w:rsid w:val="00FD6DBE"/>
    <w:rsid w:val="00FE00A9"/>
    <w:rsid w:val="00FE050F"/>
    <w:rsid w:val="00FE0527"/>
    <w:rsid w:val="00FE1D9D"/>
    <w:rsid w:val="00FE3AD7"/>
    <w:rsid w:val="00FE3B39"/>
    <w:rsid w:val="00FE4284"/>
    <w:rsid w:val="00FE55E9"/>
    <w:rsid w:val="00FE6B0E"/>
    <w:rsid w:val="00FE6B3D"/>
    <w:rsid w:val="00FF0EB8"/>
    <w:rsid w:val="00FF1A2C"/>
    <w:rsid w:val="00FF1C0A"/>
    <w:rsid w:val="00FF2D93"/>
    <w:rsid w:val="00FF38BC"/>
    <w:rsid w:val="00FF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EBA91"/>
  <w15:docId w15:val="{98D196C7-AAEE-4E39-8CF4-386BF4F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9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semiHidden/>
    <w:unhideWhenUsed/>
    <w:rsid w:val="00755A35"/>
    <w:pPr>
      <w:spacing w:line="240" w:lineRule="auto"/>
    </w:pPr>
    <w:rPr>
      <w:sz w:val="20"/>
      <w:szCs w:val="20"/>
    </w:rPr>
  </w:style>
  <w:style w:type="character" w:customStyle="1" w:styleId="CommentTextChar">
    <w:name w:val="Comment Text Char"/>
    <w:link w:val="CommentText"/>
    <w:uiPriority w:val="99"/>
    <w:semiHidden/>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
    <w:basedOn w:val="Normal"/>
    <w:link w:val="FootnoteTextChar"/>
    <w:uiPriority w:val="99"/>
    <w:unhideWhenUsed/>
    <w:rsid w:val="00A12116"/>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
    <w:basedOn w:val="DefaultParagraphFont"/>
    <w:link w:val="BVIfnrCarCar"/>
    <w:uiPriority w:val="99"/>
    <w:unhideWhenUsed/>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4531E4"/>
  </w:style>
  <w:style w:type="paragraph" w:styleId="EndnoteText">
    <w:name w:val="endnote text"/>
    <w:basedOn w:val="Normal"/>
    <w:link w:val="EndnoteTextChar"/>
    <w:uiPriority w:val="99"/>
    <w:semiHidden/>
    <w:unhideWhenUsed/>
    <w:rsid w:val="00D1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316"/>
  </w:style>
  <w:style w:type="character" w:styleId="EndnoteReference">
    <w:name w:val="endnote reference"/>
    <w:basedOn w:val="DefaultParagraphFont"/>
    <w:uiPriority w:val="99"/>
    <w:semiHidden/>
    <w:unhideWhenUsed/>
    <w:rsid w:val="00D15316"/>
    <w:rPr>
      <w:vertAlign w:val="superscript"/>
    </w:rPr>
  </w:style>
  <w:style w:type="paragraph" w:customStyle="1" w:styleId="ColorfulShading-Accent31">
    <w:name w:val="Colorful Shading - Accent 31"/>
    <w:basedOn w:val="Normal"/>
    <w:uiPriority w:val="34"/>
    <w:qFormat/>
    <w:rsid w:val="00D11CA7"/>
    <w:pPr>
      <w:ind w:left="720"/>
      <w:contextualSpacing/>
    </w:pPr>
  </w:style>
  <w:style w:type="paragraph" w:customStyle="1" w:styleId="level2">
    <w:name w:val="_level2"/>
    <w:rsid w:val="00EF0A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sz w:val="24"/>
      <w:szCs w:val="24"/>
    </w:rPr>
  </w:style>
  <w:style w:type="character" w:customStyle="1" w:styleId="st">
    <w:name w:val="st"/>
    <w:basedOn w:val="DefaultParagraphFont"/>
    <w:rsid w:val="006B2C93"/>
  </w:style>
  <w:style w:type="character" w:styleId="FollowedHyperlink">
    <w:name w:val="FollowedHyperlink"/>
    <w:basedOn w:val="DefaultParagraphFont"/>
    <w:uiPriority w:val="99"/>
    <w:semiHidden/>
    <w:unhideWhenUsed/>
    <w:rsid w:val="00B3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31559664">
      <w:bodyDiv w:val="1"/>
      <w:marLeft w:val="0"/>
      <w:marRight w:val="0"/>
      <w:marTop w:val="0"/>
      <w:marBottom w:val="0"/>
      <w:divBdr>
        <w:top w:val="none" w:sz="0" w:space="0" w:color="auto"/>
        <w:left w:val="none" w:sz="0" w:space="0" w:color="auto"/>
        <w:bottom w:val="none" w:sz="0" w:space="0" w:color="auto"/>
        <w:right w:val="none" w:sz="0" w:space="0" w:color="auto"/>
      </w:divBdr>
    </w:div>
    <w:div w:id="136459884">
      <w:bodyDiv w:val="1"/>
      <w:marLeft w:val="0"/>
      <w:marRight w:val="0"/>
      <w:marTop w:val="0"/>
      <w:marBottom w:val="0"/>
      <w:divBdr>
        <w:top w:val="none" w:sz="0" w:space="0" w:color="auto"/>
        <w:left w:val="none" w:sz="0" w:space="0" w:color="auto"/>
        <w:bottom w:val="none" w:sz="0" w:space="0" w:color="auto"/>
        <w:right w:val="none" w:sz="0" w:space="0" w:color="auto"/>
      </w:divBdr>
      <w:divsChild>
        <w:div w:id="330908930">
          <w:marLeft w:val="547"/>
          <w:marRight w:val="0"/>
          <w:marTop w:val="0"/>
          <w:marBottom w:val="160"/>
          <w:divBdr>
            <w:top w:val="none" w:sz="0" w:space="0" w:color="auto"/>
            <w:left w:val="none" w:sz="0" w:space="0" w:color="auto"/>
            <w:bottom w:val="none" w:sz="0" w:space="0" w:color="auto"/>
            <w:right w:val="none" w:sz="0" w:space="0" w:color="auto"/>
          </w:divBdr>
        </w:div>
        <w:div w:id="395788375">
          <w:marLeft w:val="547"/>
          <w:marRight w:val="0"/>
          <w:marTop w:val="200"/>
          <w:marBottom w:val="160"/>
          <w:divBdr>
            <w:top w:val="none" w:sz="0" w:space="0" w:color="auto"/>
            <w:left w:val="none" w:sz="0" w:space="0" w:color="auto"/>
            <w:bottom w:val="none" w:sz="0" w:space="0" w:color="auto"/>
            <w:right w:val="none" w:sz="0" w:space="0" w:color="auto"/>
          </w:divBdr>
        </w:div>
        <w:div w:id="447047089">
          <w:marLeft w:val="547"/>
          <w:marRight w:val="0"/>
          <w:marTop w:val="200"/>
          <w:marBottom w:val="160"/>
          <w:divBdr>
            <w:top w:val="none" w:sz="0" w:space="0" w:color="auto"/>
            <w:left w:val="none" w:sz="0" w:space="0" w:color="auto"/>
            <w:bottom w:val="none" w:sz="0" w:space="0" w:color="auto"/>
            <w:right w:val="none" w:sz="0" w:space="0" w:color="auto"/>
          </w:divBdr>
        </w:div>
        <w:div w:id="730349359">
          <w:marLeft w:val="547"/>
          <w:marRight w:val="0"/>
          <w:marTop w:val="0"/>
          <w:marBottom w:val="160"/>
          <w:divBdr>
            <w:top w:val="none" w:sz="0" w:space="0" w:color="auto"/>
            <w:left w:val="none" w:sz="0" w:space="0" w:color="auto"/>
            <w:bottom w:val="none" w:sz="0" w:space="0" w:color="auto"/>
            <w:right w:val="none" w:sz="0" w:space="0" w:color="auto"/>
          </w:divBdr>
        </w:div>
      </w:divsChild>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263805412">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29665352">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450443907">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507335456">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23078325">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55783513">
      <w:bodyDiv w:val="1"/>
      <w:marLeft w:val="0"/>
      <w:marRight w:val="0"/>
      <w:marTop w:val="0"/>
      <w:marBottom w:val="0"/>
      <w:divBdr>
        <w:top w:val="none" w:sz="0" w:space="0" w:color="auto"/>
        <w:left w:val="none" w:sz="0" w:space="0" w:color="auto"/>
        <w:bottom w:val="none" w:sz="0" w:space="0" w:color="auto"/>
        <w:right w:val="none" w:sz="0" w:space="0" w:color="auto"/>
      </w:divBdr>
    </w:div>
    <w:div w:id="761031020">
      <w:bodyDiv w:val="1"/>
      <w:marLeft w:val="0"/>
      <w:marRight w:val="0"/>
      <w:marTop w:val="0"/>
      <w:marBottom w:val="0"/>
      <w:divBdr>
        <w:top w:val="none" w:sz="0" w:space="0" w:color="auto"/>
        <w:left w:val="none" w:sz="0" w:space="0" w:color="auto"/>
        <w:bottom w:val="none" w:sz="0" w:space="0" w:color="auto"/>
        <w:right w:val="none" w:sz="0" w:space="0" w:color="auto"/>
      </w:divBdr>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19544341">
      <w:bodyDiv w:val="1"/>
      <w:marLeft w:val="0"/>
      <w:marRight w:val="0"/>
      <w:marTop w:val="0"/>
      <w:marBottom w:val="0"/>
      <w:divBdr>
        <w:top w:val="none" w:sz="0" w:space="0" w:color="auto"/>
        <w:left w:val="none" w:sz="0" w:space="0" w:color="auto"/>
        <w:bottom w:val="none" w:sz="0" w:space="0" w:color="auto"/>
        <w:right w:val="none" w:sz="0" w:space="0" w:color="auto"/>
      </w:divBdr>
    </w:div>
    <w:div w:id="884833267">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985279958">
      <w:bodyDiv w:val="1"/>
      <w:marLeft w:val="0"/>
      <w:marRight w:val="0"/>
      <w:marTop w:val="0"/>
      <w:marBottom w:val="0"/>
      <w:divBdr>
        <w:top w:val="none" w:sz="0" w:space="0" w:color="auto"/>
        <w:left w:val="none" w:sz="0" w:space="0" w:color="auto"/>
        <w:bottom w:val="none" w:sz="0" w:space="0" w:color="auto"/>
        <w:right w:val="none" w:sz="0" w:space="0" w:color="auto"/>
      </w:divBdr>
    </w:div>
    <w:div w:id="991106939">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68455195">
      <w:bodyDiv w:val="1"/>
      <w:marLeft w:val="0"/>
      <w:marRight w:val="0"/>
      <w:marTop w:val="0"/>
      <w:marBottom w:val="0"/>
      <w:divBdr>
        <w:top w:val="none" w:sz="0" w:space="0" w:color="auto"/>
        <w:left w:val="none" w:sz="0" w:space="0" w:color="auto"/>
        <w:bottom w:val="none" w:sz="0" w:space="0" w:color="auto"/>
        <w:right w:val="none" w:sz="0" w:space="0" w:color="auto"/>
      </w:divBdr>
      <w:divsChild>
        <w:div w:id="572201827">
          <w:marLeft w:val="547"/>
          <w:marRight w:val="0"/>
          <w:marTop w:val="0"/>
          <w:marBottom w:val="240"/>
          <w:divBdr>
            <w:top w:val="none" w:sz="0" w:space="0" w:color="auto"/>
            <w:left w:val="none" w:sz="0" w:space="0" w:color="auto"/>
            <w:bottom w:val="none" w:sz="0" w:space="0" w:color="auto"/>
            <w:right w:val="none" w:sz="0" w:space="0" w:color="auto"/>
          </w:divBdr>
        </w:div>
      </w:divsChild>
    </w:div>
    <w:div w:id="1096369200">
      <w:bodyDiv w:val="1"/>
      <w:marLeft w:val="0"/>
      <w:marRight w:val="0"/>
      <w:marTop w:val="0"/>
      <w:marBottom w:val="0"/>
      <w:divBdr>
        <w:top w:val="none" w:sz="0" w:space="0" w:color="auto"/>
        <w:left w:val="none" w:sz="0" w:space="0" w:color="auto"/>
        <w:bottom w:val="none" w:sz="0" w:space="0" w:color="auto"/>
        <w:right w:val="none" w:sz="0" w:space="0" w:color="auto"/>
      </w:divBdr>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27889358">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1138557">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294869080">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421876391">
      <w:bodyDiv w:val="1"/>
      <w:marLeft w:val="0"/>
      <w:marRight w:val="0"/>
      <w:marTop w:val="0"/>
      <w:marBottom w:val="0"/>
      <w:divBdr>
        <w:top w:val="none" w:sz="0" w:space="0" w:color="auto"/>
        <w:left w:val="none" w:sz="0" w:space="0" w:color="auto"/>
        <w:bottom w:val="none" w:sz="0" w:space="0" w:color="auto"/>
        <w:right w:val="none" w:sz="0" w:space="0" w:color="auto"/>
      </w:divBdr>
    </w:div>
    <w:div w:id="1441758148">
      <w:bodyDiv w:val="1"/>
      <w:marLeft w:val="0"/>
      <w:marRight w:val="0"/>
      <w:marTop w:val="0"/>
      <w:marBottom w:val="0"/>
      <w:divBdr>
        <w:top w:val="none" w:sz="0" w:space="0" w:color="auto"/>
        <w:left w:val="none" w:sz="0" w:space="0" w:color="auto"/>
        <w:bottom w:val="none" w:sz="0" w:space="0" w:color="auto"/>
        <w:right w:val="none" w:sz="0" w:space="0" w:color="auto"/>
      </w:divBdr>
    </w:div>
    <w:div w:id="1443377267">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60114299">
      <w:bodyDiv w:val="1"/>
      <w:marLeft w:val="0"/>
      <w:marRight w:val="0"/>
      <w:marTop w:val="0"/>
      <w:marBottom w:val="0"/>
      <w:divBdr>
        <w:top w:val="none" w:sz="0" w:space="0" w:color="auto"/>
        <w:left w:val="none" w:sz="0" w:space="0" w:color="auto"/>
        <w:bottom w:val="none" w:sz="0" w:space="0" w:color="auto"/>
        <w:right w:val="none" w:sz="0" w:space="0" w:color="auto"/>
      </w:divBdr>
    </w:div>
    <w:div w:id="1664965698">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729836948">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798376766">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942057827">
      <w:bodyDiv w:val="1"/>
      <w:marLeft w:val="0"/>
      <w:marRight w:val="0"/>
      <w:marTop w:val="0"/>
      <w:marBottom w:val="0"/>
      <w:divBdr>
        <w:top w:val="none" w:sz="0" w:space="0" w:color="auto"/>
        <w:left w:val="none" w:sz="0" w:space="0" w:color="auto"/>
        <w:bottom w:val="none" w:sz="0" w:space="0" w:color="auto"/>
        <w:right w:val="none" w:sz="0" w:space="0" w:color="auto"/>
      </w:divBdr>
    </w:div>
    <w:div w:id="1961570242">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undp.org/evaluation/documents/policy/2016/Evaluation_policy_EN_2016.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rc.undp.org/index.html;jsessionid=2825BA456DA1408C7BC53F6267CDC59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0931E-4BBE-47B4-B543-2D9DB12D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Svetlana Iazykova</cp:lastModifiedBy>
  <cp:revision>2</cp:revision>
  <cp:lastPrinted>2018-03-23T15:32:00Z</cp:lastPrinted>
  <dcterms:created xsi:type="dcterms:W3CDTF">2018-04-25T14:28:00Z</dcterms:created>
  <dcterms:modified xsi:type="dcterms:W3CDTF">2018-04-25T14:28:00Z</dcterms:modified>
</cp:coreProperties>
</file>