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B043" w14:textId="77777777" w:rsidR="003E700A" w:rsidRPr="00EB6C38" w:rsidRDefault="005B6D3A" w:rsidP="00882905">
      <w:pPr>
        <w:spacing w:before="240"/>
        <w:jc w:val="center"/>
        <w:rPr>
          <w:rFonts w:ascii="Times New Roman" w:hAnsi="Times New Roman"/>
          <w:b/>
          <w:sz w:val="20"/>
          <w:szCs w:val="20"/>
        </w:rPr>
      </w:pPr>
      <w:bookmarkStart w:id="0" w:name="_GoBack"/>
      <w:bookmarkEnd w:id="0"/>
      <w:r w:rsidRPr="00EB6C38">
        <w:rPr>
          <w:rFonts w:ascii="Times New Roman" w:hAnsi="Times New Roman"/>
          <w:b/>
          <w:sz w:val="20"/>
          <w:szCs w:val="20"/>
        </w:rPr>
        <w:t xml:space="preserve">Unresolved </w:t>
      </w:r>
      <w:r w:rsidR="003E700A" w:rsidRPr="00EB6C38">
        <w:rPr>
          <w:rFonts w:ascii="Times New Roman" w:hAnsi="Times New Roman"/>
          <w:b/>
          <w:sz w:val="20"/>
          <w:szCs w:val="20"/>
        </w:rPr>
        <w:t>audit recommendations issued more than 18 months before 31 December 201</w:t>
      </w:r>
      <w:r w:rsidR="00EE3501" w:rsidRPr="00EB6C38">
        <w:rPr>
          <w:rFonts w:ascii="Times New Roman" w:hAnsi="Times New Roman"/>
          <w:b/>
          <w:sz w:val="20"/>
          <w:szCs w:val="20"/>
        </w:rPr>
        <w:t>7</w:t>
      </w:r>
      <w:r w:rsidR="003E700A" w:rsidRPr="00EB6C38">
        <w:rPr>
          <w:rFonts w:ascii="Times New Roman" w:hAnsi="Times New Roman"/>
          <w:b/>
          <w:sz w:val="20"/>
          <w:szCs w:val="20"/>
        </w:rPr>
        <w:t xml:space="preserve"> </w:t>
      </w:r>
    </w:p>
    <w:tbl>
      <w:tblPr>
        <w:tblW w:w="9556" w:type="dxa"/>
        <w:jc w:val="center"/>
        <w:tblLayout w:type="fixed"/>
        <w:tblLook w:val="04A0" w:firstRow="1" w:lastRow="0" w:firstColumn="1" w:lastColumn="0" w:noHBand="0" w:noVBand="1"/>
      </w:tblPr>
      <w:tblGrid>
        <w:gridCol w:w="9556"/>
      </w:tblGrid>
      <w:tr w:rsidR="009C37AF" w:rsidRPr="001061F4" w14:paraId="616BB0E6" w14:textId="77777777" w:rsidTr="00946F3C">
        <w:trPr>
          <w:trHeight w:val="315"/>
          <w:jc w:val="center"/>
        </w:trPr>
        <w:tc>
          <w:tcPr>
            <w:tcW w:w="9556" w:type="dxa"/>
            <w:tcBorders>
              <w:top w:val="single" w:sz="12" w:space="0" w:color="auto"/>
              <w:left w:val="single" w:sz="12" w:space="0" w:color="auto"/>
              <w:bottom w:val="single" w:sz="12" w:space="0" w:color="auto"/>
              <w:right w:val="single" w:sz="8" w:space="0" w:color="auto"/>
            </w:tcBorders>
            <w:shd w:val="clear" w:color="000000" w:fill="B8CCE4"/>
            <w:vAlign w:val="center"/>
            <w:hideMark/>
          </w:tcPr>
          <w:p w14:paraId="190EA20E" w14:textId="4299BC30" w:rsidR="009C37AF" w:rsidRPr="001061F4" w:rsidRDefault="009C37AF" w:rsidP="009C37AF">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 xml:space="preserve">Functional </w:t>
            </w:r>
            <w:r w:rsidR="007C08E9" w:rsidRPr="001061F4">
              <w:rPr>
                <w:rFonts w:ascii="Times New Roman" w:eastAsia="Times New Roman" w:hAnsi="Times New Roman"/>
                <w:b/>
                <w:bCs/>
                <w:color w:val="000000"/>
                <w:sz w:val="20"/>
                <w:szCs w:val="20"/>
                <w:lang w:eastAsia="en-GB"/>
              </w:rPr>
              <w:t>area</w:t>
            </w:r>
            <w:r w:rsidRPr="001061F4">
              <w:rPr>
                <w:rFonts w:ascii="Times New Roman" w:eastAsia="Times New Roman" w:hAnsi="Times New Roman"/>
                <w:b/>
                <w:bCs/>
                <w:color w:val="000000"/>
                <w:sz w:val="20"/>
                <w:szCs w:val="20"/>
                <w:lang w:eastAsia="en-GB"/>
              </w:rPr>
              <w:t>/</w:t>
            </w:r>
            <w:r w:rsidR="007C08E9" w:rsidRPr="001061F4">
              <w:rPr>
                <w:rFonts w:ascii="Times New Roman" w:eastAsia="Times New Roman" w:hAnsi="Times New Roman"/>
                <w:b/>
                <w:bCs/>
                <w:color w:val="000000"/>
                <w:sz w:val="20"/>
                <w:szCs w:val="20"/>
                <w:lang w:eastAsia="en-GB"/>
              </w:rPr>
              <w:t xml:space="preserve">audit </w:t>
            </w:r>
            <w:r w:rsidRPr="001061F4">
              <w:rPr>
                <w:rFonts w:ascii="Times New Roman" w:eastAsia="Times New Roman" w:hAnsi="Times New Roman"/>
                <w:b/>
                <w:bCs/>
                <w:color w:val="000000"/>
                <w:sz w:val="20"/>
                <w:szCs w:val="20"/>
                <w:lang w:eastAsia="en-GB"/>
              </w:rPr>
              <w:t>recommendation description</w:t>
            </w:r>
          </w:p>
        </w:tc>
      </w:tr>
      <w:tr w:rsidR="009C37AF" w:rsidRPr="001061F4" w14:paraId="54B7B8D9" w14:textId="77777777" w:rsidTr="00946F3C">
        <w:trPr>
          <w:trHeight w:val="283"/>
          <w:jc w:val="center"/>
        </w:trPr>
        <w:tc>
          <w:tcPr>
            <w:tcW w:w="9556" w:type="dxa"/>
            <w:tcBorders>
              <w:top w:val="single" w:sz="12" w:space="0" w:color="auto"/>
              <w:left w:val="single" w:sz="12" w:space="0" w:color="auto"/>
              <w:bottom w:val="single" w:sz="12" w:space="0" w:color="auto"/>
              <w:right w:val="single" w:sz="8" w:space="0" w:color="auto"/>
            </w:tcBorders>
            <w:shd w:val="clear" w:color="000000" w:fill="B8CCE4"/>
            <w:vAlign w:val="center"/>
          </w:tcPr>
          <w:p w14:paraId="7B6E6222" w14:textId="77777777" w:rsidR="009C37AF" w:rsidRPr="001061F4" w:rsidRDefault="009C37AF" w:rsidP="009C37AF">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Finance</w:t>
            </w:r>
          </w:p>
        </w:tc>
      </w:tr>
      <w:tr w:rsidR="009C37AF" w:rsidRPr="001061F4" w14:paraId="25F2330E" w14:textId="77777777" w:rsidTr="009C37AF">
        <w:trPr>
          <w:trHeight w:val="315"/>
          <w:jc w:val="center"/>
        </w:trPr>
        <w:tc>
          <w:tcPr>
            <w:tcW w:w="9556" w:type="dxa"/>
            <w:tcBorders>
              <w:top w:val="nil"/>
              <w:left w:val="single" w:sz="12" w:space="0" w:color="auto"/>
              <w:bottom w:val="single" w:sz="12" w:space="0" w:color="auto"/>
              <w:right w:val="single" w:sz="8" w:space="0" w:color="auto"/>
            </w:tcBorders>
            <w:shd w:val="clear" w:color="auto" w:fill="auto"/>
            <w:vAlign w:val="center"/>
          </w:tcPr>
          <w:p w14:paraId="273B3879" w14:textId="77777777" w:rsidR="009C37AF" w:rsidRPr="001061F4" w:rsidRDefault="009C37AF" w:rsidP="009C37AF">
            <w:pPr>
              <w:pStyle w:val="ListParagraph"/>
              <w:numPr>
                <w:ilvl w:val="0"/>
                <w:numId w:val="3"/>
              </w:numPr>
              <w:spacing w:after="0" w:line="240" w:lineRule="auto"/>
              <w:rPr>
                <w:rFonts w:ascii="Times New Roman" w:eastAsia="Times New Roman" w:hAnsi="Times New Roman"/>
                <w:bCs/>
                <w:color w:val="000000"/>
                <w:sz w:val="20"/>
                <w:szCs w:val="20"/>
                <w:lang w:eastAsia="en-GB"/>
              </w:rPr>
            </w:pPr>
            <w:r w:rsidRPr="001061F4">
              <w:rPr>
                <w:rFonts w:ascii="Times New Roman" w:eastAsia="Times New Roman" w:hAnsi="Times New Roman"/>
                <w:bCs/>
                <w:color w:val="000000"/>
                <w:sz w:val="20"/>
                <w:szCs w:val="20"/>
                <w:lang w:eastAsia="en-GB"/>
              </w:rPr>
              <w:t>Strengthen the quality assurance process at the engagement phase and throughout the project cycle to prevent late recognition of defects on physical infrastructure.</w:t>
            </w:r>
          </w:p>
        </w:tc>
      </w:tr>
      <w:tr w:rsidR="009C37AF" w:rsidRPr="001061F4" w14:paraId="4BF731D3" w14:textId="77777777" w:rsidTr="009C37AF">
        <w:trPr>
          <w:trHeight w:val="343"/>
          <w:jc w:val="center"/>
        </w:trPr>
        <w:tc>
          <w:tcPr>
            <w:tcW w:w="9556" w:type="dxa"/>
            <w:tcBorders>
              <w:top w:val="nil"/>
              <w:left w:val="single" w:sz="12" w:space="0" w:color="auto"/>
              <w:bottom w:val="single" w:sz="12" w:space="0" w:color="auto"/>
              <w:right w:val="single" w:sz="8" w:space="0" w:color="auto"/>
            </w:tcBorders>
            <w:shd w:val="clear" w:color="auto" w:fill="B8CCE4" w:themeFill="accent1" w:themeFillTint="66"/>
            <w:vAlign w:val="center"/>
          </w:tcPr>
          <w:p w14:paraId="579D634C" w14:textId="77777777" w:rsidR="009C37AF" w:rsidRPr="001061F4" w:rsidRDefault="009C37AF" w:rsidP="00696123">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General administration</w:t>
            </w:r>
          </w:p>
        </w:tc>
      </w:tr>
      <w:tr w:rsidR="009C37AF" w:rsidRPr="001061F4" w14:paraId="49D227FE" w14:textId="77777777" w:rsidTr="009C37AF">
        <w:trPr>
          <w:trHeight w:val="926"/>
          <w:jc w:val="center"/>
        </w:trPr>
        <w:tc>
          <w:tcPr>
            <w:tcW w:w="9556" w:type="dxa"/>
            <w:tcBorders>
              <w:top w:val="nil"/>
              <w:left w:val="single" w:sz="12" w:space="0" w:color="auto"/>
              <w:bottom w:val="single" w:sz="12" w:space="0" w:color="auto"/>
              <w:right w:val="single" w:sz="8" w:space="0" w:color="auto"/>
            </w:tcBorders>
            <w:shd w:val="clear" w:color="auto" w:fill="auto"/>
            <w:vAlign w:val="center"/>
          </w:tcPr>
          <w:p w14:paraId="653F55F9" w14:textId="77777777" w:rsidR="009C37AF" w:rsidRPr="001061F4" w:rsidRDefault="009C37AF" w:rsidP="009C37AF">
            <w:pPr>
              <w:pStyle w:val="ListParagraph"/>
              <w:numPr>
                <w:ilvl w:val="0"/>
                <w:numId w:val="3"/>
              </w:numPr>
              <w:spacing w:after="0" w:line="240" w:lineRule="auto"/>
              <w:rPr>
                <w:rFonts w:ascii="Times New Roman" w:hAnsi="Times New Roman"/>
                <w:sz w:val="20"/>
                <w:szCs w:val="20"/>
              </w:rPr>
            </w:pPr>
            <w:r w:rsidRPr="001061F4">
              <w:rPr>
                <w:rFonts w:ascii="Times New Roman" w:hAnsi="Times New Roman"/>
                <w:sz w:val="20"/>
                <w:szCs w:val="20"/>
              </w:rPr>
              <w:t xml:space="preserve">Formally define sensitive information and develop a classification system as a foundation for deciding who owns and who may interact with what information in what fashion. A formal </w:t>
            </w:r>
            <w:r w:rsidRPr="001061F4">
              <w:rPr>
                <w:rFonts w:ascii="Times New Roman" w:eastAsia="Times New Roman" w:hAnsi="Times New Roman"/>
                <w:bCs/>
                <w:color w:val="000000"/>
                <w:sz w:val="20"/>
                <w:szCs w:val="20"/>
                <w:lang w:eastAsia="en-GB"/>
              </w:rPr>
              <w:t>information</w:t>
            </w:r>
            <w:r w:rsidRPr="001061F4">
              <w:rPr>
                <w:rFonts w:ascii="Times New Roman" w:hAnsi="Times New Roman"/>
                <w:sz w:val="20"/>
                <w:szCs w:val="20"/>
              </w:rPr>
              <w:t xml:space="preserve"> lifecycle should be defined and a current or revised data retention policy and privacy policy should be implemented. This should be supported by appropriate technical measures such as cryptography, digital watermarking and user analytics.</w:t>
            </w:r>
          </w:p>
        </w:tc>
      </w:tr>
      <w:tr w:rsidR="009C37AF" w:rsidRPr="001061F4" w14:paraId="4322F3AB" w14:textId="77777777" w:rsidTr="009C37AF">
        <w:trPr>
          <w:trHeight w:val="283"/>
          <w:jc w:val="center"/>
        </w:trPr>
        <w:tc>
          <w:tcPr>
            <w:tcW w:w="9556" w:type="dxa"/>
            <w:tcBorders>
              <w:top w:val="nil"/>
              <w:left w:val="single" w:sz="12" w:space="0" w:color="auto"/>
              <w:bottom w:val="single" w:sz="12" w:space="0" w:color="auto"/>
              <w:right w:val="single" w:sz="8" w:space="0" w:color="auto"/>
            </w:tcBorders>
            <w:shd w:val="clear" w:color="auto" w:fill="B8CCE4" w:themeFill="accent1" w:themeFillTint="66"/>
            <w:vAlign w:val="center"/>
          </w:tcPr>
          <w:p w14:paraId="1E5522C0" w14:textId="77777777" w:rsidR="009C37AF" w:rsidRPr="001061F4" w:rsidRDefault="009C37AF" w:rsidP="009C37AF">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Human resources</w:t>
            </w:r>
          </w:p>
        </w:tc>
      </w:tr>
      <w:tr w:rsidR="009C37AF" w:rsidRPr="001061F4" w14:paraId="017D5213" w14:textId="77777777" w:rsidTr="009C37AF">
        <w:trPr>
          <w:trHeight w:val="545"/>
          <w:jc w:val="center"/>
        </w:trPr>
        <w:tc>
          <w:tcPr>
            <w:tcW w:w="9556" w:type="dxa"/>
            <w:tcBorders>
              <w:top w:val="nil"/>
              <w:left w:val="single" w:sz="12" w:space="0" w:color="auto"/>
              <w:bottom w:val="single" w:sz="12" w:space="0" w:color="auto"/>
              <w:right w:val="single" w:sz="8" w:space="0" w:color="auto"/>
            </w:tcBorders>
            <w:shd w:val="clear" w:color="auto" w:fill="auto"/>
            <w:vAlign w:val="center"/>
          </w:tcPr>
          <w:p w14:paraId="2EEAD1BF" w14:textId="1387ECFD" w:rsidR="009C37AF" w:rsidRPr="001061F4" w:rsidRDefault="009C37AF" w:rsidP="009C37AF">
            <w:pPr>
              <w:pStyle w:val="ListParagraph"/>
              <w:numPr>
                <w:ilvl w:val="0"/>
                <w:numId w:val="3"/>
              </w:numPr>
              <w:spacing w:after="0" w:line="240" w:lineRule="auto"/>
              <w:rPr>
                <w:rFonts w:ascii="Times New Roman" w:hAnsi="Times New Roman"/>
                <w:sz w:val="20"/>
                <w:szCs w:val="20"/>
              </w:rPr>
            </w:pPr>
            <w:r w:rsidRPr="001061F4">
              <w:rPr>
                <w:rFonts w:ascii="Times New Roman" w:hAnsi="Times New Roman"/>
                <w:sz w:val="20"/>
                <w:szCs w:val="20"/>
              </w:rPr>
              <w:t>Ensure that the leave portal in oneUNOPS prevents</w:t>
            </w:r>
            <w:r w:rsidR="00D4366D">
              <w:rPr>
                <w:rFonts w:ascii="Times New Roman" w:hAnsi="Times New Roman"/>
                <w:sz w:val="20"/>
                <w:szCs w:val="20"/>
              </w:rPr>
              <w:t xml:space="preserve"> individual contractors</w:t>
            </w:r>
            <w:r w:rsidRPr="001061F4">
              <w:rPr>
                <w:rFonts w:ascii="Times New Roman" w:hAnsi="Times New Roman"/>
                <w:sz w:val="20"/>
                <w:szCs w:val="20"/>
              </w:rPr>
              <w:t xml:space="preserve"> from applying for annual leave that </w:t>
            </w:r>
            <w:r w:rsidRPr="001061F4">
              <w:rPr>
                <w:rFonts w:ascii="Times New Roman" w:eastAsia="Times New Roman" w:hAnsi="Times New Roman"/>
                <w:bCs/>
                <w:color w:val="000000"/>
                <w:sz w:val="20"/>
                <w:szCs w:val="20"/>
                <w:lang w:eastAsia="en-GB"/>
              </w:rPr>
              <w:t>results</w:t>
            </w:r>
            <w:r w:rsidRPr="001061F4">
              <w:rPr>
                <w:rFonts w:ascii="Times New Roman" w:hAnsi="Times New Roman"/>
                <w:sz w:val="20"/>
                <w:szCs w:val="20"/>
              </w:rPr>
              <w:t xml:space="preserve"> in a negative balance</w:t>
            </w:r>
            <w:r w:rsidR="00EB6C38">
              <w:rPr>
                <w:rFonts w:ascii="Times New Roman" w:hAnsi="Times New Roman"/>
                <w:sz w:val="20"/>
                <w:szCs w:val="20"/>
              </w:rPr>
              <w:t>,</w:t>
            </w:r>
            <w:r w:rsidRPr="001061F4">
              <w:rPr>
                <w:rFonts w:ascii="Times New Roman" w:hAnsi="Times New Roman"/>
                <w:sz w:val="20"/>
                <w:szCs w:val="20"/>
              </w:rPr>
              <w:t xml:space="preserve"> as this is not allowable per the policy.</w:t>
            </w:r>
          </w:p>
        </w:tc>
      </w:tr>
      <w:tr w:rsidR="009C37AF" w:rsidRPr="001061F4" w14:paraId="1D0B5DD4" w14:textId="77777777" w:rsidTr="009C37AF">
        <w:trPr>
          <w:trHeight w:val="283"/>
          <w:jc w:val="center"/>
        </w:trPr>
        <w:tc>
          <w:tcPr>
            <w:tcW w:w="9556" w:type="dxa"/>
            <w:tcBorders>
              <w:top w:val="nil"/>
              <w:left w:val="single" w:sz="12" w:space="0" w:color="auto"/>
              <w:bottom w:val="single" w:sz="12" w:space="0" w:color="auto"/>
              <w:right w:val="single" w:sz="8" w:space="0" w:color="auto"/>
            </w:tcBorders>
            <w:shd w:val="clear" w:color="auto" w:fill="B8CCE4" w:themeFill="accent1" w:themeFillTint="66"/>
            <w:vAlign w:val="center"/>
          </w:tcPr>
          <w:p w14:paraId="3FC25388" w14:textId="77777777" w:rsidR="009C37AF" w:rsidRPr="001061F4" w:rsidRDefault="009C37AF" w:rsidP="009C37AF">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Information and communication technology</w:t>
            </w:r>
          </w:p>
        </w:tc>
      </w:tr>
      <w:tr w:rsidR="009C37AF" w:rsidRPr="001061F4" w14:paraId="2ACB9801" w14:textId="77777777" w:rsidTr="009C37AF">
        <w:trPr>
          <w:trHeight w:val="1171"/>
          <w:jc w:val="center"/>
        </w:trPr>
        <w:tc>
          <w:tcPr>
            <w:tcW w:w="9556" w:type="dxa"/>
            <w:tcBorders>
              <w:top w:val="nil"/>
              <w:left w:val="single" w:sz="12" w:space="0" w:color="auto"/>
              <w:bottom w:val="single" w:sz="12" w:space="0" w:color="auto"/>
              <w:right w:val="single" w:sz="8" w:space="0" w:color="auto"/>
            </w:tcBorders>
            <w:shd w:val="clear" w:color="auto" w:fill="auto"/>
            <w:vAlign w:val="center"/>
            <w:hideMark/>
          </w:tcPr>
          <w:p w14:paraId="581B4FA7" w14:textId="77777777" w:rsidR="009C37AF" w:rsidRPr="001061F4" w:rsidRDefault="009C37AF" w:rsidP="009C37AF">
            <w:pPr>
              <w:pStyle w:val="ListParagraph"/>
              <w:numPr>
                <w:ilvl w:val="0"/>
                <w:numId w:val="3"/>
              </w:numPr>
              <w:spacing w:after="0" w:line="240" w:lineRule="auto"/>
              <w:rPr>
                <w:rFonts w:ascii="Times New Roman" w:hAnsi="Times New Roman"/>
                <w:sz w:val="20"/>
                <w:szCs w:val="20"/>
              </w:rPr>
            </w:pPr>
            <w:r w:rsidRPr="001061F4">
              <w:rPr>
                <w:rFonts w:ascii="Times New Roman" w:hAnsi="Times New Roman"/>
                <w:sz w:val="20"/>
                <w:szCs w:val="20"/>
              </w:rPr>
              <w:t xml:space="preserve">Perform cyberattack readiness testing to assess levels of preparedness and capability to withstand a </w:t>
            </w:r>
            <w:r w:rsidRPr="001061F4">
              <w:rPr>
                <w:rFonts w:ascii="Times New Roman" w:eastAsia="Times New Roman" w:hAnsi="Times New Roman"/>
                <w:bCs/>
                <w:color w:val="000000"/>
                <w:sz w:val="20"/>
                <w:szCs w:val="20"/>
                <w:lang w:eastAsia="en-GB"/>
              </w:rPr>
              <w:t>possible</w:t>
            </w:r>
            <w:r w:rsidRPr="001061F4">
              <w:rPr>
                <w:rFonts w:ascii="Times New Roman" w:hAnsi="Times New Roman"/>
                <w:sz w:val="20"/>
                <w:szCs w:val="20"/>
              </w:rPr>
              <w:t xml:space="preserve"> cyberattack. The scope of threats to UNOPS requires recurrent testing covering the complete structure of UNOPS. This should be done by means of an independent group of experts, ideally without informing the organization that it will be tested, in order to provide a more realistic picture of the organization’s cyber security readiness.</w:t>
            </w:r>
          </w:p>
        </w:tc>
      </w:tr>
      <w:tr w:rsidR="009C37AF" w:rsidRPr="001061F4" w14:paraId="2C112963" w14:textId="77777777" w:rsidTr="009C37AF">
        <w:trPr>
          <w:trHeight w:val="283"/>
          <w:jc w:val="center"/>
        </w:trPr>
        <w:tc>
          <w:tcPr>
            <w:tcW w:w="9556" w:type="dxa"/>
            <w:tcBorders>
              <w:top w:val="nil"/>
              <w:left w:val="single" w:sz="12" w:space="0" w:color="auto"/>
              <w:bottom w:val="single" w:sz="12" w:space="0" w:color="auto"/>
              <w:right w:val="single" w:sz="8" w:space="0" w:color="auto"/>
            </w:tcBorders>
            <w:shd w:val="clear" w:color="auto" w:fill="B8CCE4" w:themeFill="accent1" w:themeFillTint="66"/>
            <w:vAlign w:val="center"/>
          </w:tcPr>
          <w:p w14:paraId="5F932C23" w14:textId="77777777" w:rsidR="009C37AF" w:rsidRPr="001061F4" w:rsidRDefault="009C37AF" w:rsidP="009C37AF">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Products and services quality management</w:t>
            </w:r>
          </w:p>
        </w:tc>
      </w:tr>
      <w:tr w:rsidR="009C37AF" w:rsidRPr="001061F4" w14:paraId="67D383F8" w14:textId="77777777" w:rsidTr="009C37AF">
        <w:trPr>
          <w:trHeight w:val="795"/>
          <w:jc w:val="center"/>
        </w:trPr>
        <w:tc>
          <w:tcPr>
            <w:tcW w:w="9556" w:type="dxa"/>
            <w:tcBorders>
              <w:top w:val="single" w:sz="12" w:space="0" w:color="auto"/>
              <w:left w:val="single" w:sz="12" w:space="0" w:color="auto"/>
              <w:bottom w:val="single" w:sz="8" w:space="0" w:color="auto"/>
              <w:right w:val="single" w:sz="8" w:space="0" w:color="auto"/>
            </w:tcBorders>
            <w:shd w:val="clear" w:color="auto" w:fill="auto"/>
            <w:vAlign w:val="center"/>
          </w:tcPr>
          <w:p w14:paraId="296D794F" w14:textId="77777777" w:rsidR="009C37AF" w:rsidRPr="001061F4" w:rsidRDefault="009C37AF" w:rsidP="009C37AF">
            <w:pPr>
              <w:pStyle w:val="ListParagraph"/>
              <w:numPr>
                <w:ilvl w:val="0"/>
                <w:numId w:val="3"/>
              </w:numPr>
              <w:spacing w:after="0" w:line="240" w:lineRule="auto"/>
              <w:rPr>
                <w:rFonts w:ascii="Times New Roman" w:hAnsi="Times New Roman"/>
                <w:sz w:val="20"/>
                <w:szCs w:val="20"/>
              </w:rPr>
            </w:pPr>
            <w:r w:rsidRPr="001061F4">
              <w:rPr>
                <w:rFonts w:ascii="Times New Roman" w:hAnsi="Times New Roman"/>
                <w:sz w:val="20"/>
                <w:szCs w:val="20"/>
              </w:rPr>
              <w:t>Ensure that quality assurance activities are carried out at the project level to ensure that UNOPS delivers high quality infrastructure. This could include the development and use of standardized quality checklists that identify the minimum required activities at all stages of project delivery and for all types of infrastructure.</w:t>
            </w:r>
          </w:p>
        </w:tc>
      </w:tr>
      <w:tr w:rsidR="009C37AF" w:rsidRPr="001061F4" w14:paraId="54F51935" w14:textId="77777777" w:rsidTr="009C37AF">
        <w:trPr>
          <w:trHeight w:val="520"/>
          <w:jc w:val="center"/>
        </w:trPr>
        <w:tc>
          <w:tcPr>
            <w:tcW w:w="9556" w:type="dxa"/>
            <w:tcBorders>
              <w:top w:val="single" w:sz="8" w:space="0" w:color="auto"/>
              <w:left w:val="single" w:sz="12" w:space="0" w:color="auto"/>
              <w:bottom w:val="single" w:sz="12" w:space="0" w:color="auto"/>
              <w:right w:val="single" w:sz="8" w:space="0" w:color="auto"/>
            </w:tcBorders>
            <w:shd w:val="clear" w:color="auto" w:fill="auto"/>
            <w:vAlign w:val="center"/>
          </w:tcPr>
          <w:p w14:paraId="387AAABE" w14:textId="45CED976" w:rsidR="009C37AF" w:rsidRPr="001061F4" w:rsidRDefault="009C37AF" w:rsidP="009C37AF">
            <w:pPr>
              <w:pStyle w:val="ListParagraph"/>
              <w:numPr>
                <w:ilvl w:val="0"/>
                <w:numId w:val="3"/>
              </w:numPr>
              <w:spacing w:after="0" w:line="240" w:lineRule="auto"/>
              <w:rPr>
                <w:rFonts w:ascii="Times New Roman" w:hAnsi="Times New Roman"/>
                <w:sz w:val="20"/>
                <w:szCs w:val="20"/>
              </w:rPr>
            </w:pPr>
            <w:r w:rsidRPr="001061F4">
              <w:rPr>
                <w:rFonts w:ascii="Times New Roman" w:eastAsia="Times New Roman" w:hAnsi="Times New Roman"/>
                <w:bCs/>
                <w:color w:val="000000"/>
                <w:sz w:val="20"/>
                <w:szCs w:val="20"/>
                <w:lang w:eastAsia="en-GB"/>
              </w:rPr>
              <w:t>Enforce</w:t>
            </w:r>
            <w:r w:rsidRPr="001061F4">
              <w:rPr>
                <w:rFonts w:ascii="Times New Roman" w:hAnsi="Times New Roman"/>
                <w:sz w:val="20"/>
                <w:szCs w:val="20"/>
              </w:rPr>
              <w:t xml:space="preserve"> ongoing project risk management and strengthen the flow of information between field units and monitoring units.</w:t>
            </w:r>
          </w:p>
        </w:tc>
      </w:tr>
      <w:tr w:rsidR="009C37AF" w:rsidRPr="001061F4" w14:paraId="5880150D" w14:textId="77777777" w:rsidTr="009C37AF">
        <w:trPr>
          <w:trHeight w:val="283"/>
          <w:jc w:val="center"/>
        </w:trPr>
        <w:tc>
          <w:tcPr>
            <w:tcW w:w="9556" w:type="dxa"/>
            <w:tcBorders>
              <w:top w:val="nil"/>
              <w:left w:val="single" w:sz="12" w:space="0" w:color="auto"/>
              <w:bottom w:val="single" w:sz="12" w:space="0" w:color="auto"/>
              <w:right w:val="single" w:sz="8" w:space="0" w:color="auto"/>
            </w:tcBorders>
            <w:shd w:val="clear" w:color="auto" w:fill="B8CCE4" w:themeFill="accent1" w:themeFillTint="66"/>
            <w:vAlign w:val="center"/>
          </w:tcPr>
          <w:p w14:paraId="59D4EC74" w14:textId="77777777" w:rsidR="009C37AF" w:rsidRPr="001061F4" w:rsidRDefault="009C37AF" w:rsidP="006A0AF0">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 xml:space="preserve">Project management </w:t>
            </w:r>
          </w:p>
        </w:tc>
      </w:tr>
      <w:tr w:rsidR="009C37AF" w:rsidRPr="001061F4" w14:paraId="5A600D86" w14:textId="77777777" w:rsidTr="009C37AF">
        <w:trPr>
          <w:trHeight w:val="392"/>
          <w:jc w:val="center"/>
        </w:trPr>
        <w:tc>
          <w:tcPr>
            <w:tcW w:w="9556" w:type="dxa"/>
            <w:tcBorders>
              <w:top w:val="single" w:sz="12" w:space="0" w:color="auto"/>
              <w:left w:val="single" w:sz="12" w:space="0" w:color="auto"/>
              <w:bottom w:val="single" w:sz="8" w:space="0" w:color="auto"/>
              <w:right w:val="single" w:sz="8" w:space="0" w:color="auto"/>
            </w:tcBorders>
            <w:shd w:val="clear" w:color="auto" w:fill="auto"/>
            <w:vAlign w:val="center"/>
          </w:tcPr>
          <w:p w14:paraId="44B477AD" w14:textId="2B7954DE" w:rsidR="009C37AF" w:rsidRPr="001061F4" w:rsidRDefault="009C37AF" w:rsidP="009C37AF">
            <w:pPr>
              <w:pStyle w:val="ListParagraph"/>
              <w:numPr>
                <w:ilvl w:val="0"/>
                <w:numId w:val="3"/>
              </w:numPr>
              <w:spacing w:after="0" w:line="240" w:lineRule="auto"/>
              <w:rPr>
                <w:rFonts w:ascii="Times New Roman" w:hAnsi="Times New Roman"/>
                <w:sz w:val="20"/>
                <w:szCs w:val="20"/>
              </w:rPr>
            </w:pPr>
            <w:r w:rsidRPr="001061F4">
              <w:rPr>
                <w:rFonts w:ascii="Times New Roman" w:hAnsi="Times New Roman"/>
                <w:sz w:val="20"/>
                <w:szCs w:val="20"/>
              </w:rPr>
              <w:t xml:space="preserve">Implement and enforce the use of a worldwide standard UNOPS drawing system and approval </w:t>
            </w:r>
            <w:r w:rsidRPr="001061F4">
              <w:rPr>
                <w:rFonts w:ascii="Times New Roman" w:eastAsia="Times New Roman" w:hAnsi="Times New Roman"/>
                <w:bCs/>
                <w:color w:val="000000"/>
                <w:sz w:val="20"/>
                <w:szCs w:val="20"/>
                <w:lang w:eastAsia="en-GB"/>
              </w:rPr>
              <w:t>process</w:t>
            </w:r>
            <w:r w:rsidRPr="001061F4">
              <w:rPr>
                <w:rFonts w:ascii="Times New Roman" w:hAnsi="Times New Roman"/>
                <w:sz w:val="20"/>
                <w:szCs w:val="20"/>
              </w:rPr>
              <w:t>.</w:t>
            </w:r>
          </w:p>
        </w:tc>
      </w:tr>
      <w:tr w:rsidR="009C37AF" w:rsidRPr="001061F4" w14:paraId="6E3A2AC9" w14:textId="77777777" w:rsidTr="009C37AF">
        <w:trPr>
          <w:trHeight w:val="550"/>
          <w:jc w:val="center"/>
        </w:trPr>
        <w:tc>
          <w:tcPr>
            <w:tcW w:w="9556" w:type="dxa"/>
            <w:tcBorders>
              <w:top w:val="single" w:sz="8" w:space="0" w:color="auto"/>
              <w:left w:val="single" w:sz="12" w:space="0" w:color="auto"/>
              <w:bottom w:val="single" w:sz="8" w:space="0" w:color="auto"/>
              <w:right w:val="single" w:sz="8" w:space="0" w:color="auto"/>
            </w:tcBorders>
            <w:shd w:val="clear" w:color="auto" w:fill="auto"/>
            <w:vAlign w:val="center"/>
          </w:tcPr>
          <w:p w14:paraId="31F3BA2D" w14:textId="77777777" w:rsidR="009C37AF" w:rsidRPr="001061F4" w:rsidRDefault="009C37AF" w:rsidP="009C37AF">
            <w:pPr>
              <w:pStyle w:val="ListParagraph"/>
              <w:numPr>
                <w:ilvl w:val="0"/>
                <w:numId w:val="3"/>
              </w:numPr>
              <w:spacing w:after="0" w:line="240" w:lineRule="auto"/>
              <w:rPr>
                <w:rFonts w:ascii="Times New Roman" w:hAnsi="Times New Roman"/>
                <w:sz w:val="20"/>
                <w:szCs w:val="20"/>
              </w:rPr>
            </w:pPr>
            <w:r w:rsidRPr="001061F4">
              <w:rPr>
                <w:rFonts w:ascii="Times New Roman" w:hAnsi="Times New Roman"/>
                <w:sz w:val="20"/>
                <w:szCs w:val="20"/>
              </w:rPr>
              <w:t xml:space="preserve">Expand </w:t>
            </w:r>
            <w:r w:rsidRPr="001061F4">
              <w:rPr>
                <w:rFonts w:ascii="Times New Roman" w:eastAsia="Times New Roman" w:hAnsi="Times New Roman"/>
                <w:bCs/>
                <w:color w:val="000000"/>
                <w:sz w:val="20"/>
                <w:szCs w:val="20"/>
                <w:lang w:eastAsia="en-GB"/>
              </w:rPr>
              <w:t>the</w:t>
            </w:r>
            <w:r w:rsidRPr="001061F4">
              <w:rPr>
                <w:rFonts w:ascii="Times New Roman" w:hAnsi="Times New Roman"/>
                <w:sz w:val="20"/>
                <w:szCs w:val="20"/>
              </w:rPr>
              <w:t xml:space="preserve"> scope of external third party review in the design planning and review phase of infrastructure projects and ensure that design planning guidance is expanded to address other types of infrastructure.</w:t>
            </w:r>
          </w:p>
        </w:tc>
      </w:tr>
      <w:tr w:rsidR="009C37AF" w:rsidRPr="001061F4" w14:paraId="2EA86BD6" w14:textId="77777777" w:rsidTr="009C37AF">
        <w:trPr>
          <w:trHeight w:val="402"/>
          <w:jc w:val="center"/>
        </w:trPr>
        <w:tc>
          <w:tcPr>
            <w:tcW w:w="9556" w:type="dxa"/>
            <w:tcBorders>
              <w:top w:val="single" w:sz="8" w:space="0" w:color="auto"/>
              <w:left w:val="single" w:sz="12" w:space="0" w:color="auto"/>
              <w:bottom w:val="single" w:sz="8" w:space="0" w:color="auto"/>
              <w:right w:val="single" w:sz="8" w:space="0" w:color="auto"/>
            </w:tcBorders>
            <w:shd w:val="clear" w:color="auto" w:fill="auto"/>
            <w:vAlign w:val="center"/>
          </w:tcPr>
          <w:p w14:paraId="48884413" w14:textId="77777777" w:rsidR="009C37AF" w:rsidRPr="001061F4" w:rsidRDefault="009C37AF" w:rsidP="009C37AF">
            <w:pPr>
              <w:pStyle w:val="ListParagraph"/>
              <w:numPr>
                <w:ilvl w:val="0"/>
                <w:numId w:val="3"/>
              </w:numPr>
              <w:spacing w:after="0" w:line="240" w:lineRule="auto"/>
              <w:rPr>
                <w:rFonts w:ascii="Times New Roman" w:hAnsi="Times New Roman"/>
                <w:sz w:val="20"/>
                <w:szCs w:val="20"/>
              </w:rPr>
            </w:pPr>
            <w:r w:rsidRPr="001061F4">
              <w:rPr>
                <w:rFonts w:ascii="Times New Roman" w:eastAsia="Times New Roman" w:hAnsi="Times New Roman"/>
                <w:bCs/>
                <w:color w:val="000000"/>
                <w:sz w:val="20"/>
                <w:szCs w:val="20"/>
                <w:lang w:eastAsia="en-GB"/>
              </w:rPr>
              <w:t>Ensure</w:t>
            </w:r>
            <w:r w:rsidRPr="001061F4">
              <w:rPr>
                <w:rFonts w:ascii="Times New Roman" w:hAnsi="Times New Roman"/>
                <w:sz w:val="20"/>
                <w:szCs w:val="20"/>
              </w:rPr>
              <w:t xml:space="preserve"> that appropriate corporate and regional oversight exists regarding creation of infrastructure contracts.</w:t>
            </w:r>
          </w:p>
        </w:tc>
      </w:tr>
      <w:tr w:rsidR="009C37AF" w:rsidRPr="001061F4" w14:paraId="745D9E9E" w14:textId="77777777" w:rsidTr="009C37AF">
        <w:trPr>
          <w:trHeight w:val="536"/>
          <w:jc w:val="center"/>
        </w:trPr>
        <w:tc>
          <w:tcPr>
            <w:tcW w:w="9556" w:type="dxa"/>
            <w:tcBorders>
              <w:top w:val="single" w:sz="8" w:space="0" w:color="auto"/>
              <w:left w:val="single" w:sz="12" w:space="0" w:color="auto"/>
              <w:bottom w:val="single" w:sz="8" w:space="0" w:color="auto"/>
              <w:right w:val="single" w:sz="8" w:space="0" w:color="auto"/>
            </w:tcBorders>
            <w:shd w:val="clear" w:color="auto" w:fill="auto"/>
            <w:vAlign w:val="center"/>
          </w:tcPr>
          <w:p w14:paraId="0E3DCFE8" w14:textId="77777777" w:rsidR="009C37AF" w:rsidRPr="001061F4" w:rsidRDefault="009C37AF" w:rsidP="009C37AF">
            <w:pPr>
              <w:pStyle w:val="ListParagraph"/>
              <w:numPr>
                <w:ilvl w:val="0"/>
                <w:numId w:val="3"/>
              </w:numPr>
              <w:spacing w:after="0" w:line="240" w:lineRule="auto"/>
              <w:rPr>
                <w:rFonts w:ascii="Times New Roman" w:hAnsi="Times New Roman"/>
                <w:sz w:val="20"/>
                <w:szCs w:val="20"/>
              </w:rPr>
            </w:pPr>
            <w:r w:rsidRPr="001061F4">
              <w:rPr>
                <w:rFonts w:ascii="Times New Roman" w:hAnsi="Times New Roman"/>
                <w:sz w:val="20"/>
                <w:szCs w:val="20"/>
              </w:rPr>
              <w:t>Share solutions and lessons learned regarding payments to contractors from the Democratic Republic of the Congo with all offices delivering infrastructure projects.</w:t>
            </w:r>
          </w:p>
        </w:tc>
      </w:tr>
      <w:tr w:rsidR="009C37AF" w:rsidRPr="001061F4" w14:paraId="429FD6E8" w14:textId="77777777" w:rsidTr="00BB6CF1">
        <w:trPr>
          <w:trHeight w:val="513"/>
          <w:jc w:val="center"/>
        </w:trPr>
        <w:tc>
          <w:tcPr>
            <w:tcW w:w="9556" w:type="dxa"/>
            <w:tcBorders>
              <w:top w:val="single" w:sz="8" w:space="0" w:color="auto"/>
              <w:left w:val="single" w:sz="12" w:space="0" w:color="auto"/>
              <w:bottom w:val="single" w:sz="12" w:space="0" w:color="auto"/>
              <w:right w:val="single" w:sz="8" w:space="0" w:color="auto"/>
            </w:tcBorders>
            <w:shd w:val="clear" w:color="auto" w:fill="auto"/>
            <w:vAlign w:val="center"/>
          </w:tcPr>
          <w:p w14:paraId="469AFB19" w14:textId="33C38036" w:rsidR="009C37AF" w:rsidRPr="001061F4" w:rsidRDefault="009C37AF" w:rsidP="00EB6C38">
            <w:pPr>
              <w:pStyle w:val="ListParagraph"/>
              <w:numPr>
                <w:ilvl w:val="0"/>
                <w:numId w:val="3"/>
              </w:numPr>
              <w:spacing w:after="0" w:line="240" w:lineRule="auto"/>
              <w:rPr>
                <w:rFonts w:ascii="Times New Roman" w:hAnsi="Times New Roman"/>
                <w:sz w:val="20"/>
                <w:szCs w:val="20"/>
              </w:rPr>
            </w:pPr>
            <w:r w:rsidRPr="001061F4">
              <w:rPr>
                <w:rFonts w:ascii="Times New Roman" w:eastAsia="Times New Roman" w:hAnsi="Times New Roman"/>
                <w:bCs/>
                <w:color w:val="000000"/>
                <w:sz w:val="20"/>
                <w:szCs w:val="20"/>
                <w:lang w:eastAsia="en-GB"/>
              </w:rPr>
              <w:t>Identify</w:t>
            </w:r>
            <w:r w:rsidRPr="001061F4">
              <w:rPr>
                <w:rFonts w:ascii="Times New Roman" w:hAnsi="Times New Roman"/>
                <w:sz w:val="20"/>
                <w:szCs w:val="20"/>
              </w:rPr>
              <w:t xml:space="preserve"> and provide guidance on the use of alternative insurance arrangements for infrastructure projects where traditional insurance for work, equipment</w:t>
            </w:r>
            <w:r w:rsidR="00EB6C38">
              <w:rPr>
                <w:rFonts w:ascii="Times New Roman" w:hAnsi="Times New Roman"/>
                <w:sz w:val="20"/>
                <w:szCs w:val="20"/>
              </w:rPr>
              <w:t xml:space="preserve">, </w:t>
            </w:r>
            <w:r w:rsidRPr="001061F4">
              <w:rPr>
                <w:rFonts w:ascii="Times New Roman" w:hAnsi="Times New Roman"/>
                <w:sz w:val="20"/>
                <w:szCs w:val="20"/>
              </w:rPr>
              <w:t>material and personnel is cost prohibitive to the contractors.</w:t>
            </w:r>
          </w:p>
        </w:tc>
      </w:tr>
      <w:tr w:rsidR="009C37AF" w:rsidRPr="001061F4" w14:paraId="07F87B4F" w14:textId="77777777" w:rsidTr="009C37AF">
        <w:trPr>
          <w:trHeight w:val="283"/>
          <w:jc w:val="center"/>
        </w:trPr>
        <w:tc>
          <w:tcPr>
            <w:tcW w:w="9556" w:type="dxa"/>
            <w:tcBorders>
              <w:top w:val="nil"/>
              <w:left w:val="single" w:sz="12" w:space="0" w:color="auto"/>
              <w:bottom w:val="single" w:sz="12" w:space="0" w:color="auto"/>
              <w:right w:val="single" w:sz="8" w:space="0" w:color="auto"/>
            </w:tcBorders>
            <w:shd w:val="clear" w:color="auto" w:fill="B8CCE4" w:themeFill="accent1" w:themeFillTint="66"/>
            <w:vAlign w:val="center"/>
          </w:tcPr>
          <w:p w14:paraId="0904608B" w14:textId="77777777" w:rsidR="009C37AF" w:rsidRPr="001061F4" w:rsidRDefault="009C37AF" w:rsidP="00696123">
            <w:pPr>
              <w:spacing w:after="0" w:line="240" w:lineRule="auto"/>
              <w:rPr>
                <w:rFonts w:ascii="Times New Roman" w:eastAsia="Times New Roman" w:hAnsi="Times New Roman"/>
                <w:b/>
                <w:bCs/>
                <w:color w:val="000000"/>
                <w:sz w:val="20"/>
                <w:szCs w:val="20"/>
                <w:lang w:eastAsia="en-GB"/>
              </w:rPr>
            </w:pPr>
            <w:r w:rsidRPr="001061F4">
              <w:rPr>
                <w:rFonts w:ascii="Times New Roman" w:eastAsia="Times New Roman" w:hAnsi="Times New Roman"/>
                <w:b/>
                <w:bCs/>
                <w:color w:val="000000"/>
                <w:sz w:val="20"/>
                <w:szCs w:val="20"/>
                <w:lang w:eastAsia="en-GB"/>
              </w:rPr>
              <w:t>Strategic management and leadership</w:t>
            </w:r>
          </w:p>
        </w:tc>
      </w:tr>
      <w:tr w:rsidR="009C37AF" w:rsidRPr="002A7457" w14:paraId="40659FC7" w14:textId="77777777" w:rsidTr="009C37AF">
        <w:trPr>
          <w:trHeight w:val="1171"/>
          <w:jc w:val="center"/>
        </w:trPr>
        <w:tc>
          <w:tcPr>
            <w:tcW w:w="9556" w:type="dxa"/>
            <w:tcBorders>
              <w:top w:val="nil"/>
              <w:left w:val="single" w:sz="12" w:space="0" w:color="auto"/>
              <w:bottom w:val="single" w:sz="12" w:space="0" w:color="auto"/>
              <w:right w:val="single" w:sz="8" w:space="0" w:color="auto"/>
            </w:tcBorders>
            <w:shd w:val="clear" w:color="auto" w:fill="auto"/>
            <w:vAlign w:val="center"/>
          </w:tcPr>
          <w:p w14:paraId="629F2BC3" w14:textId="046BCA9D" w:rsidR="009C37AF" w:rsidRPr="001061F4" w:rsidRDefault="00EB6C38" w:rsidP="009C37AF">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w:t>
            </w:r>
            <w:r w:rsidR="009C37AF" w:rsidRPr="001061F4">
              <w:rPr>
                <w:rFonts w:ascii="Times New Roman" w:hAnsi="Times New Roman"/>
                <w:sz w:val="20"/>
                <w:szCs w:val="20"/>
              </w:rPr>
              <w:t>a) Establish a formal governance of cyber</w:t>
            </w:r>
            <w:r>
              <w:rPr>
                <w:rFonts w:ascii="Times New Roman" w:hAnsi="Times New Roman"/>
                <w:sz w:val="20"/>
                <w:szCs w:val="20"/>
              </w:rPr>
              <w:t xml:space="preserve"> </w:t>
            </w:r>
            <w:r w:rsidR="009C37AF" w:rsidRPr="001061F4">
              <w:rPr>
                <w:rFonts w:ascii="Times New Roman" w:hAnsi="Times New Roman"/>
                <w:sz w:val="20"/>
                <w:szCs w:val="20"/>
              </w:rPr>
              <w:t xml:space="preserve">security that should result in a mandate and a set of </w:t>
            </w:r>
            <w:r w:rsidR="009C37AF" w:rsidRPr="001061F4">
              <w:rPr>
                <w:rFonts w:ascii="Times New Roman" w:eastAsia="Times New Roman" w:hAnsi="Times New Roman"/>
                <w:bCs/>
                <w:color w:val="000000"/>
                <w:sz w:val="20"/>
                <w:szCs w:val="20"/>
                <w:lang w:eastAsia="en-GB"/>
              </w:rPr>
              <w:t>responsibilities</w:t>
            </w:r>
            <w:r w:rsidR="009C37AF" w:rsidRPr="001061F4">
              <w:rPr>
                <w:rFonts w:ascii="Times New Roman" w:hAnsi="Times New Roman"/>
                <w:sz w:val="20"/>
                <w:szCs w:val="20"/>
              </w:rPr>
              <w:t xml:space="preserve"> at the executive level to address cyber security issues; and </w:t>
            </w:r>
          </w:p>
          <w:p w14:paraId="0F5EBC2C" w14:textId="3648ACB2" w:rsidR="009C37AF" w:rsidRPr="009B794A" w:rsidRDefault="00EB6C38" w:rsidP="009C37AF">
            <w:pPr>
              <w:pStyle w:val="Default"/>
              <w:spacing w:before="60" w:after="60"/>
              <w:ind w:left="360"/>
              <w:jc w:val="both"/>
              <w:rPr>
                <w:rFonts w:ascii="Times New Roman" w:hAnsi="Times New Roman" w:cs="Times New Roman"/>
                <w:sz w:val="20"/>
                <w:szCs w:val="20"/>
              </w:rPr>
            </w:pPr>
            <w:r>
              <w:rPr>
                <w:rFonts w:ascii="Times New Roman" w:hAnsi="Times New Roman" w:cs="Times New Roman"/>
                <w:sz w:val="20"/>
                <w:szCs w:val="20"/>
              </w:rPr>
              <w:t>(</w:t>
            </w:r>
            <w:r w:rsidR="009C37AF" w:rsidRPr="001061F4">
              <w:rPr>
                <w:rFonts w:ascii="Times New Roman" w:hAnsi="Times New Roman" w:cs="Times New Roman"/>
                <w:sz w:val="20"/>
                <w:szCs w:val="20"/>
              </w:rPr>
              <w:t>b) Establish an organi</w:t>
            </w:r>
            <w:r>
              <w:rPr>
                <w:rFonts w:ascii="Times New Roman" w:hAnsi="Times New Roman" w:cs="Times New Roman"/>
                <w:sz w:val="20"/>
                <w:szCs w:val="20"/>
              </w:rPr>
              <w:t>z</w:t>
            </w:r>
            <w:r w:rsidR="009C37AF" w:rsidRPr="001061F4">
              <w:rPr>
                <w:rFonts w:ascii="Times New Roman" w:hAnsi="Times New Roman" w:cs="Times New Roman"/>
                <w:sz w:val="20"/>
                <w:szCs w:val="20"/>
              </w:rPr>
              <w:t>ation-wide cyber risk management framework that will inform the development of individual cyber risk management processes within business units. The framework should define policies for information security that are objective, manageable and measurable.</w:t>
            </w:r>
          </w:p>
        </w:tc>
      </w:tr>
      <w:tr w:rsidR="009C37AF" w:rsidRPr="002A7457" w14:paraId="05FC8064" w14:textId="77777777" w:rsidTr="009C37AF">
        <w:trPr>
          <w:trHeight w:val="330"/>
          <w:jc w:val="center"/>
        </w:trPr>
        <w:tc>
          <w:tcPr>
            <w:tcW w:w="9556" w:type="dxa"/>
            <w:tcBorders>
              <w:top w:val="nil"/>
              <w:left w:val="single" w:sz="12" w:space="0" w:color="auto"/>
              <w:bottom w:val="single" w:sz="12" w:space="0" w:color="auto"/>
              <w:right w:val="single" w:sz="8" w:space="0" w:color="auto"/>
            </w:tcBorders>
            <w:shd w:val="clear" w:color="000000" w:fill="B8CCE4"/>
            <w:vAlign w:val="center"/>
            <w:hideMark/>
          </w:tcPr>
          <w:p w14:paraId="15AF6D30" w14:textId="1D160354" w:rsidR="009C37AF" w:rsidRPr="009B794A" w:rsidRDefault="009C37AF" w:rsidP="009C37AF">
            <w:pPr>
              <w:spacing w:after="0" w:line="240" w:lineRule="auto"/>
              <w:jc w:val="right"/>
              <w:rPr>
                <w:rFonts w:ascii="Times New Roman" w:eastAsia="Times New Roman" w:hAnsi="Times New Roman"/>
                <w:b/>
                <w:bCs/>
                <w:color w:val="000000"/>
                <w:sz w:val="20"/>
                <w:szCs w:val="20"/>
                <w:lang w:eastAsia="en-GB"/>
              </w:rPr>
            </w:pPr>
            <w:r>
              <w:rPr>
                <w:rFonts w:ascii="Times New Roman" w:eastAsia="Times New Roman" w:hAnsi="Times New Roman"/>
                <w:b/>
                <w:bCs/>
                <w:color w:val="000000"/>
                <w:sz w:val="20"/>
                <w:szCs w:val="20"/>
                <w:lang w:eastAsia="en-GB"/>
              </w:rPr>
              <w:t>Total</w:t>
            </w:r>
            <w:r w:rsidRPr="009B794A">
              <w:rPr>
                <w:rFonts w:ascii="Times New Roman" w:eastAsia="Times New Roman" w:hAnsi="Times New Roman"/>
                <w:b/>
                <w:bCs/>
                <w:color w:val="000000"/>
                <w:sz w:val="20"/>
                <w:szCs w:val="20"/>
                <w:lang w:eastAsia="en-GB"/>
              </w:rPr>
              <w:t xml:space="preserve"> </w:t>
            </w:r>
            <w:r>
              <w:rPr>
                <w:rFonts w:ascii="Times New Roman" w:eastAsia="Times New Roman" w:hAnsi="Times New Roman"/>
                <w:b/>
                <w:bCs/>
                <w:color w:val="000000"/>
                <w:sz w:val="20"/>
                <w:szCs w:val="20"/>
                <w:lang w:eastAsia="en-GB"/>
              </w:rPr>
              <w:t>n</w:t>
            </w:r>
            <w:r w:rsidRPr="009C37AF">
              <w:rPr>
                <w:rFonts w:ascii="Times New Roman" w:eastAsia="Times New Roman" w:hAnsi="Times New Roman"/>
                <w:b/>
                <w:bCs/>
                <w:color w:val="000000"/>
                <w:sz w:val="20"/>
                <w:szCs w:val="20"/>
                <w:lang w:eastAsia="en-GB"/>
              </w:rPr>
              <w:t>umber of audit recommendations</w:t>
            </w:r>
            <w:r>
              <w:rPr>
                <w:rFonts w:ascii="Times New Roman" w:eastAsia="Times New Roman" w:hAnsi="Times New Roman"/>
                <w:b/>
                <w:bCs/>
                <w:color w:val="000000"/>
                <w:sz w:val="20"/>
                <w:szCs w:val="20"/>
                <w:lang w:eastAsia="en-GB"/>
              </w:rPr>
              <w:t>: 12</w:t>
            </w:r>
          </w:p>
        </w:tc>
      </w:tr>
    </w:tbl>
    <w:p w14:paraId="42D62769" w14:textId="77777777" w:rsidR="00087E45" w:rsidRPr="009C37AF" w:rsidRDefault="00087E45" w:rsidP="009C37AF">
      <w:pPr>
        <w:spacing w:after="0" w:line="240" w:lineRule="auto"/>
        <w:rPr>
          <w:sz w:val="2"/>
          <w:szCs w:val="2"/>
        </w:rPr>
      </w:pPr>
    </w:p>
    <w:sectPr w:rsidR="00087E45" w:rsidRPr="009C37AF" w:rsidSect="00882905">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DB13" w14:textId="77777777" w:rsidR="00643349" w:rsidRDefault="00643349" w:rsidP="00CF0B73">
      <w:pPr>
        <w:spacing w:after="0" w:line="240" w:lineRule="auto"/>
      </w:pPr>
      <w:r>
        <w:separator/>
      </w:r>
    </w:p>
  </w:endnote>
  <w:endnote w:type="continuationSeparator" w:id="0">
    <w:p w14:paraId="0BE979DC" w14:textId="77777777" w:rsidR="00643349" w:rsidRDefault="00643349" w:rsidP="00CF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01CC" w14:textId="77777777" w:rsidR="00643349" w:rsidRDefault="00643349" w:rsidP="00CF0B73">
      <w:pPr>
        <w:spacing w:after="0" w:line="240" w:lineRule="auto"/>
      </w:pPr>
      <w:r>
        <w:separator/>
      </w:r>
    </w:p>
  </w:footnote>
  <w:footnote w:type="continuationSeparator" w:id="0">
    <w:p w14:paraId="7460D02D" w14:textId="77777777" w:rsidR="00643349" w:rsidRDefault="00643349" w:rsidP="00CF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FC7B" w14:textId="77777777" w:rsidR="00E77D4E" w:rsidRDefault="00E77D4E" w:rsidP="00E77D4E">
    <w:r>
      <w:rPr>
        <w:rFonts w:ascii="Arial" w:hAnsi="Arial" w:cs="Arial"/>
        <w:noProof/>
        <w:color w:val="000000"/>
        <w:sz w:val="20"/>
        <w:szCs w:val="20"/>
        <w:lang w:val="en-US"/>
      </w:rPr>
      <w:drawing>
        <wp:inline distT="0" distB="0" distL="0" distR="0" wp14:anchorId="3477B976" wp14:editId="7012AB1F">
          <wp:extent cx="2981325" cy="6381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638175"/>
                  </a:xfrm>
                  <a:prstGeom prst="rect">
                    <a:avLst/>
                  </a:prstGeom>
                  <a:noFill/>
                  <a:ln>
                    <a:noFill/>
                  </a:ln>
                </pic:spPr>
              </pic:pic>
            </a:graphicData>
          </a:graphic>
        </wp:inline>
      </w:drawing>
    </w:r>
  </w:p>
  <w:p w14:paraId="008FD700" w14:textId="77777777" w:rsidR="00E77D4E" w:rsidRDefault="00E77D4E" w:rsidP="00E77D4E">
    <w:pPr>
      <w:spacing w:after="0" w:line="240" w:lineRule="auto"/>
      <w:rPr>
        <w:rFonts w:ascii="Times New Roman" w:hAnsi="Times New Roman"/>
        <w:sz w:val="20"/>
        <w:szCs w:val="20"/>
      </w:rPr>
    </w:pPr>
    <w:r w:rsidRPr="00487431">
      <w:rPr>
        <w:rFonts w:ascii="Times New Roman" w:hAnsi="Times New Roman"/>
        <w:sz w:val="20"/>
        <w:szCs w:val="20"/>
      </w:rPr>
      <w:t>Internal Audit and Investigation</w:t>
    </w:r>
    <w:r>
      <w:rPr>
        <w:rFonts w:ascii="Times New Roman" w:hAnsi="Times New Roman"/>
        <w:sz w:val="20"/>
        <w:szCs w:val="20"/>
      </w:rPr>
      <w:t>s</w:t>
    </w:r>
    <w:r w:rsidRPr="00487431">
      <w:rPr>
        <w:rFonts w:ascii="Times New Roman" w:hAnsi="Times New Roman"/>
        <w:sz w:val="20"/>
        <w:szCs w:val="20"/>
      </w:rPr>
      <w:t xml:space="preserve"> Group</w:t>
    </w:r>
  </w:p>
  <w:p w14:paraId="2937C616" w14:textId="77777777" w:rsidR="00CF0B73" w:rsidRPr="00E77D4E" w:rsidRDefault="00E77D4E" w:rsidP="00E77D4E">
    <w:pPr>
      <w:tabs>
        <w:tab w:val="right" w:pos="8505"/>
      </w:tabs>
      <w:spacing w:after="0" w:line="240" w:lineRule="auto"/>
      <w:rPr>
        <w:rFonts w:ascii="Times New Roman" w:hAnsi="Times New Roman"/>
        <w:b/>
        <w:sz w:val="20"/>
        <w:szCs w:val="20"/>
      </w:rPr>
    </w:pPr>
    <w:r w:rsidRPr="00EB6C38">
      <w:rPr>
        <w:rFonts w:ascii="Times New Roman" w:hAnsi="Times New Roman"/>
        <w:b/>
        <w:sz w:val="20"/>
        <w:szCs w:val="20"/>
      </w:rPr>
      <w:t>IAIG Activity Report for 201</w:t>
    </w:r>
    <w:r w:rsidR="00EE3501" w:rsidRPr="00EB6C38">
      <w:rPr>
        <w:rFonts w:ascii="Times New Roman" w:hAnsi="Times New Roman"/>
        <w:b/>
        <w:sz w:val="20"/>
        <w:szCs w:val="20"/>
      </w:rPr>
      <w:t>7</w:t>
    </w:r>
    <w:r w:rsidRPr="00487431">
      <w:rPr>
        <w:rFonts w:ascii="Times New Roman" w:hAnsi="Times New Roman"/>
        <w:b/>
        <w:sz w:val="20"/>
        <w:szCs w:val="20"/>
      </w:rPr>
      <w:tab/>
      <w:t xml:space="preserve">Annex </w:t>
    </w:r>
    <w:r w:rsidR="00E950EF">
      <w:rPr>
        <w:rFonts w:ascii="Times New Roman" w:hAnsi="Times New Roman"/>
        <w:b/>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5CA"/>
    <w:multiLevelType w:val="hybridMultilevel"/>
    <w:tmpl w:val="7EB45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CD5038"/>
    <w:multiLevelType w:val="hybridMultilevel"/>
    <w:tmpl w:val="C11CCA2E"/>
    <w:lvl w:ilvl="0" w:tplc="2BEEA284">
      <w:start w:val="1"/>
      <w:numFmt w:val="decimal"/>
      <w:lvlText w:val="%1."/>
      <w:lvlJc w:val="left"/>
      <w:pPr>
        <w:ind w:left="1656" w:hanging="360"/>
      </w:pPr>
      <w:rPr>
        <w:rFonts w:hint="default"/>
      </w:r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2" w15:restartNumberingAfterBreak="0">
    <w:nsid w:val="444A1531"/>
    <w:multiLevelType w:val="hybridMultilevel"/>
    <w:tmpl w:val="3F8E9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620104"/>
    <w:multiLevelType w:val="hybridMultilevel"/>
    <w:tmpl w:val="6DCEF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13"/>
    <w:rsid w:val="00027D94"/>
    <w:rsid w:val="00036515"/>
    <w:rsid w:val="00066CA2"/>
    <w:rsid w:val="00080893"/>
    <w:rsid w:val="00087E45"/>
    <w:rsid w:val="000A79CC"/>
    <w:rsid w:val="000B1219"/>
    <w:rsid w:val="000B396F"/>
    <w:rsid w:val="000B49A7"/>
    <w:rsid w:val="000B4B5C"/>
    <w:rsid w:val="000C49C2"/>
    <w:rsid w:val="000D1D69"/>
    <w:rsid w:val="000D735E"/>
    <w:rsid w:val="001061F4"/>
    <w:rsid w:val="00152BF8"/>
    <w:rsid w:val="001819DE"/>
    <w:rsid w:val="00190A45"/>
    <w:rsid w:val="00191F1C"/>
    <w:rsid w:val="0019412A"/>
    <w:rsid w:val="001A6ECA"/>
    <w:rsid w:val="001B7AAA"/>
    <w:rsid w:val="001D0B13"/>
    <w:rsid w:val="001F7D9C"/>
    <w:rsid w:val="00226995"/>
    <w:rsid w:val="00233663"/>
    <w:rsid w:val="00295A22"/>
    <w:rsid w:val="002A489A"/>
    <w:rsid w:val="002A7457"/>
    <w:rsid w:val="002B12CE"/>
    <w:rsid w:val="002D5F27"/>
    <w:rsid w:val="002E2B86"/>
    <w:rsid w:val="002F588E"/>
    <w:rsid w:val="002F7BF7"/>
    <w:rsid w:val="003019DB"/>
    <w:rsid w:val="00322A7A"/>
    <w:rsid w:val="00356769"/>
    <w:rsid w:val="0038155D"/>
    <w:rsid w:val="003A479A"/>
    <w:rsid w:val="003C4BB5"/>
    <w:rsid w:val="003D0918"/>
    <w:rsid w:val="003D118C"/>
    <w:rsid w:val="003E700A"/>
    <w:rsid w:val="004112AE"/>
    <w:rsid w:val="00412AB4"/>
    <w:rsid w:val="00413895"/>
    <w:rsid w:val="00450978"/>
    <w:rsid w:val="004805F2"/>
    <w:rsid w:val="004A301F"/>
    <w:rsid w:val="004B1029"/>
    <w:rsid w:val="004B243A"/>
    <w:rsid w:val="004D2538"/>
    <w:rsid w:val="004D403A"/>
    <w:rsid w:val="004D5A88"/>
    <w:rsid w:val="004E22C0"/>
    <w:rsid w:val="004F2A15"/>
    <w:rsid w:val="0053686F"/>
    <w:rsid w:val="00551D95"/>
    <w:rsid w:val="005812F8"/>
    <w:rsid w:val="005B6D3A"/>
    <w:rsid w:val="005C0502"/>
    <w:rsid w:val="005C0610"/>
    <w:rsid w:val="005C7DC9"/>
    <w:rsid w:val="005D6873"/>
    <w:rsid w:val="005F330D"/>
    <w:rsid w:val="006019C3"/>
    <w:rsid w:val="0062674F"/>
    <w:rsid w:val="00643349"/>
    <w:rsid w:val="00670324"/>
    <w:rsid w:val="006A0AF0"/>
    <w:rsid w:val="006A3A88"/>
    <w:rsid w:val="006A6481"/>
    <w:rsid w:val="0070083F"/>
    <w:rsid w:val="00705F9E"/>
    <w:rsid w:val="00716A75"/>
    <w:rsid w:val="0073400B"/>
    <w:rsid w:val="00735565"/>
    <w:rsid w:val="0077086A"/>
    <w:rsid w:val="007969F1"/>
    <w:rsid w:val="007B5BA4"/>
    <w:rsid w:val="007C08E9"/>
    <w:rsid w:val="007E0451"/>
    <w:rsid w:val="007E2512"/>
    <w:rsid w:val="007F615D"/>
    <w:rsid w:val="007F6349"/>
    <w:rsid w:val="0080307F"/>
    <w:rsid w:val="00833534"/>
    <w:rsid w:val="00835EBC"/>
    <w:rsid w:val="00882905"/>
    <w:rsid w:val="00894C18"/>
    <w:rsid w:val="008E4CE9"/>
    <w:rsid w:val="008F1124"/>
    <w:rsid w:val="00912C81"/>
    <w:rsid w:val="00943D69"/>
    <w:rsid w:val="00946F3C"/>
    <w:rsid w:val="00960250"/>
    <w:rsid w:val="009B794A"/>
    <w:rsid w:val="009C37AF"/>
    <w:rsid w:val="009D2507"/>
    <w:rsid w:val="009D5736"/>
    <w:rsid w:val="009D7602"/>
    <w:rsid w:val="009E2A51"/>
    <w:rsid w:val="00A54D4E"/>
    <w:rsid w:val="00A61393"/>
    <w:rsid w:val="00A646CB"/>
    <w:rsid w:val="00A83F5E"/>
    <w:rsid w:val="00AF42BE"/>
    <w:rsid w:val="00B238E1"/>
    <w:rsid w:val="00B651D6"/>
    <w:rsid w:val="00BA700E"/>
    <w:rsid w:val="00BB6CF1"/>
    <w:rsid w:val="00BD2541"/>
    <w:rsid w:val="00C01580"/>
    <w:rsid w:val="00C31E5A"/>
    <w:rsid w:val="00C41647"/>
    <w:rsid w:val="00C8097E"/>
    <w:rsid w:val="00CB26EE"/>
    <w:rsid w:val="00CB6EAC"/>
    <w:rsid w:val="00CD6B2F"/>
    <w:rsid w:val="00CF0B73"/>
    <w:rsid w:val="00D01B84"/>
    <w:rsid w:val="00D154D1"/>
    <w:rsid w:val="00D271BE"/>
    <w:rsid w:val="00D4366D"/>
    <w:rsid w:val="00D70BC1"/>
    <w:rsid w:val="00D7580F"/>
    <w:rsid w:val="00DF476A"/>
    <w:rsid w:val="00E119D5"/>
    <w:rsid w:val="00E60D81"/>
    <w:rsid w:val="00E77D4E"/>
    <w:rsid w:val="00E950EF"/>
    <w:rsid w:val="00EA251D"/>
    <w:rsid w:val="00EB6C38"/>
    <w:rsid w:val="00ED23FA"/>
    <w:rsid w:val="00EE3501"/>
    <w:rsid w:val="00EE475C"/>
    <w:rsid w:val="00F1052E"/>
    <w:rsid w:val="00F43886"/>
    <w:rsid w:val="00F83C37"/>
    <w:rsid w:val="00F87677"/>
    <w:rsid w:val="00F97024"/>
    <w:rsid w:val="00FE7A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E8C40"/>
  <w15:docId w15:val="{252A07BF-FA85-4D9D-B2DE-9E97AA8C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B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73"/>
  </w:style>
  <w:style w:type="paragraph" w:styleId="Footer">
    <w:name w:val="footer"/>
    <w:basedOn w:val="Normal"/>
    <w:link w:val="FooterChar"/>
    <w:uiPriority w:val="99"/>
    <w:unhideWhenUsed/>
    <w:rsid w:val="00CF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73"/>
  </w:style>
  <w:style w:type="paragraph" w:styleId="BalloonText">
    <w:name w:val="Balloon Text"/>
    <w:basedOn w:val="Normal"/>
    <w:link w:val="BalloonTextChar"/>
    <w:uiPriority w:val="99"/>
    <w:semiHidden/>
    <w:unhideWhenUsed/>
    <w:rsid w:val="00CF0B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0B73"/>
    <w:rPr>
      <w:rFonts w:ascii="Tahoma" w:hAnsi="Tahoma" w:cs="Tahoma"/>
      <w:sz w:val="16"/>
      <w:szCs w:val="16"/>
    </w:rPr>
  </w:style>
  <w:style w:type="character" w:styleId="CommentReference">
    <w:name w:val="annotation reference"/>
    <w:uiPriority w:val="99"/>
    <w:semiHidden/>
    <w:unhideWhenUsed/>
    <w:rsid w:val="003E700A"/>
    <w:rPr>
      <w:sz w:val="16"/>
      <w:szCs w:val="16"/>
    </w:rPr>
  </w:style>
  <w:style w:type="paragraph" w:styleId="CommentText">
    <w:name w:val="annotation text"/>
    <w:basedOn w:val="Normal"/>
    <w:link w:val="CommentTextChar"/>
    <w:uiPriority w:val="99"/>
    <w:semiHidden/>
    <w:unhideWhenUsed/>
    <w:rsid w:val="003E700A"/>
    <w:pPr>
      <w:spacing w:line="240" w:lineRule="auto"/>
    </w:pPr>
    <w:rPr>
      <w:sz w:val="20"/>
      <w:szCs w:val="20"/>
    </w:rPr>
  </w:style>
  <w:style w:type="character" w:customStyle="1" w:styleId="CommentTextChar">
    <w:name w:val="Comment Text Char"/>
    <w:link w:val="CommentText"/>
    <w:uiPriority w:val="99"/>
    <w:semiHidden/>
    <w:rsid w:val="003E700A"/>
    <w:rPr>
      <w:sz w:val="20"/>
      <w:szCs w:val="20"/>
    </w:rPr>
  </w:style>
  <w:style w:type="paragraph" w:styleId="CommentSubject">
    <w:name w:val="annotation subject"/>
    <w:basedOn w:val="CommentText"/>
    <w:next w:val="CommentText"/>
    <w:link w:val="CommentSubjectChar"/>
    <w:uiPriority w:val="99"/>
    <w:semiHidden/>
    <w:unhideWhenUsed/>
    <w:rsid w:val="003E700A"/>
    <w:rPr>
      <w:b/>
      <w:bCs/>
    </w:rPr>
  </w:style>
  <w:style w:type="character" w:customStyle="1" w:styleId="CommentSubjectChar">
    <w:name w:val="Comment Subject Char"/>
    <w:link w:val="CommentSubject"/>
    <w:uiPriority w:val="99"/>
    <w:semiHidden/>
    <w:rsid w:val="003E700A"/>
    <w:rPr>
      <w:b/>
      <w:bCs/>
      <w:sz w:val="20"/>
      <w:szCs w:val="20"/>
    </w:rPr>
  </w:style>
  <w:style w:type="paragraph" w:customStyle="1" w:styleId="Default">
    <w:name w:val="Default"/>
    <w:rsid w:val="00F8767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3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5945">
      <w:bodyDiv w:val="1"/>
      <w:marLeft w:val="0"/>
      <w:marRight w:val="0"/>
      <w:marTop w:val="0"/>
      <w:marBottom w:val="0"/>
      <w:divBdr>
        <w:top w:val="none" w:sz="0" w:space="0" w:color="auto"/>
        <w:left w:val="none" w:sz="0" w:space="0" w:color="auto"/>
        <w:bottom w:val="none" w:sz="0" w:space="0" w:color="auto"/>
        <w:right w:val="none" w:sz="0" w:space="0" w:color="auto"/>
      </w:divBdr>
    </w:div>
    <w:div w:id="168761184">
      <w:bodyDiv w:val="1"/>
      <w:marLeft w:val="0"/>
      <w:marRight w:val="0"/>
      <w:marTop w:val="0"/>
      <w:marBottom w:val="0"/>
      <w:divBdr>
        <w:top w:val="none" w:sz="0" w:space="0" w:color="auto"/>
        <w:left w:val="none" w:sz="0" w:space="0" w:color="auto"/>
        <w:bottom w:val="none" w:sz="0" w:space="0" w:color="auto"/>
        <w:right w:val="none" w:sz="0" w:space="0" w:color="auto"/>
      </w:divBdr>
    </w:div>
    <w:div w:id="185606681">
      <w:bodyDiv w:val="1"/>
      <w:marLeft w:val="0"/>
      <w:marRight w:val="0"/>
      <w:marTop w:val="0"/>
      <w:marBottom w:val="0"/>
      <w:divBdr>
        <w:top w:val="none" w:sz="0" w:space="0" w:color="auto"/>
        <w:left w:val="none" w:sz="0" w:space="0" w:color="auto"/>
        <w:bottom w:val="none" w:sz="0" w:space="0" w:color="auto"/>
        <w:right w:val="none" w:sz="0" w:space="0" w:color="auto"/>
      </w:divBdr>
    </w:div>
    <w:div w:id="18172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804A7-9734-438B-8070-CFC43F4A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KUMAR</dc:creator>
  <cp:lastModifiedBy>Svetlana Iazykova</cp:lastModifiedBy>
  <cp:revision>2</cp:revision>
  <dcterms:created xsi:type="dcterms:W3CDTF">2018-04-23T16:00:00Z</dcterms:created>
  <dcterms:modified xsi:type="dcterms:W3CDTF">2018-04-23T16:00:00Z</dcterms:modified>
</cp:coreProperties>
</file>