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2A77C6" w:rsidRDefault="005C6168" w:rsidP="009564B2">
      <w:pPr>
        <w:pStyle w:val="Heading3"/>
        <w:jc w:val="left"/>
        <w:rPr>
          <w:rFonts w:ascii="Calibri" w:hAnsi="Calibri"/>
          <w:sz w:val="22"/>
          <w:szCs w:val="22"/>
        </w:rPr>
      </w:pPr>
      <w:bookmarkStart w:id="0" w:name="_GoBack"/>
      <w:bookmarkEnd w:id="0"/>
      <w:r w:rsidRPr="002A77C6">
        <w:rPr>
          <w:rFonts w:ascii="Calibri" w:hAnsi="Calibri"/>
          <w:sz w:val="22"/>
          <w:szCs w:val="22"/>
        </w:rPr>
        <w:t>Country:</w:t>
      </w:r>
      <w:r w:rsidRPr="002A77C6">
        <w:rPr>
          <w:rFonts w:ascii="Calibri" w:hAnsi="Calibri"/>
          <w:sz w:val="22"/>
          <w:szCs w:val="22"/>
        </w:rPr>
        <w:tab/>
      </w:r>
      <w:r w:rsidRPr="002A77C6">
        <w:rPr>
          <w:rFonts w:ascii="Calibri" w:hAnsi="Calibri"/>
          <w:sz w:val="22"/>
          <w:szCs w:val="22"/>
        </w:rPr>
        <w:tab/>
      </w:r>
      <w:r w:rsidR="001D07E7">
        <w:rPr>
          <w:rFonts w:ascii="Calibri" w:hAnsi="Calibri"/>
          <w:sz w:val="22"/>
          <w:szCs w:val="22"/>
        </w:rPr>
        <w:t>SUDAN</w:t>
      </w:r>
    </w:p>
    <w:p w:rsidR="005C6168" w:rsidRPr="002A77C6" w:rsidRDefault="005C6168">
      <w:pPr>
        <w:pStyle w:val="Heading3"/>
        <w:rPr>
          <w:rFonts w:ascii="Calibri" w:hAnsi="Calibri"/>
          <w:sz w:val="22"/>
          <w:szCs w:val="22"/>
        </w:rPr>
      </w:pPr>
    </w:p>
    <w:p w:rsidR="005C6168" w:rsidRPr="002A77C6" w:rsidRDefault="00BC38E0">
      <w:pPr>
        <w:pStyle w:val="Heading3"/>
        <w:rPr>
          <w:rFonts w:ascii="Calibri" w:hAnsi="Calibri"/>
          <w:b/>
          <w:bCs w:val="0"/>
          <w:sz w:val="22"/>
          <w:szCs w:val="22"/>
        </w:rPr>
      </w:pPr>
      <w:r w:rsidRPr="002A77C6">
        <w:rPr>
          <w:rFonts w:ascii="Calibri" w:hAnsi="Calibri"/>
          <w:b/>
          <w:bCs w:val="0"/>
          <w:sz w:val="22"/>
          <w:szCs w:val="22"/>
        </w:rPr>
        <w:t>COUNTRY PROGRAMME</w:t>
      </w:r>
      <w:r w:rsidR="00B32ADA" w:rsidRPr="002A77C6">
        <w:rPr>
          <w:rFonts w:ascii="Calibri" w:hAnsi="Calibri"/>
          <w:b/>
          <w:bCs w:val="0"/>
          <w:sz w:val="22"/>
          <w:szCs w:val="22"/>
        </w:rPr>
        <w:t xml:space="preserve"> PERFORMANCE SUMMARY</w:t>
      </w:r>
      <w:r w:rsidR="001F3524" w:rsidRPr="002A77C6">
        <w:rPr>
          <w:rStyle w:val="FootnoteReference"/>
          <w:rFonts w:ascii="Calibri" w:hAnsi="Calibri"/>
          <w:b/>
          <w:bCs w:val="0"/>
          <w:sz w:val="22"/>
          <w:szCs w:val="22"/>
        </w:rPr>
        <w:footnoteReference w:id="1"/>
      </w:r>
    </w:p>
    <w:p w:rsidR="005C6168" w:rsidRPr="002A77C6" w:rsidRDefault="005C6168">
      <w:pPr>
        <w:pStyle w:val="Heading3"/>
        <w:rPr>
          <w:rFonts w:ascii="Calibri" w:hAnsi="Calibri"/>
          <w:b/>
          <w:sz w:val="22"/>
          <w:szCs w:val="22"/>
        </w:rPr>
      </w:pPr>
    </w:p>
    <w:p w:rsidR="005C6168" w:rsidRPr="002A77C6" w:rsidRDefault="005C6168" w:rsidP="0056218B">
      <w:pPr>
        <w:pStyle w:val="Heading3"/>
        <w:jc w:val="left"/>
        <w:rPr>
          <w:rFonts w:ascii="Calibri" w:hAnsi="Calibri"/>
          <w:sz w:val="22"/>
          <w:szCs w:val="22"/>
        </w:rPr>
      </w:pPr>
      <w:r w:rsidRPr="002A77C6">
        <w:rPr>
          <w:rFonts w:ascii="Calibri" w:hAnsi="Calibri"/>
          <w:sz w:val="22"/>
          <w:szCs w:val="22"/>
        </w:rPr>
        <w:t xml:space="preserve">Reporting period: </w:t>
      </w:r>
      <w:r w:rsidRPr="002A77C6">
        <w:rPr>
          <w:rFonts w:ascii="Calibri" w:hAnsi="Calibri"/>
          <w:sz w:val="22"/>
          <w:szCs w:val="22"/>
        </w:rPr>
        <w:tab/>
        <w:t>[</w:t>
      </w:r>
      <w:r w:rsidR="009564B2" w:rsidRPr="002A77C6">
        <w:rPr>
          <w:rFonts w:ascii="Calibri" w:hAnsi="Calibri"/>
          <w:sz w:val="22"/>
          <w:szCs w:val="22"/>
        </w:rPr>
        <w:t>2013 -201</w:t>
      </w:r>
      <w:r w:rsidR="004E26D2">
        <w:rPr>
          <w:rFonts w:ascii="Calibri" w:hAnsi="Calibri"/>
          <w:sz w:val="22"/>
          <w:szCs w:val="22"/>
        </w:rPr>
        <w:t>6</w:t>
      </w:r>
      <w:r w:rsidRPr="002A77C6">
        <w:rPr>
          <w:rFonts w:ascii="Calibri" w:hAnsi="Calibri"/>
          <w:sz w:val="22"/>
          <w:szCs w:val="22"/>
        </w:rPr>
        <w:t>]</w:t>
      </w:r>
    </w:p>
    <w:p w:rsidR="005C6168" w:rsidRPr="002A77C6" w:rsidRDefault="005C6168">
      <w:pPr>
        <w:rPr>
          <w:rFonts w:ascii="Calibri" w:hAnsi="Calibri"/>
          <w:sz w:val="22"/>
          <w:szCs w:val="22"/>
        </w:rPr>
      </w:pPr>
    </w:p>
    <w:p w:rsidR="005C6168" w:rsidRPr="002A77C6" w:rsidRDefault="005C6168">
      <w:pPr>
        <w:pStyle w:val="Heading3"/>
        <w:rPr>
          <w:rFonts w:ascii="Calibri" w:hAnsi="Calibri"/>
          <w:b/>
          <w:bCs w:val="0"/>
          <w:sz w:val="22"/>
          <w:szCs w:val="22"/>
        </w:rPr>
      </w:pPr>
      <w:r w:rsidRPr="002A77C6">
        <w:rPr>
          <w:rFonts w:ascii="Calibri" w:hAnsi="Calibri"/>
          <w:b/>
          <w:bCs w:val="0"/>
          <w:sz w:val="22"/>
          <w:szCs w:val="22"/>
        </w:rPr>
        <w:t xml:space="preserve">I.  </w:t>
      </w:r>
      <w:r w:rsidR="0064746F" w:rsidRPr="002A77C6">
        <w:rPr>
          <w:rFonts w:ascii="Calibri" w:hAnsi="Calibri"/>
          <w:b/>
          <w:bCs w:val="0"/>
          <w:sz w:val="22"/>
          <w:szCs w:val="22"/>
        </w:rPr>
        <w:t>EXECUTIVE SUMMARY</w:t>
      </w:r>
      <w:r w:rsidR="00760E32" w:rsidRPr="002A77C6">
        <w:rPr>
          <w:rFonts w:ascii="Calibri" w:hAnsi="Calibri"/>
          <w:b/>
          <w:bCs w:val="0"/>
          <w:sz w:val="22"/>
          <w:szCs w:val="22"/>
        </w:rPr>
        <w:t xml:space="preserve"> </w:t>
      </w:r>
    </w:p>
    <w:p w:rsidR="005C6168" w:rsidRPr="002A77C6" w:rsidRDefault="005C6168" w:rsidP="005454E9">
      <w:pPr>
        <w:pStyle w:val="BodyText"/>
        <w:jc w:val="both"/>
        <w:rPr>
          <w:rFonts w:ascii="Calibri" w:hAnsi="Calibri"/>
          <w:szCs w:val="22"/>
        </w:rPr>
      </w:pPr>
    </w:p>
    <w:p w:rsidR="00D14324" w:rsidRPr="002A77C6" w:rsidRDefault="00C735E4" w:rsidP="005454E9">
      <w:pPr>
        <w:pStyle w:val="BodyText"/>
        <w:jc w:val="both"/>
        <w:rPr>
          <w:rFonts w:ascii="Calibri" w:hAnsi="Calibri"/>
          <w:szCs w:val="22"/>
        </w:rPr>
      </w:pPr>
      <w:r w:rsidRPr="002A77C6">
        <w:rPr>
          <w:rFonts w:ascii="Calibri" w:hAnsi="Calibri"/>
          <w:szCs w:val="22"/>
        </w:rPr>
        <w:t xml:space="preserve">While positive outcome-level changes in terms of unemployment and poverty rate, agricultural yields, and overall conflict intensity cannot yet be measured important foundations for improvements </w:t>
      </w:r>
      <w:r w:rsidR="007A2C26">
        <w:rPr>
          <w:rFonts w:ascii="Calibri" w:hAnsi="Calibri"/>
          <w:szCs w:val="22"/>
        </w:rPr>
        <w:t xml:space="preserve">were laid </w:t>
      </w:r>
      <w:r w:rsidRPr="002A77C6">
        <w:rPr>
          <w:rFonts w:ascii="Calibri" w:hAnsi="Calibri"/>
          <w:szCs w:val="22"/>
        </w:rPr>
        <w:t>in the area of poverty reduction through economic diversification, climate change adaptation and peace-building.</w:t>
      </w:r>
      <w:r w:rsidR="00D9230F" w:rsidRPr="002A77C6">
        <w:rPr>
          <w:rFonts w:ascii="Calibri" w:hAnsi="Calibri"/>
          <w:szCs w:val="22"/>
        </w:rPr>
        <w:t xml:space="preserve"> </w:t>
      </w:r>
    </w:p>
    <w:p w:rsidR="00D14324" w:rsidRPr="002A77C6" w:rsidRDefault="00D14324" w:rsidP="005454E9">
      <w:pPr>
        <w:pStyle w:val="BodyText"/>
        <w:jc w:val="both"/>
        <w:rPr>
          <w:rFonts w:ascii="Calibri" w:hAnsi="Calibri"/>
          <w:szCs w:val="22"/>
        </w:rPr>
      </w:pPr>
    </w:p>
    <w:p w:rsidR="006F6225" w:rsidRPr="002A77C6" w:rsidRDefault="006F6225" w:rsidP="003343CF">
      <w:pPr>
        <w:pStyle w:val="BodyText"/>
        <w:jc w:val="both"/>
        <w:rPr>
          <w:rFonts w:ascii="Calibri" w:hAnsi="Calibri"/>
          <w:szCs w:val="22"/>
        </w:rPr>
      </w:pPr>
      <w:r w:rsidRPr="002A77C6">
        <w:rPr>
          <w:rFonts w:ascii="Calibri" w:hAnsi="Calibri"/>
          <w:szCs w:val="22"/>
        </w:rPr>
        <w:t xml:space="preserve">The adoption of a new regulatory framework for employment creation and the rollout of the labor-intensive employment model by the </w:t>
      </w:r>
      <w:r w:rsidR="007A2C26">
        <w:rPr>
          <w:rFonts w:ascii="Calibri" w:hAnsi="Calibri"/>
          <w:szCs w:val="22"/>
        </w:rPr>
        <w:t>G</w:t>
      </w:r>
      <w:r w:rsidRPr="002A77C6">
        <w:rPr>
          <w:rFonts w:ascii="Calibri" w:hAnsi="Calibri"/>
          <w:szCs w:val="22"/>
        </w:rPr>
        <w:t xml:space="preserve">overnment </w:t>
      </w:r>
      <w:r w:rsidR="007A2C26" w:rsidRPr="002A77C6">
        <w:rPr>
          <w:rFonts w:ascii="Calibri" w:hAnsi="Calibri"/>
          <w:szCs w:val="22"/>
        </w:rPr>
        <w:t>establishe</w:t>
      </w:r>
      <w:r w:rsidR="007A2C26">
        <w:rPr>
          <w:rFonts w:ascii="Calibri" w:hAnsi="Calibri"/>
          <w:szCs w:val="22"/>
        </w:rPr>
        <w:t>d</w:t>
      </w:r>
      <w:r w:rsidR="007A2C26" w:rsidRPr="002A77C6">
        <w:rPr>
          <w:rFonts w:ascii="Calibri" w:hAnsi="Calibri"/>
          <w:szCs w:val="22"/>
        </w:rPr>
        <w:t xml:space="preserve"> </w:t>
      </w:r>
      <w:r w:rsidRPr="002A77C6">
        <w:rPr>
          <w:rFonts w:ascii="Calibri" w:hAnsi="Calibri"/>
          <w:szCs w:val="22"/>
        </w:rPr>
        <w:t xml:space="preserve">for the first time in Sudan a comprehensive policy framework to address high unemployment in all states. UNDP accompanied the </w:t>
      </w:r>
      <w:r w:rsidR="007A2C26">
        <w:rPr>
          <w:rFonts w:ascii="Calibri" w:hAnsi="Calibri"/>
          <w:szCs w:val="22"/>
        </w:rPr>
        <w:t>G</w:t>
      </w:r>
      <w:r w:rsidR="007A2C26" w:rsidRPr="002A77C6">
        <w:rPr>
          <w:rFonts w:ascii="Calibri" w:hAnsi="Calibri"/>
          <w:szCs w:val="22"/>
        </w:rPr>
        <w:t xml:space="preserve">overnment </w:t>
      </w:r>
      <w:r w:rsidRPr="002A77C6">
        <w:rPr>
          <w:rFonts w:ascii="Calibri" w:hAnsi="Calibri"/>
          <w:szCs w:val="22"/>
        </w:rPr>
        <w:t>closely through technical guidance and capacity building in developing this framework. In addition, in collaboration with the Ministry of Labor</w:t>
      </w:r>
      <w:r w:rsidR="007A2C26">
        <w:rPr>
          <w:rFonts w:ascii="Calibri" w:hAnsi="Calibri"/>
          <w:szCs w:val="22"/>
        </w:rPr>
        <w:t>,</w:t>
      </w:r>
      <w:r w:rsidRPr="002A77C6">
        <w:rPr>
          <w:rFonts w:ascii="Calibri" w:hAnsi="Calibri"/>
          <w:szCs w:val="22"/>
        </w:rPr>
        <w:t xml:space="preserve"> UNDP trained and prepared over </w:t>
      </w:r>
      <w:r w:rsidR="006305EC">
        <w:rPr>
          <w:rFonts w:ascii="Calibri" w:hAnsi="Calibri"/>
          <w:szCs w:val="22"/>
        </w:rPr>
        <w:t>2</w:t>
      </w:r>
      <w:r w:rsidR="003343CF">
        <w:rPr>
          <w:rFonts w:ascii="Calibri" w:hAnsi="Calibri"/>
          <w:szCs w:val="22"/>
        </w:rPr>
        <w:t>,</w:t>
      </w:r>
      <w:r w:rsidR="006305EC">
        <w:rPr>
          <w:rFonts w:ascii="Calibri" w:hAnsi="Calibri"/>
          <w:szCs w:val="22"/>
        </w:rPr>
        <w:t>99</w:t>
      </w:r>
      <w:r w:rsidR="003343CF">
        <w:rPr>
          <w:rFonts w:ascii="Calibri" w:hAnsi="Calibri"/>
          <w:szCs w:val="22"/>
        </w:rPr>
        <w:t>5</w:t>
      </w:r>
      <w:r w:rsidRPr="002A77C6">
        <w:rPr>
          <w:rFonts w:ascii="Calibri" w:hAnsi="Calibri"/>
          <w:szCs w:val="22"/>
        </w:rPr>
        <w:t xml:space="preserve"> marginalized youth to access the labor market.</w:t>
      </w:r>
    </w:p>
    <w:p w:rsidR="00EC16CB" w:rsidRPr="002A77C6" w:rsidRDefault="00EC16CB" w:rsidP="005454E9">
      <w:pPr>
        <w:pStyle w:val="BodyText"/>
        <w:jc w:val="both"/>
        <w:rPr>
          <w:rFonts w:ascii="Calibri" w:hAnsi="Calibri"/>
          <w:szCs w:val="22"/>
        </w:rPr>
      </w:pPr>
    </w:p>
    <w:p w:rsidR="00EC16CB" w:rsidRPr="002A77C6" w:rsidRDefault="007A2C26" w:rsidP="00EC16CB">
      <w:pPr>
        <w:pStyle w:val="BodyText"/>
        <w:jc w:val="both"/>
        <w:rPr>
          <w:rFonts w:ascii="Calibri" w:hAnsi="Calibri"/>
          <w:szCs w:val="22"/>
        </w:rPr>
      </w:pPr>
      <w:r>
        <w:rPr>
          <w:rFonts w:ascii="Calibri" w:hAnsi="Calibri"/>
          <w:szCs w:val="22"/>
        </w:rPr>
        <w:t>I</w:t>
      </w:r>
      <w:r w:rsidR="00EC16CB" w:rsidRPr="002A77C6">
        <w:rPr>
          <w:rFonts w:ascii="Calibri" w:hAnsi="Calibri"/>
          <w:szCs w:val="22"/>
        </w:rPr>
        <w:t xml:space="preserve">n support to micro and small enterprises development through business skill development and access to microfinance UNDP </w:t>
      </w:r>
      <w:r>
        <w:rPr>
          <w:rFonts w:ascii="Calibri" w:hAnsi="Calibri"/>
          <w:szCs w:val="22"/>
        </w:rPr>
        <w:t>also</w:t>
      </w:r>
      <w:r w:rsidRPr="002A77C6">
        <w:rPr>
          <w:rFonts w:ascii="Calibri" w:hAnsi="Calibri"/>
          <w:szCs w:val="22"/>
        </w:rPr>
        <w:t xml:space="preserve"> </w:t>
      </w:r>
      <w:r w:rsidR="00EC16CB" w:rsidRPr="002A77C6">
        <w:rPr>
          <w:rFonts w:ascii="Calibri" w:hAnsi="Calibri"/>
          <w:szCs w:val="22"/>
        </w:rPr>
        <w:t xml:space="preserve">supported 15 business groups to establish their new </w:t>
      </w:r>
      <w:r>
        <w:rPr>
          <w:rFonts w:ascii="Calibri" w:hAnsi="Calibri"/>
          <w:szCs w:val="22"/>
        </w:rPr>
        <w:t>businesses</w:t>
      </w:r>
      <w:r w:rsidRPr="002A77C6">
        <w:rPr>
          <w:rFonts w:ascii="Calibri" w:hAnsi="Calibri"/>
          <w:szCs w:val="22"/>
        </w:rPr>
        <w:t xml:space="preserve"> </w:t>
      </w:r>
      <w:r w:rsidR="00EC16CB" w:rsidRPr="002A77C6">
        <w:rPr>
          <w:rFonts w:ascii="Calibri" w:hAnsi="Calibri"/>
          <w:szCs w:val="22"/>
        </w:rPr>
        <w:t xml:space="preserve">in </w:t>
      </w:r>
      <w:r>
        <w:rPr>
          <w:rFonts w:ascii="Calibri" w:hAnsi="Calibri"/>
          <w:szCs w:val="22"/>
        </w:rPr>
        <w:t xml:space="preserve">the </w:t>
      </w:r>
      <w:r w:rsidR="00EC16CB" w:rsidRPr="002A77C6">
        <w:rPr>
          <w:rFonts w:ascii="Calibri" w:hAnsi="Calibri"/>
          <w:szCs w:val="22"/>
        </w:rPr>
        <w:t xml:space="preserve">Red </w:t>
      </w:r>
      <w:r w:rsidRPr="002A77C6">
        <w:rPr>
          <w:rFonts w:ascii="Calibri" w:hAnsi="Calibri"/>
          <w:szCs w:val="22"/>
        </w:rPr>
        <w:t>Se</w:t>
      </w:r>
      <w:r>
        <w:rPr>
          <w:rFonts w:ascii="Calibri" w:hAnsi="Calibri"/>
          <w:szCs w:val="22"/>
        </w:rPr>
        <w:t>a</w:t>
      </w:r>
      <w:r w:rsidRPr="002A77C6">
        <w:rPr>
          <w:rFonts w:ascii="Calibri" w:hAnsi="Calibri"/>
          <w:szCs w:val="22"/>
        </w:rPr>
        <w:t xml:space="preserve"> </w:t>
      </w:r>
      <w:r w:rsidR="00EC16CB" w:rsidRPr="002A77C6">
        <w:rPr>
          <w:rFonts w:ascii="Calibri" w:hAnsi="Calibri"/>
          <w:szCs w:val="22"/>
        </w:rPr>
        <w:t>state and pursue self-sustained employment.</w:t>
      </w:r>
    </w:p>
    <w:p w:rsidR="00E74953" w:rsidRPr="002A77C6" w:rsidRDefault="00E74953" w:rsidP="00EC16CB">
      <w:pPr>
        <w:pStyle w:val="BodyText"/>
        <w:jc w:val="both"/>
        <w:rPr>
          <w:rFonts w:ascii="Calibri" w:hAnsi="Calibri"/>
          <w:szCs w:val="22"/>
        </w:rPr>
      </w:pPr>
    </w:p>
    <w:p w:rsidR="00EC16CB" w:rsidRPr="002A77C6" w:rsidRDefault="00DB0BDA" w:rsidP="003343CF">
      <w:pPr>
        <w:pStyle w:val="BodyText"/>
        <w:jc w:val="both"/>
        <w:rPr>
          <w:rFonts w:ascii="Calibri" w:hAnsi="Calibri"/>
          <w:szCs w:val="22"/>
        </w:rPr>
      </w:pPr>
      <w:r w:rsidRPr="002A77C6">
        <w:rPr>
          <w:rFonts w:ascii="Calibri" w:hAnsi="Calibri"/>
          <w:szCs w:val="22"/>
        </w:rPr>
        <w:t xml:space="preserve">A cooperation agreement was signed with Family Bank one of the major microfinance institutions in country to train and finance </w:t>
      </w:r>
      <w:r w:rsidR="003343CF">
        <w:rPr>
          <w:rFonts w:ascii="Calibri" w:hAnsi="Calibri"/>
          <w:szCs w:val="22"/>
        </w:rPr>
        <w:t xml:space="preserve">over </w:t>
      </w:r>
      <w:r w:rsidR="001034D4">
        <w:rPr>
          <w:rFonts w:ascii="Calibri" w:hAnsi="Calibri"/>
          <w:szCs w:val="22"/>
        </w:rPr>
        <w:t>3</w:t>
      </w:r>
      <w:r w:rsidR="003343CF">
        <w:rPr>
          <w:rFonts w:ascii="Calibri" w:hAnsi="Calibri"/>
          <w:szCs w:val="22"/>
        </w:rPr>
        <w:t>,</w:t>
      </w:r>
      <w:r w:rsidR="001034D4">
        <w:rPr>
          <w:rFonts w:ascii="Calibri" w:hAnsi="Calibri"/>
          <w:szCs w:val="22"/>
        </w:rPr>
        <w:t xml:space="preserve">300 </w:t>
      </w:r>
      <w:r w:rsidRPr="002A77C6">
        <w:rPr>
          <w:rFonts w:ascii="Calibri" w:hAnsi="Calibri"/>
          <w:szCs w:val="22"/>
        </w:rPr>
        <w:t xml:space="preserve"> poor youth supported by UNDP to develop their own business as individuals and groups in response to the labour market needs identified through assessment studies conducted by contracted experts. </w:t>
      </w:r>
    </w:p>
    <w:p w:rsidR="005454E9" w:rsidRPr="002A77C6" w:rsidRDefault="005454E9" w:rsidP="005454E9">
      <w:pPr>
        <w:pStyle w:val="BodyText"/>
        <w:jc w:val="both"/>
        <w:rPr>
          <w:rFonts w:ascii="Calibri" w:hAnsi="Calibri"/>
          <w:szCs w:val="22"/>
        </w:rPr>
      </w:pPr>
    </w:p>
    <w:p w:rsidR="006C0223" w:rsidRPr="002A77C6" w:rsidRDefault="006C0223" w:rsidP="001034D4">
      <w:pPr>
        <w:pStyle w:val="BodyText"/>
        <w:jc w:val="both"/>
        <w:rPr>
          <w:rFonts w:ascii="Calibri" w:hAnsi="Calibri"/>
          <w:szCs w:val="22"/>
        </w:rPr>
      </w:pPr>
      <w:r w:rsidRPr="002A77C6">
        <w:rPr>
          <w:rFonts w:ascii="Calibri" w:hAnsi="Calibri"/>
          <w:szCs w:val="22"/>
        </w:rPr>
        <w:t>An important change took place recently in the area of climate change mitigation. For the first time ever, a comprehensive climate risk finance scheme was developed and launched in Sudan through the Ministry of Environment</w:t>
      </w:r>
      <w:r w:rsidR="007A2C26">
        <w:rPr>
          <w:rFonts w:ascii="Calibri" w:hAnsi="Calibri"/>
          <w:szCs w:val="22"/>
        </w:rPr>
        <w:t>,</w:t>
      </w:r>
      <w:r w:rsidRPr="002A77C6">
        <w:rPr>
          <w:rFonts w:ascii="Calibri" w:hAnsi="Calibri"/>
          <w:szCs w:val="22"/>
        </w:rPr>
        <w:t xml:space="preserve"> in collaboration with the Ministry of Finance, benefitting a total of </w:t>
      </w:r>
      <w:r w:rsidR="001034D4">
        <w:rPr>
          <w:rFonts w:ascii="Calibri" w:hAnsi="Calibri"/>
          <w:szCs w:val="22"/>
        </w:rPr>
        <w:t>84,000</w:t>
      </w:r>
      <w:r w:rsidRPr="002A77C6">
        <w:rPr>
          <w:rFonts w:ascii="Calibri" w:hAnsi="Calibri"/>
          <w:szCs w:val="22"/>
        </w:rPr>
        <w:t xml:space="preserve"> smallholder rain fed farmers and pastoralists.</w:t>
      </w:r>
    </w:p>
    <w:p w:rsidR="005454E9" w:rsidRPr="002A77C6" w:rsidRDefault="005454E9" w:rsidP="005454E9">
      <w:pPr>
        <w:pStyle w:val="BodyText"/>
        <w:jc w:val="both"/>
        <w:rPr>
          <w:rFonts w:ascii="Calibri" w:hAnsi="Calibri"/>
          <w:szCs w:val="22"/>
        </w:rPr>
      </w:pPr>
    </w:p>
    <w:p w:rsidR="000025AD" w:rsidRPr="002A77C6" w:rsidRDefault="007A2C26" w:rsidP="005454E9">
      <w:pPr>
        <w:pStyle w:val="BodyText"/>
        <w:jc w:val="both"/>
        <w:rPr>
          <w:rFonts w:ascii="Calibri" w:hAnsi="Calibri"/>
          <w:szCs w:val="22"/>
        </w:rPr>
      </w:pPr>
      <w:r>
        <w:rPr>
          <w:rFonts w:ascii="Calibri" w:hAnsi="Calibri"/>
          <w:szCs w:val="22"/>
        </w:rPr>
        <w:t>With</w:t>
      </w:r>
      <w:r w:rsidRPr="002A77C6">
        <w:rPr>
          <w:rFonts w:ascii="Calibri" w:hAnsi="Calibri"/>
          <w:szCs w:val="22"/>
        </w:rPr>
        <w:t xml:space="preserve"> </w:t>
      </w:r>
      <w:r w:rsidR="00E03B1D" w:rsidRPr="002A77C6">
        <w:rPr>
          <w:rFonts w:ascii="Calibri" w:hAnsi="Calibri"/>
          <w:szCs w:val="22"/>
        </w:rPr>
        <w:t>UNDP</w:t>
      </w:r>
      <w:r>
        <w:rPr>
          <w:rFonts w:ascii="Calibri" w:hAnsi="Calibri"/>
          <w:szCs w:val="22"/>
        </w:rPr>
        <w:t>’s</w:t>
      </w:r>
      <w:r w:rsidR="00E03B1D" w:rsidRPr="002A77C6">
        <w:rPr>
          <w:rFonts w:ascii="Calibri" w:hAnsi="Calibri"/>
          <w:szCs w:val="22"/>
        </w:rPr>
        <w:t xml:space="preserve"> support, 85% of the universal periodic review recommendations were implemented, including an amendment of Criminal Law and Election Law as well as the adoption of Human Trafficking Law. However, due to the overall challenging human rights context in Sudan and weak capacities of the newly established Human Rights Commission, outcome level changes related to human rights protection cannot yet be measured</w:t>
      </w:r>
      <w:r w:rsidR="005454E9" w:rsidRPr="002A77C6">
        <w:rPr>
          <w:rFonts w:ascii="Calibri" w:hAnsi="Calibri"/>
          <w:szCs w:val="22"/>
        </w:rPr>
        <w:t>.</w:t>
      </w:r>
    </w:p>
    <w:p w:rsidR="00E03B1D" w:rsidRPr="002A77C6" w:rsidRDefault="00E03B1D" w:rsidP="005454E9">
      <w:pPr>
        <w:pStyle w:val="BodyText"/>
        <w:jc w:val="both"/>
        <w:rPr>
          <w:rFonts w:ascii="Calibri" w:hAnsi="Calibri"/>
          <w:szCs w:val="22"/>
        </w:rPr>
      </w:pPr>
    </w:p>
    <w:p w:rsidR="007F7AF8" w:rsidRPr="002A77C6" w:rsidRDefault="000025AD" w:rsidP="00BB6C44">
      <w:pPr>
        <w:pStyle w:val="BodyText"/>
        <w:jc w:val="both"/>
        <w:rPr>
          <w:rFonts w:ascii="Calibri" w:hAnsi="Calibri"/>
          <w:szCs w:val="22"/>
        </w:rPr>
      </w:pPr>
      <w:r w:rsidRPr="002A77C6">
        <w:rPr>
          <w:rFonts w:ascii="Calibri" w:hAnsi="Calibri"/>
          <w:szCs w:val="22"/>
        </w:rPr>
        <w:t xml:space="preserve">Significant efforts were undertaken by UNDP in partnership with development partners to strengthen peace-building interventions </w:t>
      </w:r>
      <w:r w:rsidR="0082140D" w:rsidRPr="002A77C6">
        <w:rPr>
          <w:rFonts w:ascii="Calibri" w:hAnsi="Calibri"/>
          <w:szCs w:val="22"/>
        </w:rPr>
        <w:t xml:space="preserve">especially those targeting </w:t>
      </w:r>
      <w:r w:rsidRPr="002A77C6">
        <w:rPr>
          <w:rFonts w:ascii="Calibri" w:hAnsi="Calibri"/>
          <w:szCs w:val="22"/>
        </w:rPr>
        <w:t xml:space="preserve">female beneficiaries. To this effect, UNDP commissioned a study in late 2014 and organized a workshop </w:t>
      </w:r>
      <w:r w:rsidR="00E74953" w:rsidRPr="002A77C6">
        <w:rPr>
          <w:rFonts w:ascii="Calibri" w:hAnsi="Calibri"/>
          <w:szCs w:val="22"/>
        </w:rPr>
        <w:t>i</w:t>
      </w:r>
      <w:r w:rsidRPr="002A77C6">
        <w:rPr>
          <w:rFonts w:ascii="Calibri" w:hAnsi="Calibri"/>
          <w:szCs w:val="22"/>
        </w:rPr>
        <w:t xml:space="preserve">n March 2015 to review and discuss findings. The study recommended more targeted capacity building of female members of peace councils; the systematic use of </w:t>
      </w:r>
      <w:r w:rsidR="00BB6C44" w:rsidRPr="002A77C6">
        <w:rPr>
          <w:rFonts w:ascii="Calibri" w:hAnsi="Calibri"/>
          <w:szCs w:val="22"/>
        </w:rPr>
        <w:t xml:space="preserve">hakamat </w:t>
      </w:r>
      <w:r w:rsidRPr="002A77C6">
        <w:rPr>
          <w:rFonts w:ascii="Calibri" w:hAnsi="Calibri"/>
          <w:szCs w:val="22"/>
        </w:rPr>
        <w:t>women as peace ambassadors; the stronger involvement of women in alternative economic activities and value chains beyond traditional handy-crafts businesses.</w:t>
      </w:r>
      <w:r w:rsidR="007F7AF8" w:rsidRPr="002A77C6">
        <w:rPr>
          <w:rFonts w:ascii="Calibri" w:hAnsi="Calibri"/>
          <w:szCs w:val="22"/>
        </w:rPr>
        <w:t xml:space="preserve"> The </w:t>
      </w:r>
      <w:r w:rsidR="009A2D81" w:rsidRPr="007746AB">
        <w:rPr>
          <w:rFonts w:ascii="Calibri" w:hAnsi="Calibri"/>
          <w:szCs w:val="22"/>
        </w:rPr>
        <w:t>Sudan disarmament, demobilization and reintegration programme (SDDRP)</w:t>
      </w:r>
      <w:r w:rsidR="007F7AF8" w:rsidRPr="002A77C6">
        <w:rPr>
          <w:rFonts w:ascii="Calibri" w:hAnsi="Calibri"/>
          <w:szCs w:val="22"/>
        </w:rPr>
        <w:t xml:space="preserve"> has followed a bottom-up and participatory approach in the planning and implementation of interventions, focusing </w:t>
      </w:r>
      <w:r w:rsidR="007F7AF8" w:rsidRPr="002A77C6">
        <w:rPr>
          <w:rFonts w:ascii="Calibri" w:hAnsi="Calibri"/>
          <w:szCs w:val="22"/>
        </w:rPr>
        <w:lastRenderedPageBreak/>
        <w:t>on the empowerment of women and reintegration of target groups (</w:t>
      </w:r>
      <w:r w:rsidR="009A2D81">
        <w:rPr>
          <w:rFonts w:ascii="Calibri" w:hAnsi="Calibri"/>
          <w:szCs w:val="22"/>
        </w:rPr>
        <w:t>ex-combatants</w:t>
      </w:r>
      <w:r w:rsidR="007F7AF8" w:rsidRPr="002A77C6">
        <w:rPr>
          <w:rFonts w:ascii="Calibri" w:hAnsi="Calibri"/>
          <w:szCs w:val="22"/>
        </w:rPr>
        <w:t>, W</w:t>
      </w:r>
      <w:r w:rsidR="009A2D81">
        <w:rPr>
          <w:rFonts w:ascii="Calibri" w:hAnsi="Calibri"/>
          <w:szCs w:val="22"/>
        </w:rPr>
        <w:t xml:space="preserve">omen </w:t>
      </w:r>
      <w:r w:rsidR="007F7AF8" w:rsidRPr="002A77C6">
        <w:rPr>
          <w:rFonts w:ascii="Calibri" w:hAnsi="Calibri"/>
          <w:szCs w:val="22"/>
        </w:rPr>
        <w:t>A</w:t>
      </w:r>
      <w:r w:rsidR="009A2D81">
        <w:rPr>
          <w:rFonts w:ascii="Calibri" w:hAnsi="Calibri"/>
          <w:szCs w:val="22"/>
        </w:rPr>
        <w:t xml:space="preserve">ssociated with </w:t>
      </w:r>
      <w:r w:rsidR="007F7AF8" w:rsidRPr="002A77C6">
        <w:rPr>
          <w:rFonts w:ascii="Calibri" w:hAnsi="Calibri"/>
          <w:szCs w:val="22"/>
        </w:rPr>
        <w:t>A</w:t>
      </w:r>
      <w:r w:rsidR="009A2D81">
        <w:rPr>
          <w:rFonts w:ascii="Calibri" w:hAnsi="Calibri"/>
          <w:szCs w:val="22"/>
        </w:rPr>
        <w:t xml:space="preserve">rmed </w:t>
      </w:r>
      <w:r w:rsidR="007F7AF8" w:rsidRPr="002A77C6">
        <w:rPr>
          <w:rFonts w:ascii="Calibri" w:hAnsi="Calibri"/>
          <w:szCs w:val="22"/>
        </w:rPr>
        <w:t>F</w:t>
      </w:r>
      <w:r w:rsidR="009A2D81">
        <w:rPr>
          <w:rFonts w:ascii="Calibri" w:hAnsi="Calibri"/>
          <w:szCs w:val="22"/>
        </w:rPr>
        <w:t>orces</w:t>
      </w:r>
      <w:r w:rsidR="007F7AF8" w:rsidRPr="002A77C6">
        <w:rPr>
          <w:rFonts w:ascii="Calibri" w:hAnsi="Calibri"/>
          <w:szCs w:val="22"/>
        </w:rPr>
        <w:t xml:space="preserve">) into civilian life, strongly supporting the </w:t>
      </w:r>
      <w:r w:rsidR="0096563E" w:rsidRPr="002A77C6">
        <w:rPr>
          <w:rFonts w:ascii="Calibri" w:hAnsi="Calibri"/>
          <w:szCs w:val="22"/>
        </w:rPr>
        <w:t>programmer’s</w:t>
      </w:r>
      <w:r w:rsidR="007F7AF8" w:rsidRPr="002A77C6">
        <w:rPr>
          <w:rFonts w:ascii="Calibri" w:hAnsi="Calibri"/>
          <w:szCs w:val="22"/>
        </w:rPr>
        <w:t xml:space="preserve"> sustainability. </w:t>
      </w:r>
    </w:p>
    <w:p w:rsidR="007F7AF8" w:rsidRPr="002A77C6" w:rsidRDefault="007F7AF8" w:rsidP="005454E9">
      <w:pPr>
        <w:pStyle w:val="BodyText"/>
        <w:jc w:val="both"/>
        <w:rPr>
          <w:rFonts w:ascii="Calibri" w:hAnsi="Calibri"/>
          <w:szCs w:val="22"/>
        </w:rPr>
      </w:pPr>
    </w:p>
    <w:p w:rsidR="0037523B" w:rsidRPr="002A77C6" w:rsidRDefault="0037523B" w:rsidP="005454E9">
      <w:pPr>
        <w:pStyle w:val="BodyText2"/>
        <w:jc w:val="both"/>
        <w:rPr>
          <w:rFonts w:ascii="Calibri" w:hAnsi="Calibri"/>
          <w:b/>
          <w:sz w:val="22"/>
          <w:szCs w:val="22"/>
        </w:rPr>
      </w:pPr>
    </w:p>
    <w:p w:rsidR="0037523B" w:rsidRPr="002A77C6" w:rsidRDefault="0037523B" w:rsidP="005454E9">
      <w:pPr>
        <w:pStyle w:val="BodyText2"/>
        <w:jc w:val="both"/>
        <w:rPr>
          <w:rFonts w:ascii="Calibri" w:hAnsi="Calibri"/>
          <w:b/>
          <w:sz w:val="22"/>
          <w:szCs w:val="22"/>
        </w:rPr>
        <w:sectPr w:rsidR="0037523B" w:rsidRPr="002A77C6">
          <w:footerReference w:type="default" r:id="rId8"/>
          <w:endnotePr>
            <w:numFmt w:val="decimal"/>
          </w:endnotePr>
          <w:pgSz w:w="11907" w:h="16840" w:code="9"/>
          <w:pgMar w:top="1440" w:right="1440" w:bottom="1440" w:left="1440" w:header="720" w:footer="720" w:gutter="0"/>
          <w:cols w:space="720"/>
        </w:sectPr>
      </w:pPr>
    </w:p>
    <w:p w:rsidR="00975566" w:rsidRPr="002A77C6" w:rsidRDefault="006900FE" w:rsidP="005454E9">
      <w:pPr>
        <w:pStyle w:val="Heading3"/>
        <w:jc w:val="both"/>
        <w:rPr>
          <w:rFonts w:ascii="Calibri" w:hAnsi="Calibri"/>
          <w:b/>
          <w:sz w:val="22"/>
          <w:szCs w:val="22"/>
        </w:rPr>
      </w:pPr>
      <w:r w:rsidRPr="002A77C6">
        <w:rPr>
          <w:rFonts w:ascii="Calibri" w:hAnsi="Calibri"/>
          <w:b/>
          <w:sz w:val="22"/>
          <w:szCs w:val="22"/>
        </w:rPr>
        <w:lastRenderedPageBreak/>
        <w:t>II</w:t>
      </w:r>
      <w:r w:rsidR="0081403B" w:rsidRPr="002A77C6">
        <w:rPr>
          <w:rFonts w:ascii="Calibri" w:hAnsi="Calibri"/>
          <w:b/>
          <w:sz w:val="22"/>
          <w:szCs w:val="22"/>
        </w:rPr>
        <w:t xml:space="preserve">: </w:t>
      </w:r>
      <w:r w:rsidR="000C09B4" w:rsidRPr="002A77C6">
        <w:rPr>
          <w:rFonts w:ascii="Calibri" w:hAnsi="Calibri"/>
          <w:b/>
          <w:sz w:val="22"/>
          <w:szCs w:val="22"/>
        </w:rPr>
        <w:t xml:space="preserve">Country Programme Performance </w:t>
      </w:r>
      <w:r w:rsidR="00975566" w:rsidRPr="002A77C6">
        <w:rPr>
          <w:rFonts w:ascii="Calibri" w:hAnsi="Calibri"/>
          <w:b/>
          <w:sz w:val="22"/>
          <w:szCs w:val="22"/>
        </w:rPr>
        <w:t>Summary</w:t>
      </w:r>
    </w:p>
    <w:p w:rsidR="00DC7354" w:rsidRPr="002A77C6" w:rsidRDefault="00DC7354" w:rsidP="005454E9">
      <w:pPr>
        <w:pStyle w:val="BodyText2"/>
        <w:jc w:val="both"/>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930"/>
        <w:gridCol w:w="3030"/>
        <w:gridCol w:w="555"/>
        <w:gridCol w:w="4935"/>
      </w:tblGrid>
      <w:tr w:rsidR="00CB647D" w:rsidRPr="002A77C6" w:rsidTr="009E7526">
        <w:tc>
          <w:tcPr>
            <w:tcW w:w="3150" w:type="dxa"/>
            <w:gridSpan w:val="2"/>
            <w:tcBorders>
              <w:right w:val="nil"/>
            </w:tcBorders>
            <w:shd w:val="clear" w:color="auto" w:fill="FFC000"/>
          </w:tcPr>
          <w:p w:rsidR="00CB647D" w:rsidRPr="002A77C6" w:rsidRDefault="00CB647D" w:rsidP="005454E9">
            <w:pPr>
              <w:pStyle w:val="BodyText2"/>
              <w:jc w:val="both"/>
              <w:rPr>
                <w:rFonts w:ascii="Calibri" w:hAnsi="Calibri"/>
                <w:b/>
                <w:sz w:val="22"/>
                <w:szCs w:val="22"/>
              </w:rPr>
            </w:pPr>
            <w:r w:rsidRPr="002A77C6">
              <w:rPr>
                <w:rFonts w:ascii="Calibri" w:hAnsi="Calibri"/>
                <w:b/>
                <w:sz w:val="22"/>
                <w:szCs w:val="22"/>
              </w:rPr>
              <w:t>Country information</w:t>
            </w:r>
          </w:p>
        </w:tc>
        <w:tc>
          <w:tcPr>
            <w:tcW w:w="10890" w:type="dxa"/>
            <w:gridSpan w:val="5"/>
            <w:tcBorders>
              <w:left w:val="nil"/>
            </w:tcBorders>
            <w:shd w:val="clear" w:color="auto" w:fill="FFC000"/>
          </w:tcPr>
          <w:p w:rsidR="00CB647D" w:rsidRPr="002A77C6" w:rsidRDefault="00CB647D" w:rsidP="005454E9">
            <w:pPr>
              <w:pStyle w:val="BodyText2"/>
              <w:jc w:val="both"/>
              <w:rPr>
                <w:rFonts w:ascii="Calibri" w:hAnsi="Calibri"/>
                <w:b/>
                <w:sz w:val="22"/>
                <w:szCs w:val="22"/>
              </w:rPr>
            </w:pPr>
          </w:p>
        </w:tc>
      </w:tr>
      <w:tr w:rsidR="009B76A1" w:rsidRPr="002A77C6" w:rsidTr="00704406">
        <w:tc>
          <w:tcPr>
            <w:tcW w:w="14040" w:type="dxa"/>
            <w:gridSpan w:val="7"/>
          </w:tcPr>
          <w:p w:rsidR="009B76A1" w:rsidRPr="002A77C6" w:rsidRDefault="009B76A1" w:rsidP="005454E9">
            <w:pPr>
              <w:pStyle w:val="BodyText2"/>
              <w:jc w:val="both"/>
              <w:rPr>
                <w:rFonts w:ascii="Calibri" w:hAnsi="Calibri"/>
                <w:b/>
                <w:sz w:val="22"/>
                <w:szCs w:val="22"/>
              </w:rPr>
            </w:pPr>
            <w:r w:rsidRPr="002A77C6">
              <w:rPr>
                <w:rFonts w:ascii="Calibri" w:hAnsi="Calibri"/>
                <w:b/>
                <w:sz w:val="22"/>
                <w:szCs w:val="22"/>
              </w:rPr>
              <w:t>Country name:</w:t>
            </w:r>
            <w:r w:rsidR="006F2549" w:rsidRPr="002A77C6">
              <w:rPr>
                <w:rFonts w:ascii="Calibri" w:hAnsi="Calibri"/>
                <w:b/>
                <w:sz w:val="22"/>
                <w:szCs w:val="22"/>
              </w:rPr>
              <w:t xml:space="preserve"> Sudan</w:t>
            </w:r>
          </w:p>
        </w:tc>
      </w:tr>
      <w:tr w:rsidR="009B76A1" w:rsidRPr="002A77C6" w:rsidTr="00704406">
        <w:tc>
          <w:tcPr>
            <w:tcW w:w="14040" w:type="dxa"/>
            <w:gridSpan w:val="7"/>
          </w:tcPr>
          <w:p w:rsidR="009B76A1" w:rsidRPr="002A77C6" w:rsidRDefault="009B76A1" w:rsidP="002D4426">
            <w:pPr>
              <w:pStyle w:val="BodyText2"/>
              <w:jc w:val="both"/>
              <w:rPr>
                <w:rFonts w:ascii="Calibri" w:hAnsi="Calibri"/>
                <w:b/>
                <w:sz w:val="22"/>
                <w:szCs w:val="22"/>
              </w:rPr>
            </w:pPr>
            <w:r w:rsidRPr="002A77C6">
              <w:rPr>
                <w:rFonts w:ascii="Calibri" w:hAnsi="Calibri"/>
                <w:b/>
                <w:sz w:val="22"/>
                <w:szCs w:val="22"/>
              </w:rPr>
              <w:t>Current country programme period:</w:t>
            </w:r>
            <w:r w:rsidR="006F2549" w:rsidRPr="002A77C6">
              <w:rPr>
                <w:rFonts w:ascii="Calibri" w:hAnsi="Calibri"/>
                <w:b/>
                <w:sz w:val="22"/>
                <w:szCs w:val="22"/>
              </w:rPr>
              <w:t xml:space="preserve"> 2013-</w:t>
            </w:r>
            <w:r w:rsidR="009A2D81" w:rsidRPr="002A77C6">
              <w:rPr>
                <w:rFonts w:ascii="Calibri" w:hAnsi="Calibri"/>
                <w:b/>
                <w:sz w:val="22"/>
                <w:szCs w:val="22"/>
              </w:rPr>
              <w:t>201</w:t>
            </w:r>
            <w:r w:rsidR="002D4426">
              <w:rPr>
                <w:rFonts w:ascii="Calibri" w:hAnsi="Calibri"/>
                <w:b/>
                <w:sz w:val="22"/>
                <w:szCs w:val="22"/>
              </w:rPr>
              <w:t>7</w:t>
            </w:r>
            <w:r w:rsidR="00AB6898">
              <w:rPr>
                <w:rFonts w:ascii="Calibri" w:hAnsi="Calibri"/>
                <w:b/>
                <w:sz w:val="22"/>
                <w:szCs w:val="22"/>
              </w:rPr>
              <w:t xml:space="preserve"> </w:t>
            </w:r>
          </w:p>
        </w:tc>
      </w:tr>
      <w:tr w:rsidR="003B037A" w:rsidRPr="002A77C6" w:rsidTr="009E7526">
        <w:tc>
          <w:tcPr>
            <w:tcW w:w="3150" w:type="dxa"/>
            <w:gridSpan w:val="2"/>
          </w:tcPr>
          <w:p w:rsidR="003B037A" w:rsidRPr="002A77C6" w:rsidRDefault="003B037A" w:rsidP="005454E9">
            <w:pPr>
              <w:pStyle w:val="BodyText2"/>
              <w:jc w:val="both"/>
              <w:rPr>
                <w:rFonts w:ascii="Calibri" w:hAnsi="Calibri"/>
                <w:b/>
                <w:sz w:val="22"/>
                <w:szCs w:val="22"/>
              </w:rPr>
            </w:pPr>
            <w:r w:rsidRPr="002A77C6">
              <w:rPr>
                <w:rFonts w:ascii="Calibri" w:hAnsi="Calibri"/>
                <w:b/>
                <w:sz w:val="22"/>
                <w:szCs w:val="22"/>
              </w:rPr>
              <w:t>Outcome</w:t>
            </w:r>
            <w:r w:rsidR="00700521" w:rsidRPr="002A77C6">
              <w:rPr>
                <w:rFonts w:ascii="Calibri" w:hAnsi="Calibri"/>
                <w:b/>
                <w:sz w:val="22"/>
                <w:szCs w:val="22"/>
              </w:rPr>
              <w:t>s</w:t>
            </w:r>
          </w:p>
        </w:tc>
        <w:tc>
          <w:tcPr>
            <w:tcW w:w="1440" w:type="dxa"/>
            <w:shd w:val="clear" w:color="auto" w:fill="auto"/>
          </w:tcPr>
          <w:p w:rsidR="003B037A" w:rsidRPr="002A77C6" w:rsidRDefault="003B037A" w:rsidP="005454E9">
            <w:pPr>
              <w:pStyle w:val="BodyText2"/>
              <w:jc w:val="both"/>
              <w:rPr>
                <w:rFonts w:ascii="Calibri" w:hAnsi="Calibri"/>
                <w:b/>
                <w:sz w:val="22"/>
                <w:szCs w:val="22"/>
              </w:rPr>
            </w:pPr>
            <w:r w:rsidRPr="002A77C6">
              <w:rPr>
                <w:rFonts w:ascii="Calibri" w:hAnsi="Calibri"/>
                <w:b/>
                <w:sz w:val="22"/>
                <w:szCs w:val="22"/>
              </w:rPr>
              <w:t>Total Expenditure</w:t>
            </w:r>
          </w:p>
        </w:tc>
        <w:tc>
          <w:tcPr>
            <w:tcW w:w="3960" w:type="dxa"/>
            <w:gridSpan w:val="2"/>
            <w:tcBorders>
              <w:left w:val="single" w:sz="4" w:space="0" w:color="auto"/>
            </w:tcBorders>
          </w:tcPr>
          <w:p w:rsidR="003B037A" w:rsidRPr="002A77C6" w:rsidRDefault="003B037A" w:rsidP="005454E9">
            <w:pPr>
              <w:pStyle w:val="BodyText2"/>
              <w:jc w:val="both"/>
              <w:rPr>
                <w:rFonts w:ascii="Calibri" w:hAnsi="Calibri"/>
                <w:b/>
                <w:sz w:val="22"/>
                <w:szCs w:val="22"/>
              </w:rPr>
            </w:pPr>
            <w:r w:rsidRPr="002A77C6">
              <w:rPr>
                <w:rFonts w:ascii="Calibri" w:hAnsi="Calibri"/>
                <w:b/>
                <w:sz w:val="22"/>
                <w:szCs w:val="22"/>
              </w:rPr>
              <w:t>Key Indicators of outcome (1-4 per outcome)</w:t>
            </w:r>
          </w:p>
        </w:tc>
        <w:tc>
          <w:tcPr>
            <w:tcW w:w="5490" w:type="dxa"/>
            <w:gridSpan w:val="2"/>
          </w:tcPr>
          <w:p w:rsidR="003B037A" w:rsidRPr="002A77C6" w:rsidRDefault="003B037A" w:rsidP="005454E9">
            <w:pPr>
              <w:pStyle w:val="BodyText2"/>
              <w:jc w:val="both"/>
              <w:rPr>
                <w:rFonts w:ascii="Calibri" w:hAnsi="Calibri"/>
                <w:b/>
                <w:sz w:val="22"/>
                <w:szCs w:val="22"/>
              </w:rPr>
            </w:pPr>
            <w:r w:rsidRPr="002A77C6">
              <w:rPr>
                <w:rFonts w:ascii="Calibri" w:hAnsi="Calibri"/>
                <w:b/>
                <w:sz w:val="22"/>
                <w:szCs w:val="22"/>
              </w:rPr>
              <w:t>Progress made against key indicators</w:t>
            </w:r>
          </w:p>
        </w:tc>
      </w:tr>
      <w:tr w:rsidR="000C5544" w:rsidRPr="002A77C6" w:rsidTr="00954DAA">
        <w:trPr>
          <w:trHeight w:val="1619"/>
        </w:trPr>
        <w:tc>
          <w:tcPr>
            <w:tcW w:w="3150" w:type="dxa"/>
            <w:gridSpan w:val="2"/>
            <w:vMerge w:val="restart"/>
            <w:shd w:val="clear" w:color="auto" w:fill="FFFFFF"/>
          </w:tcPr>
          <w:p w:rsidR="000C5544" w:rsidRPr="002A77C6" w:rsidRDefault="000C5544" w:rsidP="00144946">
            <w:pPr>
              <w:rPr>
                <w:rFonts w:ascii="Calibri" w:hAnsi="Calibri"/>
                <w:sz w:val="22"/>
                <w:szCs w:val="22"/>
              </w:rPr>
            </w:pPr>
            <w:r w:rsidRPr="002A77C6">
              <w:rPr>
                <w:rFonts w:ascii="Calibri" w:hAnsi="Calibri" w:cs="Arial"/>
                <w:sz w:val="22"/>
                <w:szCs w:val="22"/>
              </w:rPr>
              <w:t>People in Sudan, with special attention to youth, women and needy populations, have improved opportunities for decent work and sustainable livelihoods and are better protected from external shocks, thereby reducing poverty.</w:t>
            </w:r>
          </w:p>
          <w:p w:rsidR="000C5544" w:rsidRPr="002A77C6" w:rsidRDefault="000C5544" w:rsidP="005454E9">
            <w:pPr>
              <w:pStyle w:val="BodyText2"/>
              <w:jc w:val="both"/>
              <w:rPr>
                <w:rFonts w:ascii="Calibri" w:hAnsi="Calibri"/>
                <w:bCs/>
                <w:sz w:val="22"/>
                <w:szCs w:val="22"/>
              </w:rPr>
            </w:pPr>
          </w:p>
        </w:tc>
        <w:tc>
          <w:tcPr>
            <w:tcW w:w="1440" w:type="dxa"/>
            <w:vMerge w:val="restart"/>
            <w:shd w:val="clear" w:color="auto" w:fill="auto"/>
          </w:tcPr>
          <w:p w:rsidR="00F42010" w:rsidRDefault="00F42010" w:rsidP="00F42010">
            <w:pPr>
              <w:widowControl/>
              <w:jc w:val="both"/>
              <w:rPr>
                <w:rFonts w:ascii="Calibri" w:hAnsi="Calibri"/>
                <w:color w:val="000000"/>
                <w:sz w:val="22"/>
                <w:szCs w:val="22"/>
              </w:rPr>
            </w:pPr>
            <w:r>
              <w:rPr>
                <w:rFonts w:ascii="Calibri" w:hAnsi="Calibri"/>
                <w:color w:val="000000"/>
                <w:sz w:val="22"/>
                <w:szCs w:val="22"/>
              </w:rPr>
              <w:t xml:space="preserve">5,695,437 </w:t>
            </w:r>
          </w:p>
          <w:p w:rsidR="000C5544" w:rsidRPr="002A77C6" w:rsidRDefault="000C5544" w:rsidP="00340435">
            <w:pPr>
              <w:pStyle w:val="BodyText2"/>
              <w:jc w:val="both"/>
              <w:rPr>
                <w:rFonts w:ascii="Calibri" w:hAnsi="Calibri"/>
                <w:sz w:val="22"/>
                <w:szCs w:val="22"/>
                <w:highlight w:val="yellow"/>
              </w:rPr>
            </w:pPr>
          </w:p>
        </w:tc>
        <w:tc>
          <w:tcPr>
            <w:tcW w:w="3960" w:type="dxa"/>
            <w:gridSpan w:val="2"/>
            <w:tcBorders>
              <w:left w:val="single" w:sz="4" w:space="0" w:color="auto"/>
              <w:bottom w:val="single" w:sz="4" w:space="0" w:color="auto"/>
            </w:tcBorders>
          </w:tcPr>
          <w:p w:rsidR="000C5544" w:rsidRPr="002A77C6" w:rsidRDefault="000C5544" w:rsidP="003E60C9">
            <w:pPr>
              <w:spacing w:line="0" w:lineRule="atLeast"/>
              <w:rPr>
                <w:rFonts w:ascii="Calibri" w:hAnsi="Calibri"/>
                <w:sz w:val="22"/>
                <w:szCs w:val="22"/>
              </w:rPr>
            </w:pPr>
            <w:r w:rsidRPr="007B2E95">
              <w:rPr>
                <w:rFonts w:ascii="Calibri" w:hAnsi="Calibri"/>
                <w:b/>
                <w:sz w:val="22"/>
                <w:szCs w:val="22"/>
              </w:rPr>
              <w:t>Indicator 1:</w:t>
            </w:r>
            <w:r w:rsidRPr="002A77C6">
              <w:rPr>
                <w:rFonts w:ascii="Calibri" w:hAnsi="Calibri"/>
                <w:sz w:val="22"/>
                <w:szCs w:val="22"/>
              </w:rPr>
              <w:t xml:space="preserve">  Number of evidence-based strategies to reduce poverty and achieve the MDGs implemented.</w:t>
            </w:r>
          </w:p>
          <w:p w:rsidR="000C5544" w:rsidRPr="002A77C6" w:rsidRDefault="000C5544" w:rsidP="003E60C9">
            <w:pPr>
              <w:spacing w:line="0" w:lineRule="atLeast"/>
              <w:rPr>
                <w:rFonts w:ascii="Calibri" w:hAnsi="Calibri"/>
                <w:sz w:val="22"/>
                <w:szCs w:val="22"/>
              </w:rPr>
            </w:pPr>
          </w:p>
          <w:p w:rsidR="000C5544" w:rsidRPr="002A77C6" w:rsidRDefault="000C5544" w:rsidP="003E60C9">
            <w:pPr>
              <w:spacing w:line="0" w:lineRule="atLeast"/>
              <w:rPr>
                <w:rFonts w:ascii="Calibri" w:hAnsi="Calibri"/>
                <w:sz w:val="22"/>
                <w:szCs w:val="22"/>
              </w:rPr>
            </w:pPr>
            <w:r w:rsidRPr="007B2E95">
              <w:rPr>
                <w:rFonts w:ascii="Calibri" w:hAnsi="Calibri"/>
                <w:b/>
                <w:sz w:val="22"/>
                <w:szCs w:val="22"/>
              </w:rPr>
              <w:t>Baseline:</w:t>
            </w:r>
            <w:r w:rsidRPr="002A77C6">
              <w:rPr>
                <w:rFonts w:ascii="Calibri" w:hAnsi="Calibri"/>
                <w:sz w:val="22"/>
                <w:szCs w:val="22"/>
              </w:rPr>
              <w:t xml:space="preserve">  One national strategy endorsed</w:t>
            </w:r>
          </w:p>
          <w:p w:rsidR="000C5544" w:rsidRPr="002A77C6" w:rsidRDefault="000C5544" w:rsidP="003E60C9">
            <w:pPr>
              <w:spacing w:line="0" w:lineRule="atLeast"/>
              <w:rPr>
                <w:rFonts w:ascii="Calibri" w:hAnsi="Calibri"/>
                <w:sz w:val="22"/>
                <w:szCs w:val="22"/>
              </w:rPr>
            </w:pPr>
          </w:p>
          <w:p w:rsidR="000C5544" w:rsidRPr="002A77C6" w:rsidRDefault="000C5544" w:rsidP="003E60C9">
            <w:pPr>
              <w:spacing w:line="0" w:lineRule="atLeast"/>
              <w:rPr>
                <w:rFonts w:ascii="Calibri" w:hAnsi="Calibri"/>
                <w:sz w:val="22"/>
                <w:szCs w:val="22"/>
              </w:rPr>
            </w:pPr>
            <w:r w:rsidRPr="007B2E95">
              <w:rPr>
                <w:rFonts w:ascii="Calibri" w:hAnsi="Calibri"/>
                <w:b/>
                <w:sz w:val="22"/>
                <w:szCs w:val="22"/>
              </w:rPr>
              <w:t>Target:</w:t>
            </w:r>
            <w:r w:rsidRPr="002A77C6">
              <w:rPr>
                <w:rFonts w:ascii="Calibri" w:hAnsi="Calibri"/>
                <w:sz w:val="22"/>
                <w:szCs w:val="22"/>
              </w:rPr>
              <w:t xml:space="preserve">  Additional one national strategy and two state-level strategies implemented in all states</w:t>
            </w:r>
          </w:p>
          <w:p w:rsidR="000C5544" w:rsidRPr="002A77C6" w:rsidRDefault="000C5544" w:rsidP="00183A4C">
            <w:pPr>
              <w:spacing w:line="0" w:lineRule="atLeast"/>
              <w:rPr>
                <w:rFonts w:ascii="Calibri" w:hAnsi="Calibri"/>
                <w:b/>
                <w:bCs/>
                <w:sz w:val="22"/>
                <w:szCs w:val="22"/>
                <w:lang w:val="en-GB"/>
              </w:rPr>
            </w:pPr>
          </w:p>
        </w:tc>
        <w:tc>
          <w:tcPr>
            <w:tcW w:w="5490" w:type="dxa"/>
            <w:gridSpan w:val="2"/>
            <w:shd w:val="clear" w:color="auto" w:fill="auto"/>
          </w:tcPr>
          <w:p w:rsidR="000C5544" w:rsidRPr="002A77C6" w:rsidRDefault="000C5544" w:rsidP="002E71FF">
            <w:pPr>
              <w:autoSpaceDE w:val="0"/>
              <w:autoSpaceDN w:val="0"/>
              <w:adjustRightInd w:val="0"/>
              <w:rPr>
                <w:rFonts w:ascii="Calibri" w:hAnsi="Calibri"/>
                <w:sz w:val="22"/>
                <w:szCs w:val="22"/>
              </w:rPr>
            </w:pPr>
            <w:r w:rsidRPr="002A77C6">
              <w:rPr>
                <w:rFonts w:ascii="Calibri" w:hAnsi="Calibri"/>
                <w:sz w:val="22"/>
                <w:szCs w:val="22"/>
              </w:rPr>
              <w:t>Indicator 1: One national strategy and two state level strategies</w:t>
            </w:r>
            <w:r>
              <w:rPr>
                <w:rFonts w:ascii="Calibri" w:hAnsi="Calibri"/>
                <w:sz w:val="22"/>
                <w:szCs w:val="22"/>
              </w:rPr>
              <w:t xml:space="preserve"> s</w:t>
            </w:r>
            <w:r w:rsidRPr="002A77C6">
              <w:rPr>
                <w:rFonts w:ascii="Calibri" w:hAnsi="Calibri"/>
                <w:sz w:val="22"/>
                <w:szCs w:val="22"/>
              </w:rPr>
              <w:t>upported. In working toward achieving the indicators UNDP is working closely with ministry of welfare on support integrated Social protection policy drafting, supported development of national employment strategy and creation of employment opportunities for Youth and Supported the development of national strategy for Statistical Systems in Sudan (NSDS).</w:t>
            </w:r>
          </w:p>
          <w:p w:rsidR="000C5544" w:rsidRPr="002A77C6" w:rsidRDefault="000C5544" w:rsidP="00503149">
            <w:pPr>
              <w:pStyle w:val="Default"/>
              <w:jc w:val="both"/>
              <w:rPr>
                <w:rFonts w:ascii="Calibri" w:hAnsi="Calibri"/>
                <w:color w:val="auto"/>
                <w:sz w:val="22"/>
                <w:szCs w:val="22"/>
              </w:rPr>
            </w:pPr>
          </w:p>
          <w:p w:rsidR="000C5544" w:rsidRPr="002A77C6" w:rsidRDefault="000C5544" w:rsidP="00503149">
            <w:pPr>
              <w:pStyle w:val="Default"/>
              <w:jc w:val="both"/>
              <w:rPr>
                <w:rFonts w:ascii="Calibri" w:hAnsi="Calibri"/>
                <w:b/>
                <w:bCs/>
                <w:color w:val="auto"/>
                <w:sz w:val="22"/>
                <w:szCs w:val="22"/>
              </w:rPr>
            </w:pPr>
          </w:p>
        </w:tc>
      </w:tr>
      <w:tr w:rsidR="000C5544" w:rsidRPr="002A77C6" w:rsidTr="00954DAA">
        <w:trPr>
          <w:trHeight w:val="1617"/>
        </w:trPr>
        <w:tc>
          <w:tcPr>
            <w:tcW w:w="3150" w:type="dxa"/>
            <w:gridSpan w:val="2"/>
            <w:vMerge/>
            <w:shd w:val="clear" w:color="auto" w:fill="FFFFFF"/>
          </w:tcPr>
          <w:p w:rsidR="000C5544" w:rsidRPr="002A77C6" w:rsidRDefault="000C5544" w:rsidP="00144946">
            <w:pPr>
              <w:rPr>
                <w:rFonts w:ascii="Calibri" w:hAnsi="Calibri" w:cs="Arial"/>
                <w:sz w:val="22"/>
                <w:szCs w:val="22"/>
              </w:rPr>
            </w:pPr>
          </w:p>
        </w:tc>
        <w:tc>
          <w:tcPr>
            <w:tcW w:w="1440" w:type="dxa"/>
            <w:vMerge/>
            <w:shd w:val="clear" w:color="auto" w:fill="auto"/>
          </w:tcPr>
          <w:p w:rsidR="000C5544" w:rsidRPr="002A77C6" w:rsidRDefault="000C5544" w:rsidP="00340435">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7961AF" w:rsidRPr="002A77C6" w:rsidRDefault="007961AF" w:rsidP="007961AF">
            <w:pPr>
              <w:spacing w:line="0" w:lineRule="atLeast"/>
              <w:rPr>
                <w:rFonts w:ascii="Calibri" w:hAnsi="Calibri"/>
                <w:sz w:val="22"/>
                <w:szCs w:val="22"/>
              </w:rPr>
            </w:pPr>
            <w:r w:rsidRPr="007B2E95">
              <w:rPr>
                <w:rFonts w:ascii="Calibri" w:hAnsi="Calibri"/>
                <w:b/>
                <w:sz w:val="22"/>
                <w:szCs w:val="22"/>
              </w:rPr>
              <w:t>Indicator 2</w:t>
            </w:r>
            <w:r w:rsidRPr="007B2E95">
              <w:rPr>
                <w:rFonts w:ascii="Calibri" w:hAnsi="Calibri"/>
                <w:b/>
                <w:bCs/>
                <w:sz w:val="22"/>
                <w:szCs w:val="22"/>
              </w:rPr>
              <w:t>:</w:t>
            </w:r>
            <w:r w:rsidRPr="002A77C6">
              <w:rPr>
                <w:rFonts w:ascii="Calibri" w:hAnsi="Calibri"/>
                <w:sz w:val="22"/>
                <w:szCs w:val="22"/>
              </w:rPr>
              <w:t xml:space="preserve"> Number of private sector companies and microfinance institutions providing microfinance services; </w:t>
            </w:r>
          </w:p>
          <w:p w:rsidR="007961AF" w:rsidRPr="002A77C6" w:rsidRDefault="007961AF" w:rsidP="007961AF">
            <w:pPr>
              <w:spacing w:line="0" w:lineRule="atLeast"/>
              <w:rPr>
                <w:rFonts w:ascii="Calibri" w:hAnsi="Calibri"/>
                <w:b/>
                <w:bCs/>
                <w:sz w:val="22"/>
                <w:szCs w:val="22"/>
              </w:rPr>
            </w:pPr>
          </w:p>
          <w:p w:rsidR="007961AF" w:rsidRPr="002A77C6" w:rsidRDefault="007961AF" w:rsidP="007961AF">
            <w:pPr>
              <w:spacing w:line="0" w:lineRule="atLeast"/>
              <w:rPr>
                <w:rFonts w:ascii="Calibri" w:hAnsi="Calibri"/>
                <w:sz w:val="22"/>
                <w:szCs w:val="22"/>
              </w:rPr>
            </w:pPr>
            <w:r w:rsidRPr="007B2E95">
              <w:rPr>
                <w:rFonts w:ascii="Calibri" w:hAnsi="Calibri"/>
                <w:b/>
                <w:sz w:val="22"/>
                <w:szCs w:val="22"/>
              </w:rPr>
              <w:t>Baseline:</w:t>
            </w:r>
            <w:r w:rsidRPr="002A77C6">
              <w:rPr>
                <w:rFonts w:ascii="Calibri" w:hAnsi="Calibri"/>
                <w:sz w:val="22"/>
                <w:szCs w:val="22"/>
              </w:rPr>
              <w:t xml:space="preserve"> One company providing microfinance service</w:t>
            </w:r>
          </w:p>
          <w:p w:rsidR="007961AF" w:rsidRPr="007B2E95" w:rsidRDefault="007961AF" w:rsidP="003E60C9">
            <w:pPr>
              <w:spacing w:line="0" w:lineRule="atLeast"/>
              <w:rPr>
                <w:rFonts w:ascii="Calibri" w:hAnsi="Calibri"/>
                <w:b/>
                <w:sz w:val="22"/>
                <w:szCs w:val="22"/>
              </w:rPr>
            </w:pPr>
          </w:p>
        </w:tc>
        <w:tc>
          <w:tcPr>
            <w:tcW w:w="5490" w:type="dxa"/>
            <w:gridSpan w:val="2"/>
            <w:shd w:val="clear" w:color="auto" w:fill="auto"/>
          </w:tcPr>
          <w:p w:rsidR="007961AF" w:rsidRPr="002A77C6" w:rsidRDefault="007961AF" w:rsidP="007961AF">
            <w:pPr>
              <w:rPr>
                <w:rFonts w:ascii="Calibri" w:hAnsi="Calibri"/>
                <w:sz w:val="22"/>
                <w:szCs w:val="22"/>
              </w:rPr>
            </w:pPr>
            <w:r w:rsidRPr="002A77C6">
              <w:rPr>
                <w:rFonts w:ascii="Calibri" w:hAnsi="Calibri"/>
                <w:sz w:val="22"/>
                <w:szCs w:val="22"/>
              </w:rPr>
              <w:t xml:space="preserve">Indicator 2. In support to development of private sector UNDP </w:t>
            </w:r>
            <w:r>
              <w:rPr>
                <w:rFonts w:ascii="Calibri" w:hAnsi="Calibri"/>
                <w:sz w:val="22"/>
                <w:szCs w:val="22"/>
              </w:rPr>
              <w:t>s</w:t>
            </w:r>
            <w:r w:rsidRPr="002A77C6">
              <w:rPr>
                <w:rFonts w:ascii="Calibri" w:hAnsi="Calibri"/>
                <w:sz w:val="22"/>
                <w:szCs w:val="22"/>
              </w:rPr>
              <w:t xml:space="preserve">upported the development of technical education and vocational training guidelines, and enhanced the institutional and human capacity of vocational training centres in support to employment generation and value chain development in East Sudan. </w:t>
            </w:r>
          </w:p>
          <w:p w:rsidR="000C5544" w:rsidRPr="002A77C6" w:rsidRDefault="000C5544" w:rsidP="007961AF">
            <w:pPr>
              <w:pStyle w:val="Default"/>
              <w:jc w:val="both"/>
              <w:rPr>
                <w:rFonts w:ascii="Calibri" w:hAnsi="Calibri"/>
                <w:sz w:val="22"/>
                <w:szCs w:val="22"/>
              </w:rPr>
            </w:pPr>
          </w:p>
        </w:tc>
      </w:tr>
      <w:tr w:rsidR="000C5544" w:rsidRPr="002A77C6" w:rsidTr="00920A71">
        <w:trPr>
          <w:trHeight w:val="1617"/>
        </w:trPr>
        <w:tc>
          <w:tcPr>
            <w:tcW w:w="3150" w:type="dxa"/>
            <w:gridSpan w:val="2"/>
            <w:vMerge/>
            <w:tcBorders>
              <w:bottom w:val="single" w:sz="4" w:space="0" w:color="auto"/>
            </w:tcBorders>
            <w:shd w:val="clear" w:color="auto" w:fill="FFFFFF"/>
          </w:tcPr>
          <w:p w:rsidR="000C5544" w:rsidRPr="002A77C6" w:rsidRDefault="000C5544" w:rsidP="00144946">
            <w:pPr>
              <w:rPr>
                <w:rFonts w:ascii="Calibri" w:hAnsi="Calibri" w:cs="Arial"/>
                <w:sz w:val="22"/>
                <w:szCs w:val="22"/>
              </w:rPr>
            </w:pPr>
          </w:p>
        </w:tc>
        <w:tc>
          <w:tcPr>
            <w:tcW w:w="1440" w:type="dxa"/>
            <w:vMerge/>
            <w:tcBorders>
              <w:bottom w:val="single" w:sz="4" w:space="0" w:color="auto"/>
            </w:tcBorders>
            <w:shd w:val="clear" w:color="auto" w:fill="auto"/>
          </w:tcPr>
          <w:p w:rsidR="000C5544" w:rsidRPr="002A77C6" w:rsidRDefault="000C5544" w:rsidP="00340435">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7961AF" w:rsidRPr="002A77C6" w:rsidRDefault="007961AF" w:rsidP="007961AF">
            <w:pPr>
              <w:spacing w:line="0" w:lineRule="atLeast"/>
              <w:rPr>
                <w:rFonts w:ascii="Calibri" w:hAnsi="Calibri"/>
                <w:sz w:val="22"/>
                <w:szCs w:val="22"/>
              </w:rPr>
            </w:pPr>
            <w:r w:rsidRPr="002A77C6">
              <w:rPr>
                <w:rFonts w:ascii="Calibri" w:hAnsi="Calibri"/>
                <w:sz w:val="22"/>
                <w:szCs w:val="22"/>
              </w:rPr>
              <w:t>Indicator 3</w:t>
            </w:r>
            <w:r w:rsidRPr="002A77C6">
              <w:rPr>
                <w:rFonts w:ascii="Calibri" w:hAnsi="Calibri"/>
                <w:b/>
                <w:bCs/>
                <w:sz w:val="22"/>
                <w:szCs w:val="22"/>
              </w:rPr>
              <w:t>:</w:t>
            </w:r>
            <w:r w:rsidRPr="002A77C6">
              <w:rPr>
                <w:rFonts w:ascii="Calibri" w:hAnsi="Calibri"/>
                <w:sz w:val="22"/>
                <w:szCs w:val="22"/>
              </w:rPr>
              <w:t xml:space="preserve"> Number of investment initiatives generating local-level employment</w:t>
            </w:r>
            <w:r w:rsidRPr="002A77C6">
              <w:rPr>
                <w:rFonts w:ascii="Calibri" w:hAnsi="Calibri"/>
                <w:sz w:val="22"/>
                <w:szCs w:val="22"/>
              </w:rPr>
              <w:br/>
            </w:r>
            <w:r w:rsidRPr="002A77C6">
              <w:rPr>
                <w:rFonts w:ascii="Calibri" w:hAnsi="Calibri"/>
                <w:sz w:val="22"/>
                <w:szCs w:val="22"/>
              </w:rPr>
              <w:br/>
            </w:r>
            <w:r w:rsidRPr="007B2E95">
              <w:rPr>
                <w:rFonts w:ascii="Calibri" w:hAnsi="Calibri"/>
                <w:b/>
                <w:sz w:val="22"/>
                <w:szCs w:val="22"/>
              </w:rPr>
              <w:t>Baseline:</w:t>
            </w:r>
            <w:r w:rsidRPr="002A77C6">
              <w:rPr>
                <w:rFonts w:ascii="Calibri" w:hAnsi="Calibri"/>
                <w:b/>
                <w:bCs/>
                <w:sz w:val="22"/>
                <w:szCs w:val="22"/>
              </w:rPr>
              <w:t xml:space="preserve"> </w:t>
            </w:r>
            <w:r w:rsidRPr="002A77C6">
              <w:rPr>
                <w:rFonts w:ascii="Calibri" w:hAnsi="Calibri"/>
                <w:sz w:val="22"/>
                <w:szCs w:val="22"/>
              </w:rPr>
              <w:t xml:space="preserve"> None. </w:t>
            </w:r>
          </w:p>
          <w:p w:rsidR="007961AF" w:rsidRDefault="007961AF" w:rsidP="007961AF">
            <w:pPr>
              <w:spacing w:line="0" w:lineRule="atLeast"/>
              <w:rPr>
                <w:rFonts w:ascii="Calibri" w:hAnsi="Calibri"/>
                <w:b/>
                <w:sz w:val="22"/>
                <w:szCs w:val="22"/>
              </w:rPr>
            </w:pPr>
          </w:p>
          <w:p w:rsidR="000C5544" w:rsidRPr="007B2E95" w:rsidRDefault="007961AF" w:rsidP="007961AF">
            <w:pPr>
              <w:spacing w:line="0" w:lineRule="atLeast"/>
              <w:rPr>
                <w:rFonts w:ascii="Calibri" w:hAnsi="Calibri"/>
                <w:b/>
                <w:sz w:val="22"/>
                <w:szCs w:val="22"/>
              </w:rPr>
            </w:pPr>
            <w:r w:rsidRPr="007B2E95">
              <w:rPr>
                <w:rFonts w:ascii="Calibri" w:hAnsi="Calibri"/>
                <w:b/>
                <w:sz w:val="22"/>
                <w:szCs w:val="22"/>
              </w:rPr>
              <w:t>Target:</w:t>
            </w:r>
            <w:r w:rsidRPr="002A77C6">
              <w:rPr>
                <w:rFonts w:ascii="Calibri" w:hAnsi="Calibri"/>
                <w:b/>
                <w:bCs/>
                <w:sz w:val="22"/>
                <w:szCs w:val="22"/>
              </w:rPr>
              <w:t xml:space="preserve"> </w:t>
            </w:r>
            <w:r w:rsidRPr="002A77C6">
              <w:rPr>
                <w:rFonts w:ascii="Calibri" w:hAnsi="Calibri"/>
                <w:sz w:val="22"/>
                <w:szCs w:val="22"/>
              </w:rPr>
              <w:t>At least one initiative</w:t>
            </w:r>
            <w:r w:rsidRPr="002A77C6">
              <w:rPr>
                <w:rFonts w:ascii="Calibri" w:hAnsi="Calibri"/>
                <w:b/>
                <w:bCs/>
                <w:sz w:val="22"/>
                <w:szCs w:val="22"/>
              </w:rPr>
              <w:t xml:space="preserve">  </w:t>
            </w:r>
            <w:r w:rsidRPr="002A77C6">
              <w:rPr>
                <w:rFonts w:ascii="Calibri" w:hAnsi="Calibri"/>
                <w:sz w:val="22"/>
                <w:szCs w:val="22"/>
              </w:rPr>
              <w:t>generated at local level</w:t>
            </w:r>
            <w:r w:rsidRPr="002A77C6">
              <w:rPr>
                <w:rFonts w:ascii="Calibri" w:hAnsi="Calibri"/>
                <w:b/>
                <w:bCs/>
                <w:sz w:val="22"/>
                <w:szCs w:val="22"/>
              </w:rPr>
              <w:t xml:space="preserve">    </w:t>
            </w:r>
          </w:p>
        </w:tc>
        <w:tc>
          <w:tcPr>
            <w:tcW w:w="5490" w:type="dxa"/>
            <w:gridSpan w:val="2"/>
            <w:tcBorders>
              <w:bottom w:val="single" w:sz="4" w:space="0" w:color="auto"/>
            </w:tcBorders>
            <w:shd w:val="clear" w:color="auto" w:fill="auto"/>
          </w:tcPr>
          <w:p w:rsidR="007961AF" w:rsidRPr="002A77C6" w:rsidRDefault="007961AF" w:rsidP="007961AF">
            <w:pPr>
              <w:pStyle w:val="Default"/>
              <w:jc w:val="both"/>
              <w:rPr>
                <w:rFonts w:ascii="Calibri" w:hAnsi="Calibri"/>
                <w:b/>
                <w:bCs/>
                <w:color w:val="auto"/>
                <w:sz w:val="22"/>
                <w:szCs w:val="22"/>
              </w:rPr>
            </w:pPr>
            <w:r w:rsidRPr="002A77C6">
              <w:rPr>
                <w:rFonts w:ascii="Calibri" w:hAnsi="Calibri"/>
                <w:color w:val="auto"/>
                <w:sz w:val="22"/>
                <w:szCs w:val="22"/>
              </w:rPr>
              <w:t>Indicator 3. One initiative generated</w:t>
            </w:r>
            <w:r>
              <w:rPr>
                <w:rFonts w:ascii="Calibri" w:hAnsi="Calibri"/>
                <w:color w:val="auto"/>
                <w:sz w:val="22"/>
                <w:szCs w:val="22"/>
              </w:rPr>
              <w:t>, which contributed to the</w:t>
            </w:r>
            <w:r w:rsidRPr="002A77C6">
              <w:rPr>
                <w:rFonts w:ascii="Calibri" w:hAnsi="Calibri"/>
                <w:color w:val="auto"/>
                <w:sz w:val="22"/>
                <w:szCs w:val="22"/>
              </w:rPr>
              <w:t xml:space="preserve"> improvement of microfinance policies and capacity development of MF institutions</w:t>
            </w:r>
            <w:r>
              <w:rPr>
                <w:rFonts w:ascii="Calibri" w:hAnsi="Calibri"/>
                <w:color w:val="auto"/>
                <w:sz w:val="22"/>
                <w:szCs w:val="22"/>
              </w:rPr>
              <w:t>, in</w:t>
            </w:r>
            <w:r w:rsidRPr="002A77C6">
              <w:rPr>
                <w:rFonts w:ascii="Calibri" w:hAnsi="Calibri"/>
                <w:color w:val="auto"/>
                <w:sz w:val="22"/>
                <w:szCs w:val="22"/>
              </w:rPr>
              <w:t xml:space="preserve"> partnership with </w:t>
            </w:r>
            <w:r>
              <w:rPr>
                <w:rFonts w:ascii="Calibri" w:hAnsi="Calibri"/>
                <w:color w:val="auto"/>
                <w:sz w:val="22"/>
                <w:szCs w:val="22"/>
              </w:rPr>
              <w:t xml:space="preserve">the </w:t>
            </w:r>
            <w:r w:rsidRPr="002A77C6">
              <w:rPr>
                <w:rFonts w:ascii="Calibri" w:hAnsi="Calibri"/>
                <w:color w:val="auto"/>
                <w:sz w:val="22"/>
                <w:szCs w:val="22"/>
              </w:rPr>
              <w:t xml:space="preserve">microfinance unit at the central bank. </w:t>
            </w:r>
          </w:p>
          <w:p w:rsidR="000C5544" w:rsidRPr="002A77C6" w:rsidRDefault="000C5544" w:rsidP="002E71FF">
            <w:pPr>
              <w:autoSpaceDE w:val="0"/>
              <w:autoSpaceDN w:val="0"/>
              <w:adjustRightInd w:val="0"/>
              <w:rPr>
                <w:rFonts w:ascii="Calibri" w:hAnsi="Calibri"/>
                <w:sz w:val="22"/>
                <w:szCs w:val="22"/>
              </w:rPr>
            </w:pPr>
          </w:p>
        </w:tc>
      </w:tr>
      <w:tr w:rsidR="00144946" w:rsidRPr="002A77C6" w:rsidTr="00DB3D0A">
        <w:tc>
          <w:tcPr>
            <w:tcW w:w="14040" w:type="dxa"/>
            <w:gridSpan w:val="7"/>
            <w:tcBorders>
              <w:bottom w:val="single" w:sz="4" w:space="0" w:color="auto"/>
            </w:tcBorders>
            <w:shd w:val="clear" w:color="auto" w:fill="FFFFFF"/>
          </w:tcPr>
          <w:p w:rsidR="00144946" w:rsidRDefault="00144946" w:rsidP="00144946">
            <w:pPr>
              <w:pStyle w:val="BodyText2"/>
              <w:jc w:val="both"/>
              <w:rPr>
                <w:rFonts w:ascii="Calibri" w:hAnsi="Calibri"/>
                <w:b/>
                <w:sz w:val="22"/>
                <w:szCs w:val="22"/>
              </w:rPr>
            </w:pPr>
            <w:r w:rsidRPr="002A77C6">
              <w:rPr>
                <w:rFonts w:ascii="Calibri" w:hAnsi="Calibri"/>
                <w:b/>
                <w:sz w:val="22"/>
                <w:szCs w:val="22"/>
              </w:rPr>
              <w:lastRenderedPageBreak/>
              <w:t>UNDP Contribution:</w:t>
            </w:r>
          </w:p>
          <w:p w:rsidR="001D07E7" w:rsidRDefault="001D07E7" w:rsidP="00144946">
            <w:pPr>
              <w:pStyle w:val="BodyText2"/>
              <w:jc w:val="both"/>
              <w:rPr>
                <w:rFonts w:ascii="Calibri" w:hAnsi="Calibri"/>
                <w:b/>
                <w:sz w:val="22"/>
                <w:szCs w:val="22"/>
              </w:rPr>
            </w:pPr>
          </w:p>
          <w:p w:rsidR="001D07E7" w:rsidRPr="001D07E7" w:rsidRDefault="001D07E7" w:rsidP="00144946">
            <w:pPr>
              <w:pStyle w:val="BodyText2"/>
              <w:jc w:val="both"/>
              <w:rPr>
                <w:rFonts w:ascii="Calibri" w:hAnsi="Calibri"/>
                <w:b/>
                <w:sz w:val="22"/>
                <w:szCs w:val="22"/>
                <w:u w:val="single"/>
              </w:rPr>
            </w:pPr>
            <w:r w:rsidRPr="001D07E7">
              <w:rPr>
                <w:rFonts w:ascii="Calibri" w:hAnsi="Calibri"/>
                <w:b/>
                <w:sz w:val="22"/>
                <w:szCs w:val="22"/>
                <w:u w:val="single"/>
              </w:rPr>
              <w:t>CP outputs:</w:t>
            </w:r>
          </w:p>
          <w:p w:rsidR="00EB5FA8" w:rsidRPr="002A77C6" w:rsidRDefault="00EB5FA8" w:rsidP="00503149">
            <w:pPr>
              <w:pStyle w:val="BodyText2"/>
              <w:jc w:val="both"/>
              <w:rPr>
                <w:rFonts w:ascii="Calibri" w:hAnsi="Calibri"/>
                <w:sz w:val="22"/>
                <w:szCs w:val="22"/>
                <w:u w:val="single"/>
              </w:rPr>
            </w:pPr>
            <w:r w:rsidRPr="002A77C6">
              <w:rPr>
                <w:rFonts w:ascii="Calibri" w:hAnsi="Calibri"/>
                <w:sz w:val="22"/>
                <w:szCs w:val="22"/>
              </w:rPr>
              <w:t>In its Country Program</w:t>
            </w:r>
            <w:r w:rsidR="007B2E95">
              <w:rPr>
                <w:rFonts w:ascii="Calibri" w:hAnsi="Calibri"/>
                <w:sz w:val="22"/>
                <w:szCs w:val="22"/>
              </w:rPr>
              <w:t>me</w:t>
            </w:r>
            <w:r w:rsidRPr="002A77C6">
              <w:rPr>
                <w:rFonts w:ascii="Calibri" w:hAnsi="Calibri"/>
                <w:sz w:val="22"/>
                <w:szCs w:val="22"/>
              </w:rPr>
              <w:t xml:space="preserve"> Action Plan (CPAP), UNDP </w:t>
            </w:r>
            <w:r w:rsidR="00183A4C" w:rsidRPr="002A77C6">
              <w:rPr>
                <w:rFonts w:ascii="Calibri" w:hAnsi="Calibri"/>
                <w:sz w:val="22"/>
                <w:szCs w:val="22"/>
              </w:rPr>
              <w:t>Sudan associated</w:t>
            </w:r>
            <w:r w:rsidRPr="002A77C6">
              <w:rPr>
                <w:rFonts w:ascii="Calibri" w:hAnsi="Calibri"/>
                <w:sz w:val="22"/>
                <w:szCs w:val="22"/>
              </w:rPr>
              <w:t xml:space="preserve"> the achievement of this outcome </w:t>
            </w:r>
            <w:r w:rsidR="00503149" w:rsidRPr="002A77C6">
              <w:rPr>
                <w:rFonts w:ascii="Calibri" w:hAnsi="Calibri"/>
                <w:sz w:val="22"/>
                <w:szCs w:val="22"/>
              </w:rPr>
              <w:t>with</w:t>
            </w:r>
            <w:r w:rsidRPr="002A77C6">
              <w:rPr>
                <w:rFonts w:ascii="Calibri" w:hAnsi="Calibri"/>
                <w:sz w:val="22"/>
                <w:szCs w:val="22"/>
              </w:rPr>
              <w:t xml:space="preserve"> three main outputs that will </w:t>
            </w:r>
            <w:r w:rsidR="00183A4C" w:rsidRPr="002A77C6">
              <w:rPr>
                <w:rFonts w:ascii="Calibri" w:hAnsi="Calibri"/>
                <w:sz w:val="22"/>
                <w:szCs w:val="22"/>
              </w:rPr>
              <w:t>collectively</w:t>
            </w:r>
            <w:r w:rsidRPr="002A77C6">
              <w:rPr>
                <w:rFonts w:ascii="Calibri" w:hAnsi="Calibri"/>
                <w:sz w:val="22"/>
                <w:szCs w:val="22"/>
              </w:rPr>
              <w:t xml:space="preserve"> support the government and people of Sudan to </w:t>
            </w:r>
            <w:r w:rsidR="00183A4C" w:rsidRPr="002A77C6">
              <w:rPr>
                <w:rFonts w:ascii="Calibri" w:hAnsi="Calibri"/>
                <w:sz w:val="22"/>
                <w:szCs w:val="22"/>
              </w:rPr>
              <w:t>substantially improve the poverty situation in country</w:t>
            </w:r>
            <w:r w:rsidR="00503149" w:rsidRPr="002A77C6">
              <w:rPr>
                <w:rFonts w:ascii="Calibri" w:hAnsi="Calibri"/>
                <w:sz w:val="22"/>
                <w:szCs w:val="22"/>
              </w:rPr>
              <w:t xml:space="preserve">: </w:t>
            </w:r>
          </w:p>
          <w:p w:rsidR="00EB5FA8" w:rsidRPr="002A77C6" w:rsidRDefault="00EB5FA8" w:rsidP="00144946">
            <w:pPr>
              <w:pStyle w:val="BodyText2"/>
              <w:jc w:val="both"/>
              <w:rPr>
                <w:rFonts w:ascii="Calibri" w:hAnsi="Calibri"/>
                <w:b/>
                <w:sz w:val="22"/>
                <w:szCs w:val="22"/>
              </w:rPr>
            </w:pPr>
          </w:p>
          <w:p w:rsidR="00EB5FA8" w:rsidRPr="002A77C6" w:rsidRDefault="00EB5FA8" w:rsidP="00EB5FA8">
            <w:pPr>
              <w:spacing w:line="0" w:lineRule="atLeast"/>
              <w:rPr>
                <w:rFonts w:ascii="Calibri" w:hAnsi="Calibri"/>
                <w:sz w:val="22"/>
                <w:szCs w:val="22"/>
              </w:rPr>
            </w:pPr>
            <w:r w:rsidRPr="002A77C6">
              <w:rPr>
                <w:rFonts w:ascii="Calibri" w:hAnsi="Calibri"/>
                <w:sz w:val="22"/>
                <w:szCs w:val="22"/>
              </w:rPr>
              <w:t>Output 1: Livelihoods options and opportunities for rural and urban communities enhanced to accelerate economic reintegration, employment creation and long-term recovery and equitable development</w:t>
            </w:r>
          </w:p>
          <w:p w:rsidR="00EB5FA8" w:rsidRPr="002A77C6" w:rsidRDefault="00EB5FA8" w:rsidP="00EB5FA8">
            <w:pPr>
              <w:spacing w:line="0" w:lineRule="atLeast"/>
              <w:rPr>
                <w:rFonts w:ascii="Calibri" w:hAnsi="Calibri"/>
                <w:sz w:val="22"/>
                <w:szCs w:val="22"/>
              </w:rPr>
            </w:pPr>
            <w:r w:rsidRPr="002A77C6">
              <w:rPr>
                <w:rFonts w:ascii="Calibri" w:hAnsi="Calibri"/>
                <w:sz w:val="22"/>
                <w:szCs w:val="22"/>
              </w:rPr>
              <w:t>Output 2: Relevant public institutions are better able to measure and assess socio-economic vulnerabilities and review related policies and strategies in support of poverty reduction and achievement of MDGs</w:t>
            </w:r>
          </w:p>
          <w:p w:rsidR="00EB5FA8" w:rsidRPr="002A77C6" w:rsidRDefault="00EB5FA8" w:rsidP="00EB5FA8">
            <w:pPr>
              <w:spacing w:line="0" w:lineRule="atLeast"/>
              <w:rPr>
                <w:rFonts w:ascii="Calibri" w:hAnsi="Calibri"/>
                <w:sz w:val="22"/>
                <w:szCs w:val="22"/>
              </w:rPr>
            </w:pPr>
            <w:r w:rsidRPr="002A77C6">
              <w:rPr>
                <w:rFonts w:ascii="Calibri" w:hAnsi="Calibri"/>
                <w:sz w:val="22"/>
                <w:szCs w:val="22"/>
              </w:rPr>
              <w:t xml:space="preserve">Output 3: Local business environment for public, private and development partners’ investment is enhanced to ensure economic growth for all </w:t>
            </w:r>
          </w:p>
          <w:p w:rsidR="00503149" w:rsidRPr="002A77C6" w:rsidRDefault="00503149" w:rsidP="00503149">
            <w:pPr>
              <w:pStyle w:val="BodyText2"/>
              <w:jc w:val="both"/>
              <w:rPr>
                <w:rFonts w:ascii="Calibri" w:hAnsi="Calibri"/>
                <w:sz w:val="22"/>
                <w:szCs w:val="22"/>
                <w:u w:val="single"/>
              </w:rPr>
            </w:pPr>
          </w:p>
          <w:p w:rsidR="00503149" w:rsidRPr="002A77C6" w:rsidRDefault="00503149" w:rsidP="00503149">
            <w:pPr>
              <w:pStyle w:val="BodyText2"/>
              <w:jc w:val="both"/>
              <w:rPr>
                <w:rFonts w:ascii="Calibri" w:hAnsi="Calibri"/>
                <w:b/>
                <w:bCs/>
                <w:sz w:val="22"/>
                <w:szCs w:val="22"/>
              </w:rPr>
            </w:pPr>
            <w:r w:rsidRPr="002A77C6">
              <w:rPr>
                <w:rFonts w:ascii="Calibri" w:hAnsi="Calibri"/>
                <w:b/>
                <w:bCs/>
                <w:sz w:val="22"/>
                <w:szCs w:val="22"/>
                <w:u w:val="single"/>
              </w:rPr>
              <w:t>Progress and Achievements</w:t>
            </w:r>
            <w:r w:rsidRPr="002A77C6">
              <w:rPr>
                <w:rFonts w:ascii="Calibri" w:hAnsi="Calibri"/>
                <w:b/>
                <w:bCs/>
                <w:sz w:val="22"/>
                <w:szCs w:val="22"/>
              </w:rPr>
              <w:t>:</w:t>
            </w:r>
          </w:p>
          <w:p w:rsidR="0075088D" w:rsidRPr="002A77C6" w:rsidRDefault="0075088D" w:rsidP="00503149">
            <w:pPr>
              <w:pStyle w:val="BodyText2"/>
              <w:jc w:val="both"/>
              <w:rPr>
                <w:rFonts w:ascii="Calibri" w:hAnsi="Calibri"/>
                <w:sz w:val="22"/>
                <w:szCs w:val="22"/>
              </w:rPr>
            </w:pPr>
          </w:p>
          <w:p w:rsidR="0075088D" w:rsidRPr="002A77C6" w:rsidRDefault="0075088D" w:rsidP="00FB6195">
            <w:pPr>
              <w:spacing w:line="0" w:lineRule="atLeast"/>
              <w:rPr>
                <w:rFonts w:ascii="Calibri" w:hAnsi="Calibri"/>
                <w:sz w:val="22"/>
                <w:szCs w:val="22"/>
              </w:rPr>
            </w:pPr>
            <w:r w:rsidRPr="002A77C6">
              <w:rPr>
                <w:rFonts w:ascii="Calibri" w:hAnsi="Calibri"/>
                <w:sz w:val="22"/>
                <w:szCs w:val="22"/>
              </w:rPr>
              <w:t xml:space="preserve">2015 saw the adoption of the SDGs as the basis for development planning and Sudan endorsed the SDGs as the guiding development agenda. </w:t>
            </w:r>
            <w:r w:rsidR="007B2E95">
              <w:rPr>
                <w:rFonts w:ascii="Calibri" w:hAnsi="Calibri"/>
                <w:sz w:val="22"/>
                <w:szCs w:val="22"/>
              </w:rPr>
              <w:t>The</w:t>
            </w:r>
            <w:r w:rsidR="007B2E95" w:rsidRPr="002A77C6">
              <w:rPr>
                <w:rFonts w:ascii="Calibri" w:hAnsi="Calibri"/>
                <w:sz w:val="22"/>
                <w:szCs w:val="22"/>
              </w:rPr>
              <w:t xml:space="preserve"> </w:t>
            </w:r>
            <w:r w:rsidR="007B2E95">
              <w:rPr>
                <w:rFonts w:ascii="Calibri" w:hAnsi="Calibri"/>
                <w:sz w:val="22"/>
                <w:szCs w:val="22"/>
              </w:rPr>
              <w:t>G</w:t>
            </w:r>
            <w:r w:rsidR="007B2E95" w:rsidRPr="002A77C6">
              <w:rPr>
                <w:rFonts w:ascii="Calibri" w:hAnsi="Calibri"/>
                <w:sz w:val="22"/>
                <w:szCs w:val="22"/>
              </w:rPr>
              <w:t>overnment</w:t>
            </w:r>
            <w:r w:rsidR="007B2E95">
              <w:rPr>
                <w:rFonts w:ascii="Calibri" w:hAnsi="Calibri"/>
                <w:sz w:val="22"/>
                <w:szCs w:val="22"/>
              </w:rPr>
              <w:t xml:space="preserve">, </w:t>
            </w:r>
            <w:r w:rsidRPr="002A77C6">
              <w:rPr>
                <w:rFonts w:ascii="Calibri" w:hAnsi="Calibri"/>
                <w:sz w:val="22"/>
                <w:szCs w:val="22"/>
              </w:rPr>
              <w:t>with support from UNDP</w:t>
            </w:r>
            <w:r w:rsidR="007B2E95">
              <w:rPr>
                <w:rFonts w:ascii="Calibri" w:hAnsi="Calibri"/>
                <w:sz w:val="22"/>
                <w:szCs w:val="22"/>
              </w:rPr>
              <w:t>,</w:t>
            </w:r>
            <w:r w:rsidRPr="002A77C6">
              <w:rPr>
                <w:rFonts w:ascii="Calibri" w:hAnsi="Calibri"/>
                <w:sz w:val="22"/>
                <w:szCs w:val="22"/>
              </w:rPr>
              <w:t xml:space="preserve"> set up a road map for efficient bridging from MDGs to SDGs as a base of the national and sub national strategic planning as well as continue considering the unfinished business during the MDGs area within the new development frameworks. A MDGs wrap up report </w:t>
            </w:r>
            <w:r w:rsidR="007B2E95">
              <w:rPr>
                <w:rFonts w:ascii="Calibri" w:hAnsi="Calibri"/>
                <w:sz w:val="22"/>
                <w:szCs w:val="22"/>
              </w:rPr>
              <w:t>was</w:t>
            </w:r>
            <w:r w:rsidRPr="002A77C6">
              <w:rPr>
                <w:rFonts w:ascii="Calibri" w:hAnsi="Calibri"/>
                <w:sz w:val="22"/>
                <w:szCs w:val="22"/>
              </w:rPr>
              <w:t xml:space="preserve"> developed and endorsed early </w:t>
            </w:r>
            <w:r w:rsidR="007B2E95">
              <w:rPr>
                <w:rFonts w:ascii="Calibri" w:hAnsi="Calibri"/>
                <w:sz w:val="22"/>
                <w:szCs w:val="22"/>
              </w:rPr>
              <w:t>in 2015</w:t>
            </w:r>
            <w:r w:rsidRPr="002A77C6">
              <w:rPr>
                <w:rFonts w:ascii="Calibri" w:hAnsi="Calibri"/>
                <w:sz w:val="22"/>
                <w:szCs w:val="22"/>
              </w:rPr>
              <w:t xml:space="preserve"> by the </w:t>
            </w:r>
            <w:r w:rsidR="007B2E95">
              <w:rPr>
                <w:rFonts w:ascii="Calibri" w:hAnsi="Calibri"/>
                <w:sz w:val="22"/>
                <w:szCs w:val="22"/>
              </w:rPr>
              <w:t>G</w:t>
            </w:r>
            <w:r w:rsidR="007B2E95" w:rsidRPr="002A77C6">
              <w:rPr>
                <w:rFonts w:ascii="Calibri" w:hAnsi="Calibri"/>
                <w:sz w:val="22"/>
                <w:szCs w:val="22"/>
              </w:rPr>
              <w:t xml:space="preserve">overnment </w:t>
            </w:r>
            <w:r w:rsidRPr="002A77C6">
              <w:rPr>
                <w:rFonts w:ascii="Calibri" w:hAnsi="Calibri"/>
                <w:sz w:val="22"/>
                <w:szCs w:val="22"/>
              </w:rPr>
              <w:t xml:space="preserve">to conclude the 15 years’ work of MDGs and set a baseline for the new SDGs focused plans and policies. </w:t>
            </w:r>
          </w:p>
          <w:p w:rsidR="00885ECD" w:rsidRPr="002A77C6" w:rsidRDefault="00885ECD" w:rsidP="00885ECD">
            <w:pPr>
              <w:spacing w:line="0" w:lineRule="atLeast"/>
              <w:rPr>
                <w:rFonts w:ascii="Calibri" w:hAnsi="Calibri"/>
                <w:sz w:val="22"/>
                <w:szCs w:val="22"/>
              </w:rPr>
            </w:pPr>
          </w:p>
          <w:p w:rsidR="0075088D" w:rsidRDefault="0075088D" w:rsidP="00885ECD">
            <w:pPr>
              <w:spacing w:line="0" w:lineRule="atLeast"/>
              <w:rPr>
                <w:rFonts w:ascii="Calibri" w:hAnsi="Calibri"/>
                <w:sz w:val="22"/>
                <w:szCs w:val="22"/>
              </w:rPr>
            </w:pPr>
            <w:r w:rsidRPr="002A77C6">
              <w:rPr>
                <w:rFonts w:ascii="Calibri" w:hAnsi="Calibri"/>
                <w:sz w:val="22"/>
                <w:szCs w:val="22"/>
              </w:rPr>
              <w:t xml:space="preserve">UNDP also supported the drafting of the "Sudan Aid Strategy". In the same context, UNDP has in 2015 supported the development of a "Plan of Action for the National Strategy for Development of Statistics" and the development of a "Compendium for Statistical Work in Sudan". A total of 455 government personnel </w:t>
            </w:r>
            <w:r w:rsidR="007B2E95">
              <w:rPr>
                <w:rFonts w:ascii="Calibri" w:hAnsi="Calibri"/>
                <w:sz w:val="22"/>
                <w:szCs w:val="22"/>
              </w:rPr>
              <w:t>were</w:t>
            </w:r>
            <w:r w:rsidRPr="002A77C6">
              <w:rPr>
                <w:rFonts w:ascii="Calibri" w:hAnsi="Calibri"/>
                <w:sz w:val="22"/>
                <w:szCs w:val="22"/>
              </w:rPr>
              <w:t xml:space="preserve"> trained on aid management, aid information and Result Based Management. </w:t>
            </w:r>
          </w:p>
          <w:p w:rsidR="00D4465F" w:rsidRPr="002A77C6" w:rsidRDefault="00D4465F" w:rsidP="00885ECD">
            <w:pPr>
              <w:spacing w:line="0" w:lineRule="atLeast"/>
              <w:rPr>
                <w:rFonts w:ascii="Calibri" w:hAnsi="Calibri"/>
                <w:sz w:val="22"/>
                <w:szCs w:val="22"/>
              </w:rPr>
            </w:pPr>
          </w:p>
          <w:p w:rsidR="0075088D" w:rsidRPr="002A77C6" w:rsidRDefault="0075088D" w:rsidP="000B11F0">
            <w:pPr>
              <w:spacing w:line="0" w:lineRule="atLeast"/>
              <w:rPr>
                <w:rFonts w:ascii="Calibri" w:hAnsi="Calibri"/>
                <w:sz w:val="22"/>
                <w:szCs w:val="22"/>
              </w:rPr>
            </w:pPr>
            <w:r w:rsidRPr="002A77C6">
              <w:rPr>
                <w:rFonts w:ascii="Calibri" w:hAnsi="Calibri"/>
                <w:sz w:val="22"/>
                <w:szCs w:val="22"/>
              </w:rPr>
              <w:t>UNDP in collaboration with the Ministry of Labor launched a labor-intensive employment model in 2015, benefiting from experiences in Brazil, South Africa, and India. The establishment of the Labor Coordination Unit rooted in the Ministry of Labor works indicates an important policy changes in the rollout of a new employment creation model and act as a hub to coordinate the efforts of local governments, priv</w:t>
            </w:r>
            <w:r w:rsidR="000B11F0" w:rsidRPr="002A77C6">
              <w:rPr>
                <w:rFonts w:ascii="Calibri" w:hAnsi="Calibri"/>
                <w:sz w:val="22"/>
                <w:szCs w:val="22"/>
              </w:rPr>
              <w:t>ate</w:t>
            </w:r>
            <w:r w:rsidRPr="002A77C6">
              <w:rPr>
                <w:rFonts w:ascii="Calibri" w:hAnsi="Calibri"/>
                <w:sz w:val="22"/>
                <w:szCs w:val="22"/>
              </w:rPr>
              <w:t xml:space="preserve"> sector, and youth in creating labor intensive jobs. It also helps in expanding the skills base of Sudanese by giving people access to training and labor market information. </w:t>
            </w:r>
          </w:p>
          <w:p w:rsidR="000B11F0" w:rsidRPr="002A77C6" w:rsidRDefault="000B11F0" w:rsidP="000B11F0">
            <w:pPr>
              <w:spacing w:line="0" w:lineRule="atLeast"/>
              <w:rPr>
                <w:rFonts w:ascii="Calibri" w:hAnsi="Calibri"/>
                <w:sz w:val="22"/>
                <w:szCs w:val="22"/>
              </w:rPr>
            </w:pPr>
          </w:p>
          <w:p w:rsidR="0075088D" w:rsidRPr="002A77C6" w:rsidRDefault="0075088D" w:rsidP="006305EC">
            <w:pPr>
              <w:spacing w:line="0" w:lineRule="atLeast"/>
              <w:rPr>
                <w:rFonts w:ascii="Calibri" w:hAnsi="Calibri"/>
                <w:sz w:val="22"/>
                <w:szCs w:val="22"/>
              </w:rPr>
            </w:pPr>
            <w:r w:rsidRPr="002A77C6">
              <w:rPr>
                <w:rFonts w:ascii="Calibri" w:hAnsi="Calibri"/>
                <w:sz w:val="22"/>
                <w:szCs w:val="22"/>
              </w:rPr>
              <w:t xml:space="preserve">A total of </w:t>
            </w:r>
            <w:r w:rsidR="006305EC">
              <w:rPr>
                <w:rFonts w:ascii="Calibri" w:hAnsi="Calibri"/>
                <w:sz w:val="22"/>
                <w:szCs w:val="22"/>
              </w:rPr>
              <w:t>2</w:t>
            </w:r>
            <w:r w:rsidR="003343CF">
              <w:rPr>
                <w:rFonts w:ascii="Calibri" w:hAnsi="Calibri"/>
                <w:sz w:val="22"/>
                <w:szCs w:val="22"/>
              </w:rPr>
              <w:t>,</w:t>
            </w:r>
            <w:r w:rsidR="006305EC">
              <w:rPr>
                <w:rFonts w:ascii="Calibri" w:hAnsi="Calibri"/>
                <w:sz w:val="22"/>
                <w:szCs w:val="22"/>
              </w:rPr>
              <w:t xml:space="preserve">995 </w:t>
            </w:r>
            <w:r w:rsidRPr="002A77C6">
              <w:rPr>
                <w:rFonts w:ascii="Calibri" w:hAnsi="Calibri"/>
                <w:sz w:val="22"/>
                <w:szCs w:val="22"/>
              </w:rPr>
              <w:t xml:space="preserve">youth (30% females) received training on waste management and entrepreneurship skills out of </w:t>
            </w:r>
            <w:r w:rsidR="00AB0AA6">
              <w:rPr>
                <w:rFonts w:ascii="Calibri" w:hAnsi="Calibri"/>
                <w:sz w:val="22"/>
                <w:szCs w:val="22"/>
              </w:rPr>
              <w:t xml:space="preserve">3,200 </w:t>
            </w:r>
            <w:r w:rsidR="00AB0AA6" w:rsidRPr="002A77C6">
              <w:rPr>
                <w:rFonts w:ascii="Calibri" w:hAnsi="Calibri"/>
                <w:sz w:val="22"/>
                <w:szCs w:val="22"/>
              </w:rPr>
              <w:t>planned</w:t>
            </w:r>
            <w:r w:rsidRPr="002A77C6">
              <w:rPr>
                <w:rFonts w:ascii="Calibri" w:hAnsi="Calibri"/>
                <w:sz w:val="22"/>
                <w:szCs w:val="22"/>
              </w:rPr>
              <w:t xml:space="preserve">, with 100 youth (25% females) immediately being offered permanent jobs in the Waste Management Sector. </w:t>
            </w:r>
          </w:p>
          <w:p w:rsidR="00885ECD" w:rsidRPr="002A77C6" w:rsidRDefault="00885ECD" w:rsidP="00885ECD">
            <w:pPr>
              <w:spacing w:line="0" w:lineRule="atLeast"/>
              <w:rPr>
                <w:rFonts w:ascii="Calibri" w:hAnsi="Calibri"/>
                <w:sz w:val="22"/>
                <w:szCs w:val="22"/>
              </w:rPr>
            </w:pPr>
          </w:p>
          <w:p w:rsidR="0075088D" w:rsidRPr="002A77C6" w:rsidRDefault="0075088D" w:rsidP="003343CF">
            <w:pPr>
              <w:spacing w:line="0" w:lineRule="atLeast"/>
              <w:rPr>
                <w:rFonts w:ascii="Calibri" w:hAnsi="Calibri"/>
                <w:sz w:val="22"/>
                <w:szCs w:val="22"/>
              </w:rPr>
            </w:pPr>
            <w:r w:rsidRPr="002A77C6">
              <w:rPr>
                <w:rFonts w:ascii="Calibri" w:hAnsi="Calibri"/>
                <w:sz w:val="22"/>
                <w:szCs w:val="22"/>
              </w:rPr>
              <w:t xml:space="preserve">In the Red Sea state in Eastern Sudan, UNDP supported ex-workers of the Port who became redundant in establishing small businesses. </w:t>
            </w:r>
            <w:r w:rsidR="00B11DCA">
              <w:rPr>
                <w:rFonts w:ascii="Calibri" w:hAnsi="Calibri"/>
                <w:sz w:val="22"/>
                <w:szCs w:val="22"/>
              </w:rPr>
              <w:t xml:space="preserve">350 </w:t>
            </w:r>
            <w:r w:rsidRPr="002A77C6">
              <w:rPr>
                <w:rFonts w:ascii="Calibri" w:hAnsi="Calibri"/>
                <w:sz w:val="22"/>
                <w:szCs w:val="22"/>
              </w:rPr>
              <w:t xml:space="preserve">participants </w:t>
            </w:r>
            <w:r w:rsidRPr="002A77C6">
              <w:rPr>
                <w:rFonts w:ascii="Calibri" w:hAnsi="Calibri"/>
                <w:sz w:val="22"/>
                <w:szCs w:val="22"/>
              </w:rPr>
              <w:lastRenderedPageBreak/>
              <w:t>were trained (</w:t>
            </w:r>
            <w:r w:rsidR="00B11DCA">
              <w:rPr>
                <w:rFonts w:ascii="Calibri" w:hAnsi="Calibri"/>
                <w:sz w:val="22"/>
                <w:szCs w:val="22"/>
              </w:rPr>
              <w:t xml:space="preserve">250 </w:t>
            </w:r>
            <w:r w:rsidRPr="002A77C6">
              <w:rPr>
                <w:rFonts w:ascii="Calibri" w:hAnsi="Calibri"/>
                <w:sz w:val="22"/>
                <w:szCs w:val="22"/>
              </w:rPr>
              <w:t>male and 100 women) in different vocational skills (</w:t>
            </w:r>
            <w:r w:rsidR="0065080C">
              <w:rPr>
                <w:rFonts w:ascii="Calibri" w:hAnsi="Calibri"/>
                <w:sz w:val="22"/>
                <w:szCs w:val="22"/>
              </w:rPr>
              <w:t>m</w:t>
            </w:r>
            <w:r w:rsidR="0065080C" w:rsidRPr="002A77C6">
              <w:rPr>
                <w:rFonts w:ascii="Calibri" w:hAnsi="Calibri"/>
                <w:sz w:val="22"/>
                <w:szCs w:val="22"/>
              </w:rPr>
              <w:t>echanic</w:t>
            </w:r>
            <w:r w:rsidRPr="002A77C6">
              <w:rPr>
                <w:rFonts w:ascii="Calibri" w:hAnsi="Calibri"/>
                <w:sz w:val="22"/>
                <w:szCs w:val="22"/>
              </w:rPr>
              <w:t xml:space="preserve">, electricity, handcrafts, and food processing), and </w:t>
            </w:r>
            <w:r w:rsidR="00B11DCA">
              <w:rPr>
                <w:rFonts w:ascii="Calibri" w:hAnsi="Calibri"/>
                <w:sz w:val="22"/>
                <w:szCs w:val="22"/>
              </w:rPr>
              <w:t>1</w:t>
            </w:r>
            <w:r w:rsidR="003343CF">
              <w:rPr>
                <w:rFonts w:ascii="Calibri" w:hAnsi="Calibri"/>
                <w:sz w:val="22"/>
                <w:szCs w:val="22"/>
              </w:rPr>
              <w:t>,</w:t>
            </w:r>
            <w:r w:rsidR="00B11DCA">
              <w:rPr>
                <w:rFonts w:ascii="Calibri" w:hAnsi="Calibri"/>
                <w:sz w:val="22"/>
                <w:szCs w:val="22"/>
              </w:rPr>
              <w:t xml:space="preserve">100 </w:t>
            </w:r>
            <w:r w:rsidRPr="002A77C6">
              <w:rPr>
                <w:rFonts w:ascii="Calibri" w:hAnsi="Calibri"/>
                <w:sz w:val="22"/>
                <w:szCs w:val="22"/>
              </w:rPr>
              <w:t xml:space="preserve"> (</w:t>
            </w:r>
            <w:r w:rsidR="00B11DCA">
              <w:rPr>
                <w:rFonts w:ascii="Calibri" w:hAnsi="Calibri"/>
                <w:sz w:val="22"/>
                <w:szCs w:val="22"/>
              </w:rPr>
              <w:t xml:space="preserve">840 </w:t>
            </w:r>
            <w:r w:rsidRPr="002A77C6">
              <w:rPr>
                <w:rFonts w:ascii="Calibri" w:hAnsi="Calibri"/>
                <w:sz w:val="22"/>
                <w:szCs w:val="22"/>
              </w:rPr>
              <w:t xml:space="preserve">male and </w:t>
            </w:r>
            <w:r w:rsidR="00B11DCA">
              <w:rPr>
                <w:rFonts w:ascii="Calibri" w:hAnsi="Calibri"/>
                <w:sz w:val="22"/>
                <w:szCs w:val="22"/>
              </w:rPr>
              <w:t xml:space="preserve">260 </w:t>
            </w:r>
            <w:r w:rsidRPr="002A77C6">
              <w:rPr>
                <w:rFonts w:ascii="Calibri" w:hAnsi="Calibri"/>
                <w:sz w:val="22"/>
                <w:szCs w:val="22"/>
              </w:rPr>
              <w:t xml:space="preserve"> female) trained in entrepreneurial skills. Expansion of the number of members of the 15 CBOs from 700 to 1700 took place. There were 34 “Manual for Small Business” (MSB) Groups formed within the existing CBOs and trained in business and organizational management and participated in small projects competition. 10 TOTs session on CBOs management conducted for 400 (160 female, 240 male) and 15 Small Business groups received start-up micro-grants through partnership with microfinance institutions. All these intervention were built on the national employment policy framework completed in 2013 to strengthen employment opportunities in Sudan.</w:t>
            </w:r>
          </w:p>
          <w:p w:rsidR="00144946" w:rsidRPr="002A77C6" w:rsidRDefault="00144946" w:rsidP="00514E9D">
            <w:pPr>
              <w:spacing w:line="0" w:lineRule="atLeast"/>
              <w:rPr>
                <w:rFonts w:ascii="Calibri" w:hAnsi="Calibri"/>
                <w:b/>
                <w:bCs/>
                <w:sz w:val="22"/>
                <w:szCs w:val="22"/>
              </w:rPr>
            </w:pPr>
          </w:p>
        </w:tc>
      </w:tr>
      <w:tr w:rsidR="00192D4E" w:rsidRPr="002A77C6" w:rsidTr="00954DAA">
        <w:trPr>
          <w:trHeight w:val="1942"/>
        </w:trPr>
        <w:tc>
          <w:tcPr>
            <w:tcW w:w="3150" w:type="dxa"/>
            <w:gridSpan w:val="2"/>
            <w:vMerge w:val="restart"/>
            <w:shd w:val="clear" w:color="auto" w:fill="FFFFFF"/>
          </w:tcPr>
          <w:p w:rsidR="00192D4E" w:rsidRPr="002A77C6" w:rsidRDefault="00192D4E" w:rsidP="005454E9">
            <w:pPr>
              <w:pStyle w:val="BodyText2"/>
              <w:jc w:val="both"/>
              <w:rPr>
                <w:rFonts w:ascii="Calibri" w:hAnsi="Calibri"/>
                <w:sz w:val="22"/>
                <w:szCs w:val="22"/>
              </w:rPr>
            </w:pPr>
            <w:r w:rsidRPr="002A77C6">
              <w:rPr>
                <w:rFonts w:ascii="Calibri" w:hAnsi="Calibri"/>
                <w:bCs/>
                <w:sz w:val="22"/>
                <w:szCs w:val="22"/>
              </w:rPr>
              <w:lastRenderedPageBreak/>
              <w:t>Populations vulnerable to environmental risks and climate change become more resilient and relevant institutions are more effective in the management of natural resources</w:t>
            </w:r>
          </w:p>
        </w:tc>
        <w:tc>
          <w:tcPr>
            <w:tcW w:w="1440" w:type="dxa"/>
            <w:vMerge w:val="restart"/>
            <w:shd w:val="clear" w:color="auto" w:fill="auto"/>
          </w:tcPr>
          <w:p w:rsidR="00F42010" w:rsidRDefault="00F42010" w:rsidP="00F42010">
            <w:pPr>
              <w:widowControl/>
              <w:jc w:val="both"/>
              <w:rPr>
                <w:rFonts w:ascii="Calibri" w:hAnsi="Calibri"/>
                <w:color w:val="000000"/>
                <w:sz w:val="20"/>
              </w:rPr>
            </w:pPr>
            <w:r w:rsidRPr="0003628F">
              <w:rPr>
                <w:rFonts w:ascii="Calibri" w:hAnsi="Calibri"/>
                <w:bCs/>
                <w:sz w:val="22"/>
                <w:szCs w:val="22"/>
              </w:rPr>
              <w:t>10,150,152</w:t>
            </w:r>
            <w:r>
              <w:rPr>
                <w:rFonts w:ascii="Calibri" w:hAnsi="Calibri"/>
                <w:color w:val="000000"/>
                <w:sz w:val="20"/>
              </w:rPr>
              <w:t xml:space="preserve"> </w:t>
            </w:r>
          </w:p>
          <w:p w:rsidR="00192D4E" w:rsidRPr="002A77C6" w:rsidRDefault="00192D4E" w:rsidP="005454E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192D4E" w:rsidRPr="00514E9D" w:rsidRDefault="00192D4E" w:rsidP="005454E9">
            <w:pPr>
              <w:pStyle w:val="Default"/>
              <w:jc w:val="both"/>
              <w:rPr>
                <w:rFonts w:ascii="Calibri" w:hAnsi="Calibri"/>
                <w:b/>
                <w:color w:val="auto"/>
                <w:sz w:val="22"/>
                <w:szCs w:val="22"/>
                <w:highlight w:val="yellow"/>
              </w:rPr>
            </w:pPr>
            <w:r w:rsidRPr="00514E9D">
              <w:rPr>
                <w:rFonts w:ascii="Calibri" w:hAnsi="Calibri"/>
                <w:b/>
                <w:color w:val="auto"/>
                <w:sz w:val="22"/>
                <w:szCs w:val="22"/>
              </w:rPr>
              <w:t xml:space="preserve">Indicator 1: </w:t>
            </w:r>
          </w:p>
          <w:p w:rsidR="00192D4E" w:rsidRPr="002A77C6" w:rsidRDefault="00192D4E" w:rsidP="005454E9">
            <w:pPr>
              <w:pStyle w:val="Default"/>
              <w:jc w:val="both"/>
              <w:rPr>
                <w:rFonts w:ascii="Calibri" w:hAnsi="Calibri"/>
                <w:color w:val="auto"/>
                <w:sz w:val="22"/>
                <w:szCs w:val="22"/>
              </w:rPr>
            </w:pPr>
            <w:r w:rsidRPr="002A77C6">
              <w:rPr>
                <w:rFonts w:ascii="Calibri" w:hAnsi="Calibri"/>
                <w:color w:val="auto"/>
                <w:sz w:val="22"/>
                <w:szCs w:val="22"/>
              </w:rPr>
              <w:t xml:space="preserve">Number of environmental strategies with sound action plans for implementation in place; </w:t>
            </w:r>
          </w:p>
          <w:p w:rsidR="00192D4E" w:rsidRPr="002A77C6" w:rsidRDefault="00192D4E" w:rsidP="005454E9">
            <w:pPr>
              <w:pStyle w:val="Default"/>
              <w:jc w:val="both"/>
              <w:rPr>
                <w:rFonts w:ascii="Calibri" w:hAnsi="Calibri"/>
                <w:color w:val="auto"/>
                <w:sz w:val="22"/>
                <w:szCs w:val="22"/>
              </w:rPr>
            </w:pPr>
          </w:p>
          <w:p w:rsidR="00192D4E" w:rsidRPr="00514E9D" w:rsidRDefault="00192D4E" w:rsidP="005454E9">
            <w:pPr>
              <w:pStyle w:val="Default"/>
              <w:jc w:val="both"/>
              <w:rPr>
                <w:rFonts w:ascii="Calibri" w:hAnsi="Calibri"/>
                <w:b/>
                <w:color w:val="auto"/>
                <w:sz w:val="22"/>
                <w:szCs w:val="22"/>
              </w:rPr>
            </w:pPr>
            <w:r w:rsidRPr="00514E9D">
              <w:rPr>
                <w:rFonts w:ascii="Calibri" w:hAnsi="Calibri"/>
                <w:b/>
                <w:color w:val="auto"/>
                <w:sz w:val="22"/>
                <w:szCs w:val="22"/>
              </w:rPr>
              <w:t xml:space="preserve">Baseline: </w:t>
            </w:r>
          </w:p>
          <w:p w:rsidR="00192D4E" w:rsidRPr="002A77C6" w:rsidRDefault="00192D4E" w:rsidP="005454E9">
            <w:pPr>
              <w:pStyle w:val="Default"/>
              <w:jc w:val="both"/>
              <w:rPr>
                <w:rFonts w:ascii="Calibri" w:hAnsi="Calibri"/>
                <w:color w:val="auto"/>
                <w:sz w:val="22"/>
                <w:szCs w:val="22"/>
              </w:rPr>
            </w:pPr>
            <w:r w:rsidRPr="002A77C6">
              <w:rPr>
                <w:rFonts w:ascii="Calibri" w:hAnsi="Calibri"/>
                <w:color w:val="auto"/>
                <w:sz w:val="22"/>
                <w:szCs w:val="22"/>
              </w:rPr>
              <w:t xml:space="preserve">One strategy in place with action plan (i.e. Initial National Communication Report, 2011) </w:t>
            </w:r>
          </w:p>
          <w:p w:rsidR="00192D4E" w:rsidRPr="002A77C6" w:rsidRDefault="00192D4E" w:rsidP="005454E9">
            <w:pPr>
              <w:pStyle w:val="Default"/>
              <w:jc w:val="both"/>
              <w:rPr>
                <w:rFonts w:ascii="Calibri" w:hAnsi="Calibri"/>
                <w:color w:val="auto"/>
                <w:sz w:val="22"/>
                <w:szCs w:val="22"/>
              </w:rPr>
            </w:pPr>
            <w:r w:rsidRPr="002A77C6">
              <w:rPr>
                <w:rFonts w:ascii="Calibri" w:hAnsi="Calibri"/>
                <w:color w:val="auto"/>
                <w:sz w:val="22"/>
                <w:szCs w:val="22"/>
              </w:rPr>
              <w:t xml:space="preserve">Target: </w:t>
            </w:r>
          </w:p>
          <w:p w:rsidR="00192D4E" w:rsidRPr="002A77C6" w:rsidRDefault="00192D4E" w:rsidP="005454E9">
            <w:pPr>
              <w:pStyle w:val="Default"/>
              <w:jc w:val="both"/>
              <w:rPr>
                <w:rFonts w:ascii="Calibri" w:hAnsi="Calibri"/>
                <w:color w:val="auto"/>
                <w:sz w:val="22"/>
                <w:szCs w:val="22"/>
              </w:rPr>
            </w:pPr>
            <w:r w:rsidRPr="002A77C6">
              <w:rPr>
                <w:rFonts w:ascii="Calibri" w:hAnsi="Calibri"/>
                <w:color w:val="auto"/>
                <w:sz w:val="22"/>
                <w:szCs w:val="22"/>
              </w:rPr>
              <w:t>Five strategies in place</w:t>
            </w:r>
          </w:p>
          <w:p w:rsidR="00192D4E" w:rsidRPr="002A77C6" w:rsidDel="00A2343E" w:rsidRDefault="00192D4E" w:rsidP="005454E9">
            <w:pPr>
              <w:pStyle w:val="Default"/>
              <w:jc w:val="both"/>
              <w:rPr>
                <w:rFonts w:ascii="Calibri" w:hAnsi="Calibri"/>
                <w:color w:val="auto"/>
                <w:sz w:val="22"/>
                <w:szCs w:val="22"/>
              </w:rPr>
            </w:pPr>
          </w:p>
        </w:tc>
        <w:tc>
          <w:tcPr>
            <w:tcW w:w="5490" w:type="dxa"/>
            <w:gridSpan w:val="2"/>
            <w:shd w:val="clear" w:color="auto" w:fill="auto"/>
          </w:tcPr>
          <w:p w:rsidR="00192D4E" w:rsidRPr="002A77C6" w:rsidRDefault="00192D4E" w:rsidP="005454E9">
            <w:pPr>
              <w:pStyle w:val="Default"/>
              <w:jc w:val="both"/>
              <w:rPr>
                <w:rFonts w:ascii="Calibri" w:hAnsi="Calibri"/>
                <w:color w:val="auto"/>
                <w:sz w:val="22"/>
                <w:szCs w:val="22"/>
                <w:highlight w:val="yellow"/>
              </w:rPr>
            </w:pPr>
            <w:r w:rsidRPr="002A77C6">
              <w:rPr>
                <w:rFonts w:ascii="Calibri" w:hAnsi="Calibri"/>
                <w:color w:val="auto"/>
                <w:sz w:val="22"/>
                <w:szCs w:val="22"/>
              </w:rPr>
              <w:t xml:space="preserve">Indicator 1: </w:t>
            </w:r>
          </w:p>
          <w:p w:rsidR="00192D4E" w:rsidRPr="002A77C6" w:rsidRDefault="00192D4E" w:rsidP="00DB6838">
            <w:pPr>
              <w:pStyle w:val="Default"/>
              <w:jc w:val="both"/>
              <w:rPr>
                <w:rFonts w:ascii="Calibri" w:hAnsi="Calibri"/>
                <w:color w:val="auto"/>
                <w:sz w:val="22"/>
                <w:szCs w:val="22"/>
              </w:rPr>
            </w:pPr>
            <w:r w:rsidRPr="002A77C6">
              <w:rPr>
                <w:rFonts w:ascii="Calibri" w:hAnsi="Calibri"/>
                <w:color w:val="auto"/>
                <w:sz w:val="22"/>
                <w:szCs w:val="22"/>
              </w:rPr>
              <w:t xml:space="preserve">In total, </w:t>
            </w:r>
            <w:r w:rsidR="00DB6838">
              <w:rPr>
                <w:rFonts w:ascii="Calibri" w:hAnsi="Calibri"/>
                <w:color w:val="auto"/>
                <w:sz w:val="22"/>
                <w:szCs w:val="22"/>
              </w:rPr>
              <w:t xml:space="preserve">5 </w:t>
            </w:r>
            <w:r w:rsidRPr="002A77C6">
              <w:rPr>
                <w:rFonts w:ascii="Calibri" w:hAnsi="Calibri"/>
                <w:color w:val="auto"/>
                <w:sz w:val="22"/>
                <w:szCs w:val="22"/>
              </w:rPr>
              <w:t xml:space="preserve">strategies have been developed in consultation with </w:t>
            </w:r>
            <w:r>
              <w:rPr>
                <w:rFonts w:ascii="Calibri" w:hAnsi="Calibri"/>
                <w:color w:val="auto"/>
                <w:sz w:val="22"/>
                <w:szCs w:val="22"/>
              </w:rPr>
              <w:t xml:space="preserve">the </w:t>
            </w:r>
            <w:r w:rsidRPr="002A77C6">
              <w:rPr>
                <w:rFonts w:ascii="Calibri" w:hAnsi="Calibri"/>
                <w:color w:val="auto"/>
                <w:sz w:val="22"/>
                <w:szCs w:val="22"/>
              </w:rPr>
              <w:t xml:space="preserve">Higher Council for Environment and Natural Resources and </w:t>
            </w:r>
            <w:r>
              <w:rPr>
                <w:rFonts w:ascii="Calibri" w:hAnsi="Calibri"/>
                <w:color w:val="auto"/>
                <w:sz w:val="22"/>
                <w:szCs w:val="22"/>
              </w:rPr>
              <w:t xml:space="preserve">the </w:t>
            </w:r>
            <w:r w:rsidRPr="002A77C6">
              <w:rPr>
                <w:rFonts w:ascii="Calibri" w:hAnsi="Calibri"/>
                <w:color w:val="auto"/>
                <w:sz w:val="22"/>
                <w:szCs w:val="22"/>
              </w:rPr>
              <w:t>State Council of Khartoum</w:t>
            </w:r>
            <w:r w:rsidR="009358B2">
              <w:rPr>
                <w:rFonts w:ascii="Calibri" w:hAnsi="Calibri"/>
                <w:color w:val="auto"/>
                <w:sz w:val="22"/>
                <w:szCs w:val="22"/>
              </w:rPr>
              <w:t xml:space="preserve"> (Source: SDN_ROAR_2016)</w:t>
            </w:r>
            <w:r w:rsidRPr="002A77C6">
              <w:rPr>
                <w:rFonts w:ascii="Calibri" w:hAnsi="Calibri"/>
                <w:color w:val="auto"/>
                <w:sz w:val="22"/>
                <w:szCs w:val="22"/>
              </w:rPr>
              <w:t xml:space="preserve">. </w:t>
            </w:r>
          </w:p>
          <w:p w:rsidR="00192D4E" w:rsidRPr="002A77C6" w:rsidRDefault="00192D4E" w:rsidP="00192D4E">
            <w:pPr>
              <w:jc w:val="both"/>
              <w:rPr>
                <w:rFonts w:ascii="Calibri" w:hAnsi="Calibri"/>
                <w:sz w:val="22"/>
                <w:szCs w:val="22"/>
              </w:rPr>
            </w:pPr>
          </w:p>
        </w:tc>
      </w:tr>
      <w:tr w:rsidR="00192D4E" w:rsidRPr="002A77C6" w:rsidTr="00954DAA">
        <w:trPr>
          <w:trHeight w:val="1941"/>
        </w:trPr>
        <w:tc>
          <w:tcPr>
            <w:tcW w:w="3150" w:type="dxa"/>
            <w:gridSpan w:val="2"/>
            <w:vMerge/>
            <w:shd w:val="clear" w:color="auto" w:fill="FFFFFF"/>
          </w:tcPr>
          <w:p w:rsidR="00192D4E" w:rsidRPr="002A77C6" w:rsidRDefault="00192D4E" w:rsidP="005454E9">
            <w:pPr>
              <w:pStyle w:val="BodyText2"/>
              <w:jc w:val="both"/>
              <w:rPr>
                <w:rFonts w:ascii="Calibri" w:hAnsi="Calibri"/>
                <w:bCs/>
                <w:sz w:val="22"/>
                <w:szCs w:val="22"/>
              </w:rPr>
            </w:pPr>
          </w:p>
        </w:tc>
        <w:tc>
          <w:tcPr>
            <w:tcW w:w="1440" w:type="dxa"/>
            <w:vMerge/>
            <w:shd w:val="clear" w:color="auto" w:fill="auto"/>
          </w:tcPr>
          <w:p w:rsidR="00192D4E" w:rsidRPr="002A77C6" w:rsidRDefault="00192D4E" w:rsidP="005454E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192D4E" w:rsidRPr="00514E9D" w:rsidRDefault="00192D4E" w:rsidP="00192D4E">
            <w:pPr>
              <w:pStyle w:val="Default"/>
              <w:jc w:val="both"/>
              <w:rPr>
                <w:rFonts w:ascii="Calibri" w:hAnsi="Calibri"/>
                <w:b/>
                <w:color w:val="auto"/>
                <w:sz w:val="22"/>
                <w:szCs w:val="22"/>
              </w:rPr>
            </w:pPr>
            <w:r w:rsidRPr="00514E9D">
              <w:rPr>
                <w:rFonts w:ascii="Calibri" w:hAnsi="Calibri"/>
                <w:b/>
                <w:color w:val="auto"/>
                <w:sz w:val="22"/>
                <w:szCs w:val="22"/>
              </w:rPr>
              <w:t xml:space="preserve">Indicators 2: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Number of vulnerable, especially female headed, households adopting climate change adaptation measures</w:t>
            </w:r>
          </w:p>
          <w:p w:rsidR="00192D4E" w:rsidRPr="002A77C6" w:rsidRDefault="00192D4E" w:rsidP="00192D4E">
            <w:pPr>
              <w:pStyle w:val="Default"/>
              <w:jc w:val="both"/>
              <w:rPr>
                <w:rFonts w:ascii="Calibri" w:hAnsi="Calibri"/>
                <w:color w:val="auto"/>
                <w:sz w:val="22"/>
                <w:szCs w:val="22"/>
              </w:rPr>
            </w:pPr>
          </w:p>
          <w:p w:rsidR="00192D4E" w:rsidRPr="00514E9D" w:rsidRDefault="00192D4E" w:rsidP="00192D4E">
            <w:pPr>
              <w:pStyle w:val="Default"/>
              <w:jc w:val="both"/>
              <w:rPr>
                <w:rFonts w:ascii="Calibri" w:hAnsi="Calibri"/>
                <w:b/>
                <w:color w:val="auto"/>
                <w:sz w:val="22"/>
                <w:szCs w:val="22"/>
              </w:rPr>
            </w:pPr>
            <w:r w:rsidRPr="00514E9D">
              <w:rPr>
                <w:rFonts w:ascii="Calibri" w:hAnsi="Calibri"/>
                <w:b/>
                <w:color w:val="auto"/>
                <w:sz w:val="22"/>
                <w:szCs w:val="22"/>
              </w:rPr>
              <w:t xml:space="preserve">Baseline: </w:t>
            </w:r>
          </w:p>
          <w:p w:rsidR="00192D4E"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24 communities (in four states) piloted climate change adaptation measures </w:t>
            </w:r>
          </w:p>
          <w:p w:rsidR="00192D4E" w:rsidRPr="002A77C6" w:rsidRDefault="00192D4E" w:rsidP="00192D4E">
            <w:pPr>
              <w:pStyle w:val="Default"/>
              <w:jc w:val="both"/>
              <w:rPr>
                <w:rFonts w:ascii="Calibri" w:hAnsi="Calibri"/>
                <w:color w:val="auto"/>
                <w:sz w:val="22"/>
                <w:szCs w:val="22"/>
              </w:rPr>
            </w:pPr>
          </w:p>
          <w:p w:rsidR="00192D4E" w:rsidRPr="00514E9D" w:rsidRDefault="00192D4E" w:rsidP="00192D4E">
            <w:pPr>
              <w:pStyle w:val="Default"/>
              <w:jc w:val="both"/>
              <w:rPr>
                <w:rFonts w:ascii="Calibri" w:hAnsi="Calibri"/>
                <w:b/>
                <w:color w:val="auto"/>
                <w:sz w:val="22"/>
                <w:szCs w:val="22"/>
              </w:rPr>
            </w:pPr>
            <w:r w:rsidRPr="00514E9D">
              <w:rPr>
                <w:rFonts w:ascii="Calibri" w:hAnsi="Calibri"/>
                <w:b/>
                <w:color w:val="auto"/>
                <w:sz w:val="22"/>
                <w:szCs w:val="22"/>
              </w:rPr>
              <w:t>Target</w:t>
            </w:r>
            <w:r w:rsidRPr="0065080C">
              <w:rPr>
                <w:rFonts w:ascii="Calibri" w:hAnsi="Calibri"/>
                <w:b/>
                <w:bCs/>
                <w:color w:val="auto"/>
                <w:sz w:val="22"/>
                <w:szCs w:val="22"/>
              </w:rPr>
              <w:t xml:space="preserve">: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50 communities </w:t>
            </w:r>
          </w:p>
          <w:p w:rsidR="00192D4E" w:rsidRPr="00514E9D" w:rsidRDefault="00192D4E" w:rsidP="005454E9">
            <w:pPr>
              <w:pStyle w:val="Default"/>
              <w:jc w:val="both"/>
              <w:rPr>
                <w:rFonts w:ascii="Calibri" w:hAnsi="Calibri"/>
                <w:b/>
                <w:color w:val="auto"/>
                <w:sz w:val="22"/>
                <w:szCs w:val="22"/>
              </w:rPr>
            </w:pPr>
          </w:p>
        </w:tc>
        <w:tc>
          <w:tcPr>
            <w:tcW w:w="5490" w:type="dxa"/>
            <w:gridSpan w:val="2"/>
            <w:shd w:val="clear" w:color="auto" w:fill="auto"/>
          </w:tcPr>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Indicator 2: </w:t>
            </w:r>
          </w:p>
          <w:p w:rsidR="00192D4E" w:rsidRPr="002A77C6" w:rsidRDefault="00192D4E" w:rsidP="00192D4E">
            <w:pPr>
              <w:pStyle w:val="Default"/>
              <w:jc w:val="both"/>
              <w:rPr>
                <w:rFonts w:ascii="Calibri" w:hAnsi="Calibri"/>
                <w:b/>
                <w:bCs/>
                <w:color w:val="auto"/>
                <w:sz w:val="22"/>
                <w:szCs w:val="22"/>
              </w:rPr>
            </w:pPr>
            <w:r w:rsidRPr="002A77C6">
              <w:rPr>
                <w:rFonts w:ascii="Calibri" w:hAnsi="Calibri"/>
                <w:color w:val="auto"/>
                <w:sz w:val="22"/>
                <w:szCs w:val="22"/>
              </w:rPr>
              <w:t>37 Communities</w:t>
            </w:r>
            <w:r>
              <w:rPr>
                <w:rFonts w:ascii="Calibri" w:hAnsi="Calibri"/>
                <w:color w:val="auto"/>
                <w:sz w:val="22"/>
                <w:szCs w:val="22"/>
              </w:rPr>
              <w:t xml:space="preserve"> benefitted from </w:t>
            </w:r>
            <w:r w:rsidRPr="002A77C6">
              <w:rPr>
                <w:rFonts w:ascii="Calibri" w:hAnsi="Calibri"/>
                <w:color w:val="auto"/>
                <w:sz w:val="22"/>
                <w:szCs w:val="22"/>
              </w:rPr>
              <w:t>climate resilience and adaption measures</w:t>
            </w:r>
            <w:r>
              <w:rPr>
                <w:rFonts w:ascii="Calibri" w:hAnsi="Calibri"/>
                <w:color w:val="auto"/>
                <w:sz w:val="22"/>
                <w:szCs w:val="22"/>
              </w:rPr>
              <w:t>, for a total of</w:t>
            </w:r>
            <w:r w:rsidRPr="002A77C6">
              <w:rPr>
                <w:rFonts w:ascii="Calibri" w:hAnsi="Calibri"/>
                <w:color w:val="auto"/>
                <w:sz w:val="22"/>
                <w:szCs w:val="22"/>
              </w:rPr>
              <w:t xml:space="preserve"> 11,000 and 9,000 particularly vulnerable women and men in the targeted states. The small holder farmers and pastoralists will benefit from viable and cost-effective adaptation measures resulting in improving their resilience in the face of climate change and generating essential knowledge on good practices.</w:t>
            </w:r>
          </w:p>
          <w:p w:rsidR="00192D4E" w:rsidRPr="002A77C6" w:rsidRDefault="00192D4E" w:rsidP="00192D4E">
            <w:pPr>
              <w:jc w:val="both"/>
              <w:rPr>
                <w:rFonts w:ascii="Calibri" w:hAnsi="Calibri"/>
                <w:sz w:val="22"/>
                <w:szCs w:val="22"/>
              </w:rPr>
            </w:pPr>
          </w:p>
        </w:tc>
      </w:tr>
      <w:tr w:rsidR="00192D4E" w:rsidRPr="002A77C6" w:rsidTr="00954DAA">
        <w:trPr>
          <w:trHeight w:val="1941"/>
        </w:trPr>
        <w:tc>
          <w:tcPr>
            <w:tcW w:w="3150" w:type="dxa"/>
            <w:gridSpan w:val="2"/>
            <w:vMerge/>
            <w:shd w:val="clear" w:color="auto" w:fill="FFFFFF"/>
          </w:tcPr>
          <w:p w:rsidR="00192D4E" w:rsidRPr="002A77C6" w:rsidRDefault="00192D4E" w:rsidP="005454E9">
            <w:pPr>
              <w:pStyle w:val="BodyText2"/>
              <w:jc w:val="both"/>
              <w:rPr>
                <w:rFonts w:ascii="Calibri" w:hAnsi="Calibri"/>
                <w:bCs/>
                <w:sz w:val="22"/>
                <w:szCs w:val="22"/>
              </w:rPr>
            </w:pPr>
          </w:p>
        </w:tc>
        <w:tc>
          <w:tcPr>
            <w:tcW w:w="1440" w:type="dxa"/>
            <w:vMerge/>
            <w:shd w:val="clear" w:color="auto" w:fill="auto"/>
          </w:tcPr>
          <w:p w:rsidR="00192D4E" w:rsidRPr="002A77C6" w:rsidRDefault="00192D4E" w:rsidP="005454E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192D4E" w:rsidRPr="00514E9D" w:rsidRDefault="00192D4E" w:rsidP="00192D4E">
            <w:pPr>
              <w:pStyle w:val="Default"/>
              <w:jc w:val="both"/>
              <w:rPr>
                <w:rFonts w:ascii="Calibri" w:hAnsi="Calibri"/>
                <w:b/>
                <w:color w:val="auto"/>
                <w:sz w:val="22"/>
                <w:szCs w:val="22"/>
                <w:highlight w:val="yellow"/>
              </w:rPr>
            </w:pPr>
            <w:r w:rsidRPr="00514E9D">
              <w:rPr>
                <w:rFonts w:ascii="Calibri" w:hAnsi="Calibri"/>
                <w:b/>
                <w:color w:val="auto"/>
                <w:sz w:val="22"/>
                <w:szCs w:val="22"/>
              </w:rPr>
              <w:t xml:space="preserve">Indicator 3: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Number of communities with access to alternative sources of renewable energy based services</w:t>
            </w:r>
          </w:p>
          <w:p w:rsidR="00192D4E" w:rsidRPr="002A77C6" w:rsidRDefault="00192D4E" w:rsidP="00192D4E">
            <w:pPr>
              <w:pStyle w:val="Default"/>
              <w:jc w:val="both"/>
              <w:rPr>
                <w:rFonts w:ascii="Calibri" w:hAnsi="Calibri"/>
                <w:color w:val="auto"/>
                <w:sz w:val="22"/>
                <w:szCs w:val="22"/>
              </w:rPr>
            </w:pPr>
          </w:p>
          <w:p w:rsidR="00192D4E" w:rsidRPr="00514E9D" w:rsidRDefault="00192D4E" w:rsidP="00192D4E">
            <w:pPr>
              <w:pStyle w:val="Default"/>
              <w:jc w:val="both"/>
              <w:rPr>
                <w:rFonts w:ascii="Calibri" w:hAnsi="Calibri"/>
                <w:b/>
                <w:color w:val="auto"/>
                <w:sz w:val="22"/>
                <w:szCs w:val="22"/>
              </w:rPr>
            </w:pPr>
            <w:r w:rsidRPr="00514E9D">
              <w:rPr>
                <w:rFonts w:ascii="Calibri" w:hAnsi="Calibri"/>
                <w:b/>
                <w:color w:val="auto"/>
                <w:sz w:val="22"/>
                <w:szCs w:val="22"/>
              </w:rPr>
              <w:t xml:space="preserve">Baseline: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limited access to renewable energy </w:t>
            </w:r>
          </w:p>
          <w:p w:rsidR="00192D4E" w:rsidRPr="00514E9D" w:rsidRDefault="00192D4E" w:rsidP="00192D4E">
            <w:pPr>
              <w:pStyle w:val="Default"/>
              <w:jc w:val="both"/>
              <w:rPr>
                <w:rFonts w:ascii="Calibri" w:hAnsi="Calibri"/>
                <w:b/>
                <w:color w:val="auto"/>
                <w:sz w:val="22"/>
                <w:szCs w:val="22"/>
              </w:rPr>
            </w:pPr>
            <w:r w:rsidRPr="00514E9D">
              <w:rPr>
                <w:rFonts w:ascii="Calibri" w:hAnsi="Calibri"/>
                <w:b/>
                <w:color w:val="auto"/>
                <w:sz w:val="22"/>
                <w:szCs w:val="22"/>
              </w:rPr>
              <w:t xml:space="preserve">Target: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50 communities</w:t>
            </w:r>
          </w:p>
          <w:p w:rsidR="00192D4E" w:rsidRPr="00514E9D" w:rsidRDefault="00192D4E" w:rsidP="005454E9">
            <w:pPr>
              <w:pStyle w:val="Default"/>
              <w:jc w:val="both"/>
              <w:rPr>
                <w:rFonts w:ascii="Calibri" w:hAnsi="Calibri"/>
                <w:b/>
                <w:color w:val="auto"/>
                <w:sz w:val="22"/>
                <w:szCs w:val="22"/>
              </w:rPr>
            </w:pPr>
          </w:p>
        </w:tc>
        <w:tc>
          <w:tcPr>
            <w:tcW w:w="5490" w:type="dxa"/>
            <w:gridSpan w:val="2"/>
            <w:shd w:val="clear" w:color="auto" w:fill="auto"/>
          </w:tcPr>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Indicators 3: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14 communities so far.</w:t>
            </w:r>
          </w:p>
          <w:p w:rsidR="00192D4E" w:rsidRPr="002A77C6" w:rsidRDefault="00192D4E" w:rsidP="00192D4E">
            <w:pPr>
              <w:pStyle w:val="Default"/>
              <w:jc w:val="both"/>
              <w:rPr>
                <w:rFonts w:ascii="Calibri" w:hAnsi="Calibri"/>
                <w:b/>
                <w:bCs/>
                <w:color w:val="auto"/>
                <w:sz w:val="22"/>
                <w:szCs w:val="22"/>
              </w:rPr>
            </w:pPr>
            <w:r w:rsidRPr="002A77C6">
              <w:rPr>
                <w:rFonts w:ascii="Calibri" w:hAnsi="Calibri"/>
                <w:color w:val="auto"/>
                <w:sz w:val="22"/>
                <w:szCs w:val="22"/>
              </w:rPr>
              <w:t xml:space="preserve">UNDP Sudan’s targets for investments in green energy and access by vulnerable communities to sustainable energy were not achieved up to date due to the delay of funding committed by the Government of Qatar (6M$). </w:t>
            </w:r>
            <w:r>
              <w:rPr>
                <w:rFonts w:ascii="Calibri" w:hAnsi="Calibri"/>
                <w:color w:val="auto"/>
                <w:sz w:val="22"/>
                <w:szCs w:val="22"/>
              </w:rPr>
              <w:t>K</w:t>
            </w:r>
            <w:r w:rsidRPr="002A77C6">
              <w:rPr>
                <w:rFonts w:ascii="Calibri" w:hAnsi="Calibri"/>
                <w:color w:val="auto"/>
                <w:sz w:val="22"/>
                <w:szCs w:val="22"/>
              </w:rPr>
              <w:t xml:space="preserve">ick-starting activities have been implementing in 14 communities (villages) in North Darfur since January 2016. </w:t>
            </w:r>
          </w:p>
          <w:p w:rsidR="00192D4E" w:rsidRPr="002A77C6" w:rsidRDefault="00192D4E" w:rsidP="00192D4E">
            <w:pPr>
              <w:jc w:val="both"/>
              <w:rPr>
                <w:rFonts w:ascii="Calibri" w:hAnsi="Calibri"/>
                <w:sz w:val="22"/>
                <w:szCs w:val="22"/>
              </w:rPr>
            </w:pPr>
          </w:p>
        </w:tc>
      </w:tr>
      <w:tr w:rsidR="00192D4E" w:rsidRPr="002A77C6" w:rsidTr="00954DAA">
        <w:trPr>
          <w:trHeight w:val="1941"/>
        </w:trPr>
        <w:tc>
          <w:tcPr>
            <w:tcW w:w="3150" w:type="dxa"/>
            <w:gridSpan w:val="2"/>
            <w:vMerge/>
            <w:shd w:val="clear" w:color="auto" w:fill="FFFFFF"/>
          </w:tcPr>
          <w:p w:rsidR="00192D4E" w:rsidRPr="002A77C6" w:rsidRDefault="00192D4E" w:rsidP="005454E9">
            <w:pPr>
              <w:pStyle w:val="BodyText2"/>
              <w:jc w:val="both"/>
              <w:rPr>
                <w:rFonts w:ascii="Calibri" w:hAnsi="Calibri"/>
                <w:bCs/>
                <w:sz w:val="22"/>
                <w:szCs w:val="22"/>
              </w:rPr>
            </w:pPr>
          </w:p>
        </w:tc>
        <w:tc>
          <w:tcPr>
            <w:tcW w:w="1440" w:type="dxa"/>
            <w:vMerge/>
            <w:shd w:val="clear" w:color="auto" w:fill="auto"/>
          </w:tcPr>
          <w:p w:rsidR="00192D4E" w:rsidRPr="002A77C6" w:rsidRDefault="00192D4E" w:rsidP="005454E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192D4E" w:rsidRPr="00514E9D" w:rsidRDefault="00192D4E" w:rsidP="00192D4E">
            <w:pPr>
              <w:pStyle w:val="Default"/>
              <w:jc w:val="both"/>
              <w:rPr>
                <w:rFonts w:ascii="Calibri" w:hAnsi="Calibri"/>
                <w:b/>
                <w:color w:val="auto"/>
                <w:sz w:val="22"/>
                <w:szCs w:val="22"/>
                <w:highlight w:val="yellow"/>
              </w:rPr>
            </w:pPr>
            <w:r w:rsidRPr="00514E9D">
              <w:rPr>
                <w:rFonts w:ascii="Calibri" w:hAnsi="Calibri"/>
                <w:b/>
                <w:color w:val="auto"/>
                <w:sz w:val="22"/>
                <w:szCs w:val="22"/>
              </w:rPr>
              <w:t xml:space="preserve">Indicator 4: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Number of states with functioning early warning systems, including flood and drought preparedness systems </w:t>
            </w:r>
          </w:p>
          <w:p w:rsidR="00192D4E" w:rsidRPr="002A77C6" w:rsidRDefault="00192D4E" w:rsidP="00192D4E">
            <w:pPr>
              <w:pStyle w:val="Default"/>
              <w:jc w:val="both"/>
              <w:rPr>
                <w:rFonts w:ascii="Calibri" w:hAnsi="Calibri"/>
                <w:color w:val="auto"/>
                <w:sz w:val="22"/>
                <w:szCs w:val="22"/>
              </w:rPr>
            </w:pPr>
          </w:p>
          <w:p w:rsidR="00192D4E"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Baseline: 0 states </w:t>
            </w:r>
          </w:p>
          <w:p w:rsidR="00192D4E" w:rsidRPr="002A77C6" w:rsidRDefault="00192D4E" w:rsidP="00192D4E">
            <w:pPr>
              <w:pStyle w:val="Default"/>
              <w:jc w:val="both"/>
              <w:rPr>
                <w:rFonts w:ascii="Calibri" w:hAnsi="Calibri"/>
                <w:color w:val="auto"/>
                <w:sz w:val="22"/>
                <w:szCs w:val="22"/>
              </w:rPr>
            </w:pP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Target: Five states</w:t>
            </w:r>
          </w:p>
          <w:p w:rsidR="00192D4E" w:rsidRPr="00514E9D" w:rsidRDefault="00192D4E" w:rsidP="005454E9">
            <w:pPr>
              <w:pStyle w:val="Default"/>
              <w:jc w:val="both"/>
              <w:rPr>
                <w:rFonts w:ascii="Calibri" w:hAnsi="Calibri"/>
                <w:b/>
                <w:color w:val="auto"/>
                <w:sz w:val="22"/>
                <w:szCs w:val="22"/>
              </w:rPr>
            </w:pPr>
          </w:p>
        </w:tc>
        <w:tc>
          <w:tcPr>
            <w:tcW w:w="5490" w:type="dxa"/>
            <w:gridSpan w:val="2"/>
            <w:shd w:val="clear" w:color="auto" w:fill="auto"/>
          </w:tcPr>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Indicator 4: </w:t>
            </w:r>
          </w:p>
          <w:p w:rsidR="00192D4E" w:rsidRPr="002A77C6" w:rsidRDefault="00192D4E" w:rsidP="0003628F">
            <w:pPr>
              <w:pStyle w:val="Default"/>
              <w:jc w:val="both"/>
            </w:pPr>
            <w:r w:rsidRPr="002A77C6">
              <w:rPr>
                <w:rFonts w:ascii="Calibri" w:hAnsi="Calibri"/>
                <w:color w:val="auto"/>
                <w:sz w:val="22"/>
                <w:szCs w:val="22"/>
              </w:rPr>
              <w:t xml:space="preserve">6 States: </w:t>
            </w:r>
            <w:r>
              <w:rPr>
                <w:rFonts w:ascii="Calibri" w:hAnsi="Calibri"/>
                <w:color w:val="auto"/>
                <w:sz w:val="22"/>
                <w:szCs w:val="22"/>
              </w:rPr>
              <w:t>UNDP</w:t>
            </w:r>
            <w:r w:rsidRPr="002A77C6">
              <w:rPr>
                <w:rFonts w:ascii="Calibri" w:hAnsi="Calibri"/>
                <w:color w:val="auto"/>
                <w:sz w:val="22"/>
                <w:szCs w:val="22"/>
              </w:rPr>
              <w:t xml:space="preserve"> established 7 </w:t>
            </w:r>
            <w:r>
              <w:rPr>
                <w:rFonts w:ascii="Calibri" w:hAnsi="Calibri"/>
                <w:color w:val="auto"/>
                <w:sz w:val="22"/>
                <w:szCs w:val="22"/>
              </w:rPr>
              <w:t>a</w:t>
            </w:r>
            <w:r w:rsidRPr="002A77C6">
              <w:rPr>
                <w:rFonts w:ascii="Calibri" w:hAnsi="Calibri"/>
                <w:color w:val="auto"/>
                <w:sz w:val="22"/>
                <w:szCs w:val="22"/>
              </w:rPr>
              <w:t xml:space="preserve">utomatic </w:t>
            </w:r>
            <w:r>
              <w:rPr>
                <w:rFonts w:ascii="Calibri" w:hAnsi="Calibri"/>
                <w:color w:val="auto"/>
                <w:sz w:val="22"/>
                <w:szCs w:val="22"/>
              </w:rPr>
              <w:t>w</w:t>
            </w:r>
            <w:r w:rsidRPr="002A77C6">
              <w:rPr>
                <w:rFonts w:ascii="Calibri" w:hAnsi="Calibri"/>
                <w:color w:val="auto"/>
                <w:sz w:val="22"/>
                <w:szCs w:val="22"/>
              </w:rPr>
              <w:t xml:space="preserve">eather </w:t>
            </w:r>
            <w:r>
              <w:rPr>
                <w:rFonts w:ascii="Calibri" w:hAnsi="Calibri"/>
                <w:color w:val="auto"/>
                <w:sz w:val="22"/>
                <w:szCs w:val="22"/>
              </w:rPr>
              <w:t>s</w:t>
            </w:r>
            <w:r w:rsidRPr="002A77C6">
              <w:rPr>
                <w:rFonts w:ascii="Calibri" w:hAnsi="Calibri"/>
                <w:color w:val="auto"/>
                <w:sz w:val="22"/>
                <w:szCs w:val="22"/>
              </w:rPr>
              <w:t xml:space="preserve">tations and 162 rain gauges installed in 6 States (River Nile, North Kordofan, Gedarif, South Darfur State, White Nile and Kassala) with the technical assistance from Sudan Meteorological Authority. </w:t>
            </w:r>
            <w:r>
              <w:rPr>
                <w:rFonts w:ascii="Calibri" w:hAnsi="Calibri"/>
                <w:color w:val="auto"/>
                <w:sz w:val="22"/>
                <w:szCs w:val="22"/>
              </w:rPr>
              <w:t>UNDP</w:t>
            </w:r>
            <w:r w:rsidRPr="002A77C6">
              <w:rPr>
                <w:rFonts w:ascii="Calibri" w:hAnsi="Calibri"/>
                <w:color w:val="auto"/>
                <w:sz w:val="22"/>
                <w:szCs w:val="22"/>
              </w:rPr>
              <w:t xml:space="preserve"> developed </w:t>
            </w:r>
            <w:r>
              <w:rPr>
                <w:rFonts w:ascii="Calibri" w:hAnsi="Calibri"/>
                <w:color w:val="auto"/>
                <w:sz w:val="22"/>
                <w:szCs w:val="22"/>
              </w:rPr>
              <w:t xml:space="preserve">a </w:t>
            </w:r>
            <w:r w:rsidRPr="002A77C6">
              <w:rPr>
                <w:rFonts w:ascii="Calibri" w:hAnsi="Calibri"/>
                <w:color w:val="auto"/>
                <w:sz w:val="22"/>
                <w:szCs w:val="22"/>
              </w:rPr>
              <w:t>Weather Index Insurance (WII) scheme</w:t>
            </w:r>
            <w:r>
              <w:rPr>
                <w:rFonts w:ascii="Calibri" w:hAnsi="Calibri"/>
                <w:color w:val="auto"/>
                <w:sz w:val="22"/>
                <w:szCs w:val="22"/>
              </w:rPr>
              <w:t>, which</w:t>
            </w:r>
            <w:r w:rsidRPr="002A77C6">
              <w:rPr>
                <w:rFonts w:ascii="Calibri" w:hAnsi="Calibri"/>
                <w:color w:val="auto"/>
                <w:sz w:val="22"/>
                <w:szCs w:val="22"/>
              </w:rPr>
              <w:t xml:space="preserve"> is awaiting</w:t>
            </w:r>
            <w:r>
              <w:rPr>
                <w:rFonts w:ascii="Calibri" w:hAnsi="Calibri"/>
                <w:color w:val="auto"/>
                <w:sz w:val="22"/>
                <w:szCs w:val="22"/>
              </w:rPr>
              <w:t xml:space="preserve"> Government</w:t>
            </w:r>
            <w:r w:rsidRPr="002A77C6">
              <w:rPr>
                <w:rFonts w:ascii="Calibri" w:hAnsi="Calibri"/>
                <w:color w:val="auto"/>
                <w:sz w:val="22"/>
                <w:szCs w:val="22"/>
              </w:rPr>
              <w:t xml:space="preserve"> approval</w:t>
            </w:r>
            <w:r w:rsidR="00FF01E1">
              <w:rPr>
                <w:rFonts w:ascii="Calibri" w:hAnsi="Calibri"/>
                <w:color w:val="auto"/>
                <w:sz w:val="22"/>
                <w:szCs w:val="22"/>
              </w:rPr>
              <w:t>.</w:t>
            </w:r>
            <w:r w:rsidRPr="002A77C6">
              <w:rPr>
                <w:rFonts w:ascii="Calibri" w:hAnsi="Calibri"/>
                <w:color w:val="auto"/>
                <w:sz w:val="22"/>
                <w:szCs w:val="22"/>
              </w:rPr>
              <w:t xml:space="preserve"> With this technical assistance, a total of 45,000 farmers and pastoralists received access to weather forecast information, access to micro finance institutions and early warning training</w:t>
            </w:r>
            <w:r>
              <w:rPr>
                <w:rFonts w:ascii="Calibri" w:hAnsi="Calibri"/>
                <w:color w:val="auto"/>
                <w:sz w:val="22"/>
                <w:szCs w:val="22"/>
              </w:rPr>
              <w:t>.</w:t>
            </w:r>
            <w:r w:rsidRPr="002A77C6">
              <w:rPr>
                <w:rFonts w:ascii="Calibri" w:hAnsi="Calibri"/>
                <w:color w:val="auto"/>
                <w:sz w:val="22"/>
                <w:szCs w:val="22"/>
              </w:rPr>
              <w:t xml:space="preserve"> </w:t>
            </w:r>
            <w:r>
              <w:rPr>
                <w:rFonts w:ascii="Calibri" w:hAnsi="Calibri"/>
                <w:color w:val="auto"/>
                <w:sz w:val="22"/>
                <w:szCs w:val="22"/>
              </w:rPr>
              <w:t xml:space="preserve"> </w:t>
            </w:r>
          </w:p>
        </w:tc>
      </w:tr>
      <w:tr w:rsidR="00192D4E" w:rsidRPr="002A77C6" w:rsidTr="00920A71">
        <w:trPr>
          <w:trHeight w:val="1941"/>
        </w:trPr>
        <w:tc>
          <w:tcPr>
            <w:tcW w:w="3150" w:type="dxa"/>
            <w:gridSpan w:val="2"/>
            <w:vMerge/>
            <w:tcBorders>
              <w:bottom w:val="single" w:sz="4" w:space="0" w:color="auto"/>
            </w:tcBorders>
            <w:shd w:val="clear" w:color="auto" w:fill="FFFFFF"/>
          </w:tcPr>
          <w:p w:rsidR="00192D4E" w:rsidRPr="002A77C6" w:rsidRDefault="00192D4E" w:rsidP="005454E9">
            <w:pPr>
              <w:pStyle w:val="BodyText2"/>
              <w:jc w:val="both"/>
              <w:rPr>
                <w:rFonts w:ascii="Calibri" w:hAnsi="Calibri"/>
                <w:bCs/>
                <w:sz w:val="22"/>
                <w:szCs w:val="22"/>
              </w:rPr>
            </w:pPr>
          </w:p>
        </w:tc>
        <w:tc>
          <w:tcPr>
            <w:tcW w:w="1440" w:type="dxa"/>
            <w:vMerge/>
            <w:tcBorders>
              <w:bottom w:val="single" w:sz="4" w:space="0" w:color="auto"/>
            </w:tcBorders>
            <w:shd w:val="clear" w:color="auto" w:fill="auto"/>
          </w:tcPr>
          <w:p w:rsidR="00192D4E" w:rsidRPr="002A77C6" w:rsidRDefault="00192D4E" w:rsidP="005454E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192D4E" w:rsidRPr="00F70E41" w:rsidRDefault="00192D4E" w:rsidP="00192D4E">
            <w:pPr>
              <w:pStyle w:val="Default"/>
              <w:jc w:val="both"/>
              <w:rPr>
                <w:rFonts w:ascii="Calibri" w:hAnsi="Calibri"/>
                <w:b/>
                <w:color w:val="auto"/>
                <w:sz w:val="22"/>
                <w:szCs w:val="22"/>
              </w:rPr>
            </w:pPr>
            <w:r w:rsidRPr="00F70E41">
              <w:rPr>
                <w:rFonts w:ascii="Calibri" w:hAnsi="Calibri"/>
                <w:b/>
                <w:color w:val="auto"/>
                <w:sz w:val="22"/>
                <w:szCs w:val="22"/>
              </w:rPr>
              <w:t xml:space="preserve">Indicator 5: </w:t>
            </w:r>
          </w:p>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National Disaster Risk Reduction Policy/Strategy approved</w:t>
            </w:r>
          </w:p>
          <w:p w:rsidR="00192D4E" w:rsidRPr="002A77C6" w:rsidRDefault="00192D4E" w:rsidP="00192D4E">
            <w:pPr>
              <w:pStyle w:val="Default"/>
              <w:jc w:val="both"/>
              <w:rPr>
                <w:rFonts w:ascii="Calibri" w:hAnsi="Calibri"/>
                <w:color w:val="auto"/>
                <w:sz w:val="22"/>
                <w:szCs w:val="22"/>
              </w:rPr>
            </w:pPr>
          </w:p>
          <w:p w:rsidR="00192D4E" w:rsidRPr="00171F9D" w:rsidRDefault="00192D4E" w:rsidP="00192D4E">
            <w:pPr>
              <w:pStyle w:val="Default"/>
              <w:jc w:val="both"/>
              <w:rPr>
                <w:rFonts w:ascii="Calibri" w:hAnsi="Calibri"/>
                <w:b/>
                <w:color w:val="auto"/>
                <w:sz w:val="22"/>
                <w:szCs w:val="22"/>
              </w:rPr>
            </w:pPr>
            <w:r w:rsidRPr="00171F9D">
              <w:rPr>
                <w:rFonts w:ascii="Calibri" w:hAnsi="Calibri"/>
                <w:b/>
                <w:color w:val="auto"/>
                <w:sz w:val="22"/>
                <w:szCs w:val="22"/>
              </w:rPr>
              <w:t xml:space="preserve">Baseline: </w:t>
            </w:r>
          </w:p>
          <w:p w:rsidR="00192D4E" w:rsidRDefault="00192D4E" w:rsidP="00192D4E">
            <w:pPr>
              <w:pStyle w:val="Default"/>
              <w:jc w:val="both"/>
              <w:rPr>
                <w:rFonts w:ascii="Calibri" w:hAnsi="Calibri"/>
                <w:color w:val="auto"/>
                <w:sz w:val="22"/>
                <w:szCs w:val="22"/>
              </w:rPr>
            </w:pPr>
            <w:r w:rsidRPr="002A77C6">
              <w:rPr>
                <w:rFonts w:ascii="Calibri" w:hAnsi="Calibri"/>
                <w:color w:val="auto"/>
                <w:sz w:val="22"/>
                <w:szCs w:val="22"/>
              </w:rPr>
              <w:t xml:space="preserve">National DRR policy not in place. </w:t>
            </w:r>
          </w:p>
          <w:p w:rsidR="00192D4E" w:rsidRPr="002A77C6" w:rsidRDefault="00192D4E" w:rsidP="00192D4E">
            <w:pPr>
              <w:pStyle w:val="Default"/>
              <w:jc w:val="both"/>
              <w:rPr>
                <w:rFonts w:ascii="Calibri" w:hAnsi="Calibri"/>
                <w:color w:val="auto"/>
                <w:sz w:val="22"/>
                <w:szCs w:val="22"/>
              </w:rPr>
            </w:pPr>
          </w:p>
          <w:p w:rsidR="00192D4E" w:rsidRPr="00192D4E" w:rsidRDefault="00192D4E" w:rsidP="00192D4E">
            <w:pPr>
              <w:pStyle w:val="Default"/>
              <w:jc w:val="both"/>
              <w:rPr>
                <w:rFonts w:ascii="Calibri" w:hAnsi="Calibri"/>
                <w:b/>
                <w:color w:val="auto"/>
                <w:sz w:val="22"/>
                <w:szCs w:val="22"/>
              </w:rPr>
            </w:pPr>
            <w:r w:rsidRPr="00192D4E">
              <w:rPr>
                <w:rFonts w:ascii="Calibri" w:hAnsi="Calibri"/>
                <w:b/>
                <w:color w:val="auto"/>
                <w:sz w:val="22"/>
                <w:szCs w:val="22"/>
              </w:rPr>
              <w:t xml:space="preserve">Target: </w:t>
            </w:r>
          </w:p>
          <w:p w:rsidR="00192D4E" w:rsidRPr="00514E9D" w:rsidRDefault="00192D4E" w:rsidP="005454E9">
            <w:pPr>
              <w:pStyle w:val="Default"/>
              <w:jc w:val="both"/>
              <w:rPr>
                <w:rFonts w:ascii="Calibri" w:hAnsi="Calibri"/>
                <w:b/>
                <w:color w:val="auto"/>
                <w:sz w:val="22"/>
                <w:szCs w:val="22"/>
              </w:rPr>
            </w:pPr>
            <w:r w:rsidRPr="002A77C6">
              <w:rPr>
                <w:rFonts w:ascii="Calibri" w:hAnsi="Calibri"/>
                <w:color w:val="auto"/>
                <w:sz w:val="22"/>
                <w:szCs w:val="22"/>
              </w:rPr>
              <w:t>One national DRR policy/strategy approved</w:t>
            </w:r>
          </w:p>
        </w:tc>
        <w:tc>
          <w:tcPr>
            <w:tcW w:w="5490" w:type="dxa"/>
            <w:gridSpan w:val="2"/>
            <w:tcBorders>
              <w:bottom w:val="single" w:sz="4" w:space="0" w:color="auto"/>
            </w:tcBorders>
            <w:shd w:val="clear" w:color="auto" w:fill="auto"/>
          </w:tcPr>
          <w:p w:rsidR="00192D4E" w:rsidRPr="002A77C6" w:rsidRDefault="00192D4E" w:rsidP="00192D4E">
            <w:pPr>
              <w:pStyle w:val="Default"/>
              <w:jc w:val="both"/>
              <w:rPr>
                <w:rFonts w:ascii="Calibri" w:hAnsi="Calibri"/>
                <w:color w:val="auto"/>
                <w:sz w:val="22"/>
                <w:szCs w:val="22"/>
              </w:rPr>
            </w:pPr>
            <w:r w:rsidRPr="002A77C6">
              <w:rPr>
                <w:rFonts w:ascii="Calibri" w:hAnsi="Calibri"/>
                <w:color w:val="auto"/>
                <w:sz w:val="22"/>
                <w:szCs w:val="22"/>
              </w:rPr>
              <w:t>Indicator 5</w:t>
            </w:r>
            <w:r w:rsidRPr="002A77C6">
              <w:rPr>
                <w:rFonts w:ascii="Calibri" w:hAnsi="Calibri"/>
                <w:b/>
                <w:bCs/>
                <w:color w:val="auto"/>
                <w:sz w:val="22"/>
                <w:szCs w:val="22"/>
              </w:rPr>
              <w:t xml:space="preserve">: </w:t>
            </w:r>
          </w:p>
          <w:p w:rsidR="00192D4E" w:rsidRPr="002A77C6" w:rsidRDefault="00192D4E" w:rsidP="00E60F7C">
            <w:pPr>
              <w:jc w:val="both"/>
              <w:rPr>
                <w:rFonts w:ascii="Calibri" w:hAnsi="Calibri"/>
                <w:sz w:val="22"/>
                <w:szCs w:val="22"/>
              </w:rPr>
            </w:pPr>
            <w:r w:rsidRPr="002A77C6">
              <w:rPr>
                <w:rFonts w:ascii="Calibri" w:hAnsi="Calibri"/>
                <w:sz w:val="22"/>
                <w:szCs w:val="22"/>
              </w:rPr>
              <w:t xml:space="preserve">A national level Disaster Risk Reduction Strategy (NDRR) </w:t>
            </w:r>
            <w:r w:rsidR="0003628F">
              <w:rPr>
                <w:rFonts w:ascii="Calibri" w:hAnsi="Calibri"/>
                <w:sz w:val="22"/>
                <w:szCs w:val="22"/>
              </w:rPr>
              <w:t xml:space="preserve">was prepared </w:t>
            </w:r>
            <w:r w:rsidRPr="002A77C6">
              <w:rPr>
                <w:rFonts w:ascii="Calibri" w:hAnsi="Calibri"/>
                <w:sz w:val="22"/>
                <w:szCs w:val="22"/>
              </w:rPr>
              <w:t>by the National Council for Civil Defense</w:t>
            </w:r>
            <w:r w:rsidR="0003628F">
              <w:rPr>
                <w:rFonts w:ascii="Calibri" w:hAnsi="Calibri"/>
                <w:sz w:val="22"/>
                <w:szCs w:val="22"/>
              </w:rPr>
              <w:t>,</w:t>
            </w:r>
            <w:r w:rsidRPr="002A77C6">
              <w:rPr>
                <w:rFonts w:ascii="Calibri" w:hAnsi="Calibri"/>
                <w:sz w:val="22"/>
                <w:szCs w:val="22"/>
              </w:rPr>
              <w:t xml:space="preserve"> supported by UNDP and </w:t>
            </w:r>
            <w:r w:rsidR="00E60F7C">
              <w:rPr>
                <w:rFonts w:ascii="Calibri" w:hAnsi="Calibri"/>
                <w:sz w:val="22"/>
                <w:szCs w:val="22"/>
              </w:rPr>
              <w:t>pending endorsement by the Council of Ministries</w:t>
            </w:r>
          </w:p>
          <w:p w:rsidR="00192D4E" w:rsidRPr="002A77C6" w:rsidRDefault="00192D4E" w:rsidP="005454E9">
            <w:pPr>
              <w:pStyle w:val="Default"/>
              <w:jc w:val="both"/>
              <w:rPr>
                <w:rFonts w:ascii="Calibri" w:hAnsi="Calibri"/>
                <w:color w:val="auto"/>
                <w:sz w:val="22"/>
                <w:szCs w:val="22"/>
              </w:rPr>
            </w:pPr>
          </w:p>
        </w:tc>
      </w:tr>
      <w:tr w:rsidR="002A77C6" w:rsidRPr="002A77C6" w:rsidTr="00920A71">
        <w:tc>
          <w:tcPr>
            <w:tcW w:w="14040" w:type="dxa"/>
            <w:gridSpan w:val="7"/>
            <w:tcBorders>
              <w:bottom w:val="single" w:sz="4" w:space="0" w:color="auto"/>
            </w:tcBorders>
            <w:shd w:val="clear" w:color="auto" w:fill="FFFFFF"/>
          </w:tcPr>
          <w:p w:rsidR="00C00A92" w:rsidRPr="002A77C6" w:rsidRDefault="00C00A92" w:rsidP="005454E9">
            <w:pPr>
              <w:pStyle w:val="BodyText2"/>
              <w:jc w:val="both"/>
              <w:rPr>
                <w:rFonts w:ascii="Calibri" w:hAnsi="Calibri"/>
                <w:b/>
                <w:sz w:val="22"/>
                <w:szCs w:val="22"/>
              </w:rPr>
            </w:pPr>
            <w:r w:rsidRPr="002A77C6">
              <w:rPr>
                <w:rFonts w:ascii="Calibri" w:hAnsi="Calibri"/>
                <w:b/>
                <w:sz w:val="22"/>
                <w:szCs w:val="22"/>
              </w:rPr>
              <w:t>UNDP Contribution:</w:t>
            </w:r>
          </w:p>
          <w:p w:rsidR="00C74AAD" w:rsidRPr="002A77C6" w:rsidRDefault="00C74AAD" w:rsidP="005454E9">
            <w:pPr>
              <w:pStyle w:val="BodyText2"/>
              <w:jc w:val="both"/>
              <w:rPr>
                <w:rFonts w:ascii="Calibri" w:hAnsi="Calibri"/>
                <w:sz w:val="22"/>
                <w:szCs w:val="22"/>
                <w:u w:val="single"/>
              </w:rPr>
            </w:pPr>
            <w:r w:rsidRPr="002A77C6">
              <w:rPr>
                <w:rFonts w:ascii="Calibri" w:hAnsi="Calibri"/>
                <w:sz w:val="22"/>
                <w:szCs w:val="22"/>
              </w:rPr>
              <w:lastRenderedPageBreak/>
              <w:t>The UNDP Country Programme identified three major outputs to support the Government in achieving the outcome and the detailed outputs are as follow</w:t>
            </w:r>
            <w:r w:rsidR="007961AF">
              <w:rPr>
                <w:rFonts w:ascii="Calibri" w:hAnsi="Calibri"/>
                <w:sz w:val="22"/>
                <w:szCs w:val="22"/>
              </w:rPr>
              <w:t>s :</w:t>
            </w:r>
            <w:r w:rsidRPr="002A77C6">
              <w:rPr>
                <w:rFonts w:ascii="Calibri" w:hAnsi="Calibri"/>
                <w:sz w:val="22"/>
                <w:szCs w:val="22"/>
                <w:u w:val="single"/>
              </w:rPr>
              <w:t xml:space="preserve"> </w:t>
            </w:r>
          </w:p>
          <w:p w:rsidR="00C74AAD" w:rsidRPr="002A77C6" w:rsidRDefault="00C74AAD" w:rsidP="005454E9">
            <w:pPr>
              <w:pStyle w:val="BodyText2"/>
              <w:jc w:val="both"/>
              <w:rPr>
                <w:rFonts w:ascii="Calibri" w:hAnsi="Calibri"/>
                <w:sz w:val="22"/>
                <w:szCs w:val="22"/>
                <w:u w:val="single"/>
              </w:rPr>
            </w:pPr>
          </w:p>
          <w:p w:rsidR="00C74AAD" w:rsidRPr="002A77C6" w:rsidRDefault="00C00A92" w:rsidP="005454E9">
            <w:pPr>
              <w:pStyle w:val="BodyText2"/>
              <w:jc w:val="both"/>
              <w:rPr>
                <w:rFonts w:ascii="Calibri" w:hAnsi="Calibri"/>
                <w:sz w:val="22"/>
                <w:szCs w:val="22"/>
              </w:rPr>
            </w:pPr>
            <w:r w:rsidRPr="002A77C6">
              <w:rPr>
                <w:rFonts w:ascii="Calibri" w:hAnsi="Calibri"/>
                <w:sz w:val="22"/>
                <w:szCs w:val="22"/>
                <w:u w:val="single"/>
              </w:rPr>
              <w:t>CP Outputs</w:t>
            </w:r>
            <w:r w:rsidR="00C74AAD" w:rsidRPr="002A77C6">
              <w:rPr>
                <w:rFonts w:ascii="Calibri" w:hAnsi="Calibri"/>
                <w:sz w:val="22"/>
                <w:szCs w:val="22"/>
                <w:u w:val="single"/>
              </w:rPr>
              <w:t>:</w:t>
            </w:r>
            <w:r w:rsidR="00C74AAD" w:rsidRPr="002A77C6">
              <w:rPr>
                <w:rFonts w:ascii="Calibri" w:hAnsi="Calibri"/>
                <w:sz w:val="22"/>
                <w:szCs w:val="22"/>
              </w:rPr>
              <w:t xml:space="preserve"> </w:t>
            </w:r>
          </w:p>
          <w:p w:rsidR="00C74AAD" w:rsidRPr="002A77C6" w:rsidRDefault="00C00A92" w:rsidP="005454E9">
            <w:pPr>
              <w:pStyle w:val="BodyText2"/>
              <w:jc w:val="both"/>
              <w:rPr>
                <w:rFonts w:ascii="Calibri" w:hAnsi="Calibri"/>
                <w:sz w:val="22"/>
                <w:szCs w:val="22"/>
              </w:rPr>
            </w:pPr>
            <w:r w:rsidRPr="002A77C6">
              <w:rPr>
                <w:rFonts w:ascii="Calibri" w:hAnsi="Calibri"/>
                <w:sz w:val="22"/>
                <w:szCs w:val="22"/>
              </w:rPr>
              <w:t xml:space="preserve">1) Climate resilience of communities and ecosystems strengthened </w:t>
            </w:r>
          </w:p>
          <w:p w:rsidR="00C74AAD" w:rsidRPr="002A77C6" w:rsidRDefault="00C00A92" w:rsidP="005454E9">
            <w:pPr>
              <w:pStyle w:val="BodyText2"/>
              <w:jc w:val="both"/>
              <w:rPr>
                <w:rFonts w:ascii="Calibri" w:hAnsi="Calibri"/>
                <w:sz w:val="22"/>
                <w:szCs w:val="22"/>
              </w:rPr>
            </w:pPr>
            <w:r w:rsidRPr="002A77C6">
              <w:rPr>
                <w:rFonts w:ascii="Calibri" w:hAnsi="Calibri"/>
                <w:sz w:val="22"/>
                <w:szCs w:val="22"/>
              </w:rPr>
              <w:t xml:space="preserve">2) Investment in green energy and access by vulnerable communities to sustainable energy improved and </w:t>
            </w:r>
          </w:p>
          <w:p w:rsidR="00C00A92" w:rsidRPr="002A77C6" w:rsidRDefault="00C00A92" w:rsidP="00DA6465">
            <w:pPr>
              <w:pStyle w:val="BodyText2"/>
              <w:jc w:val="both"/>
              <w:rPr>
                <w:rFonts w:ascii="Calibri" w:hAnsi="Calibri"/>
                <w:i/>
                <w:sz w:val="22"/>
                <w:szCs w:val="22"/>
              </w:rPr>
            </w:pPr>
            <w:r w:rsidRPr="002A77C6">
              <w:rPr>
                <w:rFonts w:ascii="Calibri" w:hAnsi="Calibri"/>
                <w:sz w:val="22"/>
                <w:szCs w:val="22"/>
              </w:rPr>
              <w:t>3) Environmental governance,</w:t>
            </w:r>
            <w:r w:rsidR="00C74AAD" w:rsidRPr="002A77C6">
              <w:rPr>
                <w:rFonts w:ascii="Calibri" w:hAnsi="Calibri"/>
                <w:sz w:val="22"/>
                <w:szCs w:val="22"/>
              </w:rPr>
              <w:t xml:space="preserve"> policies and regulatory frameworks,</w:t>
            </w:r>
            <w:r w:rsidRPr="002A77C6">
              <w:rPr>
                <w:rFonts w:ascii="Calibri" w:hAnsi="Calibri"/>
                <w:sz w:val="22"/>
                <w:szCs w:val="22"/>
              </w:rPr>
              <w:t xml:space="preserve"> and community-based management of natural resources enhanced </w:t>
            </w:r>
          </w:p>
          <w:p w:rsidR="00C00A92" w:rsidRPr="002A77C6" w:rsidRDefault="00C00A92" w:rsidP="005454E9">
            <w:pPr>
              <w:pStyle w:val="BodyText2"/>
              <w:jc w:val="both"/>
              <w:rPr>
                <w:rFonts w:ascii="Calibri" w:hAnsi="Calibri"/>
                <w:sz w:val="22"/>
                <w:szCs w:val="22"/>
              </w:rPr>
            </w:pPr>
          </w:p>
          <w:p w:rsidR="00C00A92" w:rsidRPr="002A77C6" w:rsidRDefault="00C00A92" w:rsidP="005454E9">
            <w:pPr>
              <w:pStyle w:val="BodyText2"/>
              <w:jc w:val="both"/>
              <w:rPr>
                <w:rFonts w:ascii="Calibri" w:hAnsi="Calibri"/>
                <w:sz w:val="22"/>
                <w:szCs w:val="22"/>
              </w:rPr>
            </w:pPr>
            <w:r w:rsidRPr="002A77C6">
              <w:rPr>
                <w:rFonts w:ascii="Calibri" w:hAnsi="Calibri"/>
                <w:sz w:val="22"/>
                <w:szCs w:val="22"/>
                <w:u w:val="single"/>
              </w:rPr>
              <w:t>Progress and Achievements</w:t>
            </w:r>
            <w:r w:rsidR="00C74AAD" w:rsidRPr="002A77C6">
              <w:rPr>
                <w:rFonts w:ascii="Calibri" w:hAnsi="Calibri"/>
                <w:sz w:val="22"/>
                <w:szCs w:val="22"/>
              </w:rPr>
              <w:t>:</w:t>
            </w:r>
          </w:p>
          <w:p w:rsidR="009E2DBA" w:rsidRPr="002A77C6" w:rsidRDefault="009E2DBA" w:rsidP="005454E9">
            <w:pPr>
              <w:jc w:val="both"/>
              <w:rPr>
                <w:rFonts w:ascii="Calibri" w:hAnsi="Calibri"/>
                <w:sz w:val="22"/>
                <w:szCs w:val="22"/>
              </w:rPr>
            </w:pPr>
            <w:r w:rsidRPr="002A77C6">
              <w:rPr>
                <w:rFonts w:ascii="Calibri" w:hAnsi="Calibri"/>
                <w:sz w:val="22"/>
                <w:szCs w:val="22"/>
              </w:rPr>
              <w:t xml:space="preserve">UNDP supported the establishment of a national-owned environment, energy and climate change portfolio since 2013, aiming at increased resilience, expansion of renewable energy and sustainable management of natural resources.  </w:t>
            </w:r>
          </w:p>
          <w:p w:rsidR="009E2DBA" w:rsidRPr="002A77C6" w:rsidRDefault="009E2DBA" w:rsidP="005454E9">
            <w:pPr>
              <w:jc w:val="both"/>
              <w:rPr>
                <w:rFonts w:ascii="Calibri" w:hAnsi="Calibri"/>
                <w:sz w:val="22"/>
                <w:szCs w:val="22"/>
              </w:rPr>
            </w:pPr>
          </w:p>
          <w:p w:rsidR="00700907" w:rsidRPr="002A77C6" w:rsidRDefault="009E2DBA" w:rsidP="005454E9">
            <w:pPr>
              <w:pStyle w:val="Default"/>
              <w:jc w:val="both"/>
              <w:rPr>
                <w:rFonts w:ascii="Calibri" w:hAnsi="Calibri"/>
                <w:color w:val="auto"/>
                <w:sz w:val="22"/>
                <w:szCs w:val="22"/>
              </w:rPr>
            </w:pPr>
            <w:r w:rsidRPr="002A77C6">
              <w:rPr>
                <w:rFonts w:ascii="Calibri" w:hAnsi="Calibri"/>
                <w:sz w:val="22"/>
                <w:szCs w:val="22"/>
              </w:rPr>
              <w:t xml:space="preserve">Systematic national capacity building over the past 3 years through UNDP technical assistance resulted in significantly improved government capacities at national and state level for the planning, budgeting and monitoring of climate resilience activities (NAPA midterm evaluation 2013 and final evaluation report 2015). This allowed the </w:t>
            </w:r>
            <w:r w:rsidR="00706EE0">
              <w:rPr>
                <w:rFonts w:ascii="Calibri" w:hAnsi="Calibri"/>
                <w:sz w:val="22"/>
                <w:szCs w:val="22"/>
              </w:rPr>
              <w:t>G</w:t>
            </w:r>
            <w:r w:rsidRPr="002A77C6">
              <w:rPr>
                <w:rFonts w:ascii="Calibri" w:hAnsi="Calibri"/>
                <w:sz w:val="22"/>
                <w:szCs w:val="22"/>
              </w:rPr>
              <w:t xml:space="preserve">overnment in collaboration with UNDP to further expand </w:t>
            </w:r>
            <w:r w:rsidR="00706EE0" w:rsidRPr="002A77C6">
              <w:rPr>
                <w:rFonts w:ascii="Calibri" w:hAnsi="Calibri"/>
                <w:sz w:val="22"/>
                <w:szCs w:val="22"/>
              </w:rPr>
              <w:t xml:space="preserve">in 2015 </w:t>
            </w:r>
            <w:r w:rsidRPr="002A77C6">
              <w:rPr>
                <w:rFonts w:ascii="Calibri" w:hAnsi="Calibri"/>
                <w:sz w:val="22"/>
                <w:szCs w:val="22"/>
              </w:rPr>
              <w:t>the beneficiary base for climate resilience and adaptation measures to 11,000 and 9,000 particularly vulnerable women and men respectively</w:t>
            </w:r>
            <w:r w:rsidR="00700907" w:rsidRPr="002A77C6">
              <w:rPr>
                <w:rFonts w:ascii="Calibri" w:hAnsi="Calibri"/>
                <w:sz w:val="22"/>
                <w:szCs w:val="22"/>
              </w:rPr>
              <w:t xml:space="preserve">. </w:t>
            </w:r>
            <w:r w:rsidRPr="002A77C6">
              <w:rPr>
                <w:rFonts w:ascii="Calibri" w:hAnsi="Calibri"/>
                <w:sz w:val="22"/>
                <w:szCs w:val="22"/>
              </w:rPr>
              <w:t xml:space="preserve">In parallel, a total of 45,000 farmers and pastoralists received access to climate risk finance and early warning capacities were enhanced through the deployment of 7 </w:t>
            </w:r>
            <w:r w:rsidR="00700907" w:rsidRPr="002A77C6">
              <w:rPr>
                <w:rFonts w:ascii="Calibri" w:hAnsi="Calibri"/>
                <w:sz w:val="22"/>
                <w:szCs w:val="22"/>
              </w:rPr>
              <w:t xml:space="preserve">Automatic Weather Station </w:t>
            </w:r>
            <w:r w:rsidRPr="002A77C6">
              <w:rPr>
                <w:rFonts w:ascii="Calibri" w:hAnsi="Calibri"/>
                <w:sz w:val="22"/>
                <w:szCs w:val="22"/>
              </w:rPr>
              <w:t xml:space="preserve">and </w:t>
            </w:r>
            <w:r w:rsidR="00700907" w:rsidRPr="002A77C6">
              <w:rPr>
                <w:rFonts w:ascii="Calibri" w:hAnsi="Calibri"/>
                <w:sz w:val="22"/>
                <w:szCs w:val="22"/>
              </w:rPr>
              <w:t xml:space="preserve">installed </w:t>
            </w:r>
            <w:r w:rsidRPr="002A77C6">
              <w:rPr>
                <w:rFonts w:ascii="Calibri" w:hAnsi="Calibri"/>
                <w:sz w:val="22"/>
                <w:szCs w:val="22"/>
              </w:rPr>
              <w:t xml:space="preserve">162 rain gauges with the technical assistance from Sudan Meteorological Authority in 6 states </w:t>
            </w:r>
            <w:r w:rsidR="00700907" w:rsidRPr="002A77C6">
              <w:rPr>
                <w:rFonts w:ascii="Calibri" w:hAnsi="Calibri"/>
                <w:sz w:val="22"/>
                <w:szCs w:val="22"/>
              </w:rPr>
              <w:t>(</w:t>
            </w:r>
            <w:r w:rsidRPr="002A77C6">
              <w:rPr>
                <w:rFonts w:ascii="Calibri" w:hAnsi="Calibri"/>
                <w:sz w:val="22"/>
                <w:szCs w:val="22"/>
              </w:rPr>
              <w:t>C</w:t>
            </w:r>
            <w:r w:rsidR="00700907" w:rsidRPr="002A77C6">
              <w:rPr>
                <w:rFonts w:ascii="Calibri" w:hAnsi="Calibri"/>
                <w:sz w:val="22"/>
                <w:szCs w:val="22"/>
              </w:rPr>
              <w:t xml:space="preserve">limate </w:t>
            </w:r>
            <w:r w:rsidRPr="002A77C6">
              <w:rPr>
                <w:rFonts w:ascii="Calibri" w:hAnsi="Calibri"/>
                <w:sz w:val="22"/>
                <w:szCs w:val="22"/>
              </w:rPr>
              <w:t>R</w:t>
            </w:r>
            <w:r w:rsidR="00700907" w:rsidRPr="002A77C6">
              <w:rPr>
                <w:rFonts w:ascii="Calibri" w:hAnsi="Calibri"/>
                <w:sz w:val="22"/>
                <w:szCs w:val="22"/>
              </w:rPr>
              <w:t xml:space="preserve">isk </w:t>
            </w:r>
            <w:r w:rsidRPr="002A77C6">
              <w:rPr>
                <w:rFonts w:ascii="Calibri" w:hAnsi="Calibri"/>
                <w:sz w:val="22"/>
                <w:szCs w:val="22"/>
              </w:rPr>
              <w:t>F</w:t>
            </w:r>
            <w:r w:rsidR="00700907" w:rsidRPr="002A77C6">
              <w:rPr>
                <w:rFonts w:ascii="Calibri" w:hAnsi="Calibri"/>
                <w:sz w:val="22"/>
                <w:szCs w:val="22"/>
              </w:rPr>
              <w:t>inance</w:t>
            </w:r>
            <w:r w:rsidRPr="002A77C6">
              <w:rPr>
                <w:rFonts w:ascii="Calibri" w:hAnsi="Calibri"/>
                <w:sz w:val="22"/>
                <w:szCs w:val="22"/>
              </w:rPr>
              <w:t xml:space="preserve"> Project progress report</w:t>
            </w:r>
            <w:r w:rsidR="00700907" w:rsidRPr="002A77C6">
              <w:rPr>
                <w:rFonts w:ascii="Calibri" w:hAnsi="Calibri"/>
                <w:sz w:val="22"/>
                <w:szCs w:val="22"/>
              </w:rPr>
              <w:t>,</w:t>
            </w:r>
            <w:r w:rsidRPr="002A77C6">
              <w:rPr>
                <w:rFonts w:ascii="Calibri" w:hAnsi="Calibri"/>
                <w:sz w:val="22"/>
                <w:szCs w:val="22"/>
              </w:rPr>
              <w:t xml:space="preserve"> 2015). </w:t>
            </w:r>
            <w:r w:rsidR="00700907" w:rsidRPr="002A77C6">
              <w:rPr>
                <w:rFonts w:ascii="Calibri" w:hAnsi="Calibri"/>
                <w:sz w:val="22"/>
                <w:szCs w:val="22"/>
              </w:rPr>
              <w:t xml:space="preserve">Based on the success cases of climate change adaptation projects, UNDP provided technical assistance to the Government to seek fund </w:t>
            </w:r>
            <w:r w:rsidR="00E60F7C">
              <w:rPr>
                <w:rFonts w:ascii="Calibri" w:hAnsi="Calibri"/>
                <w:sz w:val="22"/>
                <w:szCs w:val="22"/>
              </w:rPr>
              <w:t>resulting in over USD</w:t>
            </w:r>
            <w:r w:rsidR="00FF01E1">
              <w:rPr>
                <w:rFonts w:ascii="Calibri" w:hAnsi="Calibri"/>
                <w:sz w:val="22"/>
                <w:szCs w:val="22"/>
              </w:rPr>
              <w:t xml:space="preserve"> </w:t>
            </w:r>
            <w:r w:rsidR="00E60F7C">
              <w:rPr>
                <w:rFonts w:ascii="Calibri" w:hAnsi="Calibri"/>
                <w:sz w:val="22"/>
                <w:szCs w:val="22"/>
              </w:rPr>
              <w:t>60 million, including a submission of USD</w:t>
            </w:r>
            <w:r w:rsidR="00FF01E1">
              <w:rPr>
                <w:rFonts w:ascii="Calibri" w:hAnsi="Calibri"/>
                <w:sz w:val="22"/>
                <w:szCs w:val="22"/>
              </w:rPr>
              <w:t xml:space="preserve"> </w:t>
            </w:r>
            <w:r w:rsidR="00E60F7C">
              <w:rPr>
                <w:rFonts w:ascii="Calibri" w:hAnsi="Calibri"/>
                <w:sz w:val="22"/>
                <w:szCs w:val="22"/>
              </w:rPr>
              <w:t>46 million</w:t>
            </w:r>
            <w:r w:rsidR="00FF01E1">
              <w:rPr>
                <w:rFonts w:ascii="Calibri" w:hAnsi="Calibri"/>
                <w:sz w:val="22"/>
                <w:szCs w:val="22"/>
              </w:rPr>
              <w:t xml:space="preserve"> to</w:t>
            </w:r>
            <w:r w:rsidR="00E60F7C">
              <w:rPr>
                <w:rFonts w:ascii="Calibri" w:hAnsi="Calibri"/>
                <w:sz w:val="22"/>
                <w:szCs w:val="22"/>
              </w:rPr>
              <w:t xml:space="preserve"> the green climate fund</w:t>
            </w:r>
            <w:r w:rsidR="00FF01E1">
              <w:rPr>
                <w:rFonts w:ascii="Calibri" w:hAnsi="Calibri"/>
                <w:sz w:val="22"/>
                <w:szCs w:val="22"/>
              </w:rPr>
              <w:t xml:space="preserve"> Secretariat in 2016.</w:t>
            </w:r>
            <w:r w:rsidR="00700907" w:rsidRPr="002A77C6">
              <w:rPr>
                <w:rFonts w:ascii="Calibri" w:hAnsi="Calibri"/>
                <w:color w:val="auto"/>
                <w:sz w:val="22"/>
                <w:szCs w:val="22"/>
              </w:rPr>
              <w:t xml:space="preserve">UNDP Sudan targets for investments in renewable energy and access by vulnerable communities to sustainable energy were not achieved due to the delay </w:t>
            </w:r>
            <w:r w:rsidR="00171F9D">
              <w:rPr>
                <w:rFonts w:ascii="Calibri" w:hAnsi="Calibri"/>
                <w:color w:val="auto"/>
                <w:sz w:val="22"/>
                <w:szCs w:val="22"/>
              </w:rPr>
              <w:t>in receiving the</w:t>
            </w:r>
            <w:r w:rsidR="00171F9D" w:rsidRPr="002A77C6">
              <w:rPr>
                <w:rFonts w:ascii="Calibri" w:hAnsi="Calibri"/>
                <w:color w:val="auto"/>
                <w:sz w:val="22"/>
                <w:szCs w:val="22"/>
              </w:rPr>
              <w:t xml:space="preserve"> </w:t>
            </w:r>
            <w:r w:rsidR="00700907" w:rsidRPr="002A77C6">
              <w:rPr>
                <w:rFonts w:ascii="Calibri" w:hAnsi="Calibri"/>
                <w:color w:val="auto"/>
                <w:sz w:val="22"/>
                <w:szCs w:val="22"/>
              </w:rPr>
              <w:t xml:space="preserve">funding committed by the Government of Qatar (6M$). </w:t>
            </w:r>
            <w:r w:rsidR="00171F9D">
              <w:rPr>
                <w:rFonts w:ascii="Calibri" w:hAnsi="Calibri"/>
                <w:color w:val="auto"/>
                <w:sz w:val="22"/>
                <w:szCs w:val="22"/>
              </w:rPr>
              <w:t>The</w:t>
            </w:r>
            <w:r w:rsidR="00700907" w:rsidRPr="002A77C6">
              <w:rPr>
                <w:rFonts w:ascii="Calibri" w:hAnsi="Calibri"/>
                <w:color w:val="auto"/>
                <w:sz w:val="22"/>
                <w:szCs w:val="22"/>
              </w:rPr>
              <w:t xml:space="preserve"> first tranche </w:t>
            </w:r>
            <w:r w:rsidR="00171F9D">
              <w:rPr>
                <w:rFonts w:ascii="Calibri" w:hAnsi="Calibri"/>
                <w:color w:val="auto"/>
                <w:sz w:val="22"/>
                <w:szCs w:val="22"/>
              </w:rPr>
              <w:t>was received in</w:t>
            </w:r>
            <w:r w:rsidR="00700907" w:rsidRPr="002A77C6">
              <w:rPr>
                <w:rFonts w:ascii="Calibri" w:hAnsi="Calibri"/>
                <w:color w:val="auto"/>
                <w:sz w:val="22"/>
                <w:szCs w:val="22"/>
              </w:rPr>
              <w:t xml:space="preserve"> December 2015 (0.64M$), kick-starting activities </w:t>
            </w:r>
            <w:r w:rsidR="00171F9D">
              <w:rPr>
                <w:rFonts w:ascii="Calibri" w:hAnsi="Calibri"/>
                <w:color w:val="auto"/>
                <w:sz w:val="22"/>
                <w:szCs w:val="22"/>
              </w:rPr>
              <w:t>are being implemented</w:t>
            </w:r>
            <w:r w:rsidR="00700907" w:rsidRPr="002A77C6">
              <w:rPr>
                <w:rFonts w:ascii="Calibri" w:hAnsi="Calibri"/>
                <w:color w:val="auto"/>
                <w:sz w:val="22"/>
                <w:szCs w:val="22"/>
              </w:rPr>
              <w:t xml:space="preserve"> in 14 villages in North Darfur since January 2016. According to the plan, 70 villages will receive access to solar energy for their basic services. In addition, </w:t>
            </w:r>
            <w:r w:rsidR="00171F9D">
              <w:rPr>
                <w:rFonts w:ascii="Calibri" w:hAnsi="Calibri"/>
                <w:color w:val="auto"/>
                <w:sz w:val="22"/>
                <w:szCs w:val="22"/>
              </w:rPr>
              <w:t>a</w:t>
            </w:r>
            <w:r w:rsidR="00171F9D" w:rsidRPr="002A77C6">
              <w:rPr>
                <w:rFonts w:ascii="Calibri" w:hAnsi="Calibri"/>
                <w:color w:val="auto"/>
                <w:sz w:val="22"/>
                <w:szCs w:val="22"/>
              </w:rPr>
              <w:t xml:space="preserve"> </w:t>
            </w:r>
            <w:r w:rsidR="00700907" w:rsidRPr="002A77C6">
              <w:rPr>
                <w:rFonts w:ascii="Calibri" w:hAnsi="Calibri"/>
                <w:color w:val="auto"/>
                <w:sz w:val="22"/>
                <w:szCs w:val="22"/>
              </w:rPr>
              <w:t xml:space="preserve">wind energy </w:t>
            </w:r>
            <w:r w:rsidR="00171F9D">
              <w:rPr>
                <w:rFonts w:ascii="Calibri" w:hAnsi="Calibri"/>
                <w:color w:val="auto"/>
                <w:sz w:val="22"/>
                <w:szCs w:val="22"/>
              </w:rPr>
              <w:t>initiative</w:t>
            </w:r>
            <w:r w:rsidR="00171F9D" w:rsidRPr="002A77C6">
              <w:rPr>
                <w:rFonts w:ascii="Calibri" w:hAnsi="Calibri"/>
                <w:color w:val="auto"/>
                <w:sz w:val="22"/>
                <w:szCs w:val="22"/>
              </w:rPr>
              <w:t xml:space="preserve"> </w:t>
            </w:r>
            <w:r w:rsidR="00700907" w:rsidRPr="002A77C6">
              <w:rPr>
                <w:rFonts w:ascii="Calibri" w:hAnsi="Calibri"/>
                <w:color w:val="auto"/>
                <w:sz w:val="22"/>
                <w:szCs w:val="22"/>
              </w:rPr>
              <w:t>is being implemented in Northern State. In total, 1,440 solar pumps will</w:t>
            </w:r>
            <w:r w:rsidR="00171F9D">
              <w:rPr>
                <w:rFonts w:ascii="Calibri" w:hAnsi="Calibri"/>
                <w:color w:val="auto"/>
                <w:sz w:val="22"/>
                <w:szCs w:val="22"/>
              </w:rPr>
              <w:t xml:space="preserve"> be</w:t>
            </w:r>
            <w:r w:rsidR="00700907" w:rsidRPr="002A77C6">
              <w:rPr>
                <w:rFonts w:ascii="Calibri" w:hAnsi="Calibri"/>
                <w:color w:val="auto"/>
                <w:sz w:val="22"/>
                <w:szCs w:val="22"/>
              </w:rPr>
              <w:t xml:space="preserve"> install</w:t>
            </w:r>
            <w:r w:rsidR="00171F9D">
              <w:rPr>
                <w:rFonts w:ascii="Calibri" w:hAnsi="Calibri"/>
                <w:color w:val="auto"/>
                <w:sz w:val="22"/>
                <w:szCs w:val="22"/>
              </w:rPr>
              <w:t>ed</w:t>
            </w:r>
            <w:r w:rsidR="00700907" w:rsidRPr="002A77C6">
              <w:rPr>
                <w:rFonts w:ascii="Calibri" w:hAnsi="Calibri"/>
                <w:color w:val="auto"/>
                <w:sz w:val="22"/>
                <w:szCs w:val="22"/>
              </w:rPr>
              <w:t xml:space="preserve"> in Northern State</w:t>
            </w:r>
            <w:r w:rsidR="00171F9D">
              <w:rPr>
                <w:rFonts w:ascii="Calibri" w:hAnsi="Calibri"/>
                <w:color w:val="auto"/>
                <w:sz w:val="22"/>
                <w:szCs w:val="22"/>
              </w:rPr>
              <w:t>s</w:t>
            </w:r>
            <w:r w:rsidR="00700907" w:rsidRPr="002A77C6">
              <w:rPr>
                <w:rFonts w:ascii="Calibri" w:hAnsi="Calibri"/>
                <w:color w:val="auto"/>
                <w:sz w:val="22"/>
                <w:szCs w:val="22"/>
              </w:rPr>
              <w:t xml:space="preserve"> by the end of 2019. Of these, 28 demonstration pumps will install in 28 villages by the end of September 2016. In addition, an energy efficiency project has been approved (2M$) by GEF in October 2015. Finally, UNDP initiated the solar for health programme</w:t>
            </w:r>
            <w:r w:rsidR="00390556">
              <w:rPr>
                <w:rFonts w:ascii="Calibri" w:hAnsi="Calibri"/>
                <w:color w:val="auto"/>
                <w:sz w:val="22"/>
                <w:szCs w:val="22"/>
              </w:rPr>
              <w:t xml:space="preserve"> (</w:t>
            </w:r>
            <w:r w:rsidR="00700907" w:rsidRPr="002A77C6">
              <w:rPr>
                <w:rFonts w:ascii="Calibri" w:hAnsi="Calibri"/>
                <w:color w:val="auto"/>
                <w:sz w:val="22"/>
                <w:szCs w:val="22"/>
              </w:rPr>
              <w:t>89M$</w:t>
            </w:r>
            <w:r w:rsidR="00390556">
              <w:rPr>
                <w:rFonts w:ascii="Calibri" w:hAnsi="Calibri"/>
                <w:color w:val="auto"/>
                <w:sz w:val="22"/>
                <w:szCs w:val="22"/>
              </w:rPr>
              <w:t>)</w:t>
            </w:r>
            <w:r w:rsidR="00700907" w:rsidRPr="002A77C6">
              <w:rPr>
                <w:rFonts w:ascii="Calibri" w:hAnsi="Calibri"/>
                <w:color w:val="auto"/>
                <w:sz w:val="22"/>
                <w:szCs w:val="22"/>
              </w:rPr>
              <w:t xml:space="preserve"> in collaboration with African Development Bank.</w:t>
            </w:r>
          </w:p>
          <w:p w:rsidR="00700907" w:rsidRPr="002A77C6" w:rsidRDefault="00700907" w:rsidP="005454E9">
            <w:pPr>
              <w:pStyle w:val="Default"/>
              <w:jc w:val="both"/>
              <w:rPr>
                <w:rFonts w:ascii="Calibri" w:hAnsi="Calibri"/>
                <w:color w:val="auto"/>
                <w:sz w:val="22"/>
                <w:szCs w:val="22"/>
              </w:rPr>
            </w:pPr>
          </w:p>
          <w:p w:rsidR="00C74AAD" w:rsidRPr="002A77C6" w:rsidRDefault="00F22E9A" w:rsidP="00AA3F91">
            <w:pPr>
              <w:pStyle w:val="Default"/>
              <w:jc w:val="both"/>
              <w:rPr>
                <w:rFonts w:ascii="Calibri" w:hAnsi="Calibri"/>
                <w:i/>
                <w:color w:val="auto"/>
                <w:sz w:val="22"/>
                <w:szCs w:val="22"/>
              </w:rPr>
            </w:pPr>
            <w:r w:rsidRPr="002A77C6">
              <w:rPr>
                <w:rFonts w:ascii="Calibri" w:hAnsi="Calibri"/>
                <w:color w:val="auto"/>
                <w:sz w:val="22"/>
                <w:szCs w:val="22"/>
              </w:rPr>
              <w:t xml:space="preserve">With the technical and </w:t>
            </w:r>
            <w:r w:rsidR="00390556" w:rsidRPr="002A77C6">
              <w:rPr>
                <w:rFonts w:ascii="Calibri" w:hAnsi="Calibri"/>
                <w:color w:val="auto"/>
                <w:sz w:val="22"/>
                <w:szCs w:val="22"/>
              </w:rPr>
              <w:t>financ</w:t>
            </w:r>
            <w:r w:rsidR="00390556">
              <w:rPr>
                <w:rFonts w:ascii="Calibri" w:hAnsi="Calibri"/>
                <w:color w:val="auto"/>
                <w:sz w:val="22"/>
                <w:szCs w:val="22"/>
              </w:rPr>
              <w:t>ial</w:t>
            </w:r>
            <w:r w:rsidR="00390556" w:rsidRPr="002A77C6">
              <w:rPr>
                <w:rFonts w:ascii="Calibri" w:hAnsi="Calibri"/>
                <w:color w:val="auto"/>
                <w:sz w:val="22"/>
                <w:szCs w:val="22"/>
              </w:rPr>
              <w:t xml:space="preserve"> </w:t>
            </w:r>
            <w:r w:rsidRPr="002A77C6">
              <w:rPr>
                <w:rFonts w:ascii="Calibri" w:hAnsi="Calibri"/>
                <w:color w:val="auto"/>
                <w:sz w:val="22"/>
                <w:szCs w:val="22"/>
              </w:rPr>
              <w:t xml:space="preserve">support by UNDP, the </w:t>
            </w:r>
            <w:r w:rsidR="00390556">
              <w:rPr>
                <w:rFonts w:ascii="Calibri" w:hAnsi="Calibri"/>
                <w:color w:val="auto"/>
                <w:sz w:val="22"/>
                <w:szCs w:val="22"/>
              </w:rPr>
              <w:t>G</w:t>
            </w:r>
            <w:r w:rsidR="00390556" w:rsidRPr="002A77C6">
              <w:rPr>
                <w:rFonts w:ascii="Calibri" w:hAnsi="Calibri"/>
                <w:color w:val="auto"/>
                <w:sz w:val="22"/>
                <w:szCs w:val="22"/>
              </w:rPr>
              <w:t xml:space="preserve">overnment </w:t>
            </w:r>
            <w:r w:rsidRPr="002A77C6">
              <w:rPr>
                <w:rFonts w:ascii="Calibri" w:hAnsi="Calibri"/>
                <w:color w:val="auto"/>
                <w:sz w:val="22"/>
                <w:szCs w:val="22"/>
              </w:rPr>
              <w:t>of Sudan prepared</w:t>
            </w:r>
            <w:r w:rsidR="009E2DBA" w:rsidRPr="002A77C6">
              <w:rPr>
                <w:rFonts w:ascii="Calibri" w:hAnsi="Calibri"/>
                <w:color w:val="auto"/>
                <w:sz w:val="22"/>
                <w:szCs w:val="22"/>
              </w:rPr>
              <w:t xml:space="preserve"> </w:t>
            </w:r>
            <w:r w:rsidRPr="002A77C6">
              <w:rPr>
                <w:rFonts w:ascii="Calibri" w:hAnsi="Calibri"/>
                <w:color w:val="auto"/>
                <w:sz w:val="22"/>
                <w:szCs w:val="22"/>
              </w:rPr>
              <w:t xml:space="preserve">a </w:t>
            </w:r>
            <w:r w:rsidR="009E2DBA" w:rsidRPr="002A77C6">
              <w:rPr>
                <w:rFonts w:ascii="Calibri" w:hAnsi="Calibri"/>
                <w:color w:val="auto"/>
                <w:sz w:val="22"/>
                <w:szCs w:val="22"/>
              </w:rPr>
              <w:t xml:space="preserve">National Biodiversity Strategic Action Plan (NBSAP) </w:t>
            </w:r>
            <w:r w:rsidRPr="002A77C6">
              <w:rPr>
                <w:rFonts w:ascii="Calibri" w:hAnsi="Calibri"/>
                <w:color w:val="auto"/>
                <w:sz w:val="22"/>
                <w:szCs w:val="22"/>
              </w:rPr>
              <w:t xml:space="preserve">and </w:t>
            </w:r>
            <w:r w:rsidR="009E2DBA" w:rsidRPr="002A77C6">
              <w:rPr>
                <w:rFonts w:ascii="Calibri" w:hAnsi="Calibri"/>
                <w:color w:val="auto"/>
                <w:sz w:val="22"/>
                <w:szCs w:val="22"/>
              </w:rPr>
              <w:t xml:space="preserve">approved by the Convention of </w:t>
            </w:r>
            <w:r w:rsidRPr="002A77C6">
              <w:rPr>
                <w:rFonts w:ascii="Calibri" w:hAnsi="Calibri"/>
                <w:color w:val="auto"/>
                <w:sz w:val="22"/>
                <w:szCs w:val="22"/>
              </w:rPr>
              <w:t>Biological Diversity (CBD)</w:t>
            </w:r>
            <w:r w:rsidR="009E2DBA" w:rsidRPr="002A77C6">
              <w:rPr>
                <w:rFonts w:ascii="Calibri" w:hAnsi="Calibri"/>
                <w:color w:val="auto"/>
                <w:sz w:val="22"/>
                <w:szCs w:val="22"/>
              </w:rPr>
              <w:t xml:space="preserve">. In addition, Khartoum is part of the Resilient Cities Initiative and developed its “Resilient City </w:t>
            </w:r>
            <w:r w:rsidRPr="002A77C6">
              <w:rPr>
                <w:rFonts w:ascii="Calibri" w:hAnsi="Calibri"/>
                <w:color w:val="auto"/>
                <w:sz w:val="22"/>
                <w:szCs w:val="22"/>
              </w:rPr>
              <w:t xml:space="preserve">Action </w:t>
            </w:r>
            <w:r w:rsidR="009E2DBA" w:rsidRPr="002A77C6">
              <w:rPr>
                <w:rFonts w:ascii="Calibri" w:hAnsi="Calibri"/>
                <w:color w:val="auto"/>
                <w:sz w:val="22"/>
                <w:szCs w:val="22"/>
              </w:rPr>
              <w:t>Plan for Khartoum” in coordination with City State Council and</w:t>
            </w:r>
            <w:r w:rsidRPr="002A77C6">
              <w:rPr>
                <w:rFonts w:ascii="Calibri" w:hAnsi="Calibri"/>
                <w:color w:val="auto"/>
                <w:sz w:val="22"/>
                <w:szCs w:val="22"/>
              </w:rPr>
              <w:t xml:space="preserve"> Rabat University in 2015</w:t>
            </w:r>
            <w:r w:rsidR="009E2DBA" w:rsidRPr="002A77C6">
              <w:rPr>
                <w:rFonts w:ascii="Calibri" w:hAnsi="Calibri"/>
                <w:color w:val="auto"/>
                <w:sz w:val="22"/>
                <w:szCs w:val="22"/>
              </w:rPr>
              <w:t xml:space="preserve">. </w:t>
            </w:r>
            <w:r w:rsidRPr="002A77C6">
              <w:rPr>
                <w:rFonts w:ascii="Calibri" w:hAnsi="Calibri"/>
                <w:color w:val="auto"/>
                <w:sz w:val="22"/>
                <w:szCs w:val="22"/>
              </w:rPr>
              <w:t>Moreover, environment and natural resources related strategies have been developed in consultation with Higher Council for Environment and Natural Resources. All these documents were approved by the Government. These strategies and action plans are a) 2</w:t>
            </w:r>
            <w:r w:rsidRPr="002A77C6">
              <w:rPr>
                <w:rFonts w:ascii="Calibri" w:hAnsi="Calibri"/>
                <w:color w:val="auto"/>
                <w:sz w:val="22"/>
                <w:szCs w:val="22"/>
                <w:vertAlign w:val="superscript"/>
              </w:rPr>
              <w:t>nd</w:t>
            </w:r>
            <w:r w:rsidRPr="002A77C6">
              <w:rPr>
                <w:rFonts w:ascii="Calibri" w:hAnsi="Calibri"/>
                <w:color w:val="auto"/>
                <w:sz w:val="22"/>
                <w:szCs w:val="22"/>
              </w:rPr>
              <w:t xml:space="preserve"> National Communication Report, 2014; b) National Biodiversity Strategic and Action Plan, 2015 and c) Nationally </w:t>
            </w:r>
            <w:r w:rsidRPr="002A77C6">
              <w:rPr>
                <w:rFonts w:ascii="Calibri" w:hAnsi="Calibri"/>
                <w:color w:val="auto"/>
                <w:sz w:val="22"/>
                <w:szCs w:val="22"/>
              </w:rPr>
              <w:lastRenderedPageBreak/>
              <w:t>Appropriate Mitigation Action Plan, 2015.  In addition, a</w:t>
            </w:r>
            <w:r w:rsidR="009E2DBA" w:rsidRPr="002A77C6">
              <w:rPr>
                <w:rFonts w:ascii="Calibri" w:hAnsi="Calibri"/>
                <w:color w:val="auto"/>
                <w:sz w:val="22"/>
                <w:szCs w:val="22"/>
              </w:rPr>
              <w:t xml:space="preserve"> national level Disaster Risk Reduction </w:t>
            </w:r>
            <w:r w:rsidR="00CE5507" w:rsidRPr="002A77C6">
              <w:rPr>
                <w:rFonts w:ascii="Calibri" w:hAnsi="Calibri"/>
                <w:color w:val="auto"/>
                <w:sz w:val="22"/>
                <w:szCs w:val="22"/>
              </w:rPr>
              <w:t>Strategy was</w:t>
            </w:r>
            <w:r w:rsidR="00AA3F91">
              <w:rPr>
                <w:rFonts w:ascii="Calibri" w:hAnsi="Calibri"/>
                <w:color w:val="auto"/>
                <w:sz w:val="22"/>
                <w:szCs w:val="22"/>
              </w:rPr>
              <w:t xml:space="preserve"> finalized </w:t>
            </w:r>
            <w:r w:rsidR="009E2DBA" w:rsidRPr="002A77C6">
              <w:rPr>
                <w:rFonts w:ascii="Calibri" w:hAnsi="Calibri"/>
                <w:color w:val="auto"/>
                <w:sz w:val="22"/>
                <w:szCs w:val="22"/>
              </w:rPr>
              <w:t xml:space="preserve">by the National Council for Civil Defense </w:t>
            </w:r>
            <w:r w:rsidR="002D4426">
              <w:rPr>
                <w:rFonts w:ascii="Calibri" w:hAnsi="Calibri"/>
                <w:color w:val="auto"/>
                <w:sz w:val="22"/>
                <w:szCs w:val="22"/>
              </w:rPr>
              <w:t xml:space="preserve">in </w:t>
            </w:r>
            <w:r w:rsidRPr="002A77C6">
              <w:rPr>
                <w:rFonts w:ascii="Calibri" w:hAnsi="Calibri"/>
                <w:color w:val="auto"/>
                <w:sz w:val="22"/>
                <w:szCs w:val="22"/>
              </w:rPr>
              <w:t xml:space="preserve"> 2016.</w:t>
            </w:r>
          </w:p>
        </w:tc>
      </w:tr>
      <w:tr w:rsidR="002E71FF" w:rsidRPr="002A77C6" w:rsidTr="00D30BD4">
        <w:tc>
          <w:tcPr>
            <w:tcW w:w="3060" w:type="dxa"/>
            <w:tcBorders>
              <w:bottom w:val="single" w:sz="4" w:space="0" w:color="auto"/>
            </w:tcBorders>
            <w:shd w:val="clear" w:color="auto" w:fill="FFFFFF"/>
          </w:tcPr>
          <w:p w:rsidR="002E71FF" w:rsidRPr="002A77C6" w:rsidRDefault="002E71FF" w:rsidP="002E71FF">
            <w:pPr>
              <w:pStyle w:val="BodyText2"/>
              <w:jc w:val="both"/>
              <w:rPr>
                <w:rFonts w:ascii="Calibri" w:hAnsi="Calibri"/>
                <w:b/>
                <w:sz w:val="22"/>
                <w:szCs w:val="22"/>
              </w:rPr>
            </w:pPr>
            <w:r w:rsidRPr="002A77C6">
              <w:rPr>
                <w:rFonts w:ascii="Calibri" w:hAnsi="Calibri"/>
                <w:b/>
                <w:sz w:val="22"/>
                <w:szCs w:val="22"/>
              </w:rPr>
              <w:lastRenderedPageBreak/>
              <w:t>Outcomes</w:t>
            </w:r>
          </w:p>
        </w:tc>
        <w:tc>
          <w:tcPr>
            <w:tcW w:w="2460" w:type="dxa"/>
            <w:gridSpan w:val="3"/>
            <w:tcBorders>
              <w:bottom w:val="single" w:sz="4" w:space="0" w:color="auto"/>
            </w:tcBorders>
            <w:shd w:val="clear" w:color="auto" w:fill="FFFFFF"/>
          </w:tcPr>
          <w:p w:rsidR="002E71FF" w:rsidRPr="002A77C6" w:rsidRDefault="002E71FF" w:rsidP="002E71FF">
            <w:pPr>
              <w:pStyle w:val="BodyText2"/>
              <w:jc w:val="both"/>
              <w:rPr>
                <w:rFonts w:ascii="Calibri" w:hAnsi="Calibri"/>
                <w:b/>
                <w:sz w:val="22"/>
                <w:szCs w:val="22"/>
              </w:rPr>
            </w:pPr>
            <w:r w:rsidRPr="002A77C6">
              <w:rPr>
                <w:rFonts w:ascii="Calibri" w:hAnsi="Calibri"/>
                <w:b/>
                <w:sz w:val="22"/>
                <w:szCs w:val="22"/>
              </w:rPr>
              <w:t>Total Expenditure</w:t>
            </w:r>
          </w:p>
        </w:tc>
        <w:tc>
          <w:tcPr>
            <w:tcW w:w="3585" w:type="dxa"/>
            <w:gridSpan w:val="2"/>
            <w:tcBorders>
              <w:bottom w:val="single" w:sz="4" w:space="0" w:color="auto"/>
            </w:tcBorders>
            <w:shd w:val="clear" w:color="auto" w:fill="FFFFFF"/>
          </w:tcPr>
          <w:p w:rsidR="002E71FF" w:rsidRPr="002A77C6" w:rsidRDefault="002E71FF" w:rsidP="002E71FF">
            <w:pPr>
              <w:pStyle w:val="BodyText2"/>
              <w:jc w:val="both"/>
              <w:rPr>
                <w:rFonts w:ascii="Calibri" w:hAnsi="Calibri"/>
                <w:b/>
                <w:sz w:val="22"/>
                <w:szCs w:val="22"/>
              </w:rPr>
            </w:pPr>
            <w:r w:rsidRPr="002A77C6">
              <w:rPr>
                <w:rFonts w:ascii="Calibri" w:hAnsi="Calibri"/>
                <w:b/>
                <w:sz w:val="22"/>
                <w:szCs w:val="22"/>
              </w:rPr>
              <w:t>Key Indicators of outcome (1-4 per outcome)</w:t>
            </w:r>
          </w:p>
        </w:tc>
        <w:tc>
          <w:tcPr>
            <w:tcW w:w="4935" w:type="dxa"/>
            <w:tcBorders>
              <w:bottom w:val="single" w:sz="4" w:space="0" w:color="auto"/>
            </w:tcBorders>
            <w:shd w:val="clear" w:color="auto" w:fill="FFFFFF"/>
          </w:tcPr>
          <w:p w:rsidR="002E71FF" w:rsidRPr="002A77C6" w:rsidRDefault="002E71FF" w:rsidP="002E71FF">
            <w:pPr>
              <w:pStyle w:val="BodyText2"/>
              <w:jc w:val="both"/>
              <w:rPr>
                <w:rFonts w:ascii="Calibri" w:hAnsi="Calibri"/>
                <w:b/>
                <w:sz w:val="22"/>
                <w:szCs w:val="22"/>
              </w:rPr>
            </w:pPr>
            <w:r w:rsidRPr="002A77C6">
              <w:rPr>
                <w:rFonts w:ascii="Calibri" w:hAnsi="Calibri"/>
                <w:b/>
                <w:sz w:val="22"/>
                <w:szCs w:val="22"/>
              </w:rPr>
              <w:t>Progress made against key indicators</w:t>
            </w:r>
          </w:p>
        </w:tc>
      </w:tr>
      <w:tr w:rsidR="002A77C6" w:rsidRPr="002A77C6" w:rsidTr="000E35AE">
        <w:trPr>
          <w:trHeight w:val="2870"/>
        </w:trPr>
        <w:tc>
          <w:tcPr>
            <w:tcW w:w="3060" w:type="dxa"/>
            <w:shd w:val="clear" w:color="auto" w:fill="FFFFFF"/>
          </w:tcPr>
          <w:p w:rsidR="000222FA" w:rsidRPr="002A77C6" w:rsidRDefault="000222FA" w:rsidP="001A7440">
            <w:pPr>
              <w:widowControl/>
              <w:jc w:val="both"/>
              <w:rPr>
                <w:rFonts w:ascii="Calibri" w:hAnsi="Calibri"/>
                <w:bCs/>
                <w:sz w:val="22"/>
                <w:szCs w:val="22"/>
              </w:rPr>
            </w:pPr>
            <w:r w:rsidRPr="002A77C6">
              <w:rPr>
                <w:rFonts w:ascii="Calibri" w:hAnsi="Calibri"/>
                <w:bCs/>
                <w:sz w:val="22"/>
                <w:szCs w:val="22"/>
              </w:rPr>
              <w:t>People in Sudan, with special emphasis on needy populations, have improved access to equitable and sustainable quality basic services</w:t>
            </w:r>
          </w:p>
          <w:p w:rsidR="000222FA" w:rsidRPr="002A77C6" w:rsidRDefault="000222FA" w:rsidP="001A7440">
            <w:pPr>
              <w:pStyle w:val="BodyText2"/>
              <w:jc w:val="both"/>
              <w:rPr>
                <w:rFonts w:ascii="Calibri" w:hAnsi="Calibri"/>
                <w:bCs/>
                <w:sz w:val="22"/>
                <w:szCs w:val="22"/>
              </w:rPr>
            </w:pPr>
          </w:p>
        </w:tc>
        <w:tc>
          <w:tcPr>
            <w:tcW w:w="2460" w:type="dxa"/>
            <w:gridSpan w:val="3"/>
            <w:shd w:val="clear" w:color="auto" w:fill="FFFFFF"/>
          </w:tcPr>
          <w:p w:rsidR="00F42010" w:rsidRDefault="00F42010" w:rsidP="00AA3F91">
            <w:pPr>
              <w:widowControl/>
              <w:rPr>
                <w:rFonts w:ascii="Calibri" w:hAnsi="Calibri"/>
                <w:color w:val="000000"/>
                <w:sz w:val="22"/>
                <w:szCs w:val="22"/>
              </w:rPr>
            </w:pPr>
            <w:r>
              <w:rPr>
                <w:rFonts w:ascii="Calibri" w:hAnsi="Calibri"/>
                <w:color w:val="000000"/>
                <w:sz w:val="22"/>
                <w:szCs w:val="22"/>
              </w:rPr>
              <w:t xml:space="preserve"> 219,638,517 </w:t>
            </w:r>
          </w:p>
          <w:p w:rsidR="000222FA" w:rsidRPr="002A77C6" w:rsidRDefault="000222FA" w:rsidP="000E0647">
            <w:pPr>
              <w:pStyle w:val="BodyText2"/>
              <w:jc w:val="both"/>
              <w:rPr>
                <w:rFonts w:ascii="Calibri" w:hAnsi="Calibri"/>
                <w:bCs/>
                <w:sz w:val="22"/>
                <w:szCs w:val="22"/>
              </w:rPr>
            </w:pPr>
          </w:p>
        </w:tc>
        <w:tc>
          <w:tcPr>
            <w:tcW w:w="3585" w:type="dxa"/>
            <w:gridSpan w:val="2"/>
            <w:shd w:val="clear" w:color="auto" w:fill="FFFFFF"/>
          </w:tcPr>
          <w:p w:rsidR="000222FA" w:rsidRPr="00514E9D" w:rsidRDefault="000222FA" w:rsidP="001A7440">
            <w:pPr>
              <w:widowControl/>
              <w:jc w:val="both"/>
              <w:rPr>
                <w:rFonts w:ascii="Calibri" w:hAnsi="Calibri"/>
                <w:b/>
                <w:bCs/>
                <w:sz w:val="22"/>
                <w:szCs w:val="22"/>
              </w:rPr>
            </w:pPr>
            <w:r w:rsidRPr="00514E9D">
              <w:rPr>
                <w:rFonts w:ascii="Calibri" w:hAnsi="Calibri"/>
                <w:b/>
                <w:bCs/>
                <w:sz w:val="22"/>
                <w:szCs w:val="22"/>
              </w:rPr>
              <w:t>Indicator 1:</w:t>
            </w:r>
          </w:p>
          <w:p w:rsidR="000222FA" w:rsidRPr="002A77C6" w:rsidRDefault="000222FA" w:rsidP="001A7440">
            <w:pPr>
              <w:widowControl/>
              <w:jc w:val="both"/>
              <w:rPr>
                <w:rFonts w:ascii="Calibri" w:hAnsi="Calibri"/>
                <w:bCs/>
                <w:sz w:val="22"/>
                <w:szCs w:val="22"/>
              </w:rPr>
            </w:pPr>
            <w:r w:rsidRPr="002A77C6">
              <w:rPr>
                <w:rFonts w:ascii="Calibri" w:hAnsi="Calibri"/>
                <w:bCs/>
                <w:sz w:val="22"/>
                <w:szCs w:val="22"/>
              </w:rPr>
              <w:t>% of women and men reached with HIV voluntary counselling and testing;</w:t>
            </w:r>
          </w:p>
          <w:p w:rsidR="000222FA" w:rsidRPr="002A77C6" w:rsidRDefault="000222FA" w:rsidP="001A7440">
            <w:pPr>
              <w:jc w:val="both"/>
              <w:rPr>
                <w:rFonts w:ascii="Calibri" w:hAnsi="Calibri"/>
                <w:bCs/>
                <w:sz w:val="22"/>
                <w:szCs w:val="22"/>
              </w:rPr>
            </w:pPr>
          </w:p>
          <w:p w:rsidR="000222FA" w:rsidRPr="00514E9D" w:rsidRDefault="000222FA" w:rsidP="001A7440">
            <w:pPr>
              <w:jc w:val="both"/>
              <w:rPr>
                <w:rFonts w:ascii="Calibri" w:hAnsi="Calibri"/>
                <w:b/>
                <w:bCs/>
                <w:sz w:val="22"/>
                <w:szCs w:val="22"/>
              </w:rPr>
            </w:pPr>
            <w:r w:rsidRPr="00514E9D">
              <w:rPr>
                <w:rFonts w:ascii="Calibri" w:hAnsi="Calibri"/>
                <w:b/>
                <w:bCs/>
                <w:sz w:val="22"/>
                <w:szCs w:val="22"/>
              </w:rPr>
              <w:t>Baseline:</w:t>
            </w:r>
          </w:p>
          <w:p w:rsidR="000222FA" w:rsidRPr="002A77C6" w:rsidRDefault="00C266B9" w:rsidP="001A7440">
            <w:pPr>
              <w:jc w:val="both"/>
              <w:rPr>
                <w:rFonts w:ascii="Calibri" w:hAnsi="Calibri"/>
                <w:bCs/>
                <w:sz w:val="22"/>
                <w:szCs w:val="22"/>
              </w:rPr>
            </w:pPr>
            <w:r w:rsidRPr="002A77C6">
              <w:rPr>
                <w:rFonts w:ascii="Calibri" w:hAnsi="Calibri"/>
                <w:bCs/>
                <w:sz w:val="22"/>
                <w:szCs w:val="22"/>
              </w:rPr>
              <w:t>15 (annually 2012</w:t>
            </w:r>
          </w:p>
          <w:p w:rsidR="000222FA" w:rsidRPr="002A77C6" w:rsidRDefault="000222FA" w:rsidP="001A7440">
            <w:pPr>
              <w:jc w:val="both"/>
              <w:rPr>
                <w:rFonts w:ascii="Calibri" w:hAnsi="Calibri"/>
                <w:bCs/>
                <w:sz w:val="22"/>
                <w:szCs w:val="22"/>
              </w:rPr>
            </w:pPr>
          </w:p>
          <w:p w:rsidR="000222FA" w:rsidRPr="00514E9D" w:rsidRDefault="000222FA" w:rsidP="001A7440">
            <w:pPr>
              <w:jc w:val="both"/>
              <w:rPr>
                <w:rFonts w:ascii="Calibri" w:hAnsi="Calibri"/>
                <w:b/>
                <w:bCs/>
                <w:sz w:val="22"/>
                <w:szCs w:val="22"/>
              </w:rPr>
            </w:pPr>
            <w:r w:rsidRPr="00514E9D">
              <w:rPr>
                <w:rFonts w:ascii="Calibri" w:hAnsi="Calibri"/>
                <w:b/>
                <w:bCs/>
                <w:sz w:val="22"/>
                <w:szCs w:val="22"/>
              </w:rPr>
              <w:t>Target:</w:t>
            </w:r>
          </w:p>
          <w:p w:rsidR="000222FA" w:rsidRPr="002A77C6" w:rsidRDefault="000222FA" w:rsidP="001A7440">
            <w:pPr>
              <w:jc w:val="both"/>
              <w:rPr>
                <w:rFonts w:ascii="Calibri" w:hAnsi="Calibri"/>
                <w:bCs/>
                <w:sz w:val="22"/>
                <w:szCs w:val="22"/>
              </w:rPr>
            </w:pPr>
            <w:r w:rsidRPr="002A77C6">
              <w:rPr>
                <w:rFonts w:ascii="Calibri" w:hAnsi="Calibri"/>
                <w:bCs/>
                <w:sz w:val="22"/>
                <w:szCs w:val="22"/>
              </w:rPr>
              <w:t>12 % by 2016 (3% annually)</w:t>
            </w:r>
          </w:p>
        </w:tc>
        <w:tc>
          <w:tcPr>
            <w:tcW w:w="4935" w:type="dxa"/>
            <w:shd w:val="clear" w:color="auto" w:fill="FFFFFF"/>
          </w:tcPr>
          <w:p w:rsidR="00C266B9" w:rsidRPr="002A77C6" w:rsidRDefault="006567B4" w:rsidP="006567B4">
            <w:pPr>
              <w:pStyle w:val="BodyText2"/>
              <w:jc w:val="both"/>
              <w:rPr>
                <w:rFonts w:ascii="Calibri" w:hAnsi="Calibri"/>
                <w:bCs/>
                <w:sz w:val="22"/>
                <w:szCs w:val="22"/>
              </w:rPr>
            </w:pPr>
            <w:r>
              <w:rPr>
                <w:rFonts w:ascii="Calibri" w:hAnsi="Calibri"/>
                <w:bCs/>
                <w:sz w:val="22"/>
                <w:szCs w:val="22"/>
              </w:rPr>
              <w:t>2.5%</w:t>
            </w:r>
          </w:p>
          <w:p w:rsidR="000222FA" w:rsidRPr="002A77C6" w:rsidRDefault="00C266B9" w:rsidP="00DE4BD8">
            <w:pPr>
              <w:pStyle w:val="BodyText2"/>
              <w:jc w:val="both"/>
              <w:rPr>
                <w:rFonts w:ascii="Calibri" w:hAnsi="Calibri"/>
                <w:bCs/>
                <w:sz w:val="22"/>
                <w:szCs w:val="22"/>
              </w:rPr>
            </w:pPr>
            <w:r w:rsidRPr="002A77C6">
              <w:rPr>
                <w:rFonts w:ascii="Calibri" w:hAnsi="Calibri"/>
                <w:bCs/>
                <w:sz w:val="22"/>
                <w:szCs w:val="22"/>
              </w:rPr>
              <w:t xml:space="preserve">Total number of men and women tested for HIV up to Q3 in </w:t>
            </w:r>
            <w:r w:rsidR="006567B4">
              <w:rPr>
                <w:rFonts w:ascii="Calibri" w:hAnsi="Calibri"/>
                <w:bCs/>
                <w:sz w:val="22"/>
                <w:szCs w:val="22"/>
              </w:rPr>
              <w:t>2016</w:t>
            </w:r>
            <w:r w:rsidR="00AA3F91">
              <w:rPr>
                <w:rFonts w:ascii="Calibri" w:hAnsi="Calibri"/>
                <w:bCs/>
                <w:sz w:val="22"/>
                <w:szCs w:val="22"/>
              </w:rPr>
              <w:t>:</w:t>
            </w:r>
            <w:r w:rsidRPr="002A77C6">
              <w:rPr>
                <w:rFonts w:ascii="Calibri" w:hAnsi="Calibri"/>
                <w:bCs/>
                <w:sz w:val="22"/>
                <w:szCs w:val="22"/>
              </w:rPr>
              <w:t xml:space="preserve"> </w:t>
            </w:r>
            <w:r w:rsidR="00AA3F91">
              <w:rPr>
                <w:rFonts w:ascii="Calibri" w:hAnsi="Calibri"/>
                <w:bCs/>
                <w:sz w:val="22"/>
                <w:szCs w:val="22"/>
              </w:rPr>
              <w:t xml:space="preserve">230,144. </w:t>
            </w:r>
            <w:r w:rsidRPr="002A77C6">
              <w:rPr>
                <w:rFonts w:ascii="Calibri" w:hAnsi="Calibri"/>
                <w:bCs/>
                <w:sz w:val="22"/>
                <w:szCs w:val="22"/>
              </w:rPr>
              <w:t xml:space="preserve">People at high risk from </w:t>
            </w:r>
            <w:r w:rsidR="00AA3F91">
              <w:rPr>
                <w:rFonts w:ascii="Calibri" w:hAnsi="Calibri"/>
                <w:bCs/>
                <w:sz w:val="22"/>
                <w:szCs w:val="22"/>
              </w:rPr>
              <w:t xml:space="preserve">total population: </w:t>
            </w:r>
            <w:r w:rsidRPr="002A77C6">
              <w:rPr>
                <w:rFonts w:ascii="Calibri" w:hAnsi="Calibri"/>
                <w:bCs/>
                <w:sz w:val="22"/>
                <w:szCs w:val="22"/>
              </w:rPr>
              <w:t>10,168,263</w:t>
            </w:r>
            <w:r w:rsidR="00AA3F91">
              <w:rPr>
                <w:rFonts w:ascii="Calibri" w:hAnsi="Calibri"/>
                <w:bCs/>
                <w:sz w:val="22"/>
                <w:szCs w:val="22"/>
              </w:rPr>
              <w:t>.</w:t>
            </w:r>
            <w:r w:rsidRPr="002A77C6">
              <w:rPr>
                <w:rFonts w:ascii="Calibri" w:hAnsi="Calibri"/>
                <w:bCs/>
                <w:sz w:val="22"/>
                <w:szCs w:val="22"/>
              </w:rPr>
              <w:t xml:space="preserve"> </w:t>
            </w:r>
            <w:r w:rsidR="00DE4BD8">
              <w:rPr>
                <w:rFonts w:ascii="Calibri" w:hAnsi="Calibri"/>
                <w:bCs/>
                <w:sz w:val="22"/>
                <w:szCs w:val="22"/>
              </w:rPr>
              <w:t>F</w:t>
            </w:r>
            <w:r w:rsidRPr="002A77C6">
              <w:rPr>
                <w:rFonts w:ascii="Calibri" w:hAnsi="Calibri"/>
                <w:bCs/>
                <w:sz w:val="22"/>
                <w:szCs w:val="22"/>
              </w:rPr>
              <w:t xml:space="preserve">orecasted number/% up to end of December </w:t>
            </w:r>
            <w:r w:rsidR="00DE4BD8">
              <w:rPr>
                <w:rFonts w:ascii="Calibri" w:hAnsi="Calibri"/>
                <w:bCs/>
                <w:sz w:val="22"/>
                <w:szCs w:val="22"/>
              </w:rPr>
              <w:t xml:space="preserve">2016: </w:t>
            </w:r>
            <w:r w:rsidR="00BF0D72">
              <w:rPr>
                <w:rFonts w:ascii="Calibri" w:hAnsi="Calibri"/>
                <w:bCs/>
                <w:sz w:val="22"/>
                <w:szCs w:val="22"/>
              </w:rPr>
              <w:t xml:space="preserve">2.5% </w:t>
            </w:r>
            <w:r w:rsidRPr="002A77C6">
              <w:rPr>
                <w:rFonts w:ascii="Calibri" w:hAnsi="Calibri"/>
                <w:bCs/>
                <w:sz w:val="22"/>
                <w:szCs w:val="22"/>
              </w:rPr>
              <w:t>Source: (WHO and MOH data)</w:t>
            </w:r>
          </w:p>
        </w:tc>
      </w:tr>
      <w:tr w:rsidR="002A77C6" w:rsidRPr="002A77C6" w:rsidTr="003A5738">
        <w:tc>
          <w:tcPr>
            <w:tcW w:w="3060" w:type="dxa"/>
            <w:shd w:val="clear" w:color="auto" w:fill="FFFFFF"/>
          </w:tcPr>
          <w:p w:rsidR="002E71FF" w:rsidRPr="002A77C6" w:rsidRDefault="002E71FF" w:rsidP="001A7440">
            <w:pPr>
              <w:pStyle w:val="BodyText2"/>
              <w:jc w:val="both"/>
              <w:rPr>
                <w:rFonts w:ascii="Calibri" w:hAnsi="Calibri"/>
                <w:bCs/>
                <w:sz w:val="22"/>
                <w:szCs w:val="22"/>
              </w:rPr>
            </w:pPr>
          </w:p>
        </w:tc>
        <w:tc>
          <w:tcPr>
            <w:tcW w:w="2460" w:type="dxa"/>
            <w:gridSpan w:val="3"/>
            <w:tcBorders>
              <w:bottom w:val="single" w:sz="4" w:space="0" w:color="auto"/>
            </w:tcBorders>
            <w:shd w:val="clear" w:color="auto" w:fill="FFFFFF"/>
          </w:tcPr>
          <w:p w:rsidR="002E71FF" w:rsidRPr="002A77C6" w:rsidRDefault="002E71FF" w:rsidP="001A7440">
            <w:pPr>
              <w:pStyle w:val="BodyText2"/>
              <w:jc w:val="both"/>
              <w:rPr>
                <w:rFonts w:ascii="Calibri" w:hAnsi="Calibri"/>
                <w:bCs/>
                <w:sz w:val="22"/>
                <w:szCs w:val="22"/>
              </w:rPr>
            </w:pPr>
          </w:p>
        </w:tc>
        <w:tc>
          <w:tcPr>
            <w:tcW w:w="3585" w:type="dxa"/>
            <w:gridSpan w:val="2"/>
            <w:tcBorders>
              <w:bottom w:val="single" w:sz="4" w:space="0" w:color="auto"/>
            </w:tcBorders>
            <w:shd w:val="clear" w:color="auto" w:fill="FFFFFF"/>
          </w:tcPr>
          <w:p w:rsidR="00C266B9" w:rsidRPr="00F70E41" w:rsidRDefault="00C266B9" w:rsidP="001A7440">
            <w:pPr>
              <w:jc w:val="both"/>
              <w:rPr>
                <w:rFonts w:ascii="Calibri" w:hAnsi="Calibri"/>
                <w:b/>
                <w:bCs/>
                <w:sz w:val="22"/>
                <w:szCs w:val="22"/>
              </w:rPr>
            </w:pPr>
            <w:r w:rsidRPr="00F70E41">
              <w:rPr>
                <w:rFonts w:ascii="Calibri" w:hAnsi="Calibri"/>
                <w:b/>
                <w:bCs/>
                <w:sz w:val="22"/>
                <w:szCs w:val="22"/>
              </w:rPr>
              <w:t>Indicator 2:</w:t>
            </w:r>
          </w:p>
          <w:p w:rsidR="002E71FF" w:rsidRPr="002A77C6" w:rsidRDefault="00C266B9" w:rsidP="001A7440">
            <w:pPr>
              <w:jc w:val="both"/>
              <w:rPr>
                <w:rFonts w:ascii="Calibri" w:hAnsi="Calibri"/>
                <w:bCs/>
                <w:sz w:val="22"/>
                <w:szCs w:val="22"/>
              </w:rPr>
            </w:pPr>
            <w:r w:rsidRPr="002A77C6">
              <w:rPr>
                <w:rFonts w:ascii="Calibri" w:hAnsi="Calibri"/>
                <w:bCs/>
                <w:sz w:val="22"/>
                <w:szCs w:val="22"/>
              </w:rPr>
              <w:t>Proportion of patients on treatment to the patients ever started treatment</w:t>
            </w:r>
          </w:p>
          <w:p w:rsidR="00C266B9" w:rsidRPr="002A77C6" w:rsidRDefault="00C266B9" w:rsidP="001A7440">
            <w:pPr>
              <w:jc w:val="both"/>
              <w:rPr>
                <w:rFonts w:ascii="Calibri" w:hAnsi="Calibri"/>
                <w:bCs/>
                <w:sz w:val="22"/>
                <w:szCs w:val="22"/>
              </w:rPr>
            </w:pPr>
          </w:p>
          <w:p w:rsidR="00C266B9" w:rsidRPr="00F70E41" w:rsidRDefault="00C266B9" w:rsidP="001A7440">
            <w:pPr>
              <w:jc w:val="both"/>
              <w:rPr>
                <w:rFonts w:ascii="Calibri" w:hAnsi="Calibri"/>
                <w:b/>
                <w:bCs/>
                <w:sz w:val="22"/>
                <w:szCs w:val="22"/>
              </w:rPr>
            </w:pPr>
            <w:r w:rsidRPr="00F70E41">
              <w:rPr>
                <w:rFonts w:ascii="Calibri" w:hAnsi="Calibri"/>
                <w:b/>
                <w:bCs/>
                <w:sz w:val="22"/>
                <w:szCs w:val="22"/>
              </w:rPr>
              <w:t>Baseline:</w:t>
            </w:r>
          </w:p>
          <w:p w:rsidR="00C266B9" w:rsidRPr="002A77C6" w:rsidRDefault="00C266B9" w:rsidP="001A7440">
            <w:pPr>
              <w:jc w:val="both"/>
              <w:rPr>
                <w:rFonts w:ascii="Calibri" w:hAnsi="Calibri"/>
                <w:bCs/>
                <w:sz w:val="22"/>
                <w:szCs w:val="22"/>
              </w:rPr>
            </w:pPr>
            <w:r w:rsidRPr="002A77C6">
              <w:rPr>
                <w:rFonts w:ascii="Calibri" w:hAnsi="Calibri"/>
                <w:bCs/>
                <w:sz w:val="22"/>
                <w:szCs w:val="22"/>
              </w:rPr>
              <w:t>50% (2012)</w:t>
            </w:r>
          </w:p>
          <w:p w:rsidR="00C266B9" w:rsidRPr="002A77C6" w:rsidRDefault="00C266B9" w:rsidP="001A7440">
            <w:pPr>
              <w:jc w:val="both"/>
              <w:rPr>
                <w:rFonts w:ascii="Calibri" w:hAnsi="Calibri"/>
                <w:bCs/>
                <w:sz w:val="22"/>
                <w:szCs w:val="22"/>
              </w:rPr>
            </w:pPr>
          </w:p>
          <w:p w:rsidR="00C266B9" w:rsidRPr="00F70E41" w:rsidRDefault="00C266B9" w:rsidP="001A7440">
            <w:pPr>
              <w:jc w:val="both"/>
              <w:rPr>
                <w:rFonts w:ascii="Calibri" w:hAnsi="Calibri"/>
                <w:b/>
                <w:bCs/>
                <w:sz w:val="22"/>
                <w:szCs w:val="22"/>
              </w:rPr>
            </w:pPr>
            <w:r w:rsidRPr="00F70E41">
              <w:rPr>
                <w:rFonts w:ascii="Calibri" w:hAnsi="Calibri"/>
                <w:b/>
                <w:bCs/>
                <w:sz w:val="22"/>
                <w:szCs w:val="22"/>
              </w:rPr>
              <w:t>Target:</w:t>
            </w:r>
          </w:p>
          <w:p w:rsidR="00C266B9" w:rsidRPr="002A77C6" w:rsidRDefault="00C266B9" w:rsidP="001A7440">
            <w:pPr>
              <w:jc w:val="both"/>
              <w:rPr>
                <w:rFonts w:ascii="Calibri" w:hAnsi="Calibri"/>
                <w:bCs/>
                <w:sz w:val="22"/>
                <w:szCs w:val="22"/>
              </w:rPr>
            </w:pPr>
            <w:r w:rsidRPr="002A77C6">
              <w:rPr>
                <w:rFonts w:ascii="Calibri" w:hAnsi="Calibri"/>
                <w:bCs/>
                <w:sz w:val="22"/>
                <w:szCs w:val="22"/>
              </w:rPr>
              <w:t>80%</w:t>
            </w:r>
          </w:p>
        </w:tc>
        <w:tc>
          <w:tcPr>
            <w:tcW w:w="4935" w:type="dxa"/>
            <w:tcBorders>
              <w:bottom w:val="single" w:sz="4" w:space="0" w:color="auto"/>
            </w:tcBorders>
            <w:shd w:val="clear" w:color="auto" w:fill="FFFFFF"/>
          </w:tcPr>
          <w:p w:rsidR="002E71FF" w:rsidRPr="002A77C6" w:rsidRDefault="007639C7" w:rsidP="007639C7">
            <w:pPr>
              <w:pStyle w:val="BodyText2"/>
              <w:jc w:val="both"/>
              <w:rPr>
                <w:rFonts w:ascii="Calibri" w:hAnsi="Calibri"/>
                <w:bCs/>
                <w:sz w:val="22"/>
                <w:szCs w:val="22"/>
              </w:rPr>
            </w:pPr>
            <w:r>
              <w:rPr>
                <w:rFonts w:ascii="Calibri" w:hAnsi="Calibri"/>
                <w:bCs/>
                <w:sz w:val="22"/>
                <w:szCs w:val="22"/>
              </w:rPr>
              <w:t xml:space="preserve">53.7% </w:t>
            </w:r>
            <w:r w:rsidR="00390556">
              <w:rPr>
                <w:rFonts w:ascii="Calibri" w:hAnsi="Calibri"/>
                <w:bCs/>
                <w:sz w:val="22"/>
                <w:szCs w:val="22"/>
              </w:rPr>
              <w:t>(by Q3 201</w:t>
            </w:r>
            <w:r>
              <w:rPr>
                <w:rFonts w:ascii="Calibri" w:hAnsi="Calibri"/>
                <w:bCs/>
                <w:sz w:val="22"/>
                <w:szCs w:val="22"/>
              </w:rPr>
              <w:t>6</w:t>
            </w:r>
            <w:r w:rsidR="00390556">
              <w:rPr>
                <w:rFonts w:ascii="Calibri" w:hAnsi="Calibri"/>
                <w:bCs/>
                <w:sz w:val="22"/>
                <w:szCs w:val="22"/>
              </w:rPr>
              <w:t>)</w:t>
            </w:r>
          </w:p>
          <w:p w:rsidR="00C266B9" w:rsidRPr="002A77C6" w:rsidRDefault="00C266B9" w:rsidP="001A7440">
            <w:pPr>
              <w:pStyle w:val="BodyText2"/>
              <w:jc w:val="both"/>
              <w:rPr>
                <w:rFonts w:ascii="Calibri" w:hAnsi="Calibri"/>
                <w:bCs/>
                <w:sz w:val="22"/>
                <w:szCs w:val="22"/>
              </w:rPr>
            </w:pPr>
          </w:p>
        </w:tc>
      </w:tr>
      <w:tr w:rsidR="002E71FF" w:rsidRPr="002A77C6" w:rsidTr="003A5738">
        <w:trPr>
          <w:trHeight w:val="547"/>
        </w:trPr>
        <w:tc>
          <w:tcPr>
            <w:tcW w:w="14040" w:type="dxa"/>
            <w:gridSpan w:val="7"/>
            <w:shd w:val="clear" w:color="auto" w:fill="FFFFFF"/>
          </w:tcPr>
          <w:p w:rsidR="00C76CFB" w:rsidRPr="00192D4E" w:rsidRDefault="00C76CFB" w:rsidP="00C76CFB">
            <w:pPr>
              <w:autoSpaceDE w:val="0"/>
              <w:autoSpaceDN w:val="0"/>
              <w:adjustRightInd w:val="0"/>
              <w:spacing w:after="5" w:line="250" w:lineRule="atLeast"/>
              <w:ind w:left="-5" w:hanging="10"/>
              <w:jc w:val="both"/>
              <w:rPr>
                <w:rFonts w:ascii="Calibri" w:hAnsi="Calibri"/>
                <w:b/>
                <w:sz w:val="22"/>
                <w:szCs w:val="22"/>
                <w:u w:val="single"/>
                <w:lang w:val="en"/>
              </w:rPr>
            </w:pPr>
            <w:r w:rsidRPr="00192D4E">
              <w:rPr>
                <w:rFonts w:ascii="Calibri" w:hAnsi="Calibri"/>
                <w:b/>
                <w:sz w:val="22"/>
                <w:szCs w:val="22"/>
                <w:u w:val="single"/>
                <w:lang w:val="en"/>
              </w:rPr>
              <w:t xml:space="preserve">UNDP Contributions: </w:t>
            </w:r>
          </w:p>
          <w:p w:rsidR="00192D4E" w:rsidRDefault="00192D4E" w:rsidP="00C76CFB">
            <w:pPr>
              <w:autoSpaceDE w:val="0"/>
              <w:autoSpaceDN w:val="0"/>
              <w:adjustRightInd w:val="0"/>
              <w:spacing w:after="5" w:line="250" w:lineRule="atLeast"/>
              <w:ind w:left="-5" w:hanging="10"/>
              <w:jc w:val="both"/>
              <w:rPr>
                <w:rFonts w:ascii="Calibri" w:hAnsi="Calibri"/>
                <w:sz w:val="22"/>
                <w:szCs w:val="22"/>
                <w:lang w:val="en"/>
              </w:rPr>
            </w:pPr>
          </w:p>
          <w:p w:rsidR="00192D4E" w:rsidRPr="00192D4E" w:rsidRDefault="00192D4E" w:rsidP="00C76CFB">
            <w:pPr>
              <w:autoSpaceDE w:val="0"/>
              <w:autoSpaceDN w:val="0"/>
              <w:adjustRightInd w:val="0"/>
              <w:spacing w:after="5" w:line="250" w:lineRule="atLeast"/>
              <w:ind w:left="-5" w:hanging="10"/>
              <w:jc w:val="both"/>
              <w:rPr>
                <w:rFonts w:ascii="Calibri" w:hAnsi="Calibri"/>
                <w:b/>
                <w:sz w:val="22"/>
                <w:szCs w:val="22"/>
                <w:u w:val="single"/>
                <w:lang w:val="en"/>
              </w:rPr>
            </w:pPr>
            <w:r w:rsidRPr="00192D4E">
              <w:rPr>
                <w:rFonts w:ascii="Calibri" w:hAnsi="Calibri"/>
                <w:b/>
                <w:sz w:val="22"/>
                <w:szCs w:val="22"/>
                <w:u w:val="single"/>
                <w:lang w:val="en"/>
              </w:rPr>
              <w:t xml:space="preserve">CP outputs : </w:t>
            </w:r>
          </w:p>
          <w:p w:rsidR="00192D4E" w:rsidRPr="00192D4E" w:rsidRDefault="00192D4E" w:rsidP="00192D4E">
            <w:pPr>
              <w:autoSpaceDE w:val="0"/>
              <w:autoSpaceDN w:val="0"/>
              <w:adjustRightInd w:val="0"/>
              <w:spacing w:after="5" w:line="250" w:lineRule="atLeast"/>
              <w:ind w:left="-5" w:hanging="10"/>
              <w:jc w:val="both"/>
              <w:rPr>
                <w:rFonts w:ascii="Calibri" w:hAnsi="Calibri" w:cs="Calibri"/>
                <w:sz w:val="22"/>
                <w:szCs w:val="22"/>
                <w:lang w:val="en"/>
              </w:rPr>
            </w:pPr>
            <w:r w:rsidRPr="00192D4E">
              <w:rPr>
                <w:rFonts w:ascii="Calibri" w:hAnsi="Calibri" w:cs="Calibri"/>
                <w:sz w:val="22"/>
                <w:szCs w:val="22"/>
                <w:lang w:val="en"/>
              </w:rPr>
              <w:t>Government institutions are able to effectively develop, implement, monitor and evaluate national programmes and initiatives to fight HIV/AIDS, malaria, TB and other diseases.</w:t>
            </w:r>
          </w:p>
          <w:p w:rsidR="00192D4E" w:rsidRPr="002A77C6" w:rsidRDefault="00192D4E" w:rsidP="00192D4E">
            <w:pPr>
              <w:widowControl/>
              <w:autoSpaceDE w:val="0"/>
              <w:autoSpaceDN w:val="0"/>
              <w:adjustRightInd w:val="0"/>
              <w:rPr>
                <w:rFonts w:ascii="Calibri" w:hAnsi="Calibri"/>
                <w:sz w:val="22"/>
                <w:szCs w:val="22"/>
                <w:lang w:val="en"/>
              </w:rPr>
            </w:pPr>
          </w:p>
          <w:p w:rsidR="00192D4E" w:rsidRPr="00192D4E" w:rsidRDefault="00192D4E" w:rsidP="008960A5">
            <w:pPr>
              <w:autoSpaceDE w:val="0"/>
              <w:autoSpaceDN w:val="0"/>
              <w:adjustRightInd w:val="0"/>
              <w:spacing w:after="5" w:line="250" w:lineRule="atLeast"/>
              <w:ind w:left="-5" w:hanging="10"/>
              <w:jc w:val="both"/>
              <w:rPr>
                <w:rFonts w:ascii="Calibri" w:hAnsi="Calibri" w:cs="Calibri"/>
                <w:b/>
                <w:sz w:val="22"/>
                <w:szCs w:val="22"/>
                <w:u w:val="single"/>
                <w:lang w:val="en"/>
              </w:rPr>
            </w:pPr>
            <w:r w:rsidRPr="00192D4E">
              <w:rPr>
                <w:rFonts w:ascii="Calibri" w:hAnsi="Calibri" w:cs="Calibri"/>
                <w:b/>
                <w:sz w:val="22"/>
                <w:szCs w:val="22"/>
                <w:u w:val="single"/>
                <w:lang w:val="en"/>
              </w:rPr>
              <w:t>Progress and achievements:</w:t>
            </w:r>
          </w:p>
          <w:p w:rsidR="00192D4E" w:rsidRDefault="00192D4E" w:rsidP="008960A5">
            <w:pPr>
              <w:autoSpaceDE w:val="0"/>
              <w:autoSpaceDN w:val="0"/>
              <w:adjustRightInd w:val="0"/>
              <w:spacing w:after="5" w:line="250" w:lineRule="atLeast"/>
              <w:ind w:left="-5" w:hanging="10"/>
              <w:jc w:val="both"/>
              <w:rPr>
                <w:rFonts w:ascii="Calibri" w:hAnsi="Calibri" w:cs="Calibri"/>
                <w:sz w:val="22"/>
                <w:szCs w:val="22"/>
                <w:lang w:val="en"/>
              </w:rPr>
            </w:pP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UNDP’s support to improving basic service delivery to vulnerable populations is composed of 2 axes: service delivery to people exposed to Malaria, HIV and </w:t>
            </w:r>
            <w:r w:rsidRPr="002A77C6">
              <w:rPr>
                <w:rFonts w:ascii="Calibri" w:hAnsi="Calibri" w:cs="Calibri"/>
                <w:sz w:val="22"/>
                <w:szCs w:val="22"/>
                <w:lang w:val="en"/>
              </w:rPr>
              <w:lastRenderedPageBreak/>
              <w:t xml:space="preserve">Tuberculosis; and service delivery to displaced populations affected by conflict and natural disasters. </w:t>
            </w: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p>
          <w:p w:rsidR="008960A5" w:rsidRDefault="008960A5" w:rsidP="007639C7">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In 201</w:t>
            </w:r>
            <w:r w:rsidR="007639C7">
              <w:rPr>
                <w:rFonts w:ascii="Calibri" w:hAnsi="Calibri" w:cs="Calibri"/>
                <w:sz w:val="22"/>
                <w:szCs w:val="22"/>
                <w:lang w:val="en"/>
              </w:rPr>
              <w:t>6</w:t>
            </w:r>
            <w:r w:rsidRPr="002A77C6">
              <w:rPr>
                <w:rFonts w:ascii="Calibri" w:hAnsi="Calibri" w:cs="Calibri"/>
                <w:sz w:val="22"/>
                <w:szCs w:val="22"/>
                <w:lang w:val="en"/>
              </w:rPr>
              <w:t xml:space="preserve">, UNDP continues its support to provide service delivery to people infected by malaria, HIV and tuberculosis under the New Funding Model (NFM). Three new grant agreements, for Malaria, HIV, and TB were signed with the Global Fund valuing </w:t>
            </w:r>
            <w:r w:rsidRPr="00926B77">
              <w:rPr>
                <w:rFonts w:ascii="Calibri" w:hAnsi="Calibri" w:cs="Calibri"/>
                <w:sz w:val="22"/>
                <w:szCs w:val="22"/>
                <w:lang w:val="en"/>
              </w:rPr>
              <w:t xml:space="preserve">USD </w:t>
            </w:r>
            <w:r w:rsidRPr="00D30516">
              <w:rPr>
                <w:rFonts w:ascii="Calibri" w:hAnsi="Calibri" w:cs="Calibri"/>
                <w:sz w:val="22"/>
                <w:szCs w:val="22"/>
                <w:lang w:val="en"/>
              </w:rPr>
              <w:t>120,872,204</w:t>
            </w:r>
            <w:r w:rsidRPr="002A77C6">
              <w:rPr>
                <w:rFonts w:ascii="Calibri" w:hAnsi="Calibri" w:cs="Calibri"/>
                <w:sz w:val="22"/>
                <w:szCs w:val="22"/>
                <w:lang w:val="en"/>
              </w:rPr>
              <w:t xml:space="preserve"> million for 2015-2017 (E.35). The malaria grant achieved its expected results, while the HIV and TB grants need more efforts to accelerate the implementation in order to meet their targets (IRRF 3.3.2.A). As a result of these interventions, </w:t>
            </w:r>
            <w:r w:rsidR="007639C7">
              <w:rPr>
                <w:rFonts w:ascii="Calibri" w:hAnsi="Calibri" w:cs="Calibri"/>
                <w:sz w:val="22"/>
                <w:szCs w:val="22"/>
                <w:lang w:val="en"/>
              </w:rPr>
              <w:t xml:space="preserve">more than </w:t>
            </w:r>
            <w:r w:rsidRPr="002A77C6">
              <w:rPr>
                <w:rFonts w:ascii="Calibri" w:hAnsi="Calibri" w:cs="Calibri"/>
                <w:sz w:val="22"/>
                <w:szCs w:val="22"/>
                <w:lang w:val="en"/>
              </w:rPr>
              <w:t xml:space="preserve"> </w:t>
            </w:r>
            <w:r w:rsidR="007639C7">
              <w:rPr>
                <w:rFonts w:ascii="Calibri" w:hAnsi="Calibri" w:cs="Calibri"/>
                <w:sz w:val="22"/>
                <w:szCs w:val="22"/>
                <w:lang w:val="en"/>
              </w:rPr>
              <w:t xml:space="preserve">2,200,000 </w:t>
            </w:r>
            <w:r w:rsidRPr="002A77C6">
              <w:rPr>
                <w:rFonts w:ascii="Calibri" w:hAnsi="Calibri" w:cs="Calibri"/>
                <w:sz w:val="22"/>
                <w:szCs w:val="22"/>
                <w:lang w:val="en"/>
              </w:rPr>
              <w:t xml:space="preserve"> malaria cases received anti-malaria treatment, 211,780 (106%) people were counseled and tested for HIV and 20,392 cases of TB notified to the national </w:t>
            </w:r>
            <w:r w:rsidR="0096563E" w:rsidRPr="002A77C6">
              <w:rPr>
                <w:rFonts w:ascii="Calibri" w:hAnsi="Calibri" w:cs="Calibri"/>
                <w:sz w:val="22"/>
                <w:szCs w:val="22"/>
                <w:lang w:val="en"/>
              </w:rPr>
              <w:t>Programme</w:t>
            </w:r>
            <w:r w:rsidRPr="002A77C6">
              <w:rPr>
                <w:rFonts w:ascii="Calibri" w:hAnsi="Calibri" w:cs="Calibri"/>
                <w:sz w:val="22"/>
                <w:szCs w:val="22"/>
                <w:lang w:val="en"/>
              </w:rPr>
              <w:t xml:space="preserve"> (E.35, Federal Ministry of Health, (Ref. http://www.who.int/hiv/pub/progress_report2011/en/, 2015 WHO Global TB Report). </w:t>
            </w:r>
          </w:p>
          <w:p w:rsidR="00192D4E" w:rsidRPr="002A77C6" w:rsidRDefault="00192D4E" w:rsidP="008960A5">
            <w:pPr>
              <w:autoSpaceDE w:val="0"/>
              <w:autoSpaceDN w:val="0"/>
              <w:adjustRightInd w:val="0"/>
              <w:spacing w:after="5" w:line="250" w:lineRule="atLeast"/>
              <w:ind w:left="-5" w:hanging="10"/>
              <w:jc w:val="both"/>
              <w:rPr>
                <w:rFonts w:ascii="Calibri" w:hAnsi="Calibri" w:cs="Calibri"/>
                <w:sz w:val="22"/>
                <w:szCs w:val="22"/>
                <w:lang w:val="en"/>
              </w:rPr>
            </w:pPr>
          </w:p>
          <w:p w:rsidR="008960A5" w:rsidRPr="002A77C6" w:rsidRDefault="00390556" w:rsidP="008960A5">
            <w:pPr>
              <w:autoSpaceDE w:val="0"/>
              <w:autoSpaceDN w:val="0"/>
              <w:adjustRightInd w:val="0"/>
              <w:spacing w:after="5" w:line="250" w:lineRule="atLeast"/>
              <w:ind w:left="-5" w:hanging="10"/>
              <w:jc w:val="both"/>
              <w:rPr>
                <w:rFonts w:ascii="Calibri" w:hAnsi="Calibri" w:cs="Calibri"/>
                <w:sz w:val="22"/>
                <w:szCs w:val="22"/>
                <w:lang w:val="en"/>
              </w:rPr>
            </w:pPr>
            <w:r>
              <w:rPr>
                <w:rFonts w:ascii="Calibri" w:hAnsi="Calibri" w:cs="Calibri"/>
                <w:sz w:val="22"/>
                <w:szCs w:val="22"/>
                <w:lang w:val="en"/>
              </w:rPr>
              <w:t xml:space="preserve">Through </w:t>
            </w:r>
            <w:r w:rsidR="008960A5" w:rsidRPr="002A77C6">
              <w:rPr>
                <w:rFonts w:ascii="Calibri" w:hAnsi="Calibri" w:cs="Calibri"/>
                <w:sz w:val="22"/>
                <w:szCs w:val="22"/>
                <w:lang w:val="en"/>
              </w:rPr>
              <w:t xml:space="preserve">237 infrastructure projects in Sudan, </w:t>
            </w:r>
            <w:r w:rsidRPr="002A77C6">
              <w:rPr>
                <w:rFonts w:ascii="Calibri" w:hAnsi="Calibri" w:cs="Calibri"/>
                <w:sz w:val="22"/>
                <w:szCs w:val="22"/>
                <w:lang w:val="en"/>
              </w:rPr>
              <w:t>UNDP also constructed and</w:t>
            </w:r>
            <w:r>
              <w:rPr>
                <w:rFonts w:ascii="Calibri" w:hAnsi="Calibri" w:cs="Calibri"/>
                <w:sz w:val="22"/>
                <w:szCs w:val="22"/>
                <w:lang w:val="en"/>
              </w:rPr>
              <w:t>/or</w:t>
            </w:r>
            <w:r w:rsidRPr="002A77C6">
              <w:rPr>
                <w:rFonts w:ascii="Calibri" w:hAnsi="Calibri" w:cs="Calibri"/>
                <w:sz w:val="22"/>
                <w:szCs w:val="22"/>
                <w:lang w:val="en"/>
              </w:rPr>
              <w:t xml:space="preserve"> rehabilitated</w:t>
            </w:r>
            <w:r w:rsidR="008960A5" w:rsidRPr="002A77C6">
              <w:rPr>
                <w:rFonts w:ascii="Calibri" w:hAnsi="Calibri" w:cs="Calibri"/>
                <w:sz w:val="22"/>
                <w:szCs w:val="22"/>
                <w:lang w:val="en"/>
              </w:rPr>
              <w:t xml:space="preserve"> voluntary testing centers, blood banks, </w:t>
            </w:r>
            <w:r w:rsidRPr="00514E9D">
              <w:rPr>
                <w:rFonts w:ascii="Calibri" w:hAnsi="Calibri" w:cs="Calibri"/>
                <w:sz w:val="22"/>
                <w:szCs w:val="22"/>
                <w:lang w:val="en"/>
              </w:rPr>
              <w:t>Prevention of mother-to-child transmission (PMTCT)</w:t>
            </w:r>
            <w:r w:rsidR="008960A5" w:rsidRPr="002A77C6">
              <w:rPr>
                <w:rFonts w:ascii="Calibri" w:hAnsi="Calibri" w:cs="Calibri"/>
                <w:sz w:val="22"/>
                <w:szCs w:val="22"/>
                <w:lang w:val="en"/>
              </w:rPr>
              <w:t xml:space="preserve"> centers, drug warehouses, Academy of Health Science buildings and TB laboratories, out of which 32 were finalized in 2014 </w:t>
            </w: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In 2015, over 2.4 million out of 3.1 million internally displaced people were provided with critical basic services  including access to drinking water, basic education, shelter, food and  basic health services (E.35, IRRF 6.1.A.2/3/6/7). </w:t>
            </w: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p>
          <w:p w:rsidR="00C76CFB"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UNDP contributed to this achievement through the management of NGO projects in the context of the Common Humanitarian Fund, channeling over US$ 27 million to NGOs and ensuring the effective implementation of projects in collaboration with OCHA and UN sector leads. As shown by a NGO beneficiary survey administered in December 2014, the overall NGO satisfaction rate with UNDP services received in 2014 improved from 89% to 94% in 2015, marking an outstanding success (E.63, NGO beneficiary surveys 2014 &amp; 2015).</w:t>
            </w:r>
          </w:p>
          <w:p w:rsidR="008960A5" w:rsidRPr="002A77C6" w:rsidRDefault="008960A5" w:rsidP="008960A5">
            <w:pPr>
              <w:autoSpaceDE w:val="0"/>
              <w:autoSpaceDN w:val="0"/>
              <w:adjustRightInd w:val="0"/>
              <w:spacing w:after="5" w:line="250" w:lineRule="atLeast"/>
              <w:ind w:left="-5" w:hanging="10"/>
              <w:jc w:val="both"/>
              <w:rPr>
                <w:rFonts w:ascii="Calibri" w:hAnsi="Calibri" w:cs="Calibri"/>
                <w:sz w:val="22"/>
                <w:szCs w:val="22"/>
                <w:lang w:val="en"/>
              </w:rPr>
            </w:pPr>
          </w:p>
          <w:p w:rsidR="00C014F8" w:rsidRDefault="00C014F8" w:rsidP="00C014F8">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One of UNDP’s major achievements during this period is its continuing successful performance as a Managing Agent of the Common Humanitarian Fund (CHF), the Darfur Community Peace &amp; Stability Fund (DCPSF) and the Global Fund. The Fund Management Unit (FMU) created in 2006 is responsible for managing these funds in cooperation with the OSD Compliance, Performance and Resources Management Team, and collaborates closely with </w:t>
            </w:r>
            <w:r w:rsidRPr="002A77C6">
              <w:rPr>
                <w:rFonts w:ascii="Calibri" w:hAnsi="Calibri" w:cs="Calibri"/>
                <w:sz w:val="22"/>
                <w:szCs w:val="22"/>
                <w:u w:val="single"/>
                <w:lang w:val="en"/>
              </w:rPr>
              <w:t xml:space="preserve">these </w:t>
            </w:r>
            <w:r w:rsidRPr="002A77C6">
              <w:rPr>
                <w:rFonts w:ascii="Calibri" w:hAnsi="Calibri" w:cs="Calibri"/>
                <w:strike/>
                <w:sz w:val="22"/>
                <w:szCs w:val="22"/>
                <w:lang w:val="en"/>
              </w:rPr>
              <w:t>f</w:t>
            </w:r>
            <w:r w:rsidRPr="002A77C6">
              <w:rPr>
                <w:rFonts w:ascii="Calibri" w:hAnsi="Calibri" w:cs="Calibri"/>
                <w:sz w:val="22"/>
                <w:szCs w:val="22"/>
                <w:lang w:val="en"/>
              </w:rPr>
              <w:t>unds’</w:t>
            </w:r>
            <w:r w:rsidRPr="002A77C6">
              <w:rPr>
                <w:rFonts w:ascii="Calibri" w:hAnsi="Calibri" w:cs="Calibri"/>
                <w:sz w:val="22"/>
                <w:szCs w:val="22"/>
                <w:u w:val="single"/>
                <w:lang w:val="en"/>
              </w:rPr>
              <w:t xml:space="preserve"> </w:t>
            </w:r>
            <w:r w:rsidRPr="002A77C6">
              <w:rPr>
                <w:rFonts w:ascii="Calibri" w:hAnsi="Calibri" w:cs="Calibri"/>
                <w:strike/>
                <w:sz w:val="22"/>
                <w:szCs w:val="22"/>
                <w:lang w:val="en"/>
              </w:rPr>
              <w:t>-</w:t>
            </w:r>
            <w:r w:rsidRPr="002A77C6">
              <w:rPr>
                <w:rFonts w:ascii="Calibri" w:hAnsi="Calibri" w:cs="Calibri"/>
                <w:sz w:val="22"/>
                <w:szCs w:val="22"/>
                <w:lang w:val="en"/>
              </w:rPr>
              <w:t xml:space="preserve">specific technical secretariats and funds management units. The creation of the FMU allowed the international community to address increasing humanitarian needs in the country through transparent and accountable management.  Moreover, UNDP is also a principal recipient of the Global Environmental Fund (GEF), the Global Fund for AIDS, TB and Malaria (GFATM) and the Darfur Development Fund (UNDF). 76% of UNDP’s resources continue to be generated through the delivery of these funds. Over the past six years, managed over USD1.5 billion out of which approximately 600 million were channeled to national NGOs with continuously positive outcomes of independent annual audits with UNDP ensuring the highest standards of accountable public financial management as the Management of Funds.  </w:t>
            </w:r>
          </w:p>
          <w:p w:rsidR="000E35AE" w:rsidRPr="002A77C6" w:rsidRDefault="000E35AE" w:rsidP="00514E9D">
            <w:pPr>
              <w:autoSpaceDE w:val="0"/>
              <w:autoSpaceDN w:val="0"/>
              <w:adjustRightInd w:val="0"/>
              <w:spacing w:line="259" w:lineRule="atLeast"/>
              <w:rPr>
                <w:rFonts w:ascii="Calibri" w:hAnsi="Calibri" w:cs="Calibri"/>
                <w:sz w:val="22"/>
                <w:szCs w:val="22"/>
                <w:lang w:val="en"/>
              </w:rPr>
            </w:pPr>
            <w:r w:rsidRPr="002A77C6">
              <w:rPr>
                <w:rFonts w:ascii="Calibri" w:hAnsi="Calibri" w:cs="Calibri"/>
                <w:sz w:val="22"/>
                <w:szCs w:val="22"/>
                <w:lang w:val="en"/>
              </w:rPr>
              <w:t>As part of its role as the Principal Recipient (PR) for the Global Fund to fight AIDS, Tuberculosis and Malaria, UNDP Is working closely within partners to scale up HIV, malaria and tuberculosis (TB) intervention in Sudan.</w:t>
            </w:r>
            <w:r w:rsidR="00390556">
              <w:rPr>
                <w:rFonts w:ascii="Calibri" w:hAnsi="Calibri" w:cs="Calibri"/>
                <w:sz w:val="22"/>
                <w:szCs w:val="22"/>
                <w:lang w:val="en"/>
              </w:rPr>
              <w:t xml:space="preserve"> </w:t>
            </w:r>
            <w:r w:rsidRPr="002A77C6">
              <w:rPr>
                <w:rFonts w:ascii="Calibri" w:hAnsi="Calibri" w:cs="Calibri"/>
                <w:sz w:val="22"/>
                <w:szCs w:val="22"/>
                <w:lang w:val="en"/>
              </w:rPr>
              <w:t xml:space="preserve">The overall aim of UNDP’s HIV/AIDS work in Sudan was focused on reducing HIV transmission and HIV mortality.  Recent research suggests that HIV/AIDS continues to spread in Sudan with the prevalence of HIV/AIDS likely to reach 1.2 % of the population by 2015, almost double what it was in 2009.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r w:rsidRPr="002A77C6">
              <w:rPr>
                <w:rFonts w:ascii="Calibri" w:hAnsi="Calibri" w:cs="Calibri"/>
                <w:sz w:val="22"/>
                <w:szCs w:val="22"/>
                <w:lang w:val="en"/>
              </w:rPr>
              <w:lastRenderedPageBreak/>
              <w:t xml:space="preserve"> </w:t>
            </w: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UNDP has a two-fold strategy in dealing with this challenge. The first is to increase the availability of HIV/AIDs facilities nationwide and the second is to target the high risk and vulnerable populations that are statistically most likely to be at risk of infection.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r w:rsidRPr="002A77C6">
              <w:rPr>
                <w:rFonts w:ascii="Calibri" w:hAnsi="Calibri" w:cs="Calibri"/>
                <w:sz w:val="22"/>
                <w:szCs w:val="22"/>
                <w:lang w:val="en"/>
              </w:rPr>
              <w:t xml:space="preserve"> </w:t>
            </w:r>
          </w:p>
          <w:p w:rsidR="000E35AE"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The strategy helped improve and expand the national response to HIV/AIDS and included the expansion of voluntary and confidential counseling and testing facilities; an increased access to condoms through free distribution and social marketing amongst target populations; ensuring that more than 80% of blood transfusions in government hospitals are from non-remunerated voluntary donors; and that people living with HIV and Aids receive care and support. </w:t>
            </w:r>
          </w:p>
          <w:p w:rsidR="008265DE" w:rsidRPr="002A77C6" w:rsidRDefault="008265DE" w:rsidP="000E35AE">
            <w:pPr>
              <w:autoSpaceDE w:val="0"/>
              <w:autoSpaceDN w:val="0"/>
              <w:adjustRightInd w:val="0"/>
              <w:spacing w:after="5" w:line="250" w:lineRule="atLeast"/>
              <w:ind w:left="-5" w:hanging="10"/>
              <w:jc w:val="both"/>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Research shows that HIV is concentrated among high risk populations in Sudan. Therefore UNDP, is specifically running a </w:t>
            </w:r>
            <w:r w:rsidR="0096563E" w:rsidRPr="002A77C6">
              <w:rPr>
                <w:rFonts w:ascii="Calibri" w:hAnsi="Calibri" w:cs="Calibri"/>
                <w:sz w:val="22"/>
                <w:szCs w:val="22"/>
                <w:lang w:val="en"/>
              </w:rPr>
              <w:t>Programme</w:t>
            </w:r>
            <w:r w:rsidRPr="002A77C6">
              <w:rPr>
                <w:rFonts w:ascii="Calibri" w:hAnsi="Calibri" w:cs="Calibri"/>
                <w:sz w:val="22"/>
                <w:szCs w:val="22"/>
                <w:lang w:val="en"/>
              </w:rPr>
              <w:t xml:space="preserve"> to target those most at risk. This means improving access and the take up of services aimed at preventing mother-to-child transmission, as well as to other existing treatment and care services.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The UNDP HIV/AIDS </w:t>
            </w:r>
            <w:r w:rsidR="0096563E" w:rsidRPr="002A77C6">
              <w:rPr>
                <w:rFonts w:ascii="Calibri" w:hAnsi="Calibri" w:cs="Calibri"/>
                <w:sz w:val="22"/>
                <w:szCs w:val="22"/>
                <w:lang w:val="en"/>
              </w:rPr>
              <w:t>Programme</w:t>
            </w:r>
            <w:r w:rsidRPr="002A77C6">
              <w:rPr>
                <w:rFonts w:ascii="Calibri" w:hAnsi="Calibri" w:cs="Calibri"/>
                <w:sz w:val="22"/>
                <w:szCs w:val="22"/>
                <w:lang w:val="en"/>
              </w:rPr>
              <w:t xml:space="preserve"> in Sudan leads an integrated strategy to promote HIV/AIDS prevention, treatment and care amongst the Sudanese public. This work is undertaken in close collaboration with the Sudan National AIDS/HIV Programme (SNAP), the technical department of the government responsible for HIV/AIDS national level policy, planning, and coordination, in addition to national and international organizations working in the field of HIV/AIDS.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Malaria is one of the major public health problems in Sudan with the highest percentage of malaria morbidity and mortality in Eastern and Mediterranean </w:t>
            </w:r>
            <w:r w:rsidR="00FC1F88" w:rsidRPr="002A77C6">
              <w:rPr>
                <w:rFonts w:ascii="Calibri" w:hAnsi="Calibri" w:cs="Calibri"/>
                <w:sz w:val="22"/>
                <w:szCs w:val="22"/>
                <w:lang w:val="en"/>
              </w:rPr>
              <w:t>Region. WHO</w:t>
            </w:r>
            <w:r w:rsidRPr="002A77C6">
              <w:rPr>
                <w:rFonts w:ascii="Calibri" w:hAnsi="Calibri" w:cs="Calibri"/>
                <w:sz w:val="22"/>
                <w:szCs w:val="22"/>
                <w:lang w:val="en"/>
              </w:rPr>
              <w:t xml:space="preserve">/EMRO report of 2012 indicated that Sudan accounts for 24.9% of the population at high risk of malaria in the Eastern Mediterranean Region and 42.5% of the confirmed cases. During the last 8 years Sudan has made great progress in the fight against malaria. As a result of the strong harmonized partnership between malaria partners, the malaria prevalence was reduced from 6.8% in 2005 to 1.8% according to Malaria Indicators Surveys.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Since 2006 UNDP has spearheaded a campaign to control malaria and in 2009 the response escalated to scale up malaria intervention nationwide.  The main objectives of the Scaling-up Malaria Interventions (SMI) in Sudan are to increase the percentage of malaria patients receiving prompt and effective treatment and to reach 85% coverage through long lasting insecticide treated bed nets. The main interventions will continue to provide first line treatment free of charge and expand upon previous efforts to support home based management and improve clinical and laboratory diagnosis through strengthening of Malaria Early Warning System (MEWS). This will ensure a rapid response to the epidemic and capacity building of </w:t>
            </w:r>
            <w:r w:rsidR="0096563E" w:rsidRPr="002A77C6">
              <w:rPr>
                <w:rFonts w:ascii="Calibri" w:hAnsi="Calibri" w:cs="Calibri"/>
                <w:sz w:val="22"/>
                <w:szCs w:val="22"/>
                <w:lang w:val="en"/>
              </w:rPr>
              <w:t>programmer’s</w:t>
            </w:r>
            <w:r w:rsidRPr="002A77C6">
              <w:rPr>
                <w:rFonts w:ascii="Calibri" w:hAnsi="Calibri" w:cs="Calibri"/>
                <w:sz w:val="22"/>
                <w:szCs w:val="22"/>
                <w:lang w:val="en"/>
              </w:rPr>
              <w:t xml:space="preserve"> managers and care providers. </w:t>
            </w: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The other aspects of malaria case management are a gradual shift from clinical, symptom–based, treatment to test-based treatment. This involves improvement of quality of microscopy diagnosis and expansion in the use of rapid diagnosis test kits, preventing malaria during pregnancy, distribution of bed nets free of charge to reach universal coverage, community outreach through school pupils as well as mass media and the capacity building of national institutions. </w:t>
            </w:r>
            <w:r w:rsidR="00DD76D1">
              <w:rPr>
                <w:rFonts w:ascii="Calibri" w:hAnsi="Calibri" w:cs="Calibri"/>
                <w:sz w:val="22"/>
                <w:szCs w:val="22"/>
                <w:lang w:val="en"/>
              </w:rPr>
              <w:t>UNDP is attempting</w:t>
            </w:r>
            <w:r w:rsidRPr="002A77C6">
              <w:rPr>
                <w:rFonts w:ascii="Calibri" w:hAnsi="Calibri" w:cs="Calibri"/>
                <w:sz w:val="22"/>
                <w:szCs w:val="22"/>
                <w:lang w:val="en"/>
              </w:rPr>
              <w:t xml:space="preserve"> to unify and standardize the framework of all NGOs working in the field of malaria control in Sudan with the national </w:t>
            </w:r>
            <w:r w:rsidRPr="002A77C6">
              <w:rPr>
                <w:rFonts w:ascii="Calibri" w:hAnsi="Calibri" w:cs="Calibri"/>
                <w:sz w:val="22"/>
                <w:szCs w:val="22"/>
                <w:lang w:val="en"/>
              </w:rPr>
              <w:lastRenderedPageBreak/>
              <w:t xml:space="preserve">framework. Since this </w:t>
            </w:r>
            <w:r w:rsidR="00390556">
              <w:rPr>
                <w:rFonts w:ascii="Calibri" w:hAnsi="Calibri" w:cs="Calibri"/>
                <w:sz w:val="22"/>
                <w:szCs w:val="22"/>
                <w:lang w:val="en"/>
              </w:rPr>
              <w:t>work</w:t>
            </w:r>
            <w:r w:rsidR="00390556" w:rsidRPr="002A77C6">
              <w:rPr>
                <w:rFonts w:ascii="Calibri" w:hAnsi="Calibri" w:cs="Calibri"/>
                <w:sz w:val="22"/>
                <w:szCs w:val="22"/>
                <w:lang w:val="en"/>
              </w:rPr>
              <w:t xml:space="preserve"> </w:t>
            </w:r>
            <w:r w:rsidRPr="002A77C6">
              <w:rPr>
                <w:rFonts w:ascii="Calibri" w:hAnsi="Calibri" w:cs="Calibri"/>
                <w:sz w:val="22"/>
                <w:szCs w:val="22"/>
                <w:lang w:val="en"/>
              </w:rPr>
              <w:t xml:space="preserve">began in 2009, approximately </w:t>
            </w:r>
            <w:r w:rsidR="00390556">
              <w:rPr>
                <w:rFonts w:ascii="Calibri" w:hAnsi="Calibri" w:cs="Calibri"/>
                <w:sz w:val="22"/>
                <w:szCs w:val="22"/>
                <w:lang w:val="en"/>
              </w:rPr>
              <w:t xml:space="preserve">USD </w:t>
            </w:r>
            <w:r w:rsidRPr="002A77C6">
              <w:rPr>
                <w:rFonts w:ascii="Calibri" w:hAnsi="Calibri" w:cs="Calibri"/>
                <w:sz w:val="22"/>
                <w:szCs w:val="22"/>
                <w:lang w:val="en"/>
              </w:rPr>
              <w:t xml:space="preserve">39.7 million were spent in 2012 to support malaria prevention, diagnosis, treatment and capacity building activities.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0E35AE" w:rsidRPr="002A77C6" w:rsidRDefault="000E35AE" w:rsidP="000E35AE">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Tackling tuberculosis (TB) is a serious health problem in Sudan, with the country carrying 15% of the TB burden in the Eastern Mediterranean Region. Conflict and instability in Sudan has affected the capacity of TB </w:t>
            </w:r>
            <w:r w:rsidR="0096563E" w:rsidRPr="002A77C6">
              <w:rPr>
                <w:rFonts w:ascii="Calibri" w:hAnsi="Calibri" w:cs="Calibri"/>
                <w:sz w:val="22"/>
                <w:szCs w:val="22"/>
                <w:lang w:val="en"/>
              </w:rPr>
              <w:t>Programme</w:t>
            </w:r>
            <w:r w:rsidRPr="002A77C6">
              <w:rPr>
                <w:rFonts w:ascii="Calibri" w:hAnsi="Calibri" w:cs="Calibri"/>
                <w:sz w:val="22"/>
                <w:szCs w:val="22"/>
                <w:lang w:val="en"/>
              </w:rPr>
              <w:t xml:space="preserve"> provision. The overall aim of UNDP’s efforts in tackling the problem is to drastically reduce the TB burden in Sudan, particularly among poor and vulnerable populations, as well as strengthen the healthcare systems delivering this treatment.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0E35AE" w:rsidRPr="002A77C6" w:rsidRDefault="00265ED6" w:rsidP="000E35AE">
            <w:pPr>
              <w:autoSpaceDE w:val="0"/>
              <w:autoSpaceDN w:val="0"/>
              <w:adjustRightInd w:val="0"/>
              <w:spacing w:after="5" w:line="250" w:lineRule="atLeast"/>
              <w:ind w:left="-5" w:hanging="10"/>
              <w:jc w:val="both"/>
              <w:rPr>
                <w:rFonts w:ascii="Calibri" w:hAnsi="Calibri" w:cs="Calibri"/>
                <w:sz w:val="22"/>
                <w:szCs w:val="22"/>
                <w:lang w:val="en"/>
              </w:rPr>
            </w:pPr>
            <w:r>
              <w:rPr>
                <w:rFonts w:ascii="Calibri" w:hAnsi="Calibri" w:cs="Calibri"/>
                <w:sz w:val="22"/>
                <w:szCs w:val="22"/>
                <w:lang w:val="en"/>
              </w:rPr>
              <w:t>UNDP</w:t>
            </w:r>
            <w:r w:rsidR="000E35AE" w:rsidRPr="002A77C6">
              <w:rPr>
                <w:rFonts w:ascii="Calibri" w:hAnsi="Calibri" w:cs="Calibri"/>
                <w:sz w:val="22"/>
                <w:szCs w:val="22"/>
                <w:lang w:val="en"/>
              </w:rPr>
              <w:t xml:space="preserve"> scaled up </w:t>
            </w:r>
            <w:r>
              <w:rPr>
                <w:rFonts w:ascii="Calibri" w:hAnsi="Calibri" w:cs="Calibri"/>
                <w:sz w:val="22"/>
                <w:szCs w:val="22"/>
                <w:lang w:val="en"/>
              </w:rPr>
              <w:t xml:space="preserve">its efforts </w:t>
            </w:r>
            <w:r w:rsidR="000E35AE" w:rsidRPr="002A77C6">
              <w:rPr>
                <w:rFonts w:ascii="Calibri" w:hAnsi="Calibri" w:cs="Calibri"/>
                <w:sz w:val="22"/>
                <w:szCs w:val="22"/>
                <w:lang w:val="en"/>
              </w:rPr>
              <w:t xml:space="preserve">and strengthened the quality of the World Health Organization’s standard TB strategy, known as DOTs (Directly Observed Treatment), including in war-affected and post conflict regions. It also raised awareness amongst communities and in decision-making including campaigning for positive perceptions towards TB prevention, treatment, efficacy and adherence, in addition to reducing stigmatizing attitudes.  </w:t>
            </w:r>
          </w:p>
          <w:p w:rsidR="000E35AE" w:rsidRPr="002A77C6" w:rsidRDefault="000E35AE" w:rsidP="000E35AE">
            <w:pPr>
              <w:autoSpaceDE w:val="0"/>
              <w:autoSpaceDN w:val="0"/>
              <w:adjustRightInd w:val="0"/>
              <w:spacing w:line="259" w:lineRule="atLeast"/>
              <w:rPr>
                <w:rFonts w:ascii="Calibri" w:hAnsi="Calibri" w:cs="Calibri"/>
                <w:sz w:val="22"/>
                <w:szCs w:val="22"/>
                <w:lang w:val="en"/>
              </w:rPr>
            </w:pPr>
          </w:p>
          <w:p w:rsidR="002E71FF" w:rsidRDefault="00265ED6" w:rsidP="00C76CFB">
            <w:pPr>
              <w:autoSpaceDE w:val="0"/>
              <w:autoSpaceDN w:val="0"/>
              <w:adjustRightInd w:val="0"/>
              <w:spacing w:after="5" w:line="250" w:lineRule="atLeast"/>
              <w:ind w:left="-5" w:hanging="10"/>
              <w:jc w:val="both"/>
              <w:rPr>
                <w:rFonts w:ascii="Calibri" w:hAnsi="Calibri" w:cs="Calibri"/>
                <w:sz w:val="22"/>
                <w:szCs w:val="22"/>
                <w:lang w:val="en"/>
              </w:rPr>
            </w:pPr>
            <w:r>
              <w:rPr>
                <w:rFonts w:ascii="Calibri" w:hAnsi="Calibri" w:cs="Calibri"/>
                <w:sz w:val="22"/>
                <w:szCs w:val="22"/>
                <w:lang w:val="en"/>
              </w:rPr>
              <w:t>UNDP</w:t>
            </w:r>
            <w:r w:rsidR="000E35AE" w:rsidRPr="002A77C6">
              <w:rPr>
                <w:rFonts w:ascii="Calibri" w:hAnsi="Calibri" w:cs="Calibri"/>
                <w:sz w:val="22"/>
                <w:szCs w:val="22"/>
                <w:lang w:val="en"/>
              </w:rPr>
              <w:t xml:space="preserve"> strengthened the health system implementation mechanism with equipment that upgraded five rural hospitals, 25 health </w:t>
            </w:r>
            <w:r w:rsidR="0096563E" w:rsidRPr="002A77C6">
              <w:rPr>
                <w:rFonts w:ascii="Calibri" w:hAnsi="Calibri" w:cs="Calibri"/>
                <w:sz w:val="22"/>
                <w:szCs w:val="22"/>
                <w:lang w:val="en"/>
              </w:rPr>
              <w:t>centers</w:t>
            </w:r>
            <w:r w:rsidR="000E35AE" w:rsidRPr="002A77C6">
              <w:rPr>
                <w:rFonts w:ascii="Calibri" w:hAnsi="Calibri" w:cs="Calibri"/>
                <w:sz w:val="22"/>
                <w:szCs w:val="22"/>
                <w:lang w:val="en"/>
              </w:rPr>
              <w:t xml:space="preserve">, 15 laboratories and five health academies. Almost 90 health management personnel from 114 localities were trained in decision-making, teamwork, effective meetings, </w:t>
            </w:r>
            <w:r w:rsidR="0096563E" w:rsidRPr="002A77C6">
              <w:rPr>
                <w:rFonts w:ascii="Calibri" w:hAnsi="Calibri" w:cs="Calibri"/>
                <w:sz w:val="22"/>
                <w:szCs w:val="22"/>
                <w:lang w:val="en"/>
              </w:rPr>
              <w:t>and health</w:t>
            </w:r>
            <w:r w:rsidR="000E35AE" w:rsidRPr="002A77C6">
              <w:rPr>
                <w:rFonts w:ascii="Calibri" w:hAnsi="Calibri" w:cs="Calibri"/>
                <w:sz w:val="22"/>
                <w:szCs w:val="22"/>
                <w:lang w:val="en"/>
              </w:rPr>
              <w:t xml:space="preserve"> planning and district health management.  Some 60 PHC workers received an integrated on-job training (bridging courses) to build their skills necessary to cope with the demand posed by the three diseases. In addition 20 health managers from states and localities received a 2-weeks training course on health economics/financing</w:t>
            </w:r>
            <w:r w:rsidR="00C76CFB" w:rsidRPr="002A77C6">
              <w:rPr>
                <w:rFonts w:ascii="Calibri" w:hAnsi="Calibri" w:cs="Calibri"/>
                <w:sz w:val="22"/>
                <w:szCs w:val="22"/>
                <w:lang w:val="en"/>
              </w:rPr>
              <w:t>.</w:t>
            </w:r>
          </w:p>
          <w:p w:rsidR="00B21981" w:rsidRDefault="00B21981" w:rsidP="00C76CFB">
            <w:pPr>
              <w:autoSpaceDE w:val="0"/>
              <w:autoSpaceDN w:val="0"/>
              <w:adjustRightInd w:val="0"/>
              <w:spacing w:after="5" w:line="250" w:lineRule="atLeast"/>
              <w:ind w:left="-5" w:hanging="10"/>
              <w:jc w:val="both"/>
              <w:rPr>
                <w:rFonts w:ascii="Calibri" w:hAnsi="Calibri" w:cs="Calibri"/>
                <w:sz w:val="22"/>
                <w:szCs w:val="22"/>
                <w:lang w:val="en"/>
              </w:rPr>
            </w:pPr>
          </w:p>
          <w:p w:rsidR="00B21981" w:rsidRPr="00B21981" w:rsidRDefault="00B21981" w:rsidP="00B21981">
            <w:pPr>
              <w:rPr>
                <w:rFonts w:ascii="Calibri" w:hAnsi="Calibri"/>
                <w:sz w:val="22"/>
                <w:szCs w:val="22"/>
              </w:rPr>
            </w:pPr>
            <w:r w:rsidRPr="00B21981">
              <w:rPr>
                <w:rFonts w:ascii="Calibri" w:hAnsi="Calibri"/>
                <w:sz w:val="22"/>
                <w:szCs w:val="22"/>
              </w:rPr>
              <w:t>The CO now is supporting the MoH to procure essential medicines for the Government beyond the GF resources. This project</w:t>
            </w:r>
            <w:r w:rsidR="00D30516">
              <w:rPr>
                <w:rFonts w:ascii="Calibri" w:hAnsi="Calibri"/>
                <w:sz w:val="22"/>
                <w:szCs w:val="22"/>
              </w:rPr>
              <w:t xml:space="preserve">, fully funded by the Government, </w:t>
            </w:r>
            <w:r w:rsidRPr="00B21981">
              <w:rPr>
                <w:rFonts w:ascii="Calibri" w:hAnsi="Calibri"/>
                <w:sz w:val="22"/>
                <w:szCs w:val="22"/>
              </w:rPr>
              <w:t>has further advanced partnership with the MOH</w:t>
            </w:r>
            <w:r w:rsidR="00D30516">
              <w:rPr>
                <w:rFonts w:ascii="Calibri" w:hAnsi="Calibri"/>
                <w:sz w:val="22"/>
                <w:szCs w:val="22"/>
              </w:rPr>
              <w:t xml:space="preserve"> and</w:t>
            </w:r>
            <w:r w:rsidRPr="00B21981">
              <w:rPr>
                <w:rFonts w:ascii="Calibri" w:hAnsi="Calibri"/>
                <w:sz w:val="22"/>
                <w:szCs w:val="22"/>
              </w:rPr>
              <w:t xml:space="preserve"> mobilized additional funds from the government to maintain and sustain </w:t>
            </w:r>
            <w:r w:rsidR="00D30516">
              <w:rPr>
                <w:rFonts w:ascii="Calibri" w:hAnsi="Calibri"/>
                <w:sz w:val="22"/>
                <w:szCs w:val="22"/>
              </w:rPr>
              <w:t xml:space="preserve">the </w:t>
            </w:r>
            <w:r w:rsidRPr="00B21981">
              <w:rPr>
                <w:rFonts w:ascii="Calibri" w:hAnsi="Calibri"/>
                <w:sz w:val="22"/>
                <w:szCs w:val="22"/>
              </w:rPr>
              <w:t xml:space="preserve">supply of affordable and essential medicines. </w:t>
            </w:r>
          </w:p>
          <w:p w:rsidR="00B21981" w:rsidRPr="00D30516" w:rsidRDefault="00B21981" w:rsidP="00C76CFB">
            <w:pPr>
              <w:autoSpaceDE w:val="0"/>
              <w:autoSpaceDN w:val="0"/>
              <w:adjustRightInd w:val="0"/>
              <w:spacing w:after="5" w:line="250" w:lineRule="atLeast"/>
              <w:ind w:left="-5" w:hanging="10"/>
              <w:jc w:val="both"/>
              <w:rPr>
                <w:rFonts w:ascii="Calibri" w:eastAsia="Calibri" w:hAnsi="Calibri"/>
                <w:sz w:val="22"/>
                <w:szCs w:val="22"/>
              </w:rPr>
            </w:pPr>
          </w:p>
        </w:tc>
      </w:tr>
    </w:tbl>
    <w:p w:rsidR="00411054" w:rsidRPr="002A77C6" w:rsidRDefault="00D9192E" w:rsidP="005454E9">
      <w:pPr>
        <w:jc w:val="both"/>
        <w:rPr>
          <w:rFonts w:ascii="Calibri" w:hAnsi="Calibri"/>
          <w:sz w:val="22"/>
          <w:szCs w:val="22"/>
        </w:rPr>
      </w:pPr>
      <w:r w:rsidRPr="002A77C6">
        <w:rPr>
          <w:rFonts w:ascii="Calibri" w:hAnsi="Calibri"/>
          <w:sz w:val="22"/>
          <w:szCs w:val="22"/>
        </w:rPr>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930"/>
        <w:gridCol w:w="3030"/>
        <w:gridCol w:w="555"/>
        <w:gridCol w:w="4935"/>
      </w:tblGrid>
      <w:tr w:rsidR="00411054" w:rsidRPr="002A77C6" w:rsidTr="00854EC9">
        <w:tc>
          <w:tcPr>
            <w:tcW w:w="3060" w:type="dxa"/>
            <w:tcBorders>
              <w:bottom w:val="single" w:sz="4" w:space="0" w:color="auto"/>
            </w:tcBorders>
            <w:shd w:val="clear" w:color="auto" w:fill="FFFFFF"/>
          </w:tcPr>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lastRenderedPageBreak/>
              <w:t>Outcomes</w:t>
            </w:r>
          </w:p>
        </w:tc>
        <w:tc>
          <w:tcPr>
            <w:tcW w:w="2460" w:type="dxa"/>
            <w:gridSpan w:val="3"/>
            <w:tcBorders>
              <w:bottom w:val="single" w:sz="4" w:space="0" w:color="auto"/>
            </w:tcBorders>
            <w:shd w:val="clear" w:color="auto" w:fill="FFFFFF"/>
          </w:tcPr>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t>Total Expenditure</w:t>
            </w:r>
          </w:p>
        </w:tc>
        <w:tc>
          <w:tcPr>
            <w:tcW w:w="3585" w:type="dxa"/>
            <w:gridSpan w:val="2"/>
            <w:tcBorders>
              <w:bottom w:val="single" w:sz="4" w:space="0" w:color="auto"/>
            </w:tcBorders>
            <w:shd w:val="clear" w:color="auto" w:fill="FFFFFF"/>
          </w:tcPr>
          <w:p w:rsidR="00CA3A46" w:rsidRDefault="00411054" w:rsidP="00854EC9">
            <w:pPr>
              <w:pStyle w:val="BodyText2"/>
              <w:jc w:val="both"/>
              <w:rPr>
                <w:rFonts w:ascii="Calibri" w:hAnsi="Calibri"/>
                <w:b/>
                <w:sz w:val="22"/>
                <w:szCs w:val="22"/>
              </w:rPr>
            </w:pPr>
            <w:r w:rsidRPr="002A77C6">
              <w:rPr>
                <w:rFonts w:ascii="Calibri" w:hAnsi="Calibri"/>
                <w:b/>
                <w:sz w:val="22"/>
                <w:szCs w:val="22"/>
              </w:rPr>
              <w:t xml:space="preserve">Key Indicators of outcome </w:t>
            </w:r>
          </w:p>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t>(1-4 per outcome)</w:t>
            </w:r>
          </w:p>
        </w:tc>
        <w:tc>
          <w:tcPr>
            <w:tcW w:w="4935" w:type="dxa"/>
            <w:tcBorders>
              <w:bottom w:val="single" w:sz="4" w:space="0" w:color="auto"/>
            </w:tcBorders>
            <w:shd w:val="clear" w:color="auto" w:fill="FFFFFF"/>
          </w:tcPr>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t>Progress made against key indicators</w:t>
            </w:r>
          </w:p>
        </w:tc>
      </w:tr>
      <w:tr w:rsidR="00411054" w:rsidRPr="002A77C6" w:rsidTr="00FA1392">
        <w:trPr>
          <w:trHeight w:val="2250"/>
        </w:trPr>
        <w:tc>
          <w:tcPr>
            <w:tcW w:w="3060" w:type="dxa"/>
            <w:vMerge w:val="restart"/>
            <w:shd w:val="clear" w:color="auto" w:fill="FFFFFF"/>
          </w:tcPr>
          <w:p w:rsidR="00411054" w:rsidRPr="002A77C6" w:rsidRDefault="00411054" w:rsidP="00854EC9">
            <w:pPr>
              <w:pStyle w:val="BodyText2"/>
              <w:jc w:val="both"/>
              <w:rPr>
                <w:rFonts w:ascii="Calibri" w:hAnsi="Calibri"/>
                <w:sz w:val="22"/>
                <w:szCs w:val="22"/>
              </w:rPr>
            </w:pPr>
            <w:r w:rsidRPr="002A77C6">
              <w:rPr>
                <w:rFonts w:ascii="Calibri" w:hAnsi="Calibri"/>
                <w:sz w:val="22"/>
                <w:szCs w:val="22"/>
              </w:rPr>
              <w:t>Governance institutions at all levels are strengthened to effectively plan, deliver and monitor their mandates, particularly public services, in an equitable and accountable manner</w:t>
            </w:r>
          </w:p>
        </w:tc>
        <w:tc>
          <w:tcPr>
            <w:tcW w:w="2460" w:type="dxa"/>
            <w:gridSpan w:val="3"/>
            <w:tcBorders>
              <w:bottom w:val="single" w:sz="4" w:space="0" w:color="auto"/>
            </w:tcBorders>
            <w:shd w:val="clear" w:color="auto" w:fill="FFFFFF"/>
          </w:tcPr>
          <w:p w:rsidR="00926B77" w:rsidRDefault="00926B77" w:rsidP="00926B77">
            <w:pPr>
              <w:widowControl/>
              <w:jc w:val="both"/>
              <w:rPr>
                <w:rFonts w:ascii="Calibri" w:hAnsi="Calibri"/>
                <w:color w:val="000000"/>
                <w:sz w:val="22"/>
                <w:szCs w:val="22"/>
              </w:rPr>
            </w:pPr>
            <w:r>
              <w:rPr>
                <w:rFonts w:ascii="Calibri" w:hAnsi="Calibri"/>
                <w:color w:val="000000"/>
                <w:sz w:val="22"/>
                <w:szCs w:val="22"/>
              </w:rPr>
              <w:t xml:space="preserve">5,749,382 </w:t>
            </w:r>
          </w:p>
          <w:p w:rsidR="00411054" w:rsidRPr="002A77C6" w:rsidRDefault="00411054"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FA1392" w:rsidRPr="001D0996" w:rsidRDefault="00FA1392" w:rsidP="00FA1392">
            <w:pPr>
              <w:jc w:val="both"/>
              <w:rPr>
                <w:rFonts w:ascii="Calibri" w:hAnsi="Calibri"/>
                <w:b/>
                <w:sz w:val="22"/>
                <w:szCs w:val="22"/>
              </w:rPr>
            </w:pPr>
            <w:r w:rsidRPr="001D0996">
              <w:rPr>
                <w:rFonts w:ascii="Calibri" w:hAnsi="Calibri"/>
                <w:b/>
                <w:sz w:val="22"/>
                <w:szCs w:val="22"/>
              </w:rPr>
              <w:t>Indicator 1:</w:t>
            </w:r>
          </w:p>
          <w:p w:rsidR="00FA1392" w:rsidRDefault="00FA1392" w:rsidP="00FA1392">
            <w:pPr>
              <w:pStyle w:val="ListParagraph"/>
              <w:ind w:left="0"/>
              <w:contextualSpacing/>
              <w:rPr>
                <w:rFonts w:ascii="Calibri" w:eastAsia="Times New Roman" w:hAnsi="Calibri"/>
                <w:sz w:val="22"/>
                <w:szCs w:val="22"/>
                <w:lang w:val="en-US"/>
              </w:rPr>
            </w:pPr>
            <w:r w:rsidRPr="00FA1392">
              <w:rPr>
                <w:rFonts w:ascii="Calibri" w:eastAsia="Times New Roman" w:hAnsi="Calibri"/>
                <w:sz w:val="22"/>
                <w:szCs w:val="22"/>
                <w:lang w:val="en-US"/>
              </w:rPr>
              <w:t>Pro-poor social spending (education, health, water) in Government annual</w:t>
            </w:r>
            <w:r>
              <w:rPr>
                <w:rFonts w:ascii="Calibri" w:eastAsia="Times New Roman" w:hAnsi="Calibri"/>
                <w:sz w:val="22"/>
                <w:szCs w:val="22"/>
                <w:lang w:val="en-US"/>
              </w:rPr>
              <w:t xml:space="preserve"> budget as a proportion of GDP </w:t>
            </w:r>
          </w:p>
          <w:p w:rsidR="00FA1392" w:rsidRDefault="00FA1392" w:rsidP="00FA1392">
            <w:pPr>
              <w:pStyle w:val="ListParagraph"/>
              <w:ind w:left="0"/>
              <w:contextualSpacing/>
              <w:rPr>
                <w:rFonts w:ascii="Calibri" w:eastAsia="Times New Roman" w:hAnsi="Calibri"/>
                <w:sz w:val="22"/>
                <w:szCs w:val="22"/>
                <w:lang w:val="en-US"/>
              </w:rPr>
            </w:pPr>
          </w:p>
          <w:p w:rsidR="00FA1392" w:rsidRDefault="00FA1392" w:rsidP="00FA1392">
            <w:pPr>
              <w:pStyle w:val="ListParagraph"/>
              <w:ind w:left="0"/>
              <w:contextualSpacing/>
              <w:rPr>
                <w:rFonts w:ascii="Calibri" w:eastAsia="Times New Roman" w:hAnsi="Calibri"/>
                <w:sz w:val="22"/>
                <w:szCs w:val="22"/>
                <w:lang w:val="en-US"/>
              </w:rPr>
            </w:pPr>
            <w:r w:rsidRPr="001D0996">
              <w:rPr>
                <w:rFonts w:ascii="Calibri" w:eastAsia="Times New Roman" w:hAnsi="Calibri"/>
                <w:b/>
                <w:sz w:val="22"/>
                <w:szCs w:val="22"/>
                <w:lang w:val="en-US"/>
              </w:rPr>
              <w:t>Baseline:</w:t>
            </w:r>
            <w:r>
              <w:rPr>
                <w:rFonts w:ascii="Calibri" w:eastAsia="Times New Roman" w:hAnsi="Calibri"/>
                <w:sz w:val="22"/>
                <w:szCs w:val="22"/>
                <w:lang w:val="en-US"/>
              </w:rPr>
              <w:t xml:space="preserve"> 10% of GDP </w:t>
            </w:r>
          </w:p>
          <w:p w:rsidR="00FA1392" w:rsidRDefault="00FA1392" w:rsidP="00FA1392">
            <w:pPr>
              <w:pStyle w:val="ListParagraph"/>
              <w:ind w:left="0"/>
              <w:contextualSpacing/>
              <w:rPr>
                <w:rFonts w:ascii="Calibri" w:eastAsia="Times New Roman" w:hAnsi="Calibri"/>
                <w:sz w:val="22"/>
                <w:szCs w:val="22"/>
                <w:lang w:val="en-US"/>
              </w:rPr>
            </w:pPr>
          </w:p>
          <w:p w:rsidR="00FA1392" w:rsidRPr="00FA1392" w:rsidRDefault="00FA1392" w:rsidP="00FA1392">
            <w:pPr>
              <w:pStyle w:val="ListParagraph"/>
              <w:ind w:left="0"/>
              <w:contextualSpacing/>
              <w:rPr>
                <w:rFonts w:ascii="Calibri" w:eastAsia="Times New Roman" w:hAnsi="Calibri"/>
                <w:sz w:val="22"/>
                <w:szCs w:val="22"/>
                <w:rtl/>
                <w:lang w:val="en-US"/>
              </w:rPr>
            </w:pPr>
            <w:r w:rsidRPr="001D0996">
              <w:rPr>
                <w:rFonts w:ascii="Calibri" w:eastAsia="Times New Roman" w:hAnsi="Calibri"/>
                <w:b/>
                <w:sz w:val="22"/>
                <w:szCs w:val="22"/>
                <w:lang w:val="en-US"/>
              </w:rPr>
              <w:t>Target:</w:t>
            </w:r>
            <w:r w:rsidRPr="00FA1392">
              <w:rPr>
                <w:rFonts w:ascii="Calibri" w:eastAsia="Times New Roman" w:hAnsi="Calibri"/>
                <w:sz w:val="22"/>
                <w:szCs w:val="22"/>
                <w:lang w:val="en-US"/>
              </w:rPr>
              <w:t xml:space="preserve"> 16% of GDP</w:t>
            </w:r>
          </w:p>
          <w:p w:rsidR="00411054" w:rsidRPr="002A77C6" w:rsidRDefault="00411054" w:rsidP="00FA1392">
            <w:pPr>
              <w:jc w:val="both"/>
              <w:rPr>
                <w:rFonts w:ascii="Calibri" w:hAnsi="Calibri"/>
                <w:sz w:val="22"/>
                <w:szCs w:val="22"/>
              </w:rPr>
            </w:pPr>
          </w:p>
        </w:tc>
        <w:tc>
          <w:tcPr>
            <w:tcW w:w="4935" w:type="dxa"/>
            <w:tcBorders>
              <w:bottom w:val="single" w:sz="4" w:space="0" w:color="auto"/>
            </w:tcBorders>
            <w:shd w:val="clear" w:color="auto" w:fill="FFFFFF"/>
          </w:tcPr>
          <w:p w:rsidR="007B2EFD" w:rsidRDefault="00CA3A46" w:rsidP="007B2EFD">
            <w:pPr>
              <w:pStyle w:val="BodyText2"/>
              <w:jc w:val="both"/>
              <w:rPr>
                <w:rFonts w:ascii="Calibri" w:hAnsi="Calibri"/>
                <w:sz w:val="22"/>
                <w:szCs w:val="22"/>
              </w:rPr>
            </w:pPr>
            <w:r>
              <w:rPr>
                <w:rFonts w:ascii="Calibri" w:hAnsi="Calibri"/>
                <w:sz w:val="22"/>
                <w:szCs w:val="22"/>
              </w:rPr>
              <w:t xml:space="preserve">Social spending accounted for </w:t>
            </w:r>
            <w:r w:rsidR="007B2EFD">
              <w:rPr>
                <w:rFonts w:ascii="Calibri" w:hAnsi="Calibri"/>
                <w:sz w:val="22"/>
                <w:szCs w:val="22"/>
              </w:rPr>
              <w:t xml:space="preserve">8.4% </w:t>
            </w:r>
            <w:r>
              <w:rPr>
                <w:rFonts w:ascii="Calibri" w:hAnsi="Calibri"/>
                <w:sz w:val="22"/>
                <w:szCs w:val="22"/>
              </w:rPr>
              <w:t>of the GDP in 201</w:t>
            </w:r>
            <w:r w:rsidR="007B2EFD">
              <w:rPr>
                <w:rFonts w:ascii="Calibri" w:hAnsi="Calibri"/>
                <w:sz w:val="22"/>
                <w:szCs w:val="22"/>
              </w:rPr>
              <w:t>6 improved from 7.2% of GDP in 2012 to 8.4% of GDP in 2016. (Source: Sudan IPRSP status report).</w:t>
            </w:r>
          </w:p>
          <w:p w:rsidR="00411054" w:rsidRPr="002A77C6" w:rsidRDefault="00CA3A46" w:rsidP="007B2EFD">
            <w:pPr>
              <w:pStyle w:val="BodyText2"/>
              <w:jc w:val="both"/>
              <w:rPr>
                <w:rFonts w:ascii="Calibri" w:hAnsi="Calibri"/>
                <w:sz w:val="22"/>
                <w:szCs w:val="22"/>
              </w:rPr>
            </w:pPr>
            <w:r>
              <w:rPr>
                <w:rFonts w:ascii="Calibri" w:hAnsi="Calibri"/>
                <w:sz w:val="22"/>
                <w:szCs w:val="22"/>
              </w:rPr>
              <w:t xml:space="preserve">. </w:t>
            </w:r>
          </w:p>
        </w:tc>
      </w:tr>
      <w:tr w:rsidR="00FA1392" w:rsidRPr="002A77C6" w:rsidTr="00854EC9">
        <w:trPr>
          <w:trHeight w:val="435"/>
        </w:trPr>
        <w:tc>
          <w:tcPr>
            <w:tcW w:w="3060" w:type="dxa"/>
            <w:vMerge/>
            <w:shd w:val="clear" w:color="auto" w:fill="FFFFFF"/>
          </w:tcPr>
          <w:p w:rsidR="00FA1392" w:rsidRPr="002A77C6" w:rsidRDefault="00FA1392" w:rsidP="00854EC9">
            <w:pPr>
              <w:pStyle w:val="BodyText2"/>
              <w:jc w:val="both"/>
              <w:rPr>
                <w:rFonts w:ascii="Calibri" w:hAnsi="Calibri"/>
                <w:b/>
                <w:bCs/>
                <w:sz w:val="22"/>
                <w:szCs w:val="22"/>
              </w:rPr>
            </w:pPr>
          </w:p>
        </w:tc>
        <w:tc>
          <w:tcPr>
            <w:tcW w:w="2460" w:type="dxa"/>
            <w:gridSpan w:val="3"/>
            <w:tcBorders>
              <w:bottom w:val="single" w:sz="4" w:space="0" w:color="auto"/>
            </w:tcBorders>
            <w:shd w:val="clear" w:color="auto" w:fill="FFFFFF"/>
          </w:tcPr>
          <w:p w:rsidR="00FA1392" w:rsidRPr="002A77C6" w:rsidRDefault="00FA1392"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FA1392" w:rsidRPr="001D0996" w:rsidRDefault="00FA1392" w:rsidP="00FA1392">
            <w:pPr>
              <w:jc w:val="both"/>
              <w:rPr>
                <w:rFonts w:ascii="Calibri" w:hAnsi="Calibri"/>
                <w:b/>
                <w:sz w:val="22"/>
                <w:szCs w:val="22"/>
              </w:rPr>
            </w:pPr>
            <w:r w:rsidRPr="001D0996">
              <w:rPr>
                <w:rFonts w:ascii="Calibri" w:hAnsi="Calibri"/>
                <w:b/>
                <w:sz w:val="22"/>
                <w:szCs w:val="22"/>
              </w:rPr>
              <w:t>Indicator 2:</w:t>
            </w:r>
          </w:p>
          <w:p w:rsidR="00FA1392" w:rsidRPr="002A77C6" w:rsidRDefault="00FA1392" w:rsidP="00FA1392">
            <w:pPr>
              <w:jc w:val="both"/>
              <w:rPr>
                <w:rFonts w:ascii="Calibri" w:hAnsi="Calibri"/>
                <w:sz w:val="22"/>
                <w:szCs w:val="22"/>
              </w:rPr>
            </w:pPr>
            <w:r w:rsidRPr="002A77C6">
              <w:rPr>
                <w:rFonts w:ascii="Calibri" w:hAnsi="Calibri"/>
                <w:sz w:val="22"/>
                <w:szCs w:val="22"/>
              </w:rPr>
              <w:t>Extent of citizen participation in local planning process, disaggregated by state (On a scale from 0 to 10)</w:t>
            </w:r>
          </w:p>
          <w:p w:rsidR="00FA1392" w:rsidRDefault="00FA1392" w:rsidP="00FA1392">
            <w:pPr>
              <w:jc w:val="both"/>
              <w:rPr>
                <w:rFonts w:ascii="Calibri" w:hAnsi="Calibri"/>
                <w:sz w:val="22"/>
                <w:szCs w:val="22"/>
              </w:rPr>
            </w:pPr>
          </w:p>
          <w:p w:rsidR="00FA1392" w:rsidRPr="002A77C6" w:rsidRDefault="00FA1392" w:rsidP="00FA1392">
            <w:pPr>
              <w:jc w:val="both"/>
              <w:rPr>
                <w:rFonts w:ascii="Calibri" w:hAnsi="Calibri"/>
                <w:sz w:val="22"/>
                <w:szCs w:val="22"/>
              </w:rPr>
            </w:pPr>
            <w:r w:rsidRPr="001D0996">
              <w:rPr>
                <w:rFonts w:ascii="Calibri" w:hAnsi="Calibri"/>
                <w:b/>
                <w:sz w:val="22"/>
                <w:szCs w:val="22"/>
              </w:rPr>
              <w:t>Baseline:</w:t>
            </w:r>
            <w:r w:rsidRPr="002A77C6">
              <w:rPr>
                <w:rFonts w:ascii="Calibri" w:hAnsi="Calibri"/>
                <w:sz w:val="22"/>
                <w:szCs w:val="22"/>
              </w:rPr>
              <w:t xml:space="preserve"> </w:t>
            </w:r>
            <w:r w:rsidR="00CA3A46">
              <w:rPr>
                <w:rFonts w:ascii="Calibri" w:hAnsi="Calibri"/>
                <w:sz w:val="22"/>
                <w:szCs w:val="22"/>
              </w:rPr>
              <w:t>North Darfur, 1:10; Red Sea, 5:10; South Kordofan, 3:10</w:t>
            </w:r>
          </w:p>
          <w:p w:rsidR="00FA1392" w:rsidRPr="002A77C6" w:rsidRDefault="00FA1392" w:rsidP="00FA1392">
            <w:pPr>
              <w:jc w:val="both"/>
              <w:rPr>
                <w:rFonts w:ascii="Calibri" w:hAnsi="Calibri"/>
                <w:sz w:val="22"/>
                <w:szCs w:val="22"/>
              </w:rPr>
            </w:pPr>
          </w:p>
          <w:p w:rsidR="00FA1392" w:rsidRPr="002A77C6" w:rsidRDefault="00FA1392" w:rsidP="00730636">
            <w:pPr>
              <w:jc w:val="both"/>
              <w:rPr>
                <w:rFonts w:ascii="Calibri" w:hAnsi="Calibri"/>
                <w:sz w:val="22"/>
                <w:szCs w:val="22"/>
              </w:rPr>
            </w:pPr>
            <w:r w:rsidRPr="001D0996">
              <w:rPr>
                <w:rFonts w:ascii="Calibri" w:hAnsi="Calibri"/>
                <w:b/>
                <w:sz w:val="22"/>
                <w:szCs w:val="22"/>
              </w:rPr>
              <w:t>Target:</w:t>
            </w:r>
            <w:r w:rsidRPr="002A77C6">
              <w:rPr>
                <w:rFonts w:ascii="Calibri" w:hAnsi="Calibri"/>
                <w:sz w:val="22"/>
                <w:szCs w:val="22"/>
              </w:rPr>
              <w:t xml:space="preserve"> </w:t>
            </w:r>
            <w:r w:rsidRPr="002A77C6">
              <w:rPr>
                <w:rFonts w:ascii="Calibri" w:hAnsi="Calibri"/>
                <w:sz w:val="22"/>
                <w:szCs w:val="22"/>
              </w:rPr>
              <w:tab/>
              <w:t>16% of GDP by 2016</w:t>
            </w:r>
          </w:p>
        </w:tc>
        <w:tc>
          <w:tcPr>
            <w:tcW w:w="4935" w:type="dxa"/>
            <w:tcBorders>
              <w:bottom w:val="single" w:sz="4" w:space="0" w:color="auto"/>
            </w:tcBorders>
            <w:shd w:val="clear" w:color="auto" w:fill="FFFFFF"/>
          </w:tcPr>
          <w:p w:rsidR="00FA1392" w:rsidRPr="002A77C6" w:rsidRDefault="00FA1392" w:rsidP="00854EC9">
            <w:pPr>
              <w:pStyle w:val="BodyText2"/>
              <w:jc w:val="both"/>
              <w:rPr>
                <w:rFonts w:ascii="Calibri" w:hAnsi="Calibri"/>
                <w:sz w:val="22"/>
                <w:szCs w:val="22"/>
              </w:rPr>
            </w:pPr>
            <w:r w:rsidRPr="002A77C6">
              <w:rPr>
                <w:rFonts w:ascii="Calibri" w:hAnsi="Calibri"/>
                <w:sz w:val="22"/>
                <w:szCs w:val="22"/>
              </w:rPr>
              <w:t>Evidence in 7 States showed involvement of citizens and legislative councils in local planning processes (Kassala, Red Sea, Gedarif, North Darfur, South Darfur, West Darfur, and South Kordofan). The extent of the participation in average ranged from 3.5:10</w:t>
            </w:r>
          </w:p>
        </w:tc>
      </w:tr>
      <w:tr w:rsidR="00411054" w:rsidRPr="002A77C6" w:rsidTr="00854EC9">
        <w:tc>
          <w:tcPr>
            <w:tcW w:w="3060" w:type="dxa"/>
            <w:vMerge/>
            <w:tcBorders>
              <w:bottom w:val="single" w:sz="4" w:space="0" w:color="auto"/>
            </w:tcBorders>
            <w:shd w:val="clear" w:color="auto" w:fill="FFFFFF"/>
          </w:tcPr>
          <w:p w:rsidR="00411054" w:rsidRPr="002A77C6" w:rsidRDefault="00411054" w:rsidP="00854EC9">
            <w:pPr>
              <w:pStyle w:val="BodyText2"/>
              <w:jc w:val="both"/>
              <w:rPr>
                <w:rFonts w:ascii="Calibri" w:hAnsi="Calibri"/>
                <w:sz w:val="22"/>
                <w:szCs w:val="22"/>
              </w:rPr>
            </w:pPr>
          </w:p>
        </w:tc>
        <w:tc>
          <w:tcPr>
            <w:tcW w:w="2460" w:type="dxa"/>
            <w:gridSpan w:val="3"/>
            <w:tcBorders>
              <w:bottom w:val="single" w:sz="4" w:space="0" w:color="auto"/>
            </w:tcBorders>
            <w:shd w:val="clear" w:color="auto" w:fill="FFFFFF"/>
          </w:tcPr>
          <w:p w:rsidR="00411054" w:rsidRPr="002A77C6" w:rsidRDefault="00411054"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411054" w:rsidRPr="001D0996" w:rsidRDefault="00411054" w:rsidP="00FA1392">
            <w:pPr>
              <w:jc w:val="both"/>
              <w:rPr>
                <w:rFonts w:ascii="Calibri" w:hAnsi="Calibri"/>
                <w:b/>
                <w:sz w:val="22"/>
                <w:szCs w:val="22"/>
              </w:rPr>
            </w:pPr>
            <w:r w:rsidRPr="001D0996">
              <w:rPr>
                <w:rFonts w:ascii="Calibri" w:hAnsi="Calibri"/>
                <w:b/>
                <w:sz w:val="22"/>
                <w:szCs w:val="22"/>
              </w:rPr>
              <w:t xml:space="preserve">Indicator </w:t>
            </w:r>
            <w:r w:rsidR="00FA1392" w:rsidRPr="001D0996">
              <w:rPr>
                <w:rFonts w:ascii="Calibri" w:hAnsi="Calibri"/>
                <w:b/>
                <w:sz w:val="22"/>
                <w:szCs w:val="22"/>
              </w:rPr>
              <w:t>3</w:t>
            </w:r>
            <w:r w:rsidRPr="001D0996">
              <w:rPr>
                <w:rFonts w:ascii="Calibri" w:hAnsi="Calibri"/>
                <w:b/>
                <w:sz w:val="22"/>
                <w:szCs w:val="22"/>
              </w:rPr>
              <w:t>:</w:t>
            </w:r>
          </w:p>
          <w:p w:rsidR="00411054" w:rsidRPr="002A77C6" w:rsidRDefault="00411054" w:rsidP="00854EC9">
            <w:pPr>
              <w:jc w:val="both"/>
              <w:rPr>
                <w:rFonts w:ascii="Calibri" w:hAnsi="Calibri"/>
                <w:sz w:val="22"/>
                <w:szCs w:val="22"/>
              </w:rPr>
            </w:pPr>
            <w:r w:rsidRPr="002A77C6">
              <w:rPr>
                <w:rFonts w:ascii="Calibri" w:hAnsi="Calibri"/>
                <w:sz w:val="22"/>
                <w:szCs w:val="22"/>
              </w:rPr>
              <w:t>Number of states implementing transparent and accountable mechanisms for ensuring compliance with revenue and public expenditure management regulations</w:t>
            </w:r>
          </w:p>
          <w:p w:rsidR="00FA1392" w:rsidRDefault="00FA1392" w:rsidP="00854EC9">
            <w:pPr>
              <w:jc w:val="both"/>
              <w:rPr>
                <w:rFonts w:ascii="Calibri" w:hAnsi="Calibri"/>
                <w:sz w:val="22"/>
                <w:szCs w:val="22"/>
              </w:rPr>
            </w:pPr>
          </w:p>
          <w:p w:rsidR="00411054" w:rsidRPr="002A77C6" w:rsidRDefault="00411054" w:rsidP="00854EC9">
            <w:pPr>
              <w:jc w:val="both"/>
              <w:rPr>
                <w:rFonts w:ascii="Calibri" w:hAnsi="Calibri"/>
                <w:sz w:val="22"/>
                <w:szCs w:val="22"/>
              </w:rPr>
            </w:pPr>
            <w:r w:rsidRPr="00CA3A46">
              <w:rPr>
                <w:rFonts w:ascii="Calibri" w:hAnsi="Calibri"/>
                <w:b/>
                <w:sz w:val="22"/>
                <w:szCs w:val="22"/>
              </w:rPr>
              <w:t>Baseline:</w:t>
            </w:r>
            <w:r w:rsidR="009E5919" w:rsidRPr="002A77C6">
              <w:rPr>
                <w:rFonts w:ascii="Calibri" w:hAnsi="Calibri"/>
                <w:sz w:val="22"/>
                <w:szCs w:val="22"/>
              </w:rPr>
              <w:t xml:space="preserve"> 0 in 2012</w:t>
            </w:r>
          </w:p>
          <w:p w:rsidR="00411054" w:rsidRPr="002A77C6" w:rsidRDefault="00411054" w:rsidP="00854EC9">
            <w:pPr>
              <w:jc w:val="both"/>
              <w:rPr>
                <w:rFonts w:ascii="Calibri" w:hAnsi="Calibri"/>
                <w:sz w:val="22"/>
                <w:szCs w:val="22"/>
              </w:rPr>
            </w:pPr>
          </w:p>
          <w:p w:rsidR="00411054" w:rsidRPr="002A77C6" w:rsidRDefault="00411054" w:rsidP="00FA1392">
            <w:pPr>
              <w:jc w:val="both"/>
              <w:rPr>
                <w:rFonts w:ascii="Calibri" w:hAnsi="Calibri"/>
                <w:sz w:val="22"/>
                <w:szCs w:val="22"/>
              </w:rPr>
            </w:pPr>
            <w:r w:rsidRPr="00CA3A46">
              <w:rPr>
                <w:rFonts w:ascii="Calibri" w:hAnsi="Calibri"/>
                <w:b/>
                <w:sz w:val="22"/>
                <w:szCs w:val="22"/>
              </w:rPr>
              <w:t>Target:</w:t>
            </w:r>
            <w:r w:rsidR="009E5919" w:rsidRPr="002A77C6">
              <w:rPr>
                <w:rFonts w:ascii="Calibri" w:hAnsi="Calibri"/>
                <w:sz w:val="22"/>
                <w:szCs w:val="22"/>
              </w:rPr>
              <w:t xml:space="preserve"> 5 In 2016</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00"/>
            </w:tblGrid>
            <w:tr w:rsidR="00411054" w:rsidRPr="002A77C6" w:rsidTr="00854EC9">
              <w:tc>
                <w:tcPr>
                  <w:tcW w:w="2100" w:type="dxa"/>
                  <w:vAlign w:val="center"/>
                  <w:hideMark/>
                </w:tcPr>
                <w:p w:rsidR="00411054" w:rsidRPr="002A77C6" w:rsidRDefault="00411054" w:rsidP="00854EC9">
                  <w:pPr>
                    <w:widowControl/>
                    <w:jc w:val="both"/>
                    <w:rPr>
                      <w:rFonts w:ascii="Calibri" w:hAnsi="Calibri"/>
                      <w:sz w:val="22"/>
                      <w:szCs w:val="22"/>
                    </w:rPr>
                  </w:pPr>
                </w:p>
              </w:tc>
            </w:tr>
          </w:tbl>
          <w:p w:rsidR="00411054" w:rsidRPr="002A77C6" w:rsidRDefault="00411054" w:rsidP="00854EC9">
            <w:pPr>
              <w:jc w:val="both"/>
              <w:rPr>
                <w:rFonts w:ascii="Calibri" w:hAnsi="Calibri"/>
                <w:sz w:val="22"/>
                <w:szCs w:val="22"/>
              </w:rPr>
            </w:pPr>
          </w:p>
        </w:tc>
        <w:tc>
          <w:tcPr>
            <w:tcW w:w="4935" w:type="dxa"/>
            <w:tcBorders>
              <w:bottom w:val="single" w:sz="4" w:space="0" w:color="auto"/>
            </w:tcBorders>
            <w:shd w:val="clear" w:color="auto" w:fill="FFFFFF"/>
          </w:tcPr>
          <w:p w:rsidR="00411054" w:rsidRPr="002A77C6" w:rsidRDefault="00411054" w:rsidP="00CF0F6D">
            <w:pPr>
              <w:pStyle w:val="BodyText2"/>
              <w:jc w:val="both"/>
              <w:rPr>
                <w:rFonts w:ascii="Calibri" w:hAnsi="Calibri"/>
                <w:sz w:val="22"/>
                <w:szCs w:val="22"/>
              </w:rPr>
            </w:pPr>
            <w:r w:rsidRPr="002A77C6">
              <w:rPr>
                <w:rFonts w:ascii="Calibri" w:hAnsi="Calibri"/>
                <w:sz w:val="22"/>
                <w:szCs w:val="22"/>
              </w:rPr>
              <w:t xml:space="preserve">Evidence from UNDP work showed that at least </w:t>
            </w:r>
            <w:r w:rsidR="00CF0F6D">
              <w:rPr>
                <w:rFonts w:ascii="Calibri" w:hAnsi="Calibri"/>
                <w:sz w:val="22"/>
                <w:szCs w:val="22"/>
              </w:rPr>
              <w:t xml:space="preserve">six </w:t>
            </w:r>
            <w:r w:rsidRPr="002A77C6">
              <w:rPr>
                <w:rFonts w:ascii="Calibri" w:hAnsi="Calibri"/>
                <w:sz w:val="22"/>
                <w:szCs w:val="22"/>
              </w:rPr>
              <w:t xml:space="preserve"> States include level of fiscal policies that guarantee effective public resource management. These states include: 3 in East Sudan, 3 in Darfur and South Kordofan. </w:t>
            </w:r>
          </w:p>
        </w:tc>
      </w:tr>
      <w:tr w:rsidR="00FC1F88" w:rsidRPr="002A77C6" w:rsidTr="00954DAA">
        <w:trPr>
          <w:trHeight w:val="826"/>
        </w:trPr>
        <w:tc>
          <w:tcPr>
            <w:tcW w:w="14040" w:type="dxa"/>
            <w:gridSpan w:val="7"/>
            <w:shd w:val="clear" w:color="auto" w:fill="FFFFFF"/>
          </w:tcPr>
          <w:p w:rsidR="004269E3" w:rsidRPr="000C5544" w:rsidRDefault="004269E3" w:rsidP="000C5544">
            <w:pPr>
              <w:pStyle w:val="BodyText2"/>
              <w:jc w:val="both"/>
              <w:rPr>
                <w:rFonts w:ascii="Calibri" w:hAnsi="Calibri"/>
                <w:b/>
                <w:bCs/>
                <w:sz w:val="22"/>
                <w:szCs w:val="22"/>
                <w:u w:val="single"/>
              </w:rPr>
            </w:pPr>
            <w:r w:rsidRPr="000C5544">
              <w:rPr>
                <w:rFonts w:ascii="Calibri" w:hAnsi="Calibri"/>
                <w:b/>
                <w:bCs/>
                <w:sz w:val="22"/>
                <w:szCs w:val="22"/>
                <w:u w:val="single"/>
              </w:rPr>
              <w:t>UNDP Contribution:</w:t>
            </w:r>
          </w:p>
          <w:p w:rsidR="006C3FC8" w:rsidRDefault="006C3FC8" w:rsidP="006C3FC8">
            <w:pPr>
              <w:autoSpaceDE w:val="0"/>
              <w:autoSpaceDN w:val="0"/>
              <w:adjustRightInd w:val="0"/>
              <w:spacing w:after="5" w:line="250" w:lineRule="atLeast"/>
              <w:ind w:left="-5" w:hanging="10"/>
              <w:jc w:val="both"/>
              <w:rPr>
                <w:rFonts w:ascii="Calibri" w:hAnsi="Calibri" w:cs="Calibri"/>
                <w:sz w:val="22"/>
                <w:szCs w:val="22"/>
                <w:lang w:val="en"/>
              </w:rPr>
            </w:pPr>
            <w:r w:rsidRPr="002A77C6">
              <w:rPr>
                <w:rFonts w:ascii="Calibri" w:hAnsi="Calibri" w:cs="Calibri"/>
                <w:sz w:val="22"/>
                <w:szCs w:val="22"/>
                <w:lang w:val="en"/>
              </w:rPr>
              <w:t xml:space="preserve">UNDP’s support to </w:t>
            </w:r>
            <w:r w:rsidR="00514E9D">
              <w:rPr>
                <w:rFonts w:ascii="Calibri" w:hAnsi="Calibri" w:cs="Calibri"/>
                <w:sz w:val="22"/>
                <w:szCs w:val="22"/>
                <w:lang w:val="en"/>
              </w:rPr>
              <w:t>strengthening</w:t>
            </w:r>
            <w:r>
              <w:rPr>
                <w:rFonts w:ascii="Calibri" w:hAnsi="Calibri" w:cs="Calibri"/>
                <w:sz w:val="22"/>
                <w:szCs w:val="22"/>
                <w:lang w:val="en"/>
              </w:rPr>
              <w:t xml:space="preserve"> governance institutions at all levels in Sudan is articulated around 3 main outputs.</w:t>
            </w:r>
          </w:p>
          <w:p w:rsidR="006C3FC8" w:rsidRDefault="006C3FC8" w:rsidP="006C3FC8">
            <w:pPr>
              <w:autoSpaceDE w:val="0"/>
              <w:autoSpaceDN w:val="0"/>
              <w:adjustRightInd w:val="0"/>
              <w:spacing w:after="5" w:line="250" w:lineRule="atLeast"/>
              <w:ind w:left="-5" w:hanging="10"/>
              <w:jc w:val="both"/>
              <w:rPr>
                <w:rFonts w:ascii="Calibri" w:hAnsi="Calibri" w:cs="Calibri"/>
                <w:sz w:val="22"/>
                <w:szCs w:val="22"/>
                <w:lang w:val="en"/>
              </w:rPr>
            </w:pPr>
          </w:p>
          <w:p w:rsidR="006C3FC8" w:rsidRPr="000C5544" w:rsidRDefault="006C3FC8" w:rsidP="006C3FC8">
            <w:pPr>
              <w:autoSpaceDE w:val="0"/>
              <w:autoSpaceDN w:val="0"/>
              <w:adjustRightInd w:val="0"/>
              <w:spacing w:after="5" w:line="250" w:lineRule="atLeast"/>
              <w:ind w:left="-5" w:hanging="10"/>
              <w:jc w:val="both"/>
              <w:rPr>
                <w:rFonts w:ascii="Calibri" w:hAnsi="Calibri" w:cs="Calibri"/>
                <w:b/>
                <w:sz w:val="22"/>
                <w:szCs w:val="22"/>
                <w:u w:val="single"/>
                <w:lang w:val="en"/>
              </w:rPr>
            </w:pPr>
            <w:r w:rsidRPr="000C5544">
              <w:rPr>
                <w:rFonts w:ascii="Calibri" w:hAnsi="Calibri" w:cs="Calibri"/>
                <w:b/>
                <w:sz w:val="22"/>
                <w:szCs w:val="22"/>
                <w:u w:val="single"/>
                <w:lang w:val="en"/>
              </w:rPr>
              <w:lastRenderedPageBreak/>
              <w:t xml:space="preserve">CP Outputs : </w:t>
            </w:r>
          </w:p>
          <w:p w:rsidR="006C3FC8" w:rsidRPr="00514E9D" w:rsidRDefault="006C3FC8" w:rsidP="00514E9D">
            <w:pPr>
              <w:autoSpaceDE w:val="0"/>
              <w:autoSpaceDN w:val="0"/>
              <w:adjustRightInd w:val="0"/>
              <w:spacing w:after="5" w:line="250" w:lineRule="atLeast"/>
              <w:ind w:left="-5" w:hanging="10"/>
              <w:jc w:val="both"/>
              <w:rPr>
                <w:rFonts w:ascii="Calibri" w:hAnsi="Calibri" w:cs="Calibri"/>
                <w:sz w:val="22"/>
                <w:szCs w:val="22"/>
                <w:lang w:val="en"/>
              </w:rPr>
            </w:pPr>
            <w:r w:rsidRPr="00514E9D">
              <w:rPr>
                <w:rFonts w:ascii="Calibri" w:hAnsi="Calibri" w:cs="Calibri"/>
                <w:sz w:val="22"/>
                <w:szCs w:val="22"/>
                <w:lang w:val="en"/>
              </w:rPr>
              <w:t xml:space="preserve">1) Intergovernmental systems, government institutions strengthened to support decentralization for effective service delivery to contribute to recovery processes and long-term development at state and local levels; </w:t>
            </w:r>
          </w:p>
          <w:p w:rsidR="006C3FC8" w:rsidRPr="00514E9D" w:rsidRDefault="006C3FC8" w:rsidP="00514E9D">
            <w:pPr>
              <w:autoSpaceDE w:val="0"/>
              <w:autoSpaceDN w:val="0"/>
              <w:adjustRightInd w:val="0"/>
              <w:spacing w:after="5" w:line="250" w:lineRule="atLeast"/>
              <w:ind w:left="-5" w:hanging="10"/>
              <w:jc w:val="both"/>
              <w:rPr>
                <w:rFonts w:ascii="Calibri" w:hAnsi="Calibri" w:cs="Calibri"/>
                <w:sz w:val="22"/>
                <w:szCs w:val="22"/>
                <w:lang w:val="en"/>
              </w:rPr>
            </w:pPr>
            <w:r w:rsidRPr="00514E9D">
              <w:rPr>
                <w:rFonts w:ascii="Calibri" w:hAnsi="Calibri" w:cs="Calibri"/>
                <w:sz w:val="22"/>
                <w:szCs w:val="22"/>
                <w:lang w:val="en"/>
              </w:rPr>
              <w:t>(2) Public and social accountability mechanisms established to increase effectiveness of public resources allocation, budgets and service delivery for recovery and development;</w:t>
            </w:r>
          </w:p>
          <w:p w:rsidR="004269E3" w:rsidRPr="00514E9D" w:rsidRDefault="006C3FC8" w:rsidP="00514E9D">
            <w:pPr>
              <w:autoSpaceDE w:val="0"/>
              <w:autoSpaceDN w:val="0"/>
              <w:adjustRightInd w:val="0"/>
              <w:spacing w:after="5" w:line="250" w:lineRule="atLeast"/>
              <w:ind w:left="-5" w:hanging="10"/>
              <w:jc w:val="both"/>
              <w:rPr>
                <w:rFonts w:ascii="Calibri" w:hAnsi="Calibri" w:cs="Calibri"/>
                <w:sz w:val="22"/>
                <w:szCs w:val="22"/>
                <w:lang w:val="en"/>
              </w:rPr>
            </w:pPr>
            <w:r w:rsidRPr="00514E9D">
              <w:rPr>
                <w:rFonts w:ascii="Calibri" w:hAnsi="Calibri" w:cs="Calibri"/>
                <w:sz w:val="22"/>
                <w:szCs w:val="22"/>
                <w:lang w:val="en"/>
              </w:rPr>
              <w:t>(3) Electoral cycle and constitution review processes supported to broaden participation of citizens, including key oversight and legislative institutions, media and CSOs in political processes.</w:t>
            </w:r>
          </w:p>
          <w:p w:rsidR="006C3FC8" w:rsidRPr="002A77C6" w:rsidRDefault="006C3FC8" w:rsidP="00514E9D">
            <w:pPr>
              <w:widowControl/>
              <w:autoSpaceDE w:val="0"/>
              <w:autoSpaceDN w:val="0"/>
              <w:adjustRightInd w:val="0"/>
              <w:rPr>
                <w:rFonts w:ascii="Calibri" w:hAnsi="Calibri"/>
                <w:b/>
                <w:sz w:val="22"/>
                <w:szCs w:val="22"/>
              </w:rPr>
            </w:pPr>
          </w:p>
          <w:p w:rsidR="004269E3" w:rsidRPr="002A77C6" w:rsidRDefault="004269E3" w:rsidP="004269E3">
            <w:pPr>
              <w:pStyle w:val="BodyText2"/>
              <w:jc w:val="both"/>
              <w:rPr>
                <w:rFonts w:ascii="Calibri" w:hAnsi="Calibri"/>
                <w:b/>
                <w:bCs/>
                <w:sz w:val="22"/>
                <w:szCs w:val="22"/>
              </w:rPr>
            </w:pPr>
            <w:r w:rsidRPr="002A77C6">
              <w:rPr>
                <w:rFonts w:ascii="Calibri" w:hAnsi="Calibri"/>
                <w:b/>
                <w:bCs/>
                <w:sz w:val="22"/>
                <w:szCs w:val="22"/>
                <w:u w:val="single"/>
              </w:rPr>
              <w:t>Progress and Achievements</w:t>
            </w:r>
            <w:r w:rsidRPr="002A77C6">
              <w:rPr>
                <w:rFonts w:ascii="Calibri" w:hAnsi="Calibri"/>
                <w:b/>
                <w:bCs/>
                <w:sz w:val="22"/>
                <w:szCs w:val="22"/>
              </w:rPr>
              <w:t>:</w:t>
            </w:r>
          </w:p>
          <w:p w:rsidR="004269E3" w:rsidRDefault="004269E3" w:rsidP="004269E3">
            <w:pPr>
              <w:pStyle w:val="NoSpacing"/>
              <w:jc w:val="both"/>
              <w:rPr>
                <w:b/>
                <w:bCs/>
              </w:rPr>
            </w:pPr>
          </w:p>
          <w:p w:rsidR="00753696" w:rsidRDefault="00E76961" w:rsidP="004269E3">
            <w:pPr>
              <w:pStyle w:val="NoSpacing"/>
              <w:jc w:val="both"/>
              <w:rPr>
                <w:rStyle w:val="answertext"/>
              </w:rPr>
            </w:pPr>
            <w:r>
              <w:rPr>
                <w:rStyle w:val="answertext"/>
              </w:rPr>
              <w:t>The</w:t>
            </w:r>
            <w:r w:rsidR="00753696">
              <w:rPr>
                <w:rStyle w:val="answertext"/>
              </w:rPr>
              <w:t xml:space="preserve"> capacities of local governments to plan and delivery basic services is critical for overall development progress. Notoriously underfunded since a number of years in this area, UNDP has nevertheless facilitated better planning, fiscal allocation and delivery of public services to achieve human development and institutional building in Red Sea, Kassel and Geared States. This is evident by the support to strategic planning participatory discussion at locality level in Kassel, and Broadened locality level contribution in the plan in all localities in Geared, Red Sea states. At municipal levels planning units were trained and capacity in effective planning improved. This is evident in the Ministry of Finance in East Sudan (Kassel, Gedaref and Red Sea States) and Darfur (West, East, South, North and Central Darfur states. Revenue analysis was conducted at the level of the five Darfur States and the strategic plans were reviewed and evaluated at the level of the states. Lessons learned were drawn from the evaluations and way forward was set for the next round of the national strategic plans (2017 - 2021). The government counterparts were engaged in all phases of the evaluation process, hence national ownership was emphasized and met. In addition, executive staff at the level of Ministry of Finance and Ministry of Local Governance was trained in project management, financial analysis and data analysis and management in Gedarif and Kassala States, East Sudan. Manuals and operational procedures were developed and produced by the Ministry of finance in Kassala and Red Sea States. Copies of these documents were made available to all staff in the ministries for adherence to the rules and policies. </w:t>
            </w:r>
          </w:p>
          <w:p w:rsidR="00753696" w:rsidRDefault="00753696" w:rsidP="004269E3">
            <w:pPr>
              <w:pStyle w:val="NoSpacing"/>
              <w:jc w:val="both"/>
              <w:rPr>
                <w:b/>
                <w:bCs/>
              </w:rPr>
            </w:pPr>
          </w:p>
          <w:p w:rsidR="00AA2C1E" w:rsidRDefault="00AA2C1E" w:rsidP="004269E3">
            <w:pPr>
              <w:pStyle w:val="NoSpacing"/>
              <w:jc w:val="both"/>
              <w:rPr>
                <w:b/>
                <w:bCs/>
              </w:rPr>
            </w:pPr>
            <w:r w:rsidRPr="002A77C6">
              <w:t>UNDP supported extensive training to a more than 1200 state government employees from finance, accounting and auditing departments and members of civil society organizations. In addition, study tours to Malaysia and Dubai were organized for a selected number of officials such as finance specialists to learn how their equivalent institutions function in other countries.  Furthermore, at both the state and local authority level some 900 employees have been given a training in areas including monitoring and evaluation, procurement, and planning. Communities and NGOs have been involved in devising Local Development Plans at the locality level that include clear objectives and cost calculations. Better planning and careful budgeting has produced results in terms of a clearer and better vision for the future.</w:t>
            </w:r>
          </w:p>
          <w:p w:rsidR="00514E9D" w:rsidRDefault="00514E9D" w:rsidP="004269E3">
            <w:pPr>
              <w:pStyle w:val="NoSpacing"/>
              <w:jc w:val="both"/>
              <w:rPr>
                <w:b/>
                <w:bCs/>
              </w:rPr>
            </w:pPr>
          </w:p>
          <w:p w:rsidR="00AA2C1E" w:rsidRDefault="00AA2C1E" w:rsidP="00AA2C1E">
            <w:pPr>
              <w:pStyle w:val="NoSpacing"/>
              <w:jc w:val="both"/>
            </w:pPr>
            <w:r w:rsidRPr="002A77C6">
              <w:t xml:space="preserve">To strengthen the payroll management and the control of Planning and Local Development fund Management, experts were hired to develop functional requirements for Electronic payroll design and installation. </w:t>
            </w:r>
          </w:p>
          <w:p w:rsidR="00AA2C1E" w:rsidRDefault="00AA2C1E" w:rsidP="00AA2C1E">
            <w:pPr>
              <w:pStyle w:val="NoSpacing"/>
              <w:jc w:val="both"/>
            </w:pPr>
          </w:p>
          <w:p w:rsidR="00AA2C1E" w:rsidRPr="002A77C6" w:rsidRDefault="00AA2C1E" w:rsidP="00AA2C1E">
            <w:pPr>
              <w:jc w:val="both"/>
              <w:rPr>
                <w:rFonts w:ascii="Calibri" w:eastAsia="Calibri" w:hAnsi="Calibri"/>
                <w:sz w:val="22"/>
                <w:szCs w:val="22"/>
              </w:rPr>
            </w:pPr>
            <w:r w:rsidRPr="002A77C6">
              <w:rPr>
                <w:rFonts w:ascii="Calibri" w:eastAsia="Calibri" w:hAnsi="Calibri"/>
                <w:sz w:val="22"/>
                <w:szCs w:val="22"/>
              </w:rPr>
              <w:lastRenderedPageBreak/>
              <w:t>UNDP Sudan has been active in advocacy for anti-corruption. This is mainly represented in the annual Celebrations of the International Anti-Corruption Day (IACD).  For example, in the course of 2013-2015, the celebrations of the IACD 2015 in Sudan witnessed very strong advocacy events, and engagement of policy makers (in 2015 the Chief Justice Inaugurated the Anti-Corruption Forum). Youth have been given the leadership of the events with involvement of academia and local institutions, students, civil society activists, journalist, and the public. Gender representation was remarkable, with women participation of more than fifty per cent in the events. Many articles were published in almost all local newspapers tackling the issues of anti-corruption from different perspectives. These articles covered remarkable number of audiences as the coverage of the printed paper goes across the entire country.</w:t>
            </w:r>
          </w:p>
          <w:p w:rsidR="00AA2C1E" w:rsidRDefault="00AA2C1E" w:rsidP="00AA2C1E">
            <w:pPr>
              <w:pStyle w:val="NoSpacing"/>
              <w:jc w:val="both"/>
            </w:pPr>
          </w:p>
          <w:p w:rsidR="00AA2C1E" w:rsidRDefault="00AA2C1E" w:rsidP="00AA2C1E">
            <w:pPr>
              <w:pStyle w:val="NoSpacing"/>
              <w:jc w:val="both"/>
            </w:pPr>
            <w:r w:rsidRPr="002A77C6">
              <w:t xml:space="preserve">Against these guiding objectives, UNDP Sudan worked with various actors to enhance accountability mechanisms, credibility and build capacities for fighting corruption. UNDP Accountability and Citizens’ Participation strongly led various initiatives and capacity building programmers that resulted in major shifts in the fight against corruption. </w:t>
            </w:r>
          </w:p>
          <w:p w:rsidR="00D2712D" w:rsidRDefault="00D2712D" w:rsidP="00AA2C1E">
            <w:pPr>
              <w:pStyle w:val="NoSpacing"/>
              <w:jc w:val="both"/>
            </w:pPr>
          </w:p>
          <w:p w:rsidR="00D2712D" w:rsidRDefault="00D2712D" w:rsidP="00B21981">
            <w:pPr>
              <w:pStyle w:val="NoSpacing"/>
              <w:jc w:val="both"/>
            </w:pPr>
            <w:r>
              <w:t xml:space="preserve">Trainings for </w:t>
            </w:r>
            <w:r w:rsidRPr="008A782C">
              <w:t xml:space="preserve">Strategic planning councils </w:t>
            </w:r>
            <w:r>
              <w:t>in</w:t>
            </w:r>
            <w:r w:rsidRPr="008A782C">
              <w:t xml:space="preserve"> the three states of </w:t>
            </w:r>
            <w:r w:rsidR="00C5643B">
              <w:t>K</w:t>
            </w:r>
            <w:r w:rsidRPr="008A782C">
              <w:t>assala, Red Sea and South Kordofan to prepare the Strategic Plan 2017-2021</w:t>
            </w:r>
            <w:r>
              <w:t xml:space="preserve"> were conducted</w:t>
            </w:r>
            <w:r w:rsidRPr="008A782C">
              <w:t xml:space="preserve">. </w:t>
            </w:r>
            <w:r w:rsidR="00B21981">
              <w:t xml:space="preserve">In addition to </w:t>
            </w:r>
            <w:r w:rsidRPr="00885A51">
              <w:t>M&amp;E</w:t>
            </w:r>
            <w:r w:rsidR="00B21981">
              <w:t xml:space="preserve"> training</w:t>
            </w:r>
            <w:r w:rsidRPr="00885A51">
              <w:t xml:space="preserve"> aimed at strengthening the capacity of administrative staff to improve monitoring financial policies and legal frameworks for public expenditure management was conducted</w:t>
            </w:r>
          </w:p>
          <w:p w:rsidR="00753696" w:rsidRDefault="00753696" w:rsidP="00AA2C1E">
            <w:pPr>
              <w:pStyle w:val="NoSpacing"/>
              <w:jc w:val="both"/>
            </w:pPr>
          </w:p>
          <w:p w:rsidR="00AA2C1E" w:rsidRDefault="00AA2C1E" w:rsidP="00AA2C1E">
            <w:pPr>
              <w:pStyle w:val="NoSpacing"/>
              <w:jc w:val="both"/>
            </w:pPr>
            <w:r w:rsidRPr="002A77C6">
              <w:t>UNDP Sudan did not support elections through this reporting period, nonetheless, capacity building for the Sudan National Election Commission (NEC) has been extended. Through this engagement</w:t>
            </w:r>
            <w:r>
              <w:t>,</w:t>
            </w:r>
            <w:r w:rsidRPr="002A77C6">
              <w:t xml:space="preserve"> NEC was among the founders of the Arab EMBs Association (Arab Electoral Management Bodies Association) and an active member in all events related to this infant institution. </w:t>
            </w:r>
          </w:p>
          <w:p w:rsidR="00FC1F88" w:rsidRPr="002A77C6" w:rsidRDefault="00FC1F88" w:rsidP="00854EC9">
            <w:pPr>
              <w:pStyle w:val="BodyText2"/>
              <w:jc w:val="both"/>
              <w:rPr>
                <w:rFonts w:ascii="Calibri" w:hAnsi="Calibri"/>
                <w:sz w:val="22"/>
                <w:szCs w:val="22"/>
              </w:rPr>
            </w:pPr>
          </w:p>
        </w:tc>
      </w:tr>
      <w:tr w:rsidR="00411054" w:rsidRPr="002A77C6" w:rsidTr="00514E9D">
        <w:trPr>
          <w:trHeight w:val="980"/>
        </w:trPr>
        <w:tc>
          <w:tcPr>
            <w:tcW w:w="3060" w:type="dxa"/>
            <w:vMerge w:val="restart"/>
            <w:shd w:val="clear" w:color="auto" w:fill="FFFFFF"/>
          </w:tcPr>
          <w:p w:rsidR="00411054" w:rsidRPr="002A77C6" w:rsidRDefault="00411054" w:rsidP="00854EC9">
            <w:pPr>
              <w:pStyle w:val="BodyText2"/>
              <w:jc w:val="both"/>
              <w:rPr>
                <w:rFonts w:ascii="Calibri" w:hAnsi="Calibri"/>
                <w:sz w:val="22"/>
                <w:szCs w:val="22"/>
              </w:rPr>
            </w:pPr>
            <w:r w:rsidRPr="002A77C6">
              <w:rPr>
                <w:rFonts w:ascii="Calibri" w:hAnsi="Calibri"/>
                <w:sz w:val="22"/>
                <w:szCs w:val="22"/>
              </w:rPr>
              <w:lastRenderedPageBreak/>
              <w:t>People in Sudan are protected under an enabling environment that guarantees the rule of law, basic rights and fundamental freedoms</w:t>
            </w:r>
          </w:p>
        </w:tc>
        <w:tc>
          <w:tcPr>
            <w:tcW w:w="2460" w:type="dxa"/>
            <w:gridSpan w:val="3"/>
            <w:tcBorders>
              <w:bottom w:val="single" w:sz="4" w:space="0" w:color="auto"/>
            </w:tcBorders>
            <w:shd w:val="clear" w:color="auto" w:fill="FFFFFF"/>
          </w:tcPr>
          <w:p w:rsidR="00926B77" w:rsidRDefault="00926B77" w:rsidP="00926B77">
            <w:pPr>
              <w:widowControl/>
              <w:jc w:val="both"/>
              <w:rPr>
                <w:rFonts w:ascii="Calibri" w:hAnsi="Calibri"/>
                <w:color w:val="000000"/>
                <w:sz w:val="22"/>
                <w:szCs w:val="22"/>
              </w:rPr>
            </w:pPr>
            <w:r>
              <w:rPr>
                <w:rFonts w:ascii="Calibri" w:hAnsi="Calibri"/>
                <w:color w:val="000000"/>
                <w:sz w:val="22"/>
                <w:szCs w:val="22"/>
              </w:rPr>
              <w:t xml:space="preserve">8,438,388 </w:t>
            </w:r>
          </w:p>
          <w:p w:rsidR="00411054" w:rsidRPr="002A77C6" w:rsidRDefault="00411054"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FA1392" w:rsidRPr="001D0996" w:rsidRDefault="00FA1392" w:rsidP="000C5544">
            <w:pPr>
              <w:rPr>
                <w:rFonts w:ascii="Calibri" w:hAnsi="Calibri"/>
                <w:b/>
                <w:sz w:val="22"/>
                <w:szCs w:val="22"/>
              </w:rPr>
            </w:pPr>
            <w:r w:rsidRPr="001D0996">
              <w:rPr>
                <w:rFonts w:ascii="Calibri" w:hAnsi="Calibri"/>
                <w:b/>
                <w:sz w:val="22"/>
                <w:szCs w:val="22"/>
              </w:rPr>
              <w:t>Indicator 1:</w:t>
            </w:r>
          </w:p>
          <w:p w:rsidR="00FA1392" w:rsidRDefault="00FA1392" w:rsidP="000C5544">
            <w:pPr>
              <w:rPr>
                <w:rFonts w:ascii="Calibri" w:hAnsi="Calibri"/>
                <w:sz w:val="22"/>
                <w:szCs w:val="22"/>
              </w:rPr>
            </w:pPr>
            <w:r w:rsidRPr="00FA1392">
              <w:rPr>
                <w:rFonts w:ascii="Calibri" w:hAnsi="Calibri"/>
                <w:sz w:val="22"/>
                <w:szCs w:val="22"/>
              </w:rPr>
              <w:t xml:space="preserve">Number of justice institutions per 100,000 residents in selected states, disaggregated by type of institutions </w:t>
            </w:r>
          </w:p>
          <w:p w:rsidR="00FA1392" w:rsidRDefault="00FA1392" w:rsidP="000C5544">
            <w:pPr>
              <w:rPr>
                <w:rFonts w:ascii="Calibri" w:hAnsi="Calibri"/>
                <w:sz w:val="22"/>
                <w:szCs w:val="22"/>
              </w:rPr>
            </w:pPr>
          </w:p>
          <w:p w:rsidR="00FA1392" w:rsidRDefault="00FA1392" w:rsidP="000C5544">
            <w:pPr>
              <w:rPr>
                <w:rFonts w:ascii="Calibri" w:hAnsi="Calibri"/>
                <w:sz w:val="22"/>
                <w:szCs w:val="22"/>
              </w:rPr>
            </w:pPr>
            <w:r w:rsidRPr="001D0996">
              <w:rPr>
                <w:rFonts w:ascii="Calibri" w:hAnsi="Calibri"/>
                <w:b/>
                <w:sz w:val="22"/>
                <w:szCs w:val="22"/>
              </w:rPr>
              <w:t>Baseline:</w:t>
            </w:r>
            <w:r w:rsidRPr="00FA1392">
              <w:rPr>
                <w:rFonts w:ascii="Calibri" w:hAnsi="Calibri"/>
                <w:sz w:val="22"/>
                <w:szCs w:val="22"/>
              </w:rPr>
              <w:t xml:space="preserve"> Kassala (police stations 5.41/100,000, courts 2.47/100,000); South Kordofan (police stations 6.96/100,000, courts 1.92/100,000); West Darfur (police stations 1.9</w:t>
            </w:r>
            <w:r>
              <w:rPr>
                <w:rFonts w:ascii="Calibri" w:hAnsi="Calibri"/>
                <w:sz w:val="22"/>
                <w:szCs w:val="22"/>
              </w:rPr>
              <w:t xml:space="preserve">/100,000, courts 2.36/100,000) </w:t>
            </w:r>
          </w:p>
          <w:p w:rsidR="00FA1392" w:rsidRDefault="00FA1392" w:rsidP="000C5544">
            <w:pPr>
              <w:rPr>
                <w:rFonts w:ascii="Calibri" w:hAnsi="Calibri"/>
                <w:sz w:val="22"/>
                <w:szCs w:val="22"/>
              </w:rPr>
            </w:pPr>
          </w:p>
          <w:p w:rsidR="001D0996" w:rsidRDefault="00FA1392" w:rsidP="000C5544">
            <w:pPr>
              <w:rPr>
                <w:rFonts w:ascii="Calibri" w:hAnsi="Calibri"/>
                <w:sz w:val="22"/>
                <w:szCs w:val="22"/>
              </w:rPr>
            </w:pPr>
            <w:r w:rsidRPr="001D0996">
              <w:rPr>
                <w:rFonts w:ascii="Calibri" w:hAnsi="Calibri"/>
                <w:b/>
                <w:sz w:val="22"/>
                <w:szCs w:val="22"/>
              </w:rPr>
              <w:t>Target:</w:t>
            </w:r>
            <w:r w:rsidRPr="00FA1392">
              <w:rPr>
                <w:rFonts w:ascii="Calibri" w:hAnsi="Calibri"/>
                <w:sz w:val="22"/>
                <w:szCs w:val="22"/>
              </w:rPr>
              <w:t xml:space="preserve"> </w:t>
            </w:r>
          </w:p>
          <w:p w:rsidR="001D0996" w:rsidRDefault="00FA1392" w:rsidP="000C5544">
            <w:pPr>
              <w:rPr>
                <w:rFonts w:ascii="Calibri" w:hAnsi="Calibri"/>
                <w:sz w:val="22"/>
                <w:szCs w:val="22"/>
              </w:rPr>
            </w:pPr>
            <w:r w:rsidRPr="00FA1392">
              <w:rPr>
                <w:rFonts w:ascii="Calibri" w:hAnsi="Calibri"/>
                <w:sz w:val="22"/>
                <w:szCs w:val="22"/>
              </w:rPr>
              <w:t xml:space="preserve">Kassala (police stations 6/100,000, </w:t>
            </w:r>
            <w:r w:rsidRPr="00FA1392">
              <w:rPr>
                <w:rFonts w:ascii="Calibri" w:hAnsi="Calibri"/>
                <w:sz w:val="22"/>
                <w:szCs w:val="22"/>
              </w:rPr>
              <w:lastRenderedPageBreak/>
              <w:t xml:space="preserve">courts 5/100,000); </w:t>
            </w:r>
          </w:p>
          <w:p w:rsidR="001D0996" w:rsidRDefault="00FA1392" w:rsidP="000C5544">
            <w:pPr>
              <w:rPr>
                <w:rFonts w:ascii="Calibri" w:hAnsi="Calibri"/>
                <w:sz w:val="22"/>
                <w:szCs w:val="22"/>
              </w:rPr>
            </w:pPr>
            <w:r w:rsidRPr="00FA1392">
              <w:rPr>
                <w:rFonts w:ascii="Calibri" w:hAnsi="Calibri"/>
                <w:sz w:val="22"/>
                <w:szCs w:val="22"/>
              </w:rPr>
              <w:t xml:space="preserve">South Kordofan (police stations 8/100,000, courts 4/100,000); </w:t>
            </w:r>
          </w:p>
          <w:p w:rsidR="00411054" w:rsidRPr="00FA1392" w:rsidRDefault="00FA1392" w:rsidP="000C5544">
            <w:pPr>
              <w:rPr>
                <w:rFonts w:ascii="Myriad Pro" w:hAnsi="Myriad Pro"/>
                <w:bCs/>
                <w:sz w:val="20"/>
                <w:szCs w:val="22"/>
              </w:rPr>
            </w:pPr>
            <w:r w:rsidRPr="00FA1392">
              <w:rPr>
                <w:rFonts w:ascii="Calibri" w:hAnsi="Calibri"/>
                <w:sz w:val="22"/>
                <w:szCs w:val="22"/>
              </w:rPr>
              <w:t>West Darfur (police stations 5/100,000, courts 4/100,000).</w:t>
            </w:r>
          </w:p>
        </w:tc>
        <w:tc>
          <w:tcPr>
            <w:tcW w:w="4935" w:type="dxa"/>
            <w:tcBorders>
              <w:bottom w:val="single" w:sz="4" w:space="0" w:color="auto"/>
            </w:tcBorders>
            <w:shd w:val="clear" w:color="auto" w:fill="FFFFFF"/>
          </w:tcPr>
          <w:p w:rsidR="001D0996" w:rsidRDefault="00730636" w:rsidP="00730636">
            <w:pPr>
              <w:pStyle w:val="BodyText2"/>
              <w:jc w:val="both"/>
              <w:rPr>
                <w:rFonts w:ascii="Calibri" w:hAnsi="Calibri"/>
                <w:sz w:val="22"/>
                <w:szCs w:val="22"/>
              </w:rPr>
            </w:pPr>
            <w:r w:rsidRPr="00FA1392">
              <w:rPr>
                <w:rFonts w:ascii="Calibri" w:hAnsi="Calibri"/>
                <w:sz w:val="22"/>
                <w:szCs w:val="22"/>
              </w:rPr>
              <w:lastRenderedPageBreak/>
              <w:t xml:space="preserve">Kassala (police stations 6/100,000, courts </w:t>
            </w:r>
            <w:r>
              <w:rPr>
                <w:rFonts w:ascii="Calibri" w:hAnsi="Calibri"/>
                <w:sz w:val="22"/>
                <w:szCs w:val="22"/>
              </w:rPr>
              <w:t>4</w:t>
            </w:r>
            <w:r w:rsidRPr="00FA1392">
              <w:rPr>
                <w:rFonts w:ascii="Calibri" w:hAnsi="Calibri"/>
                <w:sz w:val="22"/>
                <w:szCs w:val="22"/>
              </w:rPr>
              <w:t xml:space="preserve">/100,000); </w:t>
            </w:r>
          </w:p>
          <w:p w:rsidR="001D0996" w:rsidRDefault="00730636" w:rsidP="00730636">
            <w:pPr>
              <w:pStyle w:val="BodyText2"/>
              <w:jc w:val="both"/>
              <w:rPr>
                <w:rFonts w:ascii="Calibri" w:hAnsi="Calibri"/>
                <w:sz w:val="22"/>
                <w:szCs w:val="22"/>
              </w:rPr>
            </w:pPr>
            <w:r w:rsidRPr="00FA1392">
              <w:rPr>
                <w:rFonts w:ascii="Calibri" w:hAnsi="Calibri"/>
                <w:sz w:val="22"/>
                <w:szCs w:val="22"/>
              </w:rPr>
              <w:t xml:space="preserve">South Kordofan (police stations </w:t>
            </w:r>
            <w:r>
              <w:rPr>
                <w:rFonts w:ascii="Calibri" w:hAnsi="Calibri"/>
                <w:sz w:val="22"/>
                <w:szCs w:val="22"/>
              </w:rPr>
              <w:t>7</w:t>
            </w:r>
            <w:r w:rsidRPr="00FA1392">
              <w:rPr>
                <w:rFonts w:ascii="Calibri" w:hAnsi="Calibri"/>
                <w:sz w:val="22"/>
                <w:szCs w:val="22"/>
              </w:rPr>
              <w:t xml:space="preserve">/100,000, courts 4/100,000); </w:t>
            </w:r>
          </w:p>
          <w:p w:rsidR="00411054" w:rsidRPr="002A77C6" w:rsidRDefault="00730636" w:rsidP="00730636">
            <w:pPr>
              <w:pStyle w:val="BodyText2"/>
              <w:jc w:val="both"/>
              <w:rPr>
                <w:rFonts w:ascii="Calibri" w:hAnsi="Calibri"/>
                <w:sz w:val="22"/>
                <w:szCs w:val="22"/>
              </w:rPr>
            </w:pPr>
            <w:r w:rsidRPr="00FA1392">
              <w:rPr>
                <w:rFonts w:ascii="Calibri" w:hAnsi="Calibri"/>
                <w:sz w:val="22"/>
                <w:szCs w:val="22"/>
              </w:rPr>
              <w:t>West Darfur (police stations 5/100,000, courts 4/100,000).</w:t>
            </w:r>
          </w:p>
        </w:tc>
      </w:tr>
      <w:tr w:rsidR="00FA1392" w:rsidRPr="002A77C6" w:rsidTr="00854EC9">
        <w:trPr>
          <w:trHeight w:val="600"/>
        </w:trPr>
        <w:tc>
          <w:tcPr>
            <w:tcW w:w="3060" w:type="dxa"/>
            <w:vMerge/>
            <w:shd w:val="clear" w:color="auto" w:fill="FFFFFF"/>
          </w:tcPr>
          <w:p w:rsidR="00FA1392" w:rsidRPr="002A77C6" w:rsidRDefault="00FA1392" w:rsidP="00854EC9">
            <w:pPr>
              <w:pStyle w:val="BodyText2"/>
              <w:jc w:val="both"/>
              <w:rPr>
                <w:rFonts w:ascii="Calibri" w:hAnsi="Calibri"/>
                <w:b/>
                <w:bCs/>
                <w:sz w:val="22"/>
                <w:szCs w:val="22"/>
              </w:rPr>
            </w:pPr>
          </w:p>
        </w:tc>
        <w:tc>
          <w:tcPr>
            <w:tcW w:w="2460" w:type="dxa"/>
            <w:gridSpan w:val="3"/>
            <w:tcBorders>
              <w:bottom w:val="single" w:sz="4" w:space="0" w:color="auto"/>
            </w:tcBorders>
            <w:shd w:val="clear" w:color="auto" w:fill="FFFFFF"/>
          </w:tcPr>
          <w:p w:rsidR="00FA1392" w:rsidRPr="002A77C6" w:rsidRDefault="00FA1392"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FA1392" w:rsidRPr="004269E3" w:rsidRDefault="00FA1392" w:rsidP="000C5544">
            <w:pPr>
              <w:rPr>
                <w:rFonts w:ascii="Calibri" w:hAnsi="Calibri"/>
                <w:b/>
                <w:sz w:val="22"/>
                <w:szCs w:val="22"/>
              </w:rPr>
            </w:pPr>
            <w:r w:rsidRPr="004269E3">
              <w:rPr>
                <w:rFonts w:ascii="Calibri" w:hAnsi="Calibri"/>
                <w:b/>
                <w:sz w:val="22"/>
                <w:szCs w:val="22"/>
              </w:rPr>
              <w:t xml:space="preserve">Indicator </w:t>
            </w:r>
            <w:r w:rsidR="00730636" w:rsidRPr="004269E3">
              <w:rPr>
                <w:rFonts w:ascii="Calibri" w:hAnsi="Calibri"/>
                <w:b/>
                <w:sz w:val="22"/>
                <w:szCs w:val="22"/>
              </w:rPr>
              <w:t>2</w:t>
            </w:r>
            <w:r w:rsidRPr="004269E3">
              <w:rPr>
                <w:rFonts w:ascii="Calibri" w:hAnsi="Calibri"/>
                <w:b/>
                <w:sz w:val="22"/>
                <w:szCs w:val="22"/>
              </w:rPr>
              <w:t>:</w:t>
            </w:r>
          </w:p>
          <w:p w:rsidR="00FA1392" w:rsidRDefault="00FA1392" w:rsidP="000C5544">
            <w:pPr>
              <w:rPr>
                <w:rFonts w:ascii="Calibri" w:hAnsi="Calibri"/>
                <w:sz w:val="22"/>
                <w:szCs w:val="22"/>
              </w:rPr>
            </w:pPr>
            <w:r w:rsidRPr="002A77C6">
              <w:rPr>
                <w:rFonts w:ascii="Calibri" w:hAnsi="Calibri"/>
                <w:sz w:val="22"/>
                <w:szCs w:val="22"/>
              </w:rPr>
              <w:t xml:space="preserve">Number of laws and policies in the governance sector (e.g., Anti-Corruption Law, National Security Act, Evidence Act, etc.) reviewed or endorsed in line with international standards </w:t>
            </w:r>
          </w:p>
          <w:p w:rsidR="00FA1392" w:rsidRPr="002A77C6" w:rsidRDefault="00FA1392" w:rsidP="000C5544">
            <w:pPr>
              <w:rPr>
                <w:rFonts w:ascii="Calibri" w:hAnsi="Calibri"/>
                <w:sz w:val="22"/>
                <w:szCs w:val="22"/>
              </w:rPr>
            </w:pPr>
          </w:p>
          <w:p w:rsidR="00FA1392" w:rsidRPr="002A77C6" w:rsidRDefault="00FA1392" w:rsidP="000C5544">
            <w:pPr>
              <w:rPr>
                <w:rFonts w:ascii="Calibri" w:hAnsi="Calibri"/>
                <w:sz w:val="22"/>
                <w:szCs w:val="22"/>
              </w:rPr>
            </w:pPr>
            <w:r w:rsidRPr="004269E3">
              <w:rPr>
                <w:rFonts w:ascii="Calibri" w:hAnsi="Calibri"/>
                <w:b/>
                <w:sz w:val="22"/>
                <w:szCs w:val="22"/>
              </w:rPr>
              <w:t>Baseline:</w:t>
            </w:r>
            <w:r w:rsidRPr="002A77C6">
              <w:rPr>
                <w:rFonts w:ascii="Calibri" w:hAnsi="Calibri"/>
                <w:sz w:val="22"/>
                <w:szCs w:val="22"/>
              </w:rPr>
              <w:t xml:space="preserve"> 3 laws in 2012</w:t>
            </w:r>
          </w:p>
          <w:p w:rsidR="00FA1392" w:rsidRPr="002A77C6" w:rsidRDefault="00FA1392" w:rsidP="000C5544">
            <w:pPr>
              <w:rPr>
                <w:rFonts w:ascii="Calibri" w:hAnsi="Calibri"/>
                <w:sz w:val="22"/>
                <w:szCs w:val="22"/>
              </w:rPr>
            </w:pPr>
          </w:p>
          <w:p w:rsidR="00FA1392" w:rsidRPr="002A77C6" w:rsidRDefault="00FA1392" w:rsidP="000C5544">
            <w:pPr>
              <w:rPr>
                <w:rFonts w:ascii="Calibri" w:hAnsi="Calibri"/>
                <w:sz w:val="22"/>
                <w:szCs w:val="22"/>
              </w:rPr>
            </w:pPr>
            <w:r w:rsidRPr="004269E3">
              <w:rPr>
                <w:rFonts w:ascii="Calibri" w:hAnsi="Calibri"/>
                <w:b/>
                <w:sz w:val="22"/>
                <w:szCs w:val="22"/>
              </w:rPr>
              <w:t>Target:</w:t>
            </w:r>
            <w:r w:rsidRPr="002A77C6">
              <w:rPr>
                <w:rFonts w:ascii="Calibri" w:hAnsi="Calibri"/>
                <w:sz w:val="22"/>
                <w:szCs w:val="22"/>
              </w:rPr>
              <w:t xml:space="preserve"> 5 laws in 2016</w:t>
            </w:r>
          </w:p>
        </w:tc>
        <w:tc>
          <w:tcPr>
            <w:tcW w:w="4935" w:type="dxa"/>
            <w:tcBorders>
              <w:bottom w:val="single" w:sz="4" w:space="0" w:color="auto"/>
            </w:tcBorders>
            <w:shd w:val="clear" w:color="auto" w:fill="FFFFFF"/>
          </w:tcPr>
          <w:p w:rsidR="006A1D3B" w:rsidRDefault="006A1D3B" w:rsidP="00E022E1">
            <w:pPr>
              <w:pStyle w:val="BodyText2"/>
              <w:jc w:val="both"/>
              <w:rPr>
                <w:rFonts w:ascii="Calibri" w:hAnsi="Calibri"/>
                <w:sz w:val="22"/>
                <w:szCs w:val="22"/>
              </w:rPr>
            </w:pPr>
            <w:r>
              <w:rPr>
                <w:rFonts w:ascii="Calibri" w:hAnsi="Calibri"/>
                <w:sz w:val="22"/>
                <w:szCs w:val="22"/>
              </w:rPr>
              <w:t>Five</w:t>
            </w:r>
            <w:r w:rsidR="00E022E1">
              <w:rPr>
                <w:rFonts w:ascii="Calibri" w:hAnsi="Calibri"/>
                <w:sz w:val="22"/>
                <w:szCs w:val="22"/>
              </w:rPr>
              <w:t xml:space="preserve"> Laws. </w:t>
            </w:r>
          </w:p>
          <w:p w:rsidR="00FA1392" w:rsidRPr="002A77C6" w:rsidRDefault="00E022E1" w:rsidP="00E022E1">
            <w:pPr>
              <w:pStyle w:val="BodyText2"/>
              <w:jc w:val="both"/>
              <w:rPr>
                <w:rFonts w:ascii="Calibri" w:hAnsi="Calibri"/>
                <w:sz w:val="22"/>
                <w:szCs w:val="22"/>
              </w:rPr>
            </w:pPr>
            <w:r>
              <w:rPr>
                <w:rFonts w:ascii="Calibri" w:hAnsi="Calibri"/>
                <w:sz w:val="22"/>
                <w:szCs w:val="22"/>
              </w:rPr>
              <w:t xml:space="preserve">The </w:t>
            </w:r>
            <w:r w:rsidR="00FA1392" w:rsidRPr="002A77C6">
              <w:rPr>
                <w:rFonts w:ascii="Calibri" w:hAnsi="Calibri"/>
                <w:sz w:val="22"/>
                <w:szCs w:val="22"/>
              </w:rPr>
              <w:t>Ministry of Justice established a National Committee on Anti-Trafficking with representation from various concerned line ministries in Sudan. National Human Rights Commission Structure. Amendment of Criminal Act to criminalize sexual harassment.</w:t>
            </w:r>
          </w:p>
        </w:tc>
      </w:tr>
      <w:tr w:rsidR="00411054" w:rsidRPr="002A77C6" w:rsidTr="00854EC9">
        <w:tc>
          <w:tcPr>
            <w:tcW w:w="3060" w:type="dxa"/>
            <w:vMerge/>
            <w:tcBorders>
              <w:bottom w:val="single" w:sz="4" w:space="0" w:color="auto"/>
            </w:tcBorders>
            <w:shd w:val="clear" w:color="auto" w:fill="FFFFFF"/>
          </w:tcPr>
          <w:p w:rsidR="00411054" w:rsidRPr="002A77C6" w:rsidRDefault="00411054" w:rsidP="00854EC9">
            <w:pPr>
              <w:pStyle w:val="BodyText2"/>
              <w:jc w:val="both"/>
              <w:rPr>
                <w:rFonts w:ascii="Calibri" w:hAnsi="Calibri"/>
                <w:sz w:val="22"/>
                <w:szCs w:val="22"/>
              </w:rPr>
            </w:pPr>
          </w:p>
        </w:tc>
        <w:tc>
          <w:tcPr>
            <w:tcW w:w="2460" w:type="dxa"/>
            <w:gridSpan w:val="3"/>
            <w:tcBorders>
              <w:bottom w:val="single" w:sz="4" w:space="0" w:color="auto"/>
            </w:tcBorders>
            <w:shd w:val="clear" w:color="auto" w:fill="FFFFFF"/>
          </w:tcPr>
          <w:p w:rsidR="00411054" w:rsidRPr="002A77C6" w:rsidRDefault="00411054" w:rsidP="00854EC9">
            <w:pPr>
              <w:pStyle w:val="BodyText2"/>
              <w:jc w:val="both"/>
              <w:rPr>
                <w:rFonts w:ascii="Calibri" w:hAnsi="Calibri"/>
                <w:sz w:val="22"/>
                <w:szCs w:val="22"/>
              </w:rPr>
            </w:pPr>
          </w:p>
        </w:tc>
        <w:tc>
          <w:tcPr>
            <w:tcW w:w="3585" w:type="dxa"/>
            <w:gridSpan w:val="2"/>
            <w:tcBorders>
              <w:bottom w:val="single" w:sz="4" w:space="0" w:color="auto"/>
            </w:tcBorders>
            <w:shd w:val="clear" w:color="auto" w:fill="FFFFFF"/>
          </w:tcPr>
          <w:p w:rsidR="00411054" w:rsidRPr="004269E3" w:rsidRDefault="00411054" w:rsidP="000C5544">
            <w:pPr>
              <w:rPr>
                <w:rFonts w:ascii="Calibri" w:hAnsi="Calibri"/>
                <w:b/>
                <w:sz w:val="22"/>
                <w:szCs w:val="22"/>
              </w:rPr>
            </w:pPr>
            <w:r w:rsidRPr="004269E3">
              <w:rPr>
                <w:rFonts w:ascii="Calibri" w:hAnsi="Calibri"/>
                <w:b/>
                <w:sz w:val="22"/>
                <w:szCs w:val="22"/>
              </w:rPr>
              <w:t xml:space="preserve">Indicator </w:t>
            </w:r>
            <w:r w:rsidR="00730636" w:rsidRPr="004269E3">
              <w:rPr>
                <w:rFonts w:ascii="Calibri" w:hAnsi="Calibri"/>
                <w:b/>
                <w:sz w:val="22"/>
                <w:szCs w:val="22"/>
              </w:rPr>
              <w:t>3</w:t>
            </w:r>
            <w:r w:rsidRPr="004269E3">
              <w:rPr>
                <w:rFonts w:ascii="Calibri" w:hAnsi="Calibri"/>
                <w:b/>
                <w:sz w:val="22"/>
                <w:szCs w:val="22"/>
              </w:rPr>
              <w:t>:</w:t>
            </w:r>
          </w:p>
          <w:p w:rsidR="00411054" w:rsidRDefault="00411054" w:rsidP="000C5544">
            <w:pPr>
              <w:rPr>
                <w:rFonts w:ascii="Calibri" w:hAnsi="Calibri"/>
                <w:sz w:val="22"/>
                <w:szCs w:val="22"/>
              </w:rPr>
            </w:pPr>
            <w:r w:rsidRPr="002A77C6">
              <w:rPr>
                <w:rFonts w:ascii="Calibri" w:hAnsi="Calibri"/>
                <w:sz w:val="22"/>
                <w:szCs w:val="22"/>
              </w:rPr>
              <w:t>% of people expressing high confidence in national and state rule of law</w:t>
            </w:r>
          </w:p>
          <w:p w:rsidR="004269E3" w:rsidRPr="002A77C6" w:rsidRDefault="004269E3" w:rsidP="000C5544">
            <w:pPr>
              <w:rPr>
                <w:rFonts w:ascii="Calibri" w:hAnsi="Calibri"/>
                <w:sz w:val="22"/>
                <w:szCs w:val="22"/>
              </w:rPr>
            </w:pPr>
          </w:p>
          <w:p w:rsidR="00411054" w:rsidRPr="002A77C6" w:rsidRDefault="00411054" w:rsidP="000C5544">
            <w:pPr>
              <w:rPr>
                <w:rFonts w:ascii="Calibri" w:hAnsi="Calibri"/>
                <w:sz w:val="22"/>
                <w:szCs w:val="22"/>
              </w:rPr>
            </w:pPr>
            <w:r w:rsidRPr="004269E3">
              <w:rPr>
                <w:rFonts w:ascii="Calibri" w:hAnsi="Calibri"/>
                <w:b/>
                <w:sz w:val="22"/>
                <w:szCs w:val="22"/>
              </w:rPr>
              <w:t>Baseline:</w:t>
            </w:r>
            <w:r w:rsidR="00D73651" w:rsidRPr="002A77C6">
              <w:rPr>
                <w:rFonts w:ascii="Calibri" w:hAnsi="Calibri"/>
                <w:sz w:val="22"/>
                <w:szCs w:val="22"/>
              </w:rPr>
              <w:t xml:space="preserve"> 46% report high confidence overall; 40% women report high confidence</w:t>
            </w:r>
          </w:p>
          <w:p w:rsidR="00411054" w:rsidRPr="002A77C6" w:rsidRDefault="00411054" w:rsidP="000C5544">
            <w:pPr>
              <w:rPr>
                <w:rFonts w:ascii="Calibri" w:hAnsi="Calibri"/>
                <w:sz w:val="22"/>
                <w:szCs w:val="22"/>
              </w:rPr>
            </w:pPr>
          </w:p>
          <w:p w:rsidR="00411054" w:rsidRPr="002A77C6" w:rsidRDefault="00411054" w:rsidP="000C5544">
            <w:pPr>
              <w:rPr>
                <w:rFonts w:ascii="Calibri" w:hAnsi="Calibri"/>
                <w:sz w:val="22"/>
                <w:szCs w:val="22"/>
              </w:rPr>
            </w:pPr>
            <w:r w:rsidRPr="004269E3">
              <w:rPr>
                <w:rFonts w:ascii="Calibri" w:hAnsi="Calibri"/>
                <w:b/>
                <w:sz w:val="22"/>
                <w:szCs w:val="22"/>
              </w:rPr>
              <w:t>Target:</w:t>
            </w:r>
            <w:r w:rsidRPr="002A77C6">
              <w:rPr>
                <w:rFonts w:ascii="Calibri" w:hAnsi="Calibri"/>
                <w:sz w:val="22"/>
                <w:szCs w:val="22"/>
              </w:rPr>
              <w:t xml:space="preserve"> </w:t>
            </w:r>
            <w:r w:rsidR="00D73651" w:rsidRPr="002A77C6">
              <w:rPr>
                <w:rFonts w:ascii="Calibri" w:hAnsi="Calibri"/>
                <w:sz w:val="22"/>
                <w:szCs w:val="22"/>
              </w:rPr>
              <w:t>60% report high confidence overall; 50% women report high confidence</w:t>
            </w:r>
          </w:p>
        </w:tc>
        <w:tc>
          <w:tcPr>
            <w:tcW w:w="4935" w:type="dxa"/>
            <w:tcBorders>
              <w:bottom w:val="single" w:sz="4" w:space="0" w:color="auto"/>
            </w:tcBorders>
            <w:shd w:val="clear" w:color="auto" w:fill="FFFFFF"/>
          </w:tcPr>
          <w:p w:rsidR="00411054" w:rsidRPr="002A77C6" w:rsidRDefault="00730636" w:rsidP="00854EC9">
            <w:pPr>
              <w:pStyle w:val="BodyText2"/>
              <w:jc w:val="both"/>
              <w:rPr>
                <w:rFonts w:ascii="Calibri" w:hAnsi="Calibri"/>
                <w:sz w:val="22"/>
                <w:szCs w:val="22"/>
              </w:rPr>
            </w:pPr>
            <w:r>
              <w:rPr>
                <w:rFonts w:ascii="Calibri" w:hAnsi="Calibri"/>
                <w:sz w:val="22"/>
                <w:szCs w:val="22"/>
              </w:rPr>
              <w:t xml:space="preserve">No data  </w:t>
            </w:r>
          </w:p>
        </w:tc>
      </w:tr>
      <w:tr w:rsidR="00411054" w:rsidRPr="002A77C6" w:rsidTr="00854EC9">
        <w:trPr>
          <w:trHeight w:val="547"/>
        </w:trPr>
        <w:tc>
          <w:tcPr>
            <w:tcW w:w="14040" w:type="dxa"/>
            <w:gridSpan w:val="7"/>
            <w:shd w:val="clear" w:color="auto" w:fill="FFFFFF"/>
          </w:tcPr>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t>UNDP Contribution:</w:t>
            </w:r>
          </w:p>
          <w:p w:rsidR="00514E9D" w:rsidRDefault="00411054" w:rsidP="00854EC9">
            <w:pPr>
              <w:pStyle w:val="BodyText2"/>
              <w:jc w:val="both"/>
              <w:rPr>
                <w:rFonts w:ascii="Calibri" w:hAnsi="Calibri"/>
                <w:sz w:val="22"/>
                <w:szCs w:val="22"/>
              </w:rPr>
            </w:pPr>
            <w:r w:rsidRPr="002A77C6">
              <w:rPr>
                <w:rFonts w:ascii="Calibri" w:hAnsi="Calibri"/>
                <w:sz w:val="22"/>
                <w:szCs w:val="22"/>
              </w:rPr>
              <w:t>The UNDP Country Programme mainly focused on supporting and working directly with the government on issues related local governance, accountability and anti-corruption, democratic processes, access to justice and promoting human rights.</w:t>
            </w:r>
          </w:p>
          <w:p w:rsidR="00514E9D" w:rsidRDefault="00514E9D" w:rsidP="00854EC9">
            <w:pPr>
              <w:pStyle w:val="BodyText2"/>
              <w:jc w:val="both"/>
              <w:rPr>
                <w:rFonts w:ascii="Calibri" w:hAnsi="Calibri"/>
                <w:sz w:val="22"/>
                <w:szCs w:val="22"/>
              </w:rPr>
            </w:pPr>
          </w:p>
          <w:p w:rsidR="00514E9D" w:rsidRPr="00AA2C1E" w:rsidRDefault="00514E9D" w:rsidP="00854EC9">
            <w:pPr>
              <w:pStyle w:val="BodyText2"/>
              <w:jc w:val="both"/>
              <w:rPr>
                <w:rFonts w:ascii="Calibri" w:hAnsi="Calibri"/>
                <w:b/>
                <w:sz w:val="22"/>
                <w:szCs w:val="22"/>
                <w:u w:val="single"/>
              </w:rPr>
            </w:pPr>
            <w:r w:rsidRPr="00AA2C1E">
              <w:rPr>
                <w:rFonts w:ascii="Calibri" w:hAnsi="Calibri"/>
                <w:b/>
                <w:sz w:val="22"/>
                <w:szCs w:val="22"/>
                <w:u w:val="single"/>
              </w:rPr>
              <w:t>CP Outputs :</w:t>
            </w:r>
          </w:p>
          <w:p w:rsidR="00514E9D" w:rsidRPr="00514E9D" w:rsidRDefault="00514E9D" w:rsidP="00514E9D">
            <w:pPr>
              <w:pStyle w:val="BodyText2"/>
              <w:jc w:val="both"/>
              <w:rPr>
                <w:rFonts w:ascii="Calibri" w:hAnsi="Calibri"/>
                <w:sz w:val="22"/>
                <w:szCs w:val="22"/>
              </w:rPr>
            </w:pPr>
            <w:r w:rsidRPr="00514E9D">
              <w:rPr>
                <w:rFonts w:ascii="Calibri" w:hAnsi="Calibri"/>
                <w:sz w:val="22"/>
                <w:szCs w:val="22"/>
              </w:rPr>
              <w:lastRenderedPageBreak/>
              <w:t xml:space="preserve">(1) Justice institutions including customary and traditional justice and security systems at state/local level equipped to provide effective, equitable and timely justice/protection services in line with international standards. </w:t>
            </w:r>
          </w:p>
          <w:p w:rsidR="00514E9D" w:rsidRPr="00514E9D" w:rsidRDefault="00514E9D" w:rsidP="00514E9D">
            <w:pPr>
              <w:pStyle w:val="BodyText2"/>
              <w:jc w:val="both"/>
              <w:rPr>
                <w:rFonts w:ascii="Calibri" w:hAnsi="Calibri"/>
                <w:sz w:val="22"/>
                <w:szCs w:val="22"/>
              </w:rPr>
            </w:pPr>
            <w:r w:rsidRPr="00514E9D">
              <w:rPr>
                <w:rFonts w:ascii="Calibri" w:hAnsi="Calibri"/>
                <w:sz w:val="22"/>
                <w:szCs w:val="22"/>
              </w:rPr>
              <w:t xml:space="preserve">(2) Availability of legal aid facilities meeting needs of marginalized and vulnerable populations increased to strengthen protection of basic rights, equal access to justice for all. </w:t>
            </w:r>
          </w:p>
          <w:p w:rsidR="00411054" w:rsidRPr="00514E9D" w:rsidRDefault="00514E9D" w:rsidP="00514E9D">
            <w:pPr>
              <w:pStyle w:val="BodyText2"/>
              <w:jc w:val="both"/>
              <w:rPr>
                <w:rFonts w:ascii="Calibri" w:hAnsi="Calibri"/>
                <w:sz w:val="22"/>
                <w:szCs w:val="22"/>
              </w:rPr>
            </w:pPr>
            <w:r w:rsidRPr="00514E9D">
              <w:rPr>
                <w:rFonts w:ascii="Calibri" w:hAnsi="Calibri"/>
                <w:sz w:val="22"/>
                <w:szCs w:val="22"/>
              </w:rPr>
              <w:t>(3) VAW addressed through legal advocacy, paralegal services, judicial reform and awareness raising within police, judiciary and traditional leadership.</w:t>
            </w:r>
            <w:r w:rsidR="00411054" w:rsidRPr="002A77C6">
              <w:rPr>
                <w:rFonts w:ascii="Calibri" w:hAnsi="Calibri"/>
                <w:sz w:val="22"/>
                <w:szCs w:val="22"/>
              </w:rPr>
              <w:t xml:space="preserve"> </w:t>
            </w:r>
          </w:p>
          <w:p w:rsidR="00411054" w:rsidRPr="002A77C6" w:rsidRDefault="00411054" w:rsidP="00854EC9">
            <w:pPr>
              <w:pStyle w:val="BodyText2"/>
              <w:jc w:val="both"/>
              <w:rPr>
                <w:rFonts w:ascii="Calibri" w:hAnsi="Calibri"/>
                <w:b/>
                <w:sz w:val="22"/>
                <w:szCs w:val="22"/>
              </w:rPr>
            </w:pPr>
          </w:p>
          <w:p w:rsidR="00411054" w:rsidRPr="002A77C6" w:rsidRDefault="00411054" w:rsidP="00854EC9">
            <w:pPr>
              <w:pStyle w:val="BodyText2"/>
              <w:jc w:val="both"/>
              <w:rPr>
                <w:rFonts w:ascii="Calibri" w:hAnsi="Calibri"/>
                <w:b/>
                <w:bCs/>
                <w:sz w:val="22"/>
                <w:szCs w:val="22"/>
              </w:rPr>
            </w:pPr>
            <w:r w:rsidRPr="002A77C6">
              <w:rPr>
                <w:rFonts w:ascii="Calibri" w:hAnsi="Calibri"/>
                <w:b/>
                <w:bCs/>
                <w:sz w:val="22"/>
                <w:szCs w:val="22"/>
                <w:u w:val="single"/>
              </w:rPr>
              <w:t>Progress and Achievements</w:t>
            </w:r>
            <w:r w:rsidRPr="002A77C6">
              <w:rPr>
                <w:rFonts w:ascii="Calibri" w:hAnsi="Calibri"/>
                <w:b/>
                <w:bCs/>
                <w:sz w:val="22"/>
                <w:szCs w:val="22"/>
              </w:rPr>
              <w:t>:</w:t>
            </w:r>
          </w:p>
          <w:p w:rsidR="00411054" w:rsidRPr="002A77C6" w:rsidRDefault="00411054" w:rsidP="00854EC9">
            <w:pPr>
              <w:pStyle w:val="NoSpacing"/>
              <w:jc w:val="both"/>
              <w:rPr>
                <w:b/>
                <w:bCs/>
              </w:rPr>
            </w:pPr>
          </w:p>
          <w:p w:rsidR="00411054" w:rsidRPr="002A77C6" w:rsidRDefault="00411054" w:rsidP="00854EC9">
            <w:pPr>
              <w:pStyle w:val="NoSpacing"/>
              <w:jc w:val="both"/>
            </w:pPr>
            <w:r w:rsidRPr="002A77C6">
              <w:t xml:space="preserve">Through, access to Justice and Confidence Building in Eastern Sudan and the Darfur Region, UNDP has supported the setting up of 7 Justice and Confidence </w:t>
            </w:r>
            <w:r w:rsidR="0096563E" w:rsidRPr="002A77C6">
              <w:t>Centers</w:t>
            </w:r>
            <w:r w:rsidRPr="002A77C6">
              <w:t xml:space="preserve"> (JCCs) at camps for those internally displaced by conflict. These </w:t>
            </w:r>
            <w:r w:rsidR="0096563E" w:rsidRPr="002A77C6">
              <w:t>centers</w:t>
            </w:r>
            <w:r w:rsidRPr="002A77C6">
              <w:t xml:space="preserve">, run by paralegal groups, helped more than 250 people in 2012 that would otherwise not have had access to justice.  Groups receiving UNDP micro-capital grants to run non-state legal networks, have helped a further 265 people during 2013-2015.  These cases have included both criminal cases such as rape, murder and serious violence and also civil cases, including land disputes, which otherwise would never have been brought to justice. </w:t>
            </w:r>
            <w:r w:rsidR="00265ED6">
              <w:t>UNDP</w:t>
            </w:r>
            <w:r w:rsidRPr="002A77C6">
              <w:t xml:space="preserve"> focuses on building the capacity of local officials and traditional leaders to develop and sustain a rule of law culture in eastern Sudan through increasing the availability of legal information and resources on rule of law. </w:t>
            </w:r>
          </w:p>
          <w:p w:rsidR="00411054" w:rsidRPr="002A77C6" w:rsidRDefault="00411054" w:rsidP="00854EC9">
            <w:pPr>
              <w:pStyle w:val="NoSpacing"/>
              <w:jc w:val="both"/>
            </w:pPr>
          </w:p>
          <w:p w:rsidR="00411054" w:rsidRPr="002A77C6" w:rsidRDefault="00411054" w:rsidP="00854EC9">
            <w:pPr>
              <w:pStyle w:val="NoSpacing"/>
              <w:jc w:val="both"/>
            </w:pPr>
            <w:r w:rsidRPr="002A77C6">
              <w:t xml:space="preserve">UNDP worked closely with state authorities to provide training for prison officers and improve conditions in prisons and police stations.  One result of this successful partnership has been private lawyers providing legal aid in Darfur have been granted unfettered access to all state prisons in the region, a development that has been globally recognized. Cases handled included both criminal cases such as rape, murder and serious violence and also civil cases, including land disputes, which otherwise would never have been brought to justice. </w:t>
            </w:r>
          </w:p>
          <w:p w:rsidR="00411054" w:rsidRPr="002A77C6" w:rsidRDefault="00411054" w:rsidP="00854EC9">
            <w:pPr>
              <w:pStyle w:val="NoSpacing"/>
              <w:jc w:val="both"/>
            </w:pPr>
          </w:p>
          <w:p w:rsidR="00411054" w:rsidRPr="002A77C6" w:rsidRDefault="00411054" w:rsidP="00854EC9">
            <w:pPr>
              <w:pStyle w:val="NoSpacing"/>
              <w:jc w:val="both"/>
            </w:pPr>
            <w:r w:rsidRPr="002A77C6">
              <w:t xml:space="preserve">The Justice and Confidence </w:t>
            </w:r>
            <w:r w:rsidR="0096563E" w:rsidRPr="002A77C6">
              <w:t>Centers</w:t>
            </w:r>
            <w:r w:rsidRPr="002A77C6">
              <w:t xml:space="preserve"> (JCC) established within three states of eastern Sudan and handled 1,200 cases (family cases, criminal cases, administrative cases, employment cases, civil cases) over the course of five years and 900 cases were settled successfully. 200 staff paralegals mediated disputes, trained and supported 600 community-based volunteers and 500 traditional leaders at the village level on topics such as basic human rights, property rights, women rights.</w:t>
            </w:r>
          </w:p>
          <w:p w:rsidR="00411054" w:rsidRPr="002A77C6" w:rsidRDefault="00411054" w:rsidP="00854EC9">
            <w:pPr>
              <w:pStyle w:val="NoSpacing"/>
              <w:jc w:val="both"/>
            </w:pPr>
          </w:p>
          <w:p w:rsidR="00411054" w:rsidRDefault="00411054" w:rsidP="00854EC9">
            <w:pPr>
              <w:pStyle w:val="BodyText2"/>
              <w:jc w:val="both"/>
              <w:rPr>
                <w:rFonts w:ascii="Calibri" w:eastAsia="Calibri" w:hAnsi="Calibri"/>
                <w:sz w:val="22"/>
                <w:szCs w:val="22"/>
              </w:rPr>
            </w:pPr>
            <w:r w:rsidRPr="002A77C6">
              <w:rPr>
                <w:rFonts w:ascii="Calibri" w:eastAsia="Calibri" w:hAnsi="Calibri"/>
                <w:b/>
                <w:bCs/>
                <w:i/>
                <w:iCs/>
                <w:sz w:val="22"/>
                <w:szCs w:val="22"/>
              </w:rPr>
              <w:t xml:space="preserve">Human Rights: </w:t>
            </w:r>
            <w:r w:rsidRPr="002A77C6">
              <w:rPr>
                <w:rFonts w:ascii="Calibri" w:eastAsia="Calibri" w:hAnsi="Calibri"/>
                <w:sz w:val="22"/>
                <w:szCs w:val="22"/>
              </w:rPr>
              <w:t>Based on UNDP’s significant experience in supporting NHRIs worldwide, UNDP has exclusively supported the nascent institution providing high-caliber international expertise as well as organizing a number of critical visioning and capacity development activities. The Commission’s organizational structures and strategic plan were developed and endorsed setting the Commission’s priorities for the next four years (2014 – 2018) in terms of institutional and capacity development towards becoming a full-fledged and independent human rights institution. The objective of UNDP’s support is that the Commission eventually becomes a cornerstone within Sudan’s national human rights protection system and to function in compliance with the Paris Principles.</w:t>
            </w:r>
          </w:p>
          <w:p w:rsidR="00192EE9" w:rsidRPr="00D2712D" w:rsidRDefault="00192EE9" w:rsidP="00854EC9">
            <w:pPr>
              <w:pStyle w:val="BodyText2"/>
              <w:jc w:val="both"/>
              <w:rPr>
                <w:rFonts w:ascii="Calibri" w:eastAsia="Calibri" w:hAnsi="Calibri"/>
                <w:sz w:val="22"/>
                <w:szCs w:val="22"/>
              </w:rPr>
            </w:pPr>
          </w:p>
          <w:p w:rsidR="00192EE9" w:rsidRPr="00D2712D" w:rsidRDefault="00192EE9" w:rsidP="00192EE9">
            <w:pPr>
              <w:rPr>
                <w:rFonts w:ascii="Calibri" w:eastAsia="Calibri" w:hAnsi="Calibri"/>
                <w:sz w:val="22"/>
                <w:szCs w:val="22"/>
              </w:rPr>
            </w:pPr>
            <w:r w:rsidRPr="00D2712D">
              <w:rPr>
                <w:rFonts w:ascii="Calibri" w:hAnsi="Calibri"/>
                <w:sz w:val="22"/>
                <w:szCs w:val="22"/>
              </w:rPr>
              <w:t xml:space="preserve">The installation of the Automated Complaint Management System that give access to Sudan citizens to report any human rights violation from across the </w:t>
            </w:r>
            <w:r w:rsidRPr="00D2712D">
              <w:rPr>
                <w:rFonts w:ascii="Calibri" w:hAnsi="Calibri"/>
                <w:sz w:val="22"/>
                <w:szCs w:val="22"/>
              </w:rPr>
              <w:lastRenderedPageBreak/>
              <w:t>country. This online complaint system will ensure confidentiality and rights of the citizens to report any human rights violations. It also ensures transparency and accessibility of information regarding the number of cases filed to the commission and whether they were addressed or not by the concerned parties.</w:t>
            </w:r>
          </w:p>
          <w:p w:rsidR="00AA69E8" w:rsidRPr="002A77C6" w:rsidRDefault="00AA69E8" w:rsidP="00854EC9">
            <w:pPr>
              <w:pStyle w:val="BodyText2"/>
              <w:jc w:val="both"/>
              <w:rPr>
                <w:rFonts w:ascii="Calibri" w:eastAsia="Calibri" w:hAnsi="Calibri"/>
                <w:sz w:val="22"/>
                <w:szCs w:val="22"/>
              </w:rPr>
            </w:pPr>
          </w:p>
        </w:tc>
      </w:tr>
      <w:tr w:rsidR="00411054" w:rsidRPr="002A77C6" w:rsidTr="00854EC9">
        <w:tc>
          <w:tcPr>
            <w:tcW w:w="3150" w:type="dxa"/>
            <w:gridSpan w:val="2"/>
            <w:tcBorders>
              <w:bottom w:val="single" w:sz="4" w:space="0" w:color="auto"/>
            </w:tcBorders>
            <w:shd w:val="clear" w:color="auto" w:fill="FFFFFF"/>
          </w:tcPr>
          <w:p w:rsidR="00411054" w:rsidRPr="00150767" w:rsidRDefault="00411054" w:rsidP="00854EC9">
            <w:pPr>
              <w:pStyle w:val="BodyText2"/>
              <w:jc w:val="both"/>
              <w:rPr>
                <w:rFonts w:ascii="Calibri" w:hAnsi="Calibri"/>
                <w:bCs/>
                <w:sz w:val="22"/>
                <w:szCs w:val="22"/>
              </w:rPr>
            </w:pPr>
            <w:r w:rsidRPr="00150767">
              <w:rPr>
                <w:rFonts w:ascii="Calibri" w:hAnsi="Calibri"/>
                <w:bCs/>
                <w:sz w:val="22"/>
                <w:szCs w:val="22"/>
              </w:rPr>
              <w:lastRenderedPageBreak/>
              <w:t>Government and civil society initiatives that promote social cohesion, peace consolidation and pluralism are strengthened.</w:t>
            </w:r>
          </w:p>
          <w:p w:rsidR="00411054" w:rsidRPr="002A77C6" w:rsidRDefault="00411054" w:rsidP="00854EC9">
            <w:pPr>
              <w:pStyle w:val="BodyText2"/>
              <w:jc w:val="both"/>
              <w:rPr>
                <w:rFonts w:ascii="Calibri" w:hAnsi="Calibri"/>
                <w:b/>
                <w:sz w:val="22"/>
                <w:szCs w:val="22"/>
              </w:rPr>
            </w:pPr>
          </w:p>
        </w:tc>
        <w:tc>
          <w:tcPr>
            <w:tcW w:w="1440" w:type="dxa"/>
            <w:tcBorders>
              <w:bottom w:val="single" w:sz="4" w:space="0" w:color="auto"/>
            </w:tcBorders>
            <w:shd w:val="clear" w:color="auto" w:fill="auto"/>
          </w:tcPr>
          <w:p w:rsidR="00344C68" w:rsidRDefault="00344C68" w:rsidP="00344C68">
            <w:pPr>
              <w:widowControl/>
              <w:jc w:val="both"/>
              <w:rPr>
                <w:rFonts w:ascii="Calibri" w:hAnsi="Calibri"/>
                <w:color w:val="000000"/>
                <w:sz w:val="22"/>
                <w:szCs w:val="22"/>
              </w:rPr>
            </w:pPr>
            <w:r>
              <w:rPr>
                <w:rFonts w:ascii="Calibri" w:hAnsi="Calibri"/>
                <w:color w:val="000000"/>
                <w:sz w:val="22"/>
                <w:szCs w:val="22"/>
              </w:rPr>
              <w:t xml:space="preserve">43,257,668 </w:t>
            </w:r>
          </w:p>
          <w:p w:rsidR="00411054" w:rsidRPr="002A77C6" w:rsidRDefault="00411054" w:rsidP="00854EC9">
            <w:pPr>
              <w:pStyle w:val="BodyText2"/>
              <w:jc w:val="both"/>
              <w:rPr>
                <w:rFonts w:ascii="Calibri" w:hAnsi="Calibri"/>
                <w:sz w:val="22"/>
                <w:szCs w:val="22"/>
              </w:rPr>
            </w:pPr>
          </w:p>
        </w:tc>
        <w:tc>
          <w:tcPr>
            <w:tcW w:w="3960" w:type="dxa"/>
            <w:gridSpan w:val="2"/>
            <w:tcBorders>
              <w:left w:val="single" w:sz="4" w:space="0" w:color="auto"/>
              <w:bottom w:val="single" w:sz="4" w:space="0" w:color="auto"/>
            </w:tcBorders>
          </w:tcPr>
          <w:p w:rsidR="00411054" w:rsidRPr="00AA69E8" w:rsidRDefault="00411054" w:rsidP="00854EC9">
            <w:pPr>
              <w:pStyle w:val="BodyText2"/>
              <w:jc w:val="both"/>
              <w:rPr>
                <w:rFonts w:ascii="Calibri" w:hAnsi="Calibri"/>
                <w:sz w:val="22"/>
                <w:szCs w:val="22"/>
              </w:rPr>
            </w:pPr>
            <w:r w:rsidRPr="00AA69E8">
              <w:rPr>
                <w:rFonts w:ascii="Calibri" w:hAnsi="Calibri"/>
                <w:b/>
                <w:sz w:val="22"/>
                <w:szCs w:val="22"/>
              </w:rPr>
              <w:t>Outcome Indicator 1:</w:t>
            </w:r>
            <w:r w:rsidRPr="00AA69E8">
              <w:rPr>
                <w:rFonts w:ascii="Calibri" w:hAnsi="Calibri"/>
                <w:sz w:val="22"/>
                <w:szCs w:val="22"/>
              </w:rPr>
              <w:t xml:space="preserve"> Number of institutions (Government and civil society, at all levels) established, functional and supported that use gender-responsive conflict analysis, intervention and prevention.</w:t>
            </w:r>
          </w:p>
          <w:p w:rsidR="00273B7B" w:rsidRPr="00AA69E8" w:rsidRDefault="00273B7B" w:rsidP="00854EC9">
            <w:pPr>
              <w:pStyle w:val="BodyText2"/>
              <w:jc w:val="both"/>
              <w:rPr>
                <w:rFonts w:ascii="Calibri" w:hAnsi="Calibri"/>
                <w:sz w:val="22"/>
                <w:szCs w:val="22"/>
              </w:rPr>
            </w:pPr>
          </w:p>
          <w:p w:rsidR="00411054" w:rsidRPr="00AA69E8" w:rsidRDefault="00411054" w:rsidP="00854EC9">
            <w:pPr>
              <w:pStyle w:val="BodyText2"/>
              <w:jc w:val="both"/>
              <w:rPr>
                <w:rFonts w:ascii="Calibri" w:hAnsi="Calibri"/>
                <w:b/>
                <w:sz w:val="22"/>
                <w:szCs w:val="22"/>
              </w:rPr>
            </w:pPr>
            <w:r w:rsidRPr="00AA69E8">
              <w:rPr>
                <w:rFonts w:ascii="Calibri" w:hAnsi="Calibri"/>
                <w:b/>
                <w:sz w:val="22"/>
                <w:szCs w:val="22"/>
              </w:rPr>
              <w:t>Baseline:</w:t>
            </w:r>
          </w:p>
          <w:p w:rsidR="00273B7B" w:rsidRPr="00AA69E8" w:rsidRDefault="00273B7B" w:rsidP="00273B7B">
            <w:pPr>
              <w:pStyle w:val="BodyText2"/>
              <w:jc w:val="both"/>
              <w:rPr>
                <w:rFonts w:ascii="Calibri" w:hAnsi="Calibri"/>
                <w:sz w:val="22"/>
                <w:szCs w:val="22"/>
              </w:rPr>
            </w:pPr>
            <w:r w:rsidRPr="00AA69E8">
              <w:rPr>
                <w:rFonts w:ascii="Calibri" w:hAnsi="Calibri"/>
                <w:sz w:val="22"/>
                <w:szCs w:val="22"/>
              </w:rPr>
              <w:t>2 Government-led conflict resolution mechanisms established and functional (1 South Kordofan, 1 Blue Nile);</w:t>
            </w:r>
          </w:p>
          <w:p w:rsidR="00273B7B" w:rsidRPr="00AA69E8" w:rsidRDefault="00273B7B" w:rsidP="00854EC9">
            <w:pPr>
              <w:pStyle w:val="BodyText2"/>
              <w:jc w:val="both"/>
              <w:rPr>
                <w:rFonts w:ascii="Calibri" w:hAnsi="Calibri"/>
                <w:sz w:val="22"/>
                <w:szCs w:val="22"/>
              </w:rPr>
            </w:pPr>
          </w:p>
          <w:p w:rsidR="00273B7B" w:rsidRDefault="00273B7B" w:rsidP="00854EC9">
            <w:pPr>
              <w:pStyle w:val="BodyText2"/>
              <w:jc w:val="both"/>
              <w:rPr>
                <w:rFonts w:ascii="Calibri" w:hAnsi="Calibri"/>
                <w:sz w:val="22"/>
                <w:szCs w:val="22"/>
              </w:rPr>
            </w:pPr>
            <w:r w:rsidRPr="00AA69E8">
              <w:rPr>
                <w:rFonts w:ascii="Calibri" w:hAnsi="Calibri"/>
                <w:b/>
                <w:sz w:val="22"/>
                <w:szCs w:val="22"/>
              </w:rPr>
              <w:t>Target:</w:t>
            </w:r>
            <w:r w:rsidR="00AA69E8">
              <w:rPr>
                <w:rFonts w:ascii="Calibri" w:hAnsi="Calibri"/>
                <w:sz w:val="22"/>
                <w:szCs w:val="22"/>
              </w:rPr>
              <w:t xml:space="preserve"> </w:t>
            </w:r>
            <w:r w:rsidRPr="00AA69E8">
              <w:rPr>
                <w:rFonts w:ascii="Calibri" w:hAnsi="Calibri"/>
                <w:sz w:val="22"/>
                <w:szCs w:val="22"/>
              </w:rPr>
              <w:t>6</w:t>
            </w:r>
          </w:p>
          <w:p w:rsidR="00AA69E8" w:rsidRDefault="00AA69E8" w:rsidP="00854EC9">
            <w:pPr>
              <w:pStyle w:val="BodyText2"/>
              <w:jc w:val="both"/>
              <w:rPr>
                <w:rFonts w:ascii="Calibri" w:hAnsi="Calibri"/>
                <w:sz w:val="22"/>
                <w:szCs w:val="22"/>
              </w:rPr>
            </w:pPr>
          </w:p>
          <w:p w:rsidR="000C5544" w:rsidRPr="00AA69E8" w:rsidRDefault="000C5544" w:rsidP="00854EC9">
            <w:pPr>
              <w:pStyle w:val="BodyText2"/>
              <w:jc w:val="both"/>
              <w:rPr>
                <w:rFonts w:ascii="Calibri" w:hAnsi="Calibri"/>
                <w:sz w:val="22"/>
                <w:szCs w:val="22"/>
              </w:rPr>
            </w:pPr>
          </w:p>
          <w:p w:rsidR="00411054" w:rsidRPr="00AA69E8" w:rsidRDefault="00411054" w:rsidP="00273B7B">
            <w:pPr>
              <w:pStyle w:val="BodyText2"/>
              <w:jc w:val="both"/>
              <w:rPr>
                <w:rFonts w:ascii="Calibri" w:hAnsi="Calibri"/>
                <w:sz w:val="22"/>
                <w:szCs w:val="22"/>
              </w:rPr>
            </w:pPr>
            <w:r w:rsidRPr="00AA69E8">
              <w:rPr>
                <w:rFonts w:ascii="Calibri" w:hAnsi="Calibri"/>
                <w:sz w:val="22"/>
                <w:szCs w:val="22"/>
              </w:rPr>
              <w:t xml:space="preserve">Indicator </w:t>
            </w:r>
            <w:r w:rsidR="00273B7B" w:rsidRPr="00AA69E8">
              <w:rPr>
                <w:rFonts w:ascii="Calibri" w:hAnsi="Calibri"/>
                <w:sz w:val="22"/>
                <w:szCs w:val="22"/>
              </w:rPr>
              <w:t>2</w:t>
            </w:r>
            <w:r w:rsidRPr="00AA69E8">
              <w:rPr>
                <w:rFonts w:ascii="Calibri" w:hAnsi="Calibri"/>
                <w:sz w:val="22"/>
                <w:szCs w:val="22"/>
              </w:rPr>
              <w:t>: Number of locality-based initiatives that promote peace education/peace culture and cultural rights.</w:t>
            </w:r>
          </w:p>
          <w:p w:rsidR="00411054" w:rsidRPr="00AA69E8" w:rsidRDefault="00411054" w:rsidP="00854EC9">
            <w:pPr>
              <w:pStyle w:val="BodyText2"/>
              <w:jc w:val="both"/>
              <w:rPr>
                <w:rFonts w:ascii="Calibri" w:hAnsi="Calibri"/>
                <w:sz w:val="22"/>
                <w:szCs w:val="22"/>
              </w:rPr>
            </w:pPr>
          </w:p>
          <w:p w:rsidR="00411054" w:rsidRPr="00AA69E8" w:rsidRDefault="00411054" w:rsidP="00854EC9">
            <w:pPr>
              <w:pStyle w:val="BodyText2"/>
              <w:jc w:val="both"/>
              <w:rPr>
                <w:rFonts w:ascii="Calibri" w:hAnsi="Calibri"/>
                <w:b/>
                <w:sz w:val="22"/>
                <w:szCs w:val="22"/>
              </w:rPr>
            </w:pPr>
            <w:r w:rsidRPr="00AA69E8">
              <w:rPr>
                <w:rFonts w:ascii="Calibri" w:hAnsi="Calibri"/>
                <w:b/>
                <w:sz w:val="22"/>
                <w:szCs w:val="22"/>
              </w:rPr>
              <w:t>Baseline:</w:t>
            </w:r>
          </w:p>
          <w:p w:rsidR="00273B7B" w:rsidRPr="00AA69E8" w:rsidRDefault="00273B7B" w:rsidP="00273B7B">
            <w:pPr>
              <w:pStyle w:val="BodyText2"/>
              <w:jc w:val="both"/>
              <w:rPr>
                <w:rFonts w:ascii="Calibri" w:hAnsi="Calibri"/>
                <w:sz w:val="22"/>
                <w:szCs w:val="22"/>
              </w:rPr>
            </w:pPr>
            <w:r w:rsidRPr="00AA69E8">
              <w:rPr>
                <w:rFonts w:ascii="Calibri" w:hAnsi="Calibri"/>
                <w:sz w:val="22"/>
                <w:szCs w:val="22"/>
              </w:rPr>
              <w:t>2 civil society-led peacebuilding initiatives established and functional per year</w:t>
            </w:r>
          </w:p>
          <w:p w:rsidR="00273B7B" w:rsidRPr="00AA69E8" w:rsidRDefault="00273B7B" w:rsidP="00854EC9">
            <w:pPr>
              <w:pStyle w:val="BodyText2"/>
              <w:jc w:val="both"/>
              <w:rPr>
                <w:rFonts w:ascii="Calibri" w:hAnsi="Calibri"/>
                <w:sz w:val="22"/>
                <w:szCs w:val="22"/>
              </w:rPr>
            </w:pPr>
          </w:p>
          <w:p w:rsidR="00411054" w:rsidRPr="00AA69E8" w:rsidRDefault="00411054" w:rsidP="00854EC9">
            <w:pPr>
              <w:pStyle w:val="BodyText2"/>
              <w:jc w:val="both"/>
              <w:rPr>
                <w:rFonts w:ascii="Calibri" w:hAnsi="Calibri"/>
                <w:b/>
                <w:sz w:val="22"/>
                <w:szCs w:val="22"/>
              </w:rPr>
            </w:pPr>
            <w:r w:rsidRPr="00AA69E8">
              <w:rPr>
                <w:rFonts w:ascii="Calibri" w:hAnsi="Calibri"/>
                <w:b/>
                <w:sz w:val="22"/>
                <w:szCs w:val="22"/>
              </w:rPr>
              <w:t>Target:</w:t>
            </w:r>
          </w:p>
          <w:p w:rsidR="00411054" w:rsidRPr="00AA69E8" w:rsidRDefault="00273B7B" w:rsidP="00854EC9">
            <w:pPr>
              <w:pStyle w:val="BodyText2"/>
              <w:jc w:val="both"/>
              <w:rPr>
                <w:rFonts w:ascii="Calibri" w:hAnsi="Calibri"/>
                <w:sz w:val="22"/>
                <w:szCs w:val="22"/>
              </w:rPr>
            </w:pPr>
            <w:r w:rsidRPr="00AA69E8">
              <w:rPr>
                <w:rFonts w:ascii="Calibri" w:hAnsi="Calibri"/>
                <w:sz w:val="22"/>
                <w:szCs w:val="22"/>
              </w:rPr>
              <w:t xml:space="preserve">10 civil society-led peacebuilding initiatives established and functional </w:t>
            </w:r>
          </w:p>
        </w:tc>
        <w:tc>
          <w:tcPr>
            <w:tcW w:w="5490" w:type="dxa"/>
            <w:gridSpan w:val="2"/>
            <w:tcBorders>
              <w:bottom w:val="single" w:sz="4" w:space="0" w:color="auto"/>
            </w:tcBorders>
            <w:shd w:val="clear" w:color="auto" w:fill="auto"/>
          </w:tcPr>
          <w:p w:rsidR="00411054" w:rsidRPr="002A77C6" w:rsidRDefault="00411054" w:rsidP="00854EC9">
            <w:pPr>
              <w:pStyle w:val="BodyText2"/>
              <w:jc w:val="both"/>
              <w:rPr>
                <w:rFonts w:ascii="Calibri" w:hAnsi="Calibri"/>
                <w:b/>
                <w:bCs/>
                <w:iCs/>
                <w:sz w:val="22"/>
                <w:szCs w:val="22"/>
              </w:rPr>
            </w:pPr>
            <w:r w:rsidRPr="002A77C6">
              <w:rPr>
                <w:rFonts w:ascii="Calibri" w:hAnsi="Calibri"/>
                <w:b/>
                <w:bCs/>
                <w:iCs/>
                <w:sz w:val="22"/>
                <w:szCs w:val="22"/>
              </w:rPr>
              <w:t>Indicator 1:</w:t>
            </w:r>
          </w:p>
          <w:p w:rsidR="00411054" w:rsidRPr="002A77C6" w:rsidRDefault="00411054" w:rsidP="00854EC9">
            <w:pPr>
              <w:pStyle w:val="BodyText2"/>
              <w:jc w:val="both"/>
              <w:rPr>
                <w:rFonts w:ascii="Calibri" w:hAnsi="Calibri"/>
                <w:sz w:val="22"/>
                <w:szCs w:val="22"/>
              </w:rPr>
            </w:pPr>
            <w:r w:rsidRPr="002A77C6">
              <w:rPr>
                <w:rFonts w:ascii="Calibri" w:hAnsi="Calibri"/>
                <w:sz w:val="22"/>
                <w:szCs w:val="22"/>
              </w:rPr>
              <w:t>Four peace building mechanisms (Peace councils) are supported and functioning in South Kordofan, Blue Nile, West Kordofan and Darfur</w:t>
            </w: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Cs/>
                <w:sz w:val="22"/>
                <w:szCs w:val="22"/>
              </w:rPr>
            </w:pPr>
          </w:p>
          <w:p w:rsidR="00273B7B" w:rsidRPr="002A77C6" w:rsidRDefault="00273B7B" w:rsidP="00854EC9">
            <w:pPr>
              <w:pStyle w:val="BodyText2"/>
              <w:jc w:val="both"/>
              <w:rPr>
                <w:rFonts w:ascii="Calibri" w:hAnsi="Calibri"/>
                <w:iCs/>
                <w:sz w:val="22"/>
                <w:szCs w:val="22"/>
              </w:rPr>
            </w:pPr>
          </w:p>
          <w:p w:rsidR="00273B7B" w:rsidRPr="002A77C6" w:rsidRDefault="00273B7B" w:rsidP="00854EC9">
            <w:pPr>
              <w:pStyle w:val="BodyText2"/>
              <w:jc w:val="both"/>
              <w:rPr>
                <w:rFonts w:ascii="Calibri" w:hAnsi="Calibri"/>
                <w:iCs/>
                <w:sz w:val="22"/>
                <w:szCs w:val="22"/>
              </w:rPr>
            </w:pPr>
          </w:p>
          <w:p w:rsidR="00273B7B" w:rsidRDefault="00273B7B" w:rsidP="00854EC9">
            <w:pPr>
              <w:pStyle w:val="BodyText2"/>
              <w:jc w:val="both"/>
              <w:rPr>
                <w:rFonts w:ascii="Calibri" w:hAnsi="Calibri"/>
                <w:iCs/>
                <w:sz w:val="22"/>
                <w:szCs w:val="22"/>
              </w:rPr>
            </w:pPr>
          </w:p>
          <w:p w:rsidR="000C5544" w:rsidRPr="002A77C6" w:rsidRDefault="000C5544" w:rsidP="00854EC9">
            <w:pPr>
              <w:pStyle w:val="BodyText2"/>
              <w:jc w:val="both"/>
              <w:rPr>
                <w:rFonts w:ascii="Calibri" w:hAnsi="Calibri"/>
                <w:iCs/>
                <w:sz w:val="22"/>
                <w:szCs w:val="22"/>
              </w:rPr>
            </w:pPr>
          </w:p>
          <w:p w:rsidR="00411054" w:rsidRPr="002A77C6" w:rsidRDefault="00411054" w:rsidP="00F043AF">
            <w:pPr>
              <w:pStyle w:val="BodyText2"/>
              <w:jc w:val="both"/>
              <w:rPr>
                <w:rFonts w:ascii="Calibri" w:hAnsi="Calibri"/>
                <w:b/>
                <w:bCs/>
                <w:iCs/>
                <w:sz w:val="22"/>
                <w:szCs w:val="22"/>
              </w:rPr>
            </w:pPr>
            <w:r w:rsidRPr="002A77C6">
              <w:rPr>
                <w:rFonts w:ascii="Calibri" w:hAnsi="Calibri"/>
                <w:b/>
                <w:bCs/>
                <w:iCs/>
                <w:sz w:val="22"/>
                <w:szCs w:val="22"/>
              </w:rPr>
              <w:t>Indicator 2:</w:t>
            </w:r>
          </w:p>
          <w:p w:rsidR="00411054" w:rsidRPr="002A77C6" w:rsidRDefault="00411054" w:rsidP="00F043AF">
            <w:pPr>
              <w:pStyle w:val="BodyText2"/>
              <w:jc w:val="both"/>
              <w:rPr>
                <w:rFonts w:ascii="Calibri" w:hAnsi="Calibri"/>
                <w:sz w:val="22"/>
                <w:szCs w:val="22"/>
              </w:rPr>
            </w:pPr>
            <w:r w:rsidRPr="002A77C6">
              <w:rPr>
                <w:rFonts w:ascii="Calibri" w:hAnsi="Calibri"/>
                <w:sz w:val="22"/>
                <w:szCs w:val="22"/>
              </w:rPr>
              <w:t xml:space="preserve">Sixteen out of seventeen: During the reporting period </w:t>
            </w:r>
            <w:r w:rsidR="00AA69E8">
              <w:rPr>
                <w:rFonts w:ascii="Calibri" w:hAnsi="Calibri"/>
                <w:sz w:val="22"/>
                <w:szCs w:val="22"/>
              </w:rPr>
              <w:t xml:space="preserve">UNDP </w:t>
            </w:r>
            <w:r w:rsidRPr="002A77C6">
              <w:rPr>
                <w:rFonts w:ascii="Calibri" w:hAnsi="Calibri"/>
                <w:sz w:val="22"/>
                <w:szCs w:val="22"/>
              </w:rPr>
              <w:t>strengthened the engagement at local/community level to mitigate and mediate conflicts, and built resilience against future conflict in host communities impacted by large number of displaced persons. JCRP has had a direct impact on the reduction of conflict levels and flashpoints through the sustainability of 16/17 supported peace processes and three new processes (two in West Kordofan and one in South Kordofan) resulting in peace agreements</w:t>
            </w:r>
          </w:p>
          <w:p w:rsidR="007663DD" w:rsidRPr="002A77C6" w:rsidRDefault="007663DD" w:rsidP="00854EC9">
            <w:pPr>
              <w:pStyle w:val="BodyText2"/>
              <w:jc w:val="both"/>
              <w:rPr>
                <w:rFonts w:ascii="Calibri" w:hAnsi="Calibri"/>
                <w:iCs/>
                <w:sz w:val="22"/>
                <w:szCs w:val="22"/>
              </w:rPr>
            </w:pPr>
          </w:p>
          <w:p w:rsidR="00411054" w:rsidRPr="002A77C6" w:rsidRDefault="0099572E" w:rsidP="00854EC9">
            <w:pPr>
              <w:pStyle w:val="BodyText2"/>
              <w:jc w:val="both"/>
              <w:rPr>
                <w:rFonts w:ascii="Calibri" w:hAnsi="Calibri"/>
                <w:iCs/>
                <w:sz w:val="22"/>
                <w:szCs w:val="22"/>
              </w:rPr>
            </w:pPr>
            <w:r w:rsidRPr="002A77C6">
              <w:rPr>
                <w:rFonts w:ascii="Calibri" w:hAnsi="Calibri"/>
                <w:b/>
                <w:bCs/>
                <w:iCs/>
                <w:sz w:val="22"/>
                <w:szCs w:val="22"/>
              </w:rPr>
              <w:t xml:space="preserve"> </w:t>
            </w:r>
            <w:r w:rsidRPr="002A77C6">
              <w:rPr>
                <w:rFonts w:ascii="Calibri" w:hAnsi="Calibri"/>
                <w:iCs/>
                <w:sz w:val="22"/>
                <w:szCs w:val="22"/>
              </w:rPr>
              <w:t>77</w:t>
            </w:r>
            <w:r w:rsidR="00BF3DB0">
              <w:rPr>
                <w:rFonts w:ascii="Calibri" w:hAnsi="Calibri"/>
                <w:iCs/>
                <w:sz w:val="22"/>
                <w:szCs w:val="22"/>
              </w:rPr>
              <w:t xml:space="preserve"> </w:t>
            </w:r>
            <w:r w:rsidRPr="002A77C6">
              <w:rPr>
                <w:rFonts w:ascii="Calibri" w:hAnsi="Calibri"/>
                <w:iCs/>
                <w:sz w:val="22"/>
                <w:szCs w:val="22"/>
              </w:rPr>
              <w:t xml:space="preserve">community  awareness workshops followed by 25 locality level consultations  involving at least  150-170 (30% </w:t>
            </w:r>
            <w:r w:rsidRPr="002A77C6">
              <w:rPr>
                <w:rFonts w:ascii="Calibri" w:hAnsi="Calibri"/>
                <w:iCs/>
                <w:sz w:val="22"/>
                <w:szCs w:val="22"/>
              </w:rPr>
              <w:lastRenderedPageBreak/>
              <w:t>women) community members in each localities through the Darfur Internal Dialogue platform.</w:t>
            </w:r>
          </w:p>
          <w:p w:rsidR="00411054" w:rsidRPr="002A77C6" w:rsidRDefault="00411054" w:rsidP="00854EC9">
            <w:pPr>
              <w:pStyle w:val="BodyText2"/>
              <w:jc w:val="both"/>
              <w:rPr>
                <w:rFonts w:ascii="Calibri" w:hAnsi="Calibri"/>
                <w:iCs/>
                <w:sz w:val="22"/>
                <w:szCs w:val="22"/>
              </w:rPr>
            </w:pPr>
          </w:p>
          <w:p w:rsidR="00411054" w:rsidRPr="002A77C6" w:rsidRDefault="00411054" w:rsidP="00854EC9">
            <w:pPr>
              <w:pStyle w:val="BodyText2"/>
              <w:jc w:val="both"/>
              <w:rPr>
                <w:rFonts w:ascii="Calibri" w:hAnsi="Calibri"/>
                <w:i/>
                <w:sz w:val="22"/>
                <w:szCs w:val="22"/>
              </w:rPr>
            </w:pPr>
          </w:p>
        </w:tc>
      </w:tr>
      <w:tr w:rsidR="002A77C6" w:rsidRPr="002A77C6" w:rsidTr="00854EC9">
        <w:tc>
          <w:tcPr>
            <w:tcW w:w="14040" w:type="dxa"/>
            <w:gridSpan w:val="7"/>
            <w:shd w:val="clear" w:color="auto" w:fill="FFFFFF"/>
          </w:tcPr>
          <w:p w:rsidR="00411054" w:rsidRPr="002A77C6" w:rsidRDefault="00411054" w:rsidP="00854EC9">
            <w:pPr>
              <w:pStyle w:val="BodyText2"/>
              <w:jc w:val="both"/>
              <w:rPr>
                <w:rFonts w:ascii="Calibri" w:hAnsi="Calibri"/>
                <w:b/>
                <w:sz w:val="22"/>
                <w:szCs w:val="22"/>
              </w:rPr>
            </w:pPr>
            <w:r w:rsidRPr="002A77C6">
              <w:rPr>
                <w:rFonts w:ascii="Calibri" w:hAnsi="Calibri"/>
                <w:b/>
                <w:sz w:val="22"/>
                <w:szCs w:val="22"/>
              </w:rPr>
              <w:lastRenderedPageBreak/>
              <w:t>UNDP Contribution:</w:t>
            </w:r>
          </w:p>
          <w:p w:rsidR="00411054" w:rsidRPr="002A77C6" w:rsidRDefault="00411054" w:rsidP="00854EC9">
            <w:pPr>
              <w:pStyle w:val="BodyText2"/>
              <w:jc w:val="both"/>
              <w:rPr>
                <w:rFonts w:ascii="Calibri" w:hAnsi="Calibri"/>
                <w:sz w:val="22"/>
                <w:szCs w:val="22"/>
              </w:rPr>
            </w:pPr>
          </w:p>
          <w:p w:rsidR="00A51E63" w:rsidRDefault="00753388" w:rsidP="00753388">
            <w:pPr>
              <w:pStyle w:val="BodyText2"/>
              <w:jc w:val="both"/>
              <w:rPr>
                <w:rFonts w:ascii="Calibri" w:hAnsi="Calibri"/>
                <w:sz w:val="22"/>
                <w:szCs w:val="22"/>
                <w:u w:val="single"/>
              </w:rPr>
            </w:pPr>
            <w:r w:rsidRPr="002A77C6">
              <w:rPr>
                <w:rFonts w:ascii="Calibri" w:hAnsi="Calibri"/>
                <w:sz w:val="22"/>
                <w:szCs w:val="22"/>
                <w:u w:val="single"/>
              </w:rPr>
              <w:t xml:space="preserve">CP Outputs: </w:t>
            </w:r>
          </w:p>
          <w:p w:rsidR="00A51E63" w:rsidRPr="000C5544" w:rsidRDefault="00A51E63" w:rsidP="00A51E63">
            <w:pPr>
              <w:pStyle w:val="BodyText2"/>
              <w:jc w:val="both"/>
              <w:rPr>
                <w:rFonts w:ascii="Calibri" w:hAnsi="Calibri"/>
                <w:sz w:val="22"/>
                <w:szCs w:val="22"/>
              </w:rPr>
            </w:pPr>
            <w:r w:rsidRPr="000C5544">
              <w:rPr>
                <w:rFonts w:ascii="Calibri" w:hAnsi="Calibri"/>
                <w:sz w:val="22"/>
                <w:szCs w:val="22"/>
              </w:rPr>
              <w:t xml:space="preserve">(1) Government and community-led peacebuilding initiatives supported to promote stability, inter-communal reconciliation and peaceful coexistence; </w:t>
            </w:r>
          </w:p>
          <w:p w:rsidR="00A51E63" w:rsidRPr="000C5544" w:rsidRDefault="00A51E63" w:rsidP="00A51E63">
            <w:pPr>
              <w:pStyle w:val="BodyText2"/>
              <w:jc w:val="both"/>
              <w:rPr>
                <w:rFonts w:ascii="Calibri" w:hAnsi="Calibri"/>
                <w:sz w:val="22"/>
                <w:szCs w:val="22"/>
              </w:rPr>
            </w:pPr>
            <w:r w:rsidRPr="000C5544">
              <w:rPr>
                <w:rFonts w:ascii="Calibri" w:hAnsi="Calibri"/>
                <w:sz w:val="22"/>
                <w:szCs w:val="22"/>
              </w:rPr>
              <w:t>(2) Capacity established or strengthened at the national, state and local levels to plan and coordinate recovery, address community security and monitor conflict risks.</w:t>
            </w:r>
          </w:p>
          <w:p w:rsidR="00A51E63" w:rsidRDefault="00A51E63" w:rsidP="00753388">
            <w:pPr>
              <w:pStyle w:val="BodyText2"/>
              <w:jc w:val="both"/>
              <w:rPr>
                <w:rFonts w:ascii="Calibri" w:hAnsi="Calibri"/>
                <w:sz w:val="22"/>
                <w:szCs w:val="22"/>
                <w:u w:val="single"/>
              </w:rPr>
            </w:pPr>
          </w:p>
          <w:p w:rsidR="00A51E63" w:rsidRDefault="00A51E63" w:rsidP="00753388">
            <w:pPr>
              <w:pStyle w:val="BodyText2"/>
              <w:jc w:val="both"/>
              <w:rPr>
                <w:rFonts w:ascii="Calibri" w:hAnsi="Calibri"/>
                <w:sz w:val="22"/>
                <w:szCs w:val="22"/>
                <w:u w:val="single"/>
              </w:rPr>
            </w:pPr>
          </w:p>
          <w:p w:rsidR="00753388" w:rsidRPr="002A77C6" w:rsidRDefault="00753388" w:rsidP="00753388">
            <w:pPr>
              <w:pStyle w:val="BodyText2"/>
              <w:jc w:val="both"/>
              <w:rPr>
                <w:rFonts w:ascii="Calibri" w:hAnsi="Calibri"/>
                <w:sz w:val="22"/>
                <w:szCs w:val="22"/>
                <w:u w:val="single"/>
              </w:rPr>
            </w:pPr>
            <w:r w:rsidRPr="002A77C6">
              <w:rPr>
                <w:rFonts w:ascii="Calibri" w:hAnsi="Calibri"/>
                <w:sz w:val="22"/>
                <w:szCs w:val="22"/>
                <w:u w:val="single"/>
              </w:rPr>
              <w:t>Progress and Achievements:</w:t>
            </w:r>
          </w:p>
          <w:p w:rsidR="00A35F09" w:rsidRPr="002A77C6" w:rsidRDefault="00A35F09" w:rsidP="00753388">
            <w:pPr>
              <w:pStyle w:val="BodyText2"/>
              <w:jc w:val="both"/>
              <w:rPr>
                <w:rFonts w:ascii="Calibri" w:hAnsi="Calibri"/>
                <w:sz w:val="22"/>
                <w:szCs w:val="22"/>
                <w:u w:val="single"/>
              </w:rPr>
            </w:pPr>
          </w:p>
          <w:p w:rsidR="00753388" w:rsidRDefault="00753388" w:rsidP="00753388">
            <w:pPr>
              <w:pStyle w:val="BodyText2"/>
              <w:jc w:val="both"/>
              <w:rPr>
                <w:rFonts w:ascii="Calibri" w:hAnsi="Calibri"/>
                <w:sz w:val="22"/>
                <w:szCs w:val="22"/>
              </w:rPr>
            </w:pPr>
            <w:r w:rsidRPr="002A77C6">
              <w:rPr>
                <w:rFonts w:ascii="Calibri" w:hAnsi="Calibri"/>
                <w:sz w:val="22"/>
                <w:szCs w:val="22"/>
              </w:rPr>
              <w:t>Despite the overall increase in conflict drivers and an on-going access issues in conflict-affected regions of Darfur, Blue Nile and South Kordofan during this reporting period, UNDP managed to facilitate negotiation of local peace processes, supported capacity development of traditional, government, and civil society-led peace building mechanisms that contributed in promotion of community social cohesion, resilience, and stabilization. Interventions have helped strengthening institutions and structures at both State and community levels that created and sustained peaceful societies. They have also helped in enhancing community resilience not to relapse into violent conflicts.</w:t>
            </w:r>
          </w:p>
          <w:p w:rsidR="00A51E63" w:rsidRPr="002A77C6" w:rsidRDefault="00A51E63" w:rsidP="00753388">
            <w:pPr>
              <w:pStyle w:val="BodyText2"/>
              <w:jc w:val="both"/>
              <w:rPr>
                <w:rFonts w:ascii="Calibri" w:hAnsi="Calibri"/>
                <w:sz w:val="22"/>
                <w:szCs w:val="22"/>
              </w:rPr>
            </w:pPr>
          </w:p>
          <w:p w:rsidR="00753388" w:rsidRDefault="00753388" w:rsidP="00753388">
            <w:pPr>
              <w:pStyle w:val="BodyText2"/>
              <w:jc w:val="both"/>
              <w:rPr>
                <w:rFonts w:ascii="Calibri" w:hAnsi="Calibri"/>
                <w:sz w:val="22"/>
                <w:szCs w:val="22"/>
              </w:rPr>
            </w:pPr>
            <w:r w:rsidRPr="002A77C6">
              <w:rPr>
                <w:rFonts w:ascii="Calibri" w:hAnsi="Calibri"/>
                <w:sz w:val="22"/>
                <w:szCs w:val="22"/>
              </w:rPr>
              <w:t>Through the J</w:t>
            </w:r>
            <w:r w:rsidR="00A51E63">
              <w:rPr>
                <w:rFonts w:ascii="Calibri" w:hAnsi="Calibri"/>
                <w:sz w:val="22"/>
                <w:szCs w:val="22"/>
              </w:rPr>
              <w:t xml:space="preserve">oint </w:t>
            </w:r>
            <w:r w:rsidRPr="002A77C6">
              <w:rPr>
                <w:rFonts w:ascii="Calibri" w:hAnsi="Calibri"/>
                <w:sz w:val="22"/>
                <w:szCs w:val="22"/>
              </w:rPr>
              <w:t>C</w:t>
            </w:r>
            <w:r w:rsidR="00A51E63">
              <w:rPr>
                <w:rFonts w:ascii="Calibri" w:hAnsi="Calibri"/>
                <w:sz w:val="22"/>
                <w:szCs w:val="22"/>
              </w:rPr>
              <w:t xml:space="preserve">onflict </w:t>
            </w:r>
            <w:r w:rsidRPr="002A77C6">
              <w:rPr>
                <w:rFonts w:ascii="Calibri" w:hAnsi="Calibri"/>
                <w:sz w:val="22"/>
                <w:szCs w:val="22"/>
              </w:rPr>
              <w:t>R</w:t>
            </w:r>
            <w:r w:rsidR="00A51E63">
              <w:rPr>
                <w:rFonts w:ascii="Calibri" w:hAnsi="Calibri"/>
                <w:sz w:val="22"/>
                <w:szCs w:val="22"/>
              </w:rPr>
              <w:t xml:space="preserve">eduction </w:t>
            </w:r>
            <w:r w:rsidRPr="002A77C6">
              <w:rPr>
                <w:rFonts w:ascii="Calibri" w:hAnsi="Calibri"/>
                <w:sz w:val="22"/>
                <w:szCs w:val="22"/>
              </w:rPr>
              <w:t>P</w:t>
            </w:r>
            <w:r w:rsidR="00A51E63">
              <w:rPr>
                <w:rFonts w:ascii="Calibri" w:hAnsi="Calibri"/>
                <w:sz w:val="22"/>
                <w:szCs w:val="22"/>
              </w:rPr>
              <w:t>rogramme (JCRP)</w:t>
            </w:r>
            <w:r w:rsidRPr="002A77C6">
              <w:rPr>
                <w:rFonts w:ascii="Calibri" w:hAnsi="Calibri"/>
                <w:sz w:val="22"/>
                <w:szCs w:val="22"/>
              </w:rPr>
              <w:t xml:space="preserve">, UNDP Sudan strengthened the capacities of three State-level peacebuilding institutions to address and mitigate local conflicts in the States bordering South Sudan. </w:t>
            </w:r>
          </w:p>
          <w:p w:rsidR="00753388" w:rsidRPr="002A77C6" w:rsidRDefault="00753388" w:rsidP="00753388">
            <w:pPr>
              <w:pStyle w:val="BodyText2"/>
              <w:jc w:val="both"/>
              <w:rPr>
                <w:rFonts w:ascii="Calibri" w:hAnsi="Calibri"/>
                <w:sz w:val="22"/>
                <w:szCs w:val="22"/>
              </w:rPr>
            </w:pP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Since 2009, UNDP’s conflict reduction </w:t>
            </w:r>
            <w:r w:rsidR="0096563E" w:rsidRPr="002A77C6">
              <w:rPr>
                <w:rFonts w:ascii="Calibri" w:hAnsi="Calibri"/>
                <w:sz w:val="22"/>
                <w:szCs w:val="22"/>
              </w:rPr>
              <w:t>Programme</w:t>
            </w:r>
            <w:r w:rsidRPr="002A77C6">
              <w:rPr>
                <w:rFonts w:ascii="Calibri" w:hAnsi="Calibri"/>
                <w:sz w:val="22"/>
                <w:szCs w:val="22"/>
              </w:rPr>
              <w:t xml:space="preserve"> has been working to build the capacity of government-led and community institutions to resolve conflict at the local level by providing technical and financial peace dividends’ support that will result in sustained local peace processes and strengthened community resilience to withstand future conflicts, and lead to fostering social cohesion, peace and pluralism across Sudan. In 2012, </w:t>
            </w:r>
            <w:r w:rsidR="00265ED6">
              <w:rPr>
                <w:rFonts w:ascii="Calibri" w:hAnsi="Calibri"/>
                <w:sz w:val="22"/>
                <w:szCs w:val="22"/>
              </w:rPr>
              <w:t>UNDP</w:t>
            </w:r>
            <w:r w:rsidRPr="002A77C6">
              <w:rPr>
                <w:rFonts w:ascii="Calibri" w:hAnsi="Calibri"/>
                <w:sz w:val="22"/>
                <w:szCs w:val="22"/>
              </w:rPr>
              <w:t xml:space="preserve"> scaled-up its support to conflict resolution initiatives and peace dividend application in South Kordofan, Blue Nile and Abyei, joining hands with IOM in a joint initiative (JCRP) building on the experience and comparative advantage of both organizations in the area of conflict prevention, peace building and grant management.  </w:t>
            </w:r>
          </w:p>
          <w:p w:rsidR="00753388" w:rsidRPr="002A77C6" w:rsidRDefault="00753388" w:rsidP="00753388">
            <w:pPr>
              <w:pStyle w:val="BodyText2"/>
              <w:jc w:val="both"/>
              <w:rPr>
                <w:rFonts w:ascii="Calibri" w:hAnsi="Calibri"/>
                <w:sz w:val="22"/>
                <w:szCs w:val="22"/>
              </w:rPr>
            </w:pP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The JCRP aimed at strengthening government and community-led peace building initiatives, strengthening community resilience and delivery of peace dividends to consolidate peace agreements. JCRP made significant achievements over the last three years in strengthening government and civil society initiatives that promote social cohesion. Key achievements include brokering 6 inter-community peace agreements that are still respected up to now.  </w:t>
            </w: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 </w:t>
            </w: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lastRenderedPageBreak/>
              <w:t xml:space="preserve">The capacity of the Peace Council (PC) in Blue Nile State as well as community level peace builders, Native Administration and other civil society actors to carry out peace building activities has been enhanced, with their work in turn contributing to the building of community resilience to conflict. This is evidenced in that 16 out of 17 JCRP peace processes continued to hold for more than 12 months according to reports provided by key stakeholders including State Peace building mechanisms and despite ongoing state-level conflicts. The capacity of the Reconciliation and Peaceful Co-existence Mechanism prior to its replacement with the newly formed Social Peace building and Peaceful Coexistence Committee (SPPCC) and the Blue Nile Peace Council greatly increased, as evidenced by their growing ability to effectively lead and implement peace building activities, with the need for JCRP support gradually decreasing over time. The PC, with support of JCRP was instrumental in establishing 27 local level peace committees along the migratory routes in. These local level institutions are increasingly playing an important role in resolving local level conflicts. The PC advised that the number of disputes between farmers and pastoralists reported to police have dropped from around 400-500 each harvest season to less than 30 in the recent harvest season.  JCRP supported 17 peace processes, with 16 of these continuing to hold. More CSOs are applying Do No Harm and Conflict Sensitivity principles in their work as a result of trainings provided by JCRP, with positive peace building impacts on local communities. </w:t>
            </w: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 </w:t>
            </w: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A major achievement was the brokering of 6 inter-community peace agreements that are still respected up to date. </w:t>
            </w:r>
          </w:p>
          <w:p w:rsidR="00753388" w:rsidRPr="002A77C6" w:rsidRDefault="00753388" w:rsidP="00753388">
            <w:pPr>
              <w:pStyle w:val="BodyText2"/>
              <w:jc w:val="both"/>
              <w:rPr>
                <w:rFonts w:ascii="Calibri" w:hAnsi="Calibri"/>
                <w:sz w:val="22"/>
                <w:szCs w:val="22"/>
              </w:rPr>
            </w:pP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Despite the overall increased conflict dynamics in Darfur and the southern states, UNDP managed to promote and stabilize local peace processes, build capacities of traditional, government, civil society-led peace building mechanisms and strengthen resilience of conflict affected communities. Even though some IDPs made efforts to return to their villages of origin, many do not settle in as permanent returnees due to the lack of basic services and livelihood opportunities in the return areas. By the end of 2014, community reintegration and recovery efforts resulted in improved resilience to violence despite ongoing conflict in the region, 15 additional communities were supported to improve their livelihoods through the provision of agricultural and income generation skills and access to temporal employment and production. </w:t>
            </w:r>
          </w:p>
          <w:p w:rsidR="00753388" w:rsidRPr="002A77C6" w:rsidRDefault="00753388" w:rsidP="00753388">
            <w:pPr>
              <w:pStyle w:val="BodyText2"/>
              <w:jc w:val="both"/>
              <w:rPr>
                <w:rFonts w:ascii="Calibri" w:hAnsi="Calibri"/>
                <w:sz w:val="22"/>
                <w:szCs w:val="22"/>
              </w:rPr>
            </w:pP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Tracer surveys and community perception surveys were conducted in B</w:t>
            </w:r>
            <w:r w:rsidR="00A51E63">
              <w:rPr>
                <w:rFonts w:ascii="Calibri" w:hAnsi="Calibri"/>
                <w:sz w:val="22"/>
                <w:szCs w:val="22"/>
              </w:rPr>
              <w:t xml:space="preserve">lue </w:t>
            </w:r>
            <w:r w:rsidRPr="002A77C6">
              <w:rPr>
                <w:rFonts w:ascii="Calibri" w:hAnsi="Calibri"/>
                <w:sz w:val="22"/>
                <w:szCs w:val="22"/>
              </w:rPr>
              <w:t>N</w:t>
            </w:r>
            <w:r w:rsidR="00A51E63">
              <w:rPr>
                <w:rFonts w:ascii="Calibri" w:hAnsi="Calibri"/>
                <w:sz w:val="22"/>
                <w:szCs w:val="22"/>
              </w:rPr>
              <w:t>ile</w:t>
            </w:r>
            <w:r w:rsidRPr="002A77C6">
              <w:rPr>
                <w:rFonts w:ascii="Calibri" w:hAnsi="Calibri"/>
                <w:sz w:val="22"/>
                <w:szCs w:val="22"/>
              </w:rPr>
              <w:t>, S</w:t>
            </w:r>
            <w:r w:rsidR="00A51E63">
              <w:rPr>
                <w:rFonts w:ascii="Calibri" w:hAnsi="Calibri"/>
                <w:sz w:val="22"/>
                <w:szCs w:val="22"/>
              </w:rPr>
              <w:t xml:space="preserve">outh </w:t>
            </w:r>
            <w:r w:rsidRPr="002A77C6">
              <w:rPr>
                <w:rFonts w:ascii="Calibri" w:hAnsi="Calibri"/>
                <w:sz w:val="22"/>
                <w:szCs w:val="22"/>
              </w:rPr>
              <w:t>K</w:t>
            </w:r>
            <w:r w:rsidR="00A51E63">
              <w:rPr>
                <w:rFonts w:ascii="Calibri" w:hAnsi="Calibri"/>
                <w:sz w:val="22"/>
                <w:szCs w:val="22"/>
              </w:rPr>
              <w:t>ordofan</w:t>
            </w:r>
            <w:r w:rsidRPr="002A77C6">
              <w:rPr>
                <w:rFonts w:ascii="Calibri" w:hAnsi="Calibri"/>
                <w:sz w:val="22"/>
                <w:szCs w:val="22"/>
              </w:rPr>
              <w:t xml:space="preserve">, and the Central Sector of the Darfur region under UNAMID reflected positive feedback from beneficiaries and communities. Surveys validated that there is an alternative to fighting and demonstrates tangible peace dividends for communities.  Previously due to the absence of a law enforcement body, many theft and violence cases were reported. The presence of an operating police station has already succeeded in deterring crime and improving security. </w:t>
            </w:r>
          </w:p>
          <w:p w:rsidR="00753388" w:rsidRPr="002A77C6" w:rsidRDefault="00753388" w:rsidP="00753388">
            <w:pPr>
              <w:pStyle w:val="BodyText2"/>
              <w:jc w:val="both"/>
              <w:rPr>
                <w:rFonts w:ascii="Calibri" w:hAnsi="Calibri"/>
                <w:sz w:val="22"/>
                <w:szCs w:val="22"/>
              </w:rPr>
            </w:pPr>
          </w:p>
          <w:p w:rsidR="00753388" w:rsidRPr="002A77C6" w:rsidRDefault="00753388" w:rsidP="00753388">
            <w:pPr>
              <w:pStyle w:val="BodyText2"/>
              <w:jc w:val="both"/>
              <w:rPr>
                <w:rFonts w:ascii="Calibri" w:hAnsi="Calibri"/>
                <w:sz w:val="22"/>
                <w:szCs w:val="22"/>
              </w:rPr>
            </w:pPr>
            <w:r w:rsidRPr="002A77C6">
              <w:rPr>
                <w:rFonts w:ascii="Calibri" w:hAnsi="Calibri"/>
                <w:sz w:val="22"/>
                <w:szCs w:val="22"/>
              </w:rPr>
              <w:t xml:space="preserve">The JCRP was built on the back of lessons learnt from the DDR </w:t>
            </w:r>
            <w:r w:rsidR="0096563E" w:rsidRPr="002A77C6">
              <w:rPr>
                <w:rFonts w:ascii="Calibri" w:hAnsi="Calibri"/>
                <w:sz w:val="22"/>
                <w:szCs w:val="22"/>
              </w:rPr>
              <w:t>Programme</w:t>
            </w:r>
            <w:r w:rsidRPr="002A77C6">
              <w:rPr>
                <w:rFonts w:ascii="Calibri" w:hAnsi="Calibri"/>
                <w:sz w:val="22"/>
                <w:szCs w:val="22"/>
              </w:rPr>
              <w:t xml:space="preserve">. Approximately 72% (26,112) out of the 36,251 demobilized fighters (approximately 17% women) received reintegration support. Community reintegration and recovery efforts progressed and continue to see improved resilience despite ongoing conflict in the region, throughout the start of 2014.  </w:t>
            </w:r>
          </w:p>
          <w:p w:rsidR="00753388" w:rsidRPr="002A77C6" w:rsidRDefault="00753388" w:rsidP="00753388">
            <w:pPr>
              <w:pStyle w:val="BodyText2"/>
              <w:jc w:val="both"/>
              <w:rPr>
                <w:rFonts w:ascii="Calibri" w:hAnsi="Calibri"/>
                <w:sz w:val="22"/>
                <w:szCs w:val="22"/>
              </w:rPr>
            </w:pPr>
          </w:p>
          <w:p w:rsidR="00411054" w:rsidRPr="002A77C6" w:rsidRDefault="00753388" w:rsidP="00F043AF">
            <w:pPr>
              <w:pStyle w:val="BodyText2"/>
              <w:jc w:val="both"/>
              <w:rPr>
                <w:rFonts w:ascii="Calibri" w:hAnsi="Calibri"/>
                <w:sz w:val="22"/>
                <w:szCs w:val="22"/>
              </w:rPr>
            </w:pPr>
            <w:r w:rsidRPr="002A77C6">
              <w:rPr>
                <w:rFonts w:ascii="Calibri" w:hAnsi="Calibri"/>
                <w:sz w:val="22"/>
                <w:szCs w:val="22"/>
              </w:rPr>
              <w:t>The Darfur Community Peace and Stability Fund</w:t>
            </w:r>
            <w:r w:rsidR="00A51E63">
              <w:rPr>
                <w:rFonts w:ascii="Calibri" w:hAnsi="Calibri"/>
                <w:sz w:val="22"/>
                <w:szCs w:val="22"/>
              </w:rPr>
              <w:t xml:space="preserve"> (DCPSF)</w:t>
            </w:r>
            <w:r w:rsidRPr="002A77C6">
              <w:rPr>
                <w:rFonts w:ascii="Calibri" w:hAnsi="Calibri"/>
                <w:sz w:val="22"/>
                <w:szCs w:val="22"/>
              </w:rPr>
              <w:t>, a multi-donor pooled fund, continued to support the strengthening of community cohesion in Darfur. Now in Phase II, the Fund supports the creation and strengthening of community-level reconciliation mechanisms (CBRMs) in Darfur, and provides livelihoods and natural resource management support. From 2013-2015</w:t>
            </w:r>
            <w:r w:rsidR="00C466FF" w:rsidRPr="002A77C6">
              <w:rPr>
                <w:rFonts w:ascii="Calibri" w:hAnsi="Calibri"/>
                <w:sz w:val="22"/>
                <w:szCs w:val="22"/>
              </w:rPr>
              <w:t>, 382</w:t>
            </w:r>
            <w:r w:rsidRPr="002A77C6">
              <w:rPr>
                <w:rFonts w:ascii="Calibri" w:hAnsi="Calibri"/>
                <w:sz w:val="22"/>
                <w:szCs w:val="22"/>
              </w:rPr>
              <w:t xml:space="preserve"> CBRMs were newly established in the region by the DCPSF.  In 2014, the Fund </w:t>
            </w:r>
            <w:r w:rsidRPr="002A77C6">
              <w:rPr>
                <w:rFonts w:ascii="Calibri" w:hAnsi="Calibri"/>
                <w:sz w:val="22"/>
                <w:szCs w:val="22"/>
              </w:rPr>
              <w:lastRenderedPageBreak/>
              <w:t xml:space="preserve">commissioned a study on gender inclusion to provide a roadmap to strengthening women’s inclusion as decision makers in the CBRM mechanisms, the recommendations continue to be implemented. There is evidence that, after nearly ten years in operation, the Fund’s partners are continuing to have measurable impact on community-level peacebuilding. The DCPSF perception survey </w:t>
            </w:r>
            <w:r w:rsidR="00C466FF" w:rsidRPr="002A77C6">
              <w:rPr>
                <w:rFonts w:ascii="Calibri" w:hAnsi="Calibri"/>
                <w:sz w:val="22"/>
                <w:szCs w:val="22"/>
              </w:rPr>
              <w:t>is conducted</w:t>
            </w:r>
            <w:r w:rsidRPr="002A77C6">
              <w:rPr>
                <w:rFonts w:ascii="Calibri" w:hAnsi="Calibri"/>
                <w:sz w:val="22"/>
                <w:szCs w:val="22"/>
              </w:rPr>
              <w:t xml:space="preserve"> annually in communities where the Fund is active. From 2013-2015, 85% of community members surveyed stated “trust and confidence is restored” in their community through </w:t>
            </w:r>
            <w:r w:rsidR="0096563E" w:rsidRPr="002A77C6">
              <w:rPr>
                <w:rFonts w:ascii="Calibri" w:hAnsi="Calibri"/>
                <w:sz w:val="22"/>
                <w:szCs w:val="22"/>
              </w:rPr>
              <w:t>Programme</w:t>
            </w:r>
            <w:r w:rsidRPr="002A77C6">
              <w:rPr>
                <w:rFonts w:ascii="Calibri" w:hAnsi="Calibri"/>
                <w:sz w:val="22"/>
                <w:szCs w:val="22"/>
              </w:rPr>
              <w:t xml:space="preserve"> activities. In the same period, 90% of tribal and civil society leaders surveyed agreed there was “a common or collaborative approach on how to address root causes of conflict.” The </w:t>
            </w:r>
            <w:r w:rsidR="0096563E" w:rsidRPr="002A77C6">
              <w:rPr>
                <w:rFonts w:ascii="Calibri" w:hAnsi="Calibri"/>
                <w:sz w:val="22"/>
                <w:szCs w:val="22"/>
              </w:rPr>
              <w:t>Programme</w:t>
            </w:r>
            <w:r w:rsidRPr="002A77C6">
              <w:rPr>
                <w:rFonts w:ascii="Calibri" w:hAnsi="Calibri"/>
                <w:sz w:val="22"/>
                <w:szCs w:val="22"/>
              </w:rPr>
              <w:t xml:space="preserve"> also strengthens linkages between communities and wider peace processes. In 2014-2015, DCPSF partners organized 36 inter-tribal conferences, peace-fora, workshops, and other activities designed to bring different com</w:t>
            </w:r>
            <w:r w:rsidR="006A1D3B">
              <w:rPr>
                <w:rFonts w:ascii="Calibri" w:hAnsi="Calibri"/>
                <w:sz w:val="22"/>
                <w:szCs w:val="22"/>
              </w:rPr>
              <w:t>munities together toward peace.</w:t>
            </w:r>
          </w:p>
        </w:tc>
      </w:tr>
      <w:tr w:rsidR="002A77C6" w:rsidRPr="002A77C6" w:rsidTr="00854EC9">
        <w:tc>
          <w:tcPr>
            <w:tcW w:w="3060" w:type="dxa"/>
            <w:shd w:val="clear" w:color="auto" w:fill="FFFFFF"/>
          </w:tcPr>
          <w:p w:rsidR="00411054" w:rsidRPr="002A77C6" w:rsidRDefault="00411054" w:rsidP="00854EC9">
            <w:pPr>
              <w:pStyle w:val="BodyText2"/>
              <w:jc w:val="both"/>
              <w:rPr>
                <w:rFonts w:ascii="Calibri" w:hAnsi="Calibri"/>
                <w:bCs/>
                <w:sz w:val="22"/>
                <w:szCs w:val="22"/>
              </w:rPr>
            </w:pPr>
            <w:r w:rsidRPr="002A77C6">
              <w:rPr>
                <w:rFonts w:ascii="Calibri" w:hAnsi="Calibri"/>
                <w:bCs/>
                <w:sz w:val="22"/>
                <w:szCs w:val="22"/>
              </w:rPr>
              <w:lastRenderedPageBreak/>
              <w:t>Peace dividends are delivered for sustainable return, reintegration and recovery</w:t>
            </w:r>
            <w:r w:rsidRPr="002A77C6" w:rsidDel="00730A50">
              <w:rPr>
                <w:rFonts w:ascii="Calibri" w:hAnsi="Calibri"/>
                <w:bCs/>
                <w:sz w:val="22"/>
                <w:szCs w:val="22"/>
              </w:rPr>
              <w:t xml:space="preserve"> </w:t>
            </w:r>
          </w:p>
        </w:tc>
        <w:tc>
          <w:tcPr>
            <w:tcW w:w="1530" w:type="dxa"/>
            <w:gridSpan w:val="2"/>
            <w:shd w:val="clear" w:color="auto" w:fill="auto"/>
          </w:tcPr>
          <w:p w:rsidR="00CB77AB" w:rsidRDefault="00CB77AB" w:rsidP="00CB77AB">
            <w:pPr>
              <w:widowControl/>
              <w:jc w:val="both"/>
              <w:rPr>
                <w:rFonts w:ascii="Calibri" w:hAnsi="Calibri"/>
                <w:color w:val="000000"/>
                <w:sz w:val="22"/>
                <w:szCs w:val="22"/>
              </w:rPr>
            </w:pPr>
            <w:r>
              <w:rPr>
                <w:rFonts w:ascii="Calibri" w:hAnsi="Calibri"/>
                <w:color w:val="000000"/>
                <w:sz w:val="22"/>
                <w:szCs w:val="22"/>
              </w:rPr>
              <w:t xml:space="preserve">148,543,850 </w:t>
            </w:r>
          </w:p>
          <w:p w:rsidR="00411054" w:rsidRPr="002A77C6" w:rsidRDefault="00411054" w:rsidP="00854EC9">
            <w:pPr>
              <w:pStyle w:val="BodyText2"/>
              <w:jc w:val="both"/>
              <w:rPr>
                <w:rFonts w:ascii="Calibri" w:hAnsi="Calibri"/>
                <w:bCs/>
                <w:sz w:val="22"/>
                <w:szCs w:val="22"/>
              </w:rPr>
            </w:pPr>
          </w:p>
        </w:tc>
        <w:tc>
          <w:tcPr>
            <w:tcW w:w="3960" w:type="dxa"/>
            <w:gridSpan w:val="2"/>
            <w:tcBorders>
              <w:left w:val="single" w:sz="4" w:space="0" w:color="auto"/>
            </w:tcBorders>
          </w:tcPr>
          <w:p w:rsidR="00327813" w:rsidRPr="002A77C6" w:rsidRDefault="00AA69E8" w:rsidP="00327813">
            <w:pPr>
              <w:pStyle w:val="BodyText2"/>
              <w:jc w:val="both"/>
              <w:rPr>
                <w:rFonts w:ascii="Calibri" w:hAnsi="Calibri"/>
                <w:bCs/>
                <w:sz w:val="22"/>
                <w:szCs w:val="22"/>
              </w:rPr>
            </w:pPr>
            <w:r w:rsidRPr="00AA69E8">
              <w:rPr>
                <w:rFonts w:ascii="Calibri" w:hAnsi="Calibri"/>
                <w:b/>
                <w:bCs/>
                <w:sz w:val="22"/>
                <w:szCs w:val="22"/>
              </w:rPr>
              <w:t>I</w:t>
            </w:r>
            <w:r w:rsidR="00327813" w:rsidRPr="00AA69E8">
              <w:rPr>
                <w:rFonts w:ascii="Calibri" w:hAnsi="Calibri"/>
                <w:b/>
                <w:bCs/>
                <w:sz w:val="22"/>
                <w:szCs w:val="22"/>
              </w:rPr>
              <w:t xml:space="preserve">ndicator </w:t>
            </w:r>
            <w:r w:rsidR="00411054" w:rsidRPr="00AA69E8">
              <w:rPr>
                <w:rFonts w:ascii="Calibri" w:hAnsi="Calibri"/>
                <w:b/>
                <w:bCs/>
                <w:sz w:val="22"/>
                <w:szCs w:val="22"/>
              </w:rPr>
              <w:t>1:</w:t>
            </w:r>
          </w:p>
          <w:p w:rsidR="00411054" w:rsidRPr="002A77C6" w:rsidRDefault="00411054" w:rsidP="00327813">
            <w:pPr>
              <w:pStyle w:val="BodyText2"/>
              <w:jc w:val="both"/>
              <w:rPr>
                <w:rFonts w:ascii="Calibri" w:hAnsi="Calibri"/>
                <w:bCs/>
                <w:sz w:val="22"/>
                <w:szCs w:val="22"/>
              </w:rPr>
            </w:pPr>
            <w:r w:rsidRPr="002A77C6">
              <w:rPr>
                <w:rFonts w:ascii="Calibri" w:hAnsi="Calibri"/>
                <w:bCs/>
                <w:sz w:val="22"/>
                <w:szCs w:val="22"/>
              </w:rPr>
              <w:t>% of voluntary returnees, DDR participants and women reporting satisfactory or successful reintegration and empowerment.</w:t>
            </w:r>
          </w:p>
          <w:p w:rsidR="00411054" w:rsidRPr="002A77C6" w:rsidRDefault="00411054" w:rsidP="00854EC9">
            <w:pPr>
              <w:pStyle w:val="BodyText2"/>
              <w:jc w:val="both"/>
              <w:rPr>
                <w:rFonts w:ascii="Calibri" w:hAnsi="Calibri"/>
                <w:bCs/>
                <w:sz w:val="22"/>
                <w:szCs w:val="22"/>
              </w:rPr>
            </w:pPr>
          </w:p>
          <w:p w:rsidR="00411054" w:rsidRPr="00AA69E8" w:rsidRDefault="00411054" w:rsidP="00854EC9">
            <w:pPr>
              <w:pStyle w:val="BodyText2"/>
              <w:jc w:val="both"/>
              <w:rPr>
                <w:rFonts w:ascii="Calibri" w:hAnsi="Calibri"/>
                <w:b/>
                <w:bCs/>
                <w:sz w:val="22"/>
                <w:szCs w:val="22"/>
              </w:rPr>
            </w:pPr>
            <w:r w:rsidRPr="00AA69E8">
              <w:rPr>
                <w:rFonts w:ascii="Calibri" w:hAnsi="Calibri"/>
                <w:b/>
                <w:bCs/>
                <w:sz w:val="22"/>
                <w:szCs w:val="22"/>
              </w:rPr>
              <w:t>Baseline:</w:t>
            </w:r>
          </w:p>
          <w:p w:rsidR="001277E2" w:rsidRPr="002A77C6" w:rsidRDefault="001277E2" w:rsidP="001277E2">
            <w:pPr>
              <w:pStyle w:val="BodyText2"/>
              <w:jc w:val="both"/>
              <w:rPr>
                <w:rFonts w:ascii="Calibri" w:hAnsi="Calibri"/>
                <w:bCs/>
                <w:sz w:val="22"/>
                <w:szCs w:val="22"/>
              </w:rPr>
            </w:pPr>
            <w:r w:rsidRPr="002A77C6">
              <w:rPr>
                <w:rFonts w:ascii="Calibri" w:hAnsi="Calibri"/>
                <w:bCs/>
                <w:sz w:val="22"/>
                <w:szCs w:val="22"/>
              </w:rPr>
              <w:t>70% (2012</w:t>
            </w:r>
          </w:p>
          <w:p w:rsidR="001277E2" w:rsidRPr="002A77C6" w:rsidRDefault="001277E2" w:rsidP="001277E2">
            <w:pPr>
              <w:pStyle w:val="BodyText2"/>
              <w:jc w:val="both"/>
              <w:rPr>
                <w:rFonts w:ascii="Calibri" w:hAnsi="Calibri"/>
                <w:bCs/>
                <w:sz w:val="22"/>
                <w:szCs w:val="22"/>
              </w:rPr>
            </w:pPr>
          </w:p>
          <w:p w:rsidR="00AA69E8" w:rsidRPr="00AA69E8" w:rsidRDefault="00411054" w:rsidP="001277E2">
            <w:pPr>
              <w:pStyle w:val="BodyText2"/>
              <w:jc w:val="both"/>
              <w:rPr>
                <w:rFonts w:ascii="Calibri" w:hAnsi="Calibri"/>
                <w:b/>
                <w:bCs/>
                <w:sz w:val="22"/>
                <w:szCs w:val="22"/>
              </w:rPr>
            </w:pPr>
            <w:r w:rsidRPr="00AA69E8">
              <w:rPr>
                <w:rFonts w:ascii="Calibri" w:hAnsi="Calibri"/>
                <w:b/>
                <w:bCs/>
                <w:sz w:val="22"/>
                <w:szCs w:val="22"/>
              </w:rPr>
              <w:t>Target:</w:t>
            </w:r>
          </w:p>
          <w:p w:rsidR="00411054" w:rsidRPr="002A77C6" w:rsidRDefault="001277E2" w:rsidP="001277E2">
            <w:pPr>
              <w:pStyle w:val="BodyText2"/>
              <w:jc w:val="both"/>
              <w:rPr>
                <w:rFonts w:ascii="Calibri" w:hAnsi="Calibri"/>
                <w:bCs/>
                <w:i/>
                <w:sz w:val="22"/>
                <w:szCs w:val="22"/>
              </w:rPr>
            </w:pPr>
            <w:r w:rsidRPr="002A77C6">
              <w:rPr>
                <w:rFonts w:ascii="Calibri" w:hAnsi="Calibri"/>
                <w:bCs/>
                <w:i/>
                <w:sz w:val="22"/>
                <w:szCs w:val="22"/>
              </w:rPr>
              <w:t>90</w:t>
            </w:r>
            <w:r w:rsidR="00411054" w:rsidRPr="002A77C6">
              <w:rPr>
                <w:rFonts w:ascii="Calibri" w:hAnsi="Calibri"/>
                <w:bCs/>
                <w:i/>
                <w:sz w:val="22"/>
                <w:szCs w:val="22"/>
              </w:rPr>
              <w:t>%</w:t>
            </w:r>
            <w:r w:rsidRPr="002A77C6">
              <w:rPr>
                <w:rFonts w:ascii="Calibri" w:hAnsi="Calibri"/>
                <w:bCs/>
                <w:i/>
                <w:sz w:val="22"/>
                <w:szCs w:val="22"/>
              </w:rPr>
              <w:t xml:space="preserve"> (2016)</w:t>
            </w:r>
          </w:p>
          <w:p w:rsidR="001277E2" w:rsidRPr="002A77C6" w:rsidRDefault="001277E2" w:rsidP="001277E2">
            <w:pPr>
              <w:pStyle w:val="BodyText2"/>
              <w:jc w:val="both"/>
              <w:rPr>
                <w:rFonts w:ascii="Calibri" w:hAnsi="Calibri"/>
                <w:bCs/>
                <w:sz w:val="22"/>
                <w:szCs w:val="22"/>
              </w:rPr>
            </w:pPr>
          </w:p>
          <w:p w:rsidR="00327813" w:rsidRPr="002A77C6" w:rsidRDefault="00327813" w:rsidP="001277E2">
            <w:pPr>
              <w:pStyle w:val="BodyText2"/>
              <w:jc w:val="both"/>
              <w:rPr>
                <w:rFonts w:ascii="Calibri" w:hAnsi="Calibri"/>
                <w:bCs/>
                <w:sz w:val="22"/>
                <w:szCs w:val="22"/>
              </w:rPr>
            </w:pPr>
          </w:p>
          <w:p w:rsidR="00327813" w:rsidRDefault="00327813" w:rsidP="001277E2">
            <w:pPr>
              <w:pStyle w:val="BodyText2"/>
              <w:jc w:val="both"/>
              <w:rPr>
                <w:rFonts w:ascii="Calibri" w:hAnsi="Calibri"/>
                <w:bCs/>
                <w:sz w:val="22"/>
                <w:szCs w:val="22"/>
              </w:rPr>
            </w:pPr>
          </w:p>
          <w:p w:rsidR="00AA69E8" w:rsidRPr="002A77C6" w:rsidRDefault="00AA69E8" w:rsidP="001277E2">
            <w:pPr>
              <w:pStyle w:val="BodyText2"/>
              <w:jc w:val="both"/>
              <w:rPr>
                <w:rFonts w:ascii="Calibri" w:hAnsi="Calibri"/>
                <w:bCs/>
                <w:sz w:val="22"/>
                <w:szCs w:val="22"/>
              </w:rPr>
            </w:pPr>
          </w:p>
          <w:p w:rsidR="00327813" w:rsidRPr="002A77C6" w:rsidRDefault="00AA69E8" w:rsidP="00854EC9">
            <w:pPr>
              <w:pStyle w:val="BodyText2"/>
              <w:jc w:val="both"/>
              <w:rPr>
                <w:rFonts w:ascii="Calibri" w:hAnsi="Calibri"/>
                <w:bCs/>
                <w:sz w:val="22"/>
                <w:szCs w:val="22"/>
              </w:rPr>
            </w:pPr>
            <w:r w:rsidRPr="00AA69E8">
              <w:rPr>
                <w:rFonts w:ascii="Calibri" w:hAnsi="Calibri"/>
                <w:b/>
                <w:bCs/>
                <w:sz w:val="22"/>
                <w:szCs w:val="22"/>
              </w:rPr>
              <w:t>I</w:t>
            </w:r>
            <w:r w:rsidR="00327813" w:rsidRPr="00AA69E8">
              <w:rPr>
                <w:rFonts w:ascii="Calibri" w:hAnsi="Calibri"/>
                <w:b/>
                <w:bCs/>
                <w:sz w:val="22"/>
                <w:szCs w:val="22"/>
              </w:rPr>
              <w:t>ndicator</w:t>
            </w:r>
            <w:r w:rsidRPr="00AA69E8">
              <w:rPr>
                <w:rFonts w:ascii="Calibri" w:hAnsi="Calibri"/>
                <w:b/>
                <w:bCs/>
                <w:sz w:val="22"/>
                <w:szCs w:val="22"/>
              </w:rPr>
              <w:t xml:space="preserve"> </w:t>
            </w:r>
            <w:r w:rsidR="00327813" w:rsidRPr="00AA69E8">
              <w:rPr>
                <w:rFonts w:ascii="Calibri" w:hAnsi="Calibri"/>
                <w:b/>
                <w:bCs/>
                <w:sz w:val="22"/>
                <w:szCs w:val="22"/>
              </w:rPr>
              <w:t>2:</w:t>
            </w:r>
            <w:r w:rsidR="00327813" w:rsidRPr="002A77C6">
              <w:rPr>
                <w:rFonts w:ascii="Calibri" w:hAnsi="Calibri"/>
                <w:bCs/>
                <w:sz w:val="22"/>
                <w:szCs w:val="22"/>
              </w:rPr>
              <w:t xml:space="preserve"> </w:t>
            </w:r>
          </w:p>
          <w:p w:rsidR="00411054" w:rsidRPr="002A77C6" w:rsidRDefault="00411054" w:rsidP="00854EC9">
            <w:pPr>
              <w:pStyle w:val="BodyText2"/>
              <w:jc w:val="both"/>
              <w:rPr>
                <w:rFonts w:ascii="Calibri" w:hAnsi="Calibri"/>
                <w:bCs/>
                <w:sz w:val="22"/>
                <w:szCs w:val="22"/>
              </w:rPr>
            </w:pPr>
            <w:r w:rsidRPr="002A77C6">
              <w:rPr>
                <w:rFonts w:ascii="Calibri" w:hAnsi="Calibri"/>
                <w:bCs/>
                <w:sz w:val="22"/>
                <w:szCs w:val="22"/>
              </w:rPr>
              <w:t>Number of peace dividend or community security initiatives in target communities identified and implemented in a conflict-sensitive manner.</w:t>
            </w:r>
          </w:p>
          <w:p w:rsidR="00411054" w:rsidRPr="002A77C6" w:rsidRDefault="00411054" w:rsidP="00854EC9">
            <w:pPr>
              <w:pStyle w:val="BodyText2"/>
              <w:jc w:val="both"/>
              <w:rPr>
                <w:rFonts w:ascii="Calibri" w:hAnsi="Calibri"/>
                <w:bCs/>
                <w:sz w:val="22"/>
                <w:szCs w:val="22"/>
              </w:rPr>
            </w:pPr>
          </w:p>
          <w:p w:rsidR="00411054" w:rsidRPr="00AA69E8" w:rsidRDefault="00411054" w:rsidP="00854EC9">
            <w:pPr>
              <w:pStyle w:val="BodyText2"/>
              <w:jc w:val="both"/>
              <w:rPr>
                <w:rFonts w:ascii="Calibri" w:hAnsi="Calibri"/>
                <w:b/>
                <w:bCs/>
                <w:sz w:val="22"/>
                <w:szCs w:val="22"/>
              </w:rPr>
            </w:pPr>
            <w:r w:rsidRPr="00AA69E8">
              <w:rPr>
                <w:rFonts w:ascii="Calibri" w:hAnsi="Calibri"/>
                <w:b/>
                <w:bCs/>
                <w:sz w:val="22"/>
                <w:szCs w:val="22"/>
              </w:rPr>
              <w:t>Baseline:</w:t>
            </w:r>
          </w:p>
          <w:p w:rsidR="00411054" w:rsidRPr="002A77C6" w:rsidRDefault="001277E2" w:rsidP="00854EC9">
            <w:pPr>
              <w:pStyle w:val="BodyText2"/>
              <w:jc w:val="both"/>
              <w:rPr>
                <w:rFonts w:ascii="Calibri" w:hAnsi="Calibri"/>
                <w:bCs/>
                <w:sz w:val="22"/>
                <w:szCs w:val="22"/>
              </w:rPr>
            </w:pPr>
            <w:r w:rsidRPr="002A77C6">
              <w:rPr>
                <w:rFonts w:ascii="Calibri" w:hAnsi="Calibri"/>
                <w:bCs/>
                <w:sz w:val="22"/>
                <w:szCs w:val="22"/>
              </w:rPr>
              <w:t>15 community security initiatives implemented</w:t>
            </w:r>
          </w:p>
          <w:p w:rsidR="001277E2" w:rsidRPr="002A77C6" w:rsidRDefault="001277E2" w:rsidP="00854EC9">
            <w:pPr>
              <w:pStyle w:val="BodyText2"/>
              <w:jc w:val="both"/>
              <w:rPr>
                <w:rFonts w:ascii="Calibri" w:hAnsi="Calibri"/>
                <w:bCs/>
                <w:sz w:val="22"/>
                <w:szCs w:val="22"/>
              </w:rPr>
            </w:pPr>
          </w:p>
          <w:p w:rsidR="00411054" w:rsidRPr="00AA69E8" w:rsidRDefault="00411054" w:rsidP="00854EC9">
            <w:pPr>
              <w:pStyle w:val="BodyText2"/>
              <w:jc w:val="both"/>
              <w:rPr>
                <w:rFonts w:ascii="Calibri" w:hAnsi="Calibri"/>
                <w:b/>
                <w:bCs/>
                <w:sz w:val="22"/>
                <w:szCs w:val="22"/>
              </w:rPr>
            </w:pPr>
            <w:r w:rsidRPr="00AA69E8">
              <w:rPr>
                <w:rFonts w:ascii="Calibri" w:hAnsi="Calibri"/>
                <w:b/>
                <w:bCs/>
                <w:sz w:val="22"/>
                <w:szCs w:val="22"/>
              </w:rPr>
              <w:t>Target:</w:t>
            </w:r>
          </w:p>
          <w:p w:rsidR="00411054" w:rsidRPr="002A77C6" w:rsidRDefault="00411054" w:rsidP="00CB271D">
            <w:pPr>
              <w:pStyle w:val="BodyText2"/>
              <w:jc w:val="both"/>
              <w:rPr>
                <w:rFonts w:ascii="Calibri" w:hAnsi="Calibri"/>
                <w:bCs/>
                <w:sz w:val="22"/>
                <w:szCs w:val="22"/>
              </w:rPr>
            </w:pPr>
            <w:r w:rsidRPr="002A77C6">
              <w:rPr>
                <w:rFonts w:ascii="Calibri" w:hAnsi="Calibri"/>
                <w:bCs/>
                <w:sz w:val="22"/>
                <w:szCs w:val="22"/>
              </w:rPr>
              <w:lastRenderedPageBreak/>
              <w:t xml:space="preserve">120 community security </w:t>
            </w:r>
            <w:r w:rsidR="001277E2" w:rsidRPr="002A77C6">
              <w:rPr>
                <w:rFonts w:ascii="Calibri" w:hAnsi="Calibri"/>
                <w:bCs/>
                <w:sz w:val="22"/>
                <w:szCs w:val="22"/>
              </w:rPr>
              <w:t>(by end of 201</w:t>
            </w:r>
            <w:r w:rsidR="00CB271D">
              <w:rPr>
                <w:rFonts w:ascii="Calibri" w:hAnsi="Calibri"/>
                <w:bCs/>
                <w:sz w:val="22"/>
                <w:szCs w:val="22"/>
              </w:rPr>
              <w:t>6</w:t>
            </w:r>
            <w:r w:rsidR="001277E2" w:rsidRPr="002A77C6">
              <w:rPr>
                <w:rFonts w:ascii="Calibri" w:hAnsi="Calibri"/>
                <w:bCs/>
                <w:sz w:val="22"/>
                <w:szCs w:val="22"/>
              </w:rPr>
              <w:t>)</w:t>
            </w:r>
          </w:p>
          <w:p w:rsidR="00411054" w:rsidRPr="002A77C6" w:rsidRDefault="00411054" w:rsidP="00854EC9">
            <w:pPr>
              <w:pStyle w:val="BodyText2"/>
              <w:jc w:val="both"/>
              <w:rPr>
                <w:rFonts w:ascii="Calibri" w:hAnsi="Calibri"/>
                <w:bCs/>
                <w:sz w:val="22"/>
                <w:szCs w:val="22"/>
              </w:rPr>
            </w:pPr>
          </w:p>
          <w:p w:rsidR="00411054" w:rsidRPr="002A77C6" w:rsidRDefault="00411054" w:rsidP="001277E2">
            <w:pPr>
              <w:pStyle w:val="BodyText2"/>
              <w:jc w:val="both"/>
              <w:rPr>
                <w:rFonts w:ascii="Calibri" w:hAnsi="Calibri"/>
                <w:bCs/>
                <w:sz w:val="22"/>
                <w:szCs w:val="22"/>
              </w:rPr>
            </w:pPr>
          </w:p>
        </w:tc>
        <w:tc>
          <w:tcPr>
            <w:tcW w:w="5490" w:type="dxa"/>
            <w:gridSpan w:val="2"/>
            <w:shd w:val="clear" w:color="auto" w:fill="auto"/>
          </w:tcPr>
          <w:p w:rsidR="00411054" w:rsidRPr="002A77C6" w:rsidRDefault="00411054" w:rsidP="00854EC9">
            <w:pPr>
              <w:pStyle w:val="BodyText2"/>
              <w:jc w:val="both"/>
              <w:rPr>
                <w:rFonts w:ascii="Calibri" w:hAnsi="Calibri"/>
                <w:bCs/>
                <w:sz w:val="22"/>
                <w:szCs w:val="22"/>
              </w:rPr>
            </w:pPr>
            <w:r w:rsidRPr="002A77C6">
              <w:rPr>
                <w:rFonts w:ascii="Calibri" w:hAnsi="Calibri"/>
                <w:bCs/>
                <w:sz w:val="22"/>
                <w:szCs w:val="22"/>
              </w:rPr>
              <w:lastRenderedPageBreak/>
              <w:t>Indicator 1:</w:t>
            </w:r>
          </w:p>
          <w:p w:rsidR="00327813" w:rsidRPr="002A77C6" w:rsidRDefault="001277E2" w:rsidP="00B87D32">
            <w:pPr>
              <w:pStyle w:val="BodyText2"/>
              <w:jc w:val="both"/>
              <w:rPr>
                <w:rFonts w:ascii="Calibri" w:hAnsi="Calibri"/>
                <w:bCs/>
                <w:sz w:val="22"/>
                <w:szCs w:val="22"/>
              </w:rPr>
            </w:pPr>
            <w:r w:rsidRPr="002A77C6">
              <w:rPr>
                <w:rFonts w:ascii="Calibri" w:hAnsi="Calibri"/>
                <w:bCs/>
                <w:sz w:val="22"/>
                <w:szCs w:val="22"/>
              </w:rPr>
              <w:t>By end of 201</w:t>
            </w:r>
            <w:r w:rsidR="00B87D32">
              <w:rPr>
                <w:rFonts w:ascii="Calibri" w:hAnsi="Calibri"/>
                <w:bCs/>
                <w:sz w:val="22"/>
                <w:szCs w:val="22"/>
              </w:rPr>
              <w:t>6</w:t>
            </w:r>
            <w:r w:rsidRPr="002A77C6">
              <w:rPr>
                <w:rFonts w:ascii="Calibri" w:hAnsi="Calibri"/>
                <w:bCs/>
                <w:sz w:val="22"/>
                <w:szCs w:val="22"/>
              </w:rPr>
              <w:t xml:space="preserve">: </w:t>
            </w:r>
            <w:r w:rsidR="00411054" w:rsidRPr="002A77C6">
              <w:rPr>
                <w:rFonts w:ascii="Calibri" w:hAnsi="Calibri"/>
                <w:bCs/>
                <w:sz w:val="22"/>
                <w:szCs w:val="22"/>
              </w:rPr>
              <w:t>Approximately 7</w:t>
            </w:r>
            <w:r w:rsidR="00327813" w:rsidRPr="002A77C6">
              <w:rPr>
                <w:rFonts w:ascii="Calibri" w:hAnsi="Calibri"/>
                <w:bCs/>
                <w:sz w:val="22"/>
                <w:szCs w:val="22"/>
              </w:rPr>
              <w:t>5</w:t>
            </w:r>
            <w:r w:rsidR="00411054" w:rsidRPr="002A77C6">
              <w:rPr>
                <w:rFonts w:ascii="Calibri" w:hAnsi="Calibri"/>
                <w:bCs/>
                <w:sz w:val="22"/>
                <w:szCs w:val="22"/>
              </w:rPr>
              <w:t>%</w:t>
            </w:r>
            <w:r w:rsidR="00327813" w:rsidRPr="002A77C6">
              <w:rPr>
                <w:rFonts w:ascii="Calibri" w:hAnsi="Calibri"/>
                <w:bCs/>
                <w:sz w:val="22"/>
                <w:szCs w:val="22"/>
              </w:rPr>
              <w:t>.</w:t>
            </w:r>
          </w:p>
          <w:p w:rsidR="00327813" w:rsidRPr="002A77C6" w:rsidRDefault="00327813" w:rsidP="00327813">
            <w:pPr>
              <w:pStyle w:val="BodyText2"/>
              <w:jc w:val="both"/>
              <w:rPr>
                <w:rFonts w:ascii="Calibri" w:hAnsi="Calibri"/>
                <w:bCs/>
                <w:sz w:val="22"/>
                <w:szCs w:val="22"/>
              </w:rPr>
            </w:pPr>
          </w:p>
          <w:p w:rsidR="00411054" w:rsidRPr="002A77C6" w:rsidRDefault="00327813" w:rsidP="00854EC9">
            <w:pPr>
              <w:pStyle w:val="BodyText2"/>
              <w:jc w:val="both"/>
              <w:rPr>
                <w:rFonts w:ascii="Calibri" w:hAnsi="Calibri"/>
                <w:bCs/>
                <w:sz w:val="22"/>
                <w:szCs w:val="22"/>
              </w:rPr>
            </w:pPr>
            <w:r w:rsidRPr="002A77C6">
              <w:rPr>
                <w:rFonts w:ascii="Calibri" w:hAnsi="Calibri"/>
                <w:bCs/>
                <w:sz w:val="22"/>
                <w:szCs w:val="22"/>
              </w:rPr>
              <w:t xml:space="preserve">The Community Stabilization and Security Programme (C2SP) is operational in south Kordofan, Blue Nile, West Kordofan and White Nile. </w:t>
            </w:r>
            <w:r w:rsidR="0096563E" w:rsidRPr="002A77C6">
              <w:rPr>
                <w:rFonts w:ascii="Calibri" w:hAnsi="Calibri"/>
                <w:bCs/>
                <w:sz w:val="22"/>
                <w:szCs w:val="22"/>
              </w:rPr>
              <w:t>The</w:t>
            </w:r>
            <w:r w:rsidRPr="002A77C6">
              <w:rPr>
                <w:rFonts w:ascii="Calibri" w:hAnsi="Calibri"/>
                <w:bCs/>
                <w:sz w:val="22"/>
                <w:szCs w:val="22"/>
              </w:rPr>
              <w:t xml:space="preserve"> </w:t>
            </w:r>
            <w:r w:rsidR="0096563E" w:rsidRPr="002A77C6">
              <w:rPr>
                <w:rFonts w:ascii="Calibri" w:hAnsi="Calibri"/>
                <w:bCs/>
                <w:sz w:val="22"/>
                <w:szCs w:val="22"/>
              </w:rPr>
              <w:t>Programme</w:t>
            </w:r>
            <w:r w:rsidRPr="002A77C6">
              <w:rPr>
                <w:rFonts w:ascii="Calibri" w:hAnsi="Calibri"/>
                <w:bCs/>
                <w:sz w:val="22"/>
                <w:szCs w:val="22"/>
              </w:rPr>
              <w:t xml:space="preserve"> is targeting broader community members as well as Ex-combatants and the youth with conflict carrying capacity. Nine communities s in the troubled areas were targeted with comprehensive community stabilization support. During 2015, 1,729 Combatants were disarmed, demobilized and received the reintegration briefing in preparation for reintegration in Darfur region.</w:t>
            </w:r>
          </w:p>
          <w:p w:rsidR="00327813" w:rsidRPr="002A77C6" w:rsidRDefault="00327813" w:rsidP="00854EC9">
            <w:pPr>
              <w:pStyle w:val="BodyText2"/>
              <w:jc w:val="both"/>
              <w:rPr>
                <w:rFonts w:ascii="Calibri" w:hAnsi="Calibri"/>
                <w:bCs/>
                <w:sz w:val="22"/>
                <w:szCs w:val="22"/>
              </w:rPr>
            </w:pPr>
          </w:p>
          <w:p w:rsidR="00327813" w:rsidRPr="002A77C6" w:rsidRDefault="00327813" w:rsidP="00854EC9">
            <w:pPr>
              <w:pStyle w:val="BodyText2"/>
              <w:jc w:val="both"/>
              <w:rPr>
                <w:rFonts w:ascii="Calibri" w:hAnsi="Calibri"/>
                <w:bCs/>
                <w:sz w:val="22"/>
                <w:szCs w:val="22"/>
              </w:rPr>
            </w:pPr>
          </w:p>
          <w:p w:rsidR="00411054" w:rsidRPr="002A77C6" w:rsidRDefault="00411054" w:rsidP="00854EC9">
            <w:pPr>
              <w:pStyle w:val="BodyText2"/>
              <w:jc w:val="both"/>
              <w:rPr>
                <w:rFonts w:ascii="Calibri" w:hAnsi="Calibri"/>
                <w:bCs/>
                <w:sz w:val="22"/>
                <w:szCs w:val="22"/>
              </w:rPr>
            </w:pPr>
            <w:r w:rsidRPr="002A77C6">
              <w:rPr>
                <w:rFonts w:ascii="Calibri" w:hAnsi="Calibri"/>
                <w:bCs/>
                <w:sz w:val="22"/>
                <w:szCs w:val="22"/>
              </w:rPr>
              <w:t xml:space="preserve">Indicator </w:t>
            </w:r>
            <w:r w:rsidR="00AA69E8">
              <w:rPr>
                <w:rFonts w:ascii="Calibri" w:hAnsi="Calibri"/>
                <w:bCs/>
                <w:sz w:val="22"/>
                <w:szCs w:val="22"/>
              </w:rPr>
              <w:t>2</w:t>
            </w:r>
            <w:r w:rsidRPr="002A77C6">
              <w:rPr>
                <w:rFonts w:ascii="Calibri" w:hAnsi="Calibri"/>
                <w:bCs/>
                <w:sz w:val="22"/>
                <w:szCs w:val="22"/>
              </w:rPr>
              <w:t>:</w:t>
            </w:r>
          </w:p>
          <w:p w:rsidR="00411054" w:rsidRPr="002A77C6" w:rsidRDefault="00CB271D" w:rsidP="00CB271D">
            <w:pPr>
              <w:pStyle w:val="BodyText2"/>
              <w:rPr>
                <w:rFonts w:ascii="Calibri" w:hAnsi="Calibri"/>
                <w:bCs/>
                <w:sz w:val="22"/>
                <w:szCs w:val="22"/>
              </w:rPr>
            </w:pPr>
            <w:r>
              <w:rPr>
                <w:rFonts w:ascii="Calibri" w:hAnsi="Calibri"/>
                <w:bCs/>
                <w:sz w:val="22"/>
                <w:szCs w:val="22"/>
              </w:rPr>
              <w:t xml:space="preserve">120 </w:t>
            </w:r>
            <w:r w:rsidR="00411054" w:rsidRPr="002A77C6">
              <w:rPr>
                <w:rFonts w:ascii="Calibri" w:hAnsi="Calibri"/>
                <w:bCs/>
                <w:sz w:val="22"/>
                <w:szCs w:val="22"/>
              </w:rPr>
              <w:t xml:space="preserve"> peace dividends and/or community security initiatives (including community initiatives, social services and markets) in target communities have been identified and implemented in a conflict-sensitive manner</w:t>
            </w:r>
          </w:p>
          <w:p w:rsidR="00411054" w:rsidRPr="002A77C6" w:rsidRDefault="00411054" w:rsidP="001F6694">
            <w:pPr>
              <w:pStyle w:val="BodyText2"/>
              <w:rPr>
                <w:rFonts w:ascii="Calibri" w:hAnsi="Calibri"/>
                <w:bCs/>
                <w:sz w:val="22"/>
                <w:szCs w:val="22"/>
              </w:rPr>
            </w:pPr>
          </w:p>
          <w:p w:rsidR="0026008C" w:rsidRPr="002A77C6" w:rsidRDefault="0026008C" w:rsidP="0026008C">
            <w:pPr>
              <w:pStyle w:val="BodyText2"/>
              <w:jc w:val="both"/>
              <w:rPr>
                <w:rFonts w:ascii="Calibri" w:hAnsi="Calibri"/>
                <w:bCs/>
                <w:sz w:val="22"/>
                <w:szCs w:val="22"/>
              </w:rPr>
            </w:pPr>
            <w:r w:rsidRPr="002A77C6">
              <w:rPr>
                <w:rFonts w:ascii="Calibri" w:hAnsi="Calibri"/>
                <w:bCs/>
                <w:sz w:val="22"/>
                <w:szCs w:val="22"/>
              </w:rPr>
              <w:t xml:space="preserve">72% of the 36,251 demobilized fighters have been given reintegration support. Specifically, a total of 26,112 former fighters were supported </w:t>
            </w:r>
          </w:p>
          <w:p w:rsidR="0026008C" w:rsidRPr="002A77C6" w:rsidRDefault="0026008C" w:rsidP="0026008C">
            <w:pPr>
              <w:pStyle w:val="BodyText2"/>
              <w:jc w:val="both"/>
              <w:rPr>
                <w:rFonts w:ascii="Calibri" w:hAnsi="Calibri"/>
                <w:bCs/>
                <w:sz w:val="22"/>
                <w:szCs w:val="22"/>
              </w:rPr>
            </w:pPr>
          </w:p>
          <w:p w:rsidR="0026008C" w:rsidRPr="002A77C6" w:rsidRDefault="0026008C" w:rsidP="00CB271D">
            <w:pPr>
              <w:pStyle w:val="BodyText2"/>
              <w:jc w:val="both"/>
              <w:rPr>
                <w:rFonts w:ascii="Calibri" w:hAnsi="Calibri"/>
                <w:bCs/>
                <w:sz w:val="22"/>
                <w:szCs w:val="22"/>
              </w:rPr>
            </w:pPr>
            <w:r w:rsidRPr="002A77C6">
              <w:rPr>
                <w:rFonts w:ascii="Calibri" w:hAnsi="Calibri"/>
                <w:bCs/>
                <w:sz w:val="22"/>
                <w:szCs w:val="22"/>
              </w:rPr>
              <w:lastRenderedPageBreak/>
              <w:t xml:space="preserve">85 % of the </w:t>
            </w:r>
            <w:r w:rsidR="00CB271D">
              <w:rPr>
                <w:rFonts w:ascii="Calibri" w:hAnsi="Calibri"/>
                <w:bCs/>
                <w:sz w:val="22"/>
                <w:szCs w:val="22"/>
              </w:rPr>
              <w:t xml:space="preserve">2,524 </w:t>
            </w:r>
            <w:r w:rsidRPr="002A77C6">
              <w:rPr>
                <w:rFonts w:ascii="Calibri" w:hAnsi="Calibri"/>
                <w:bCs/>
                <w:sz w:val="22"/>
                <w:szCs w:val="22"/>
              </w:rPr>
              <w:t xml:space="preserve">(23% female and 77% </w:t>
            </w:r>
            <w:r w:rsidR="0096563E" w:rsidRPr="002A77C6">
              <w:rPr>
                <w:rFonts w:ascii="Calibri" w:hAnsi="Calibri"/>
                <w:bCs/>
                <w:sz w:val="22"/>
                <w:szCs w:val="22"/>
              </w:rPr>
              <w:t>male)</w:t>
            </w:r>
            <w:r w:rsidRPr="002A77C6">
              <w:rPr>
                <w:rFonts w:ascii="Calibri" w:hAnsi="Calibri"/>
                <w:bCs/>
                <w:sz w:val="22"/>
                <w:szCs w:val="22"/>
              </w:rPr>
              <w:t xml:space="preserve"> participants reached reported that they </w:t>
            </w:r>
            <w:r w:rsidR="0096563E" w:rsidRPr="002A77C6">
              <w:rPr>
                <w:rFonts w:ascii="Calibri" w:hAnsi="Calibri"/>
                <w:bCs/>
                <w:sz w:val="22"/>
                <w:szCs w:val="22"/>
              </w:rPr>
              <w:t>were satisfied with</w:t>
            </w:r>
            <w:r w:rsidRPr="002A77C6">
              <w:rPr>
                <w:rFonts w:ascii="Calibri" w:hAnsi="Calibri"/>
                <w:bCs/>
                <w:sz w:val="22"/>
                <w:szCs w:val="22"/>
              </w:rPr>
              <w:t xml:space="preserve"> the reintegration projects.  In addition land and unemployment </w:t>
            </w:r>
            <w:r w:rsidR="0096563E" w:rsidRPr="002A77C6">
              <w:rPr>
                <w:rFonts w:ascii="Calibri" w:hAnsi="Calibri"/>
                <w:bCs/>
                <w:sz w:val="22"/>
                <w:szCs w:val="22"/>
              </w:rPr>
              <w:t>tend to</w:t>
            </w:r>
            <w:r w:rsidRPr="002A77C6">
              <w:rPr>
                <w:rFonts w:ascii="Calibri" w:hAnsi="Calibri"/>
                <w:bCs/>
                <w:sz w:val="22"/>
                <w:szCs w:val="22"/>
              </w:rPr>
              <w:t xml:space="preserve"> be the root causes of conflict   </w:t>
            </w:r>
            <w:r w:rsidR="0096563E" w:rsidRPr="002A77C6">
              <w:rPr>
                <w:rFonts w:ascii="Calibri" w:hAnsi="Calibri"/>
                <w:bCs/>
                <w:sz w:val="22"/>
                <w:szCs w:val="22"/>
              </w:rPr>
              <w:t>were voiced</w:t>
            </w:r>
            <w:r w:rsidRPr="002A77C6">
              <w:rPr>
                <w:rFonts w:ascii="Calibri" w:hAnsi="Calibri"/>
                <w:bCs/>
                <w:sz w:val="22"/>
                <w:szCs w:val="22"/>
              </w:rPr>
              <w:t xml:space="preserve"> out </w:t>
            </w:r>
            <w:r w:rsidR="0096563E" w:rsidRPr="002A77C6">
              <w:rPr>
                <w:rFonts w:ascii="Calibri" w:hAnsi="Calibri"/>
                <w:bCs/>
                <w:sz w:val="22"/>
                <w:szCs w:val="22"/>
              </w:rPr>
              <w:t>by 60 communities</w:t>
            </w:r>
            <w:r w:rsidRPr="002A77C6">
              <w:rPr>
                <w:rFonts w:ascii="Calibri" w:hAnsi="Calibri"/>
                <w:bCs/>
                <w:sz w:val="22"/>
                <w:szCs w:val="22"/>
              </w:rPr>
              <w:t xml:space="preserve"> were </w:t>
            </w:r>
            <w:r w:rsidR="0096563E" w:rsidRPr="002A77C6">
              <w:rPr>
                <w:rFonts w:ascii="Calibri" w:hAnsi="Calibri"/>
                <w:bCs/>
                <w:sz w:val="22"/>
                <w:szCs w:val="22"/>
              </w:rPr>
              <w:t xml:space="preserve">reached. </w:t>
            </w:r>
          </w:p>
          <w:p w:rsidR="001F6694" w:rsidRPr="002A77C6" w:rsidRDefault="001F6694" w:rsidP="0026008C">
            <w:pPr>
              <w:pStyle w:val="BodyText2"/>
              <w:jc w:val="both"/>
              <w:rPr>
                <w:rFonts w:ascii="Calibri" w:hAnsi="Calibri"/>
                <w:bCs/>
                <w:sz w:val="22"/>
                <w:szCs w:val="22"/>
              </w:rPr>
            </w:pPr>
          </w:p>
          <w:p w:rsidR="001F6694" w:rsidRPr="002A77C6" w:rsidRDefault="00CF58BA" w:rsidP="001F6694">
            <w:pPr>
              <w:pStyle w:val="BodyText2"/>
              <w:jc w:val="both"/>
              <w:rPr>
                <w:rFonts w:ascii="Calibri" w:hAnsi="Calibri"/>
                <w:bCs/>
                <w:sz w:val="22"/>
                <w:szCs w:val="22"/>
              </w:rPr>
            </w:pPr>
            <w:r w:rsidRPr="002A77C6">
              <w:rPr>
                <w:rFonts w:ascii="Calibri" w:hAnsi="Calibri"/>
                <w:bCs/>
                <w:sz w:val="22"/>
                <w:szCs w:val="22"/>
              </w:rPr>
              <w:t>A</w:t>
            </w:r>
            <w:r w:rsidR="0026008C" w:rsidRPr="002A77C6">
              <w:rPr>
                <w:rFonts w:ascii="Calibri" w:hAnsi="Calibri"/>
                <w:bCs/>
                <w:sz w:val="22"/>
                <w:szCs w:val="22"/>
              </w:rPr>
              <w:t xml:space="preserve"> total of 16,000 people have benefitted from Community </w:t>
            </w:r>
            <w:r w:rsidR="0096563E" w:rsidRPr="002A77C6">
              <w:rPr>
                <w:rFonts w:ascii="Calibri" w:hAnsi="Calibri"/>
                <w:bCs/>
                <w:sz w:val="22"/>
                <w:szCs w:val="22"/>
              </w:rPr>
              <w:t xml:space="preserve">Security </w:t>
            </w:r>
            <w:r w:rsidR="00DD76D1">
              <w:rPr>
                <w:rFonts w:ascii="Calibri" w:hAnsi="Calibri"/>
                <w:bCs/>
                <w:sz w:val="22"/>
                <w:szCs w:val="22"/>
              </w:rPr>
              <w:t>initiatives</w:t>
            </w:r>
            <w:r w:rsidR="0026008C" w:rsidRPr="002A77C6">
              <w:rPr>
                <w:rFonts w:ascii="Calibri" w:hAnsi="Calibri"/>
                <w:bCs/>
                <w:sz w:val="22"/>
                <w:szCs w:val="22"/>
              </w:rPr>
              <w:t xml:space="preserve">. A total of approximately 69,000 beneficiaries have been </w:t>
            </w:r>
            <w:r w:rsidR="0096563E" w:rsidRPr="002A77C6">
              <w:rPr>
                <w:rFonts w:ascii="Calibri" w:hAnsi="Calibri"/>
                <w:bCs/>
                <w:sz w:val="22"/>
                <w:szCs w:val="22"/>
              </w:rPr>
              <w:t>targeted through</w:t>
            </w:r>
            <w:r w:rsidR="0026008C" w:rsidRPr="002A77C6">
              <w:rPr>
                <w:rFonts w:ascii="Calibri" w:hAnsi="Calibri"/>
                <w:bCs/>
                <w:sz w:val="22"/>
                <w:szCs w:val="22"/>
              </w:rPr>
              <w:t xml:space="preserve"> CSAC projects in Blue Nile, South Kordofan, White Nile, Sennar, West Kordofan and North Kordofan.</w:t>
            </w:r>
          </w:p>
          <w:p w:rsidR="001F6694" w:rsidRPr="002A77C6" w:rsidRDefault="001F6694" w:rsidP="001F6694">
            <w:pPr>
              <w:pStyle w:val="BodyText2"/>
              <w:jc w:val="both"/>
              <w:rPr>
                <w:rFonts w:ascii="Calibri" w:hAnsi="Calibri"/>
                <w:bCs/>
                <w:sz w:val="22"/>
                <w:szCs w:val="22"/>
              </w:rPr>
            </w:pPr>
          </w:p>
          <w:p w:rsidR="0026008C" w:rsidRPr="002A77C6" w:rsidRDefault="0096563E" w:rsidP="001F6694">
            <w:pPr>
              <w:pStyle w:val="BodyText2"/>
              <w:jc w:val="both"/>
              <w:rPr>
                <w:rFonts w:ascii="Calibri" w:hAnsi="Calibri"/>
                <w:bCs/>
                <w:sz w:val="22"/>
                <w:szCs w:val="22"/>
              </w:rPr>
            </w:pPr>
            <w:r w:rsidRPr="002A77C6">
              <w:rPr>
                <w:rFonts w:ascii="Calibri" w:hAnsi="Calibri"/>
                <w:bCs/>
                <w:sz w:val="22"/>
                <w:szCs w:val="22"/>
              </w:rPr>
              <w:t>9 community</w:t>
            </w:r>
            <w:r w:rsidR="0026008C" w:rsidRPr="002A77C6">
              <w:rPr>
                <w:rFonts w:ascii="Calibri" w:hAnsi="Calibri"/>
                <w:bCs/>
                <w:sz w:val="22"/>
                <w:szCs w:val="22"/>
              </w:rPr>
              <w:t xml:space="preserve"> stabilization </w:t>
            </w:r>
            <w:r w:rsidR="00AA69E8">
              <w:rPr>
                <w:rFonts w:ascii="Calibri" w:hAnsi="Calibri"/>
                <w:bCs/>
                <w:sz w:val="22"/>
                <w:szCs w:val="22"/>
              </w:rPr>
              <w:t>initiatives</w:t>
            </w:r>
            <w:r w:rsidR="00AA69E8" w:rsidRPr="002A77C6">
              <w:rPr>
                <w:rFonts w:ascii="Calibri" w:hAnsi="Calibri"/>
                <w:bCs/>
                <w:sz w:val="22"/>
                <w:szCs w:val="22"/>
              </w:rPr>
              <w:t xml:space="preserve"> </w:t>
            </w:r>
            <w:r w:rsidRPr="002A77C6">
              <w:rPr>
                <w:rFonts w:ascii="Calibri" w:hAnsi="Calibri"/>
                <w:bCs/>
                <w:sz w:val="22"/>
                <w:szCs w:val="22"/>
              </w:rPr>
              <w:t>targeted four</w:t>
            </w:r>
            <w:r w:rsidR="0026008C" w:rsidRPr="002A77C6">
              <w:rPr>
                <w:rFonts w:ascii="Calibri" w:hAnsi="Calibri"/>
                <w:bCs/>
                <w:sz w:val="22"/>
                <w:szCs w:val="22"/>
              </w:rPr>
              <w:t xml:space="preserve"> southern states of Sudan </w:t>
            </w:r>
            <w:r w:rsidRPr="002A77C6">
              <w:rPr>
                <w:rFonts w:ascii="Calibri" w:hAnsi="Calibri"/>
                <w:bCs/>
                <w:sz w:val="22"/>
                <w:szCs w:val="22"/>
              </w:rPr>
              <w:t>targeting 1,975 direct</w:t>
            </w:r>
            <w:r w:rsidR="0026008C" w:rsidRPr="002A77C6">
              <w:rPr>
                <w:rFonts w:ascii="Calibri" w:hAnsi="Calibri"/>
                <w:bCs/>
                <w:sz w:val="22"/>
                <w:szCs w:val="22"/>
              </w:rPr>
              <w:t xml:space="preserve"> </w:t>
            </w:r>
            <w:r w:rsidRPr="002A77C6">
              <w:rPr>
                <w:rFonts w:ascii="Calibri" w:hAnsi="Calibri"/>
                <w:bCs/>
                <w:sz w:val="22"/>
                <w:szCs w:val="22"/>
              </w:rPr>
              <w:t>beneficiaries and</w:t>
            </w:r>
            <w:r w:rsidR="0026008C" w:rsidRPr="002A77C6">
              <w:rPr>
                <w:rFonts w:ascii="Calibri" w:hAnsi="Calibri"/>
                <w:bCs/>
                <w:sz w:val="22"/>
                <w:szCs w:val="22"/>
              </w:rPr>
              <w:t xml:space="preserve"> about 50,000 indirect </w:t>
            </w:r>
            <w:r w:rsidRPr="002A77C6">
              <w:rPr>
                <w:rFonts w:ascii="Calibri" w:hAnsi="Calibri"/>
                <w:bCs/>
                <w:sz w:val="22"/>
                <w:szCs w:val="22"/>
              </w:rPr>
              <w:t>beneficiaries of</w:t>
            </w:r>
            <w:r w:rsidR="0026008C" w:rsidRPr="002A77C6">
              <w:rPr>
                <w:rFonts w:ascii="Calibri" w:hAnsi="Calibri"/>
                <w:bCs/>
                <w:sz w:val="22"/>
                <w:szCs w:val="22"/>
              </w:rPr>
              <w:t xml:space="preserve"> </w:t>
            </w:r>
            <w:r w:rsidRPr="002A77C6">
              <w:rPr>
                <w:rFonts w:ascii="Calibri" w:hAnsi="Calibri"/>
                <w:bCs/>
                <w:sz w:val="22"/>
                <w:szCs w:val="22"/>
              </w:rPr>
              <w:t>the community</w:t>
            </w:r>
            <w:r w:rsidR="0026008C" w:rsidRPr="002A77C6">
              <w:rPr>
                <w:rFonts w:ascii="Calibri" w:hAnsi="Calibri"/>
                <w:bCs/>
                <w:sz w:val="22"/>
                <w:szCs w:val="22"/>
              </w:rPr>
              <w:t xml:space="preserve"> </w:t>
            </w:r>
            <w:r w:rsidRPr="002A77C6">
              <w:rPr>
                <w:rFonts w:ascii="Calibri" w:hAnsi="Calibri"/>
                <w:bCs/>
                <w:sz w:val="22"/>
                <w:szCs w:val="22"/>
              </w:rPr>
              <w:t>stabilizations initiatives</w:t>
            </w:r>
            <w:r w:rsidR="0026008C" w:rsidRPr="002A77C6">
              <w:rPr>
                <w:rFonts w:ascii="Calibri" w:hAnsi="Calibri"/>
                <w:bCs/>
                <w:sz w:val="22"/>
                <w:szCs w:val="22"/>
              </w:rPr>
              <w:t xml:space="preserve">.  </w:t>
            </w:r>
          </w:p>
          <w:p w:rsidR="001F6694" w:rsidRPr="002A77C6" w:rsidRDefault="001F6694" w:rsidP="0026008C">
            <w:pPr>
              <w:pStyle w:val="BodyText2"/>
              <w:jc w:val="both"/>
              <w:rPr>
                <w:rFonts w:ascii="Calibri" w:hAnsi="Calibri"/>
                <w:bCs/>
                <w:sz w:val="22"/>
                <w:szCs w:val="22"/>
              </w:rPr>
            </w:pPr>
          </w:p>
          <w:p w:rsidR="00411054" w:rsidRPr="002A77C6" w:rsidRDefault="0026008C" w:rsidP="00AA69E8">
            <w:pPr>
              <w:pStyle w:val="BodyText2"/>
              <w:jc w:val="both"/>
              <w:rPr>
                <w:rFonts w:ascii="Calibri" w:hAnsi="Calibri"/>
                <w:bCs/>
                <w:sz w:val="22"/>
                <w:szCs w:val="22"/>
              </w:rPr>
            </w:pPr>
            <w:r w:rsidRPr="002A77C6">
              <w:rPr>
                <w:rFonts w:ascii="Calibri" w:hAnsi="Calibri"/>
                <w:bCs/>
                <w:sz w:val="22"/>
                <w:szCs w:val="22"/>
              </w:rPr>
              <w:t xml:space="preserve">10 awareness initiatives and sensitization sessions conducted  on SALW ( 2015) </w:t>
            </w:r>
            <w:r w:rsidRPr="002A77C6">
              <w:rPr>
                <w:rFonts w:ascii="Calibri" w:hAnsi="Calibri"/>
                <w:bCs/>
                <w:sz w:val="22"/>
                <w:szCs w:val="22"/>
              </w:rPr>
              <w:tab/>
              <w:t>one Small Arms  cross border initiative  held in Addis Abba with the regional institutions</w:t>
            </w:r>
          </w:p>
        </w:tc>
      </w:tr>
      <w:tr w:rsidR="00411054" w:rsidRPr="002A77C6" w:rsidTr="00854EC9">
        <w:tc>
          <w:tcPr>
            <w:tcW w:w="14040" w:type="dxa"/>
            <w:gridSpan w:val="7"/>
          </w:tcPr>
          <w:p w:rsidR="00411054" w:rsidRDefault="00411054" w:rsidP="00854EC9">
            <w:pPr>
              <w:pStyle w:val="BodyText2"/>
              <w:jc w:val="both"/>
              <w:rPr>
                <w:rFonts w:ascii="Calibri" w:hAnsi="Calibri"/>
                <w:b/>
                <w:sz w:val="22"/>
                <w:szCs w:val="22"/>
              </w:rPr>
            </w:pPr>
            <w:r w:rsidRPr="002A77C6">
              <w:rPr>
                <w:rFonts w:ascii="Calibri" w:hAnsi="Calibri"/>
                <w:b/>
                <w:sz w:val="22"/>
                <w:szCs w:val="22"/>
              </w:rPr>
              <w:lastRenderedPageBreak/>
              <w:t>UNDP Contribution:</w:t>
            </w:r>
          </w:p>
          <w:p w:rsidR="00A51E63" w:rsidRPr="002A77C6" w:rsidRDefault="00A51E63" w:rsidP="00854EC9">
            <w:pPr>
              <w:pStyle w:val="BodyText2"/>
              <w:jc w:val="both"/>
              <w:rPr>
                <w:rFonts w:ascii="Calibri" w:hAnsi="Calibri"/>
                <w:b/>
                <w:sz w:val="22"/>
                <w:szCs w:val="22"/>
              </w:rPr>
            </w:pPr>
          </w:p>
          <w:p w:rsidR="00A51E63" w:rsidRDefault="00411054" w:rsidP="00854EC9">
            <w:pPr>
              <w:pStyle w:val="BodyText2"/>
              <w:jc w:val="both"/>
              <w:rPr>
                <w:rFonts w:ascii="Calibri" w:hAnsi="Calibri"/>
                <w:b/>
                <w:bCs/>
                <w:sz w:val="22"/>
                <w:szCs w:val="22"/>
              </w:rPr>
            </w:pPr>
            <w:r w:rsidRPr="002A77C6">
              <w:rPr>
                <w:rFonts w:ascii="Calibri" w:hAnsi="Calibri"/>
                <w:b/>
                <w:bCs/>
                <w:sz w:val="22"/>
                <w:szCs w:val="22"/>
                <w:u w:val="single"/>
              </w:rPr>
              <w:t>CP Outputs</w:t>
            </w:r>
            <w:r w:rsidRPr="002A77C6">
              <w:rPr>
                <w:rFonts w:ascii="Calibri" w:hAnsi="Calibri"/>
                <w:b/>
                <w:bCs/>
                <w:sz w:val="22"/>
                <w:szCs w:val="22"/>
              </w:rPr>
              <w:t xml:space="preserve">: </w:t>
            </w:r>
          </w:p>
          <w:p w:rsidR="00A51E63" w:rsidRPr="00BF3DB0" w:rsidRDefault="00A51E63" w:rsidP="00F70E41">
            <w:pPr>
              <w:pStyle w:val="BodyText2"/>
              <w:jc w:val="both"/>
              <w:rPr>
                <w:rFonts w:ascii="Calibri" w:hAnsi="Calibri"/>
                <w:bCs/>
                <w:sz w:val="22"/>
                <w:szCs w:val="22"/>
              </w:rPr>
            </w:pPr>
            <w:r w:rsidRPr="00BF3DB0">
              <w:rPr>
                <w:rFonts w:ascii="Calibri" w:hAnsi="Calibri"/>
                <w:bCs/>
                <w:sz w:val="22"/>
                <w:szCs w:val="22"/>
              </w:rPr>
              <w:t xml:space="preserve">(1) Durable solutions for IDPs, refugees supported through voluntary return, socioeconomic reintegration, restoration of community infrastructure or economic assets; </w:t>
            </w:r>
          </w:p>
          <w:p w:rsidR="00A51E63" w:rsidRPr="00BF3DB0" w:rsidRDefault="00A51E63" w:rsidP="00F70E41">
            <w:pPr>
              <w:pStyle w:val="BodyText2"/>
              <w:jc w:val="both"/>
              <w:rPr>
                <w:rFonts w:ascii="Calibri" w:hAnsi="Calibri"/>
                <w:bCs/>
                <w:sz w:val="22"/>
                <w:szCs w:val="22"/>
              </w:rPr>
            </w:pPr>
            <w:r w:rsidRPr="00BF3DB0">
              <w:rPr>
                <w:rFonts w:ascii="Calibri" w:hAnsi="Calibri"/>
                <w:bCs/>
                <w:sz w:val="22"/>
                <w:szCs w:val="22"/>
              </w:rPr>
              <w:t>(2) Social stability and community security improved through community infrastructure, capacity development, reintegration of ex-combatants, management of small arms/landmine threats, increased local capacities for effective social services.</w:t>
            </w:r>
          </w:p>
          <w:p w:rsidR="00A51E63" w:rsidRDefault="00A51E63" w:rsidP="00F70E41">
            <w:pPr>
              <w:pStyle w:val="BodyText2"/>
              <w:jc w:val="both"/>
              <w:rPr>
                <w:rFonts w:ascii="Calibri" w:hAnsi="Calibri"/>
                <w:b/>
                <w:bCs/>
                <w:sz w:val="22"/>
                <w:szCs w:val="22"/>
              </w:rPr>
            </w:pPr>
          </w:p>
          <w:p w:rsidR="00411054" w:rsidRPr="002A77C6" w:rsidRDefault="00411054" w:rsidP="00854EC9">
            <w:pPr>
              <w:pStyle w:val="BodyText2"/>
              <w:jc w:val="both"/>
              <w:rPr>
                <w:rFonts w:ascii="Calibri" w:hAnsi="Calibri"/>
                <w:b/>
                <w:bCs/>
                <w:sz w:val="22"/>
                <w:szCs w:val="22"/>
              </w:rPr>
            </w:pPr>
            <w:r w:rsidRPr="002A77C6">
              <w:rPr>
                <w:rFonts w:ascii="Calibri" w:hAnsi="Calibri"/>
                <w:b/>
                <w:bCs/>
                <w:sz w:val="22"/>
                <w:szCs w:val="22"/>
                <w:u w:val="single"/>
              </w:rPr>
              <w:t>Progress and Achievements</w:t>
            </w:r>
            <w:r w:rsidRPr="002A77C6">
              <w:rPr>
                <w:rFonts w:ascii="Calibri" w:hAnsi="Calibri"/>
                <w:b/>
                <w:bCs/>
                <w:sz w:val="22"/>
                <w:szCs w:val="22"/>
              </w:rPr>
              <w:t>:</w:t>
            </w:r>
          </w:p>
          <w:p w:rsidR="005726E8" w:rsidRPr="002A77C6" w:rsidRDefault="005726E8" w:rsidP="00854EC9">
            <w:pPr>
              <w:pStyle w:val="BodyText2"/>
              <w:jc w:val="both"/>
              <w:rPr>
                <w:rFonts w:ascii="Calibri" w:hAnsi="Calibri"/>
                <w:b/>
                <w:bCs/>
                <w:sz w:val="22"/>
                <w:szCs w:val="22"/>
              </w:rPr>
            </w:pPr>
          </w:p>
          <w:p w:rsidR="00411054" w:rsidRPr="002A77C6" w:rsidRDefault="00411054" w:rsidP="005726E8">
            <w:pPr>
              <w:pStyle w:val="BodyText2"/>
              <w:jc w:val="both"/>
              <w:rPr>
                <w:rFonts w:ascii="Calibri" w:hAnsi="Calibri"/>
                <w:b/>
                <w:sz w:val="22"/>
                <w:szCs w:val="22"/>
              </w:rPr>
            </w:pPr>
            <w:r w:rsidRPr="002A77C6">
              <w:rPr>
                <w:rFonts w:ascii="Calibri" w:hAnsi="Calibri"/>
                <w:sz w:val="22"/>
                <w:szCs w:val="22"/>
              </w:rPr>
              <w:t>UNDP played</w:t>
            </w:r>
            <w:r w:rsidR="00A51E63">
              <w:rPr>
                <w:rFonts w:ascii="Calibri" w:hAnsi="Calibri"/>
                <w:sz w:val="22"/>
                <w:szCs w:val="22"/>
              </w:rPr>
              <w:t xml:space="preserve"> a</w:t>
            </w:r>
            <w:r w:rsidRPr="002A77C6">
              <w:rPr>
                <w:rFonts w:ascii="Calibri" w:hAnsi="Calibri"/>
                <w:sz w:val="22"/>
                <w:szCs w:val="22"/>
              </w:rPr>
              <w:t xml:space="preserve"> significant role on the reintegration of the Ex-combats related to the different peace agreements in the </w:t>
            </w:r>
            <w:r w:rsidR="00A51E63" w:rsidRPr="002A77C6">
              <w:rPr>
                <w:rFonts w:ascii="Calibri" w:hAnsi="Calibri"/>
                <w:sz w:val="22"/>
                <w:szCs w:val="22"/>
              </w:rPr>
              <w:t>E</w:t>
            </w:r>
            <w:r w:rsidR="00A51E63">
              <w:rPr>
                <w:rFonts w:ascii="Calibri" w:hAnsi="Calibri"/>
                <w:sz w:val="22"/>
                <w:szCs w:val="22"/>
              </w:rPr>
              <w:t>ast</w:t>
            </w:r>
            <w:r w:rsidRPr="002A77C6">
              <w:rPr>
                <w:rFonts w:ascii="Calibri" w:hAnsi="Calibri"/>
                <w:sz w:val="22"/>
                <w:szCs w:val="22"/>
              </w:rPr>
              <w:t xml:space="preserve">, Darfur and the South. The UNDP </w:t>
            </w:r>
            <w:r w:rsidR="0096563E" w:rsidRPr="002A77C6">
              <w:rPr>
                <w:rFonts w:ascii="Calibri" w:hAnsi="Calibri"/>
                <w:sz w:val="22"/>
                <w:szCs w:val="22"/>
              </w:rPr>
              <w:t>role was</w:t>
            </w:r>
            <w:r w:rsidRPr="002A77C6">
              <w:rPr>
                <w:rFonts w:ascii="Calibri" w:hAnsi="Calibri"/>
                <w:sz w:val="22"/>
                <w:szCs w:val="22"/>
              </w:rPr>
              <w:t xml:space="preserve"> noticeable to the government and the international community. As stated in the UNDAF evaluation report </w:t>
            </w:r>
            <w:r w:rsidR="0096563E" w:rsidRPr="002A77C6">
              <w:rPr>
                <w:rFonts w:ascii="Calibri" w:hAnsi="Calibri"/>
                <w:sz w:val="22"/>
                <w:szCs w:val="22"/>
              </w:rPr>
              <w:t>finalized</w:t>
            </w:r>
            <w:r w:rsidRPr="002A77C6">
              <w:rPr>
                <w:rFonts w:ascii="Calibri" w:hAnsi="Calibri"/>
                <w:sz w:val="22"/>
                <w:szCs w:val="22"/>
              </w:rPr>
              <w:t xml:space="preserve"> in December 2015 , </w:t>
            </w:r>
            <w:r w:rsidRPr="002A77C6">
              <w:rPr>
                <w:rFonts w:ascii="Calibri" w:hAnsi="Calibri"/>
                <w:sz w:val="22"/>
                <w:szCs w:val="22"/>
              </w:rPr>
              <w:lastRenderedPageBreak/>
              <w:t>"UNDP peace-building initiatives produced tangible results in the various areas of conflict in Sudan, viz., Eastern Sudan, Darfur, South Kordofan, Blue Nile and Abyei. The results included: (i) individual economic reintegration ex-combatants in Blue Nile, South Kordofan and Darfur, where the UNDP played a vital role, especially in light of the ongoing conflict within Blue Nile state and South Kordofan state. Former fighters and – more recently – local community members through pilot projects, have been able to create viable livelihoods; decreasing their likelihood of re-joining or entering into conflict.</w:t>
            </w:r>
          </w:p>
          <w:p w:rsidR="00411054" w:rsidRPr="002A77C6" w:rsidRDefault="00411054" w:rsidP="00854EC9">
            <w:pPr>
              <w:pStyle w:val="BodyText2"/>
              <w:jc w:val="both"/>
              <w:rPr>
                <w:rFonts w:ascii="Calibri" w:hAnsi="Calibri"/>
                <w:sz w:val="22"/>
                <w:szCs w:val="22"/>
                <w:u w:val="single"/>
              </w:rPr>
            </w:pPr>
          </w:p>
          <w:p w:rsidR="008D0060" w:rsidRPr="002A77C6" w:rsidRDefault="004B4699" w:rsidP="008D0060">
            <w:pPr>
              <w:pStyle w:val="BodyText2"/>
              <w:rPr>
                <w:rFonts w:ascii="Calibri" w:hAnsi="Calibri"/>
                <w:sz w:val="22"/>
                <w:szCs w:val="22"/>
              </w:rPr>
            </w:pPr>
            <w:r>
              <w:rPr>
                <w:rFonts w:ascii="Calibri" w:hAnsi="Calibri"/>
                <w:sz w:val="22"/>
                <w:szCs w:val="22"/>
              </w:rPr>
              <w:t>UNDP</w:t>
            </w:r>
            <w:r w:rsidR="008D0060" w:rsidRPr="002A77C6">
              <w:rPr>
                <w:rFonts w:ascii="Calibri" w:hAnsi="Calibri"/>
                <w:sz w:val="22"/>
                <w:szCs w:val="22"/>
              </w:rPr>
              <w:t xml:space="preserve"> followed a bottom-up and participatory approach in the planning and implementation of interventions, focusing on the empowerment of women and reintegration of target groups (</w:t>
            </w:r>
            <w:r>
              <w:rPr>
                <w:rFonts w:ascii="Calibri" w:hAnsi="Calibri"/>
                <w:sz w:val="22"/>
                <w:szCs w:val="22"/>
              </w:rPr>
              <w:t>ex-combatants</w:t>
            </w:r>
            <w:r w:rsidR="008D0060" w:rsidRPr="002A77C6">
              <w:rPr>
                <w:rFonts w:ascii="Calibri" w:hAnsi="Calibri"/>
                <w:sz w:val="22"/>
                <w:szCs w:val="22"/>
              </w:rPr>
              <w:t xml:space="preserve">,) into civilian life, strongly supporting the programme’s sustainability. Approximately </w:t>
            </w:r>
            <w:r w:rsidR="008D0060" w:rsidRPr="002A77C6">
              <w:rPr>
                <w:rFonts w:ascii="Calibri" w:hAnsi="Calibri"/>
                <w:bCs/>
                <w:sz w:val="22"/>
                <w:szCs w:val="22"/>
              </w:rPr>
              <w:t>72% (</w:t>
            </w:r>
            <w:r w:rsidR="008D0060" w:rsidRPr="002A77C6">
              <w:rPr>
                <w:rFonts w:ascii="Calibri" w:hAnsi="Calibri"/>
                <w:bCs/>
                <w:i/>
                <w:sz w:val="22"/>
                <w:szCs w:val="22"/>
              </w:rPr>
              <w:t>26,112</w:t>
            </w:r>
            <w:r w:rsidR="008D0060" w:rsidRPr="002A77C6">
              <w:rPr>
                <w:rFonts w:ascii="Calibri" w:hAnsi="Calibri"/>
                <w:bCs/>
                <w:sz w:val="22"/>
                <w:szCs w:val="22"/>
              </w:rPr>
              <w:t>)</w:t>
            </w:r>
            <w:r w:rsidR="008D0060" w:rsidRPr="002A77C6">
              <w:rPr>
                <w:rFonts w:ascii="Calibri" w:hAnsi="Calibri"/>
                <w:sz w:val="22"/>
                <w:szCs w:val="22"/>
              </w:rPr>
              <w:t xml:space="preserve"> out of the </w:t>
            </w:r>
            <w:r w:rsidR="008D0060" w:rsidRPr="002A77C6">
              <w:rPr>
                <w:rFonts w:ascii="Calibri" w:hAnsi="Calibri"/>
                <w:b/>
                <w:sz w:val="22"/>
                <w:szCs w:val="22"/>
              </w:rPr>
              <w:t>36,251</w:t>
            </w:r>
            <w:r w:rsidR="008D0060" w:rsidRPr="002A77C6">
              <w:rPr>
                <w:rFonts w:ascii="Calibri" w:hAnsi="Calibri"/>
                <w:sz w:val="22"/>
                <w:szCs w:val="22"/>
              </w:rPr>
              <w:t xml:space="preserve"> demobilized fighters (approximately </w:t>
            </w:r>
            <w:r w:rsidR="008D0060" w:rsidRPr="002A77C6">
              <w:rPr>
                <w:rFonts w:ascii="Calibri" w:hAnsi="Calibri"/>
                <w:bCs/>
                <w:sz w:val="22"/>
                <w:szCs w:val="22"/>
              </w:rPr>
              <w:t>17</w:t>
            </w:r>
            <w:r w:rsidR="008D0060" w:rsidRPr="002A77C6">
              <w:rPr>
                <w:rFonts w:ascii="Calibri" w:hAnsi="Calibri"/>
                <w:bCs/>
                <w:i/>
                <w:sz w:val="22"/>
                <w:szCs w:val="22"/>
              </w:rPr>
              <w:t>% women</w:t>
            </w:r>
            <w:r w:rsidR="008D0060" w:rsidRPr="002A77C6">
              <w:rPr>
                <w:rFonts w:ascii="Calibri" w:hAnsi="Calibri"/>
                <w:sz w:val="22"/>
                <w:szCs w:val="22"/>
              </w:rPr>
              <w:t xml:space="preserve">) have received reintegration support. Communities’ reintegration and recovery efforts have progressed; furthermore, they continue to see improved resiliency to violence despite ongoing conflict in the region. Positive feedback from beneficiaries and communities validates that there is an alternative to fighting as a livelihood and demonstrates tangible peace dividends for communities. </w:t>
            </w:r>
          </w:p>
          <w:p w:rsidR="008D0060" w:rsidRPr="002A77C6" w:rsidRDefault="008D0060" w:rsidP="008D0060">
            <w:pPr>
              <w:pStyle w:val="BodyText2"/>
              <w:rPr>
                <w:rFonts w:ascii="Calibri" w:hAnsi="Calibri"/>
                <w:sz w:val="22"/>
                <w:szCs w:val="22"/>
              </w:rPr>
            </w:pPr>
          </w:p>
          <w:p w:rsidR="008D0060" w:rsidRPr="002A77C6" w:rsidRDefault="008D0060" w:rsidP="008D0060">
            <w:pPr>
              <w:pStyle w:val="BodyText2"/>
              <w:rPr>
                <w:rFonts w:ascii="Calibri" w:hAnsi="Calibri"/>
                <w:sz w:val="22"/>
                <w:szCs w:val="22"/>
              </w:rPr>
            </w:pPr>
            <w:r w:rsidRPr="002A77C6">
              <w:rPr>
                <w:rFonts w:ascii="Calibri" w:hAnsi="Calibri"/>
                <w:sz w:val="22"/>
                <w:szCs w:val="22"/>
              </w:rPr>
              <w:t>Community Security and Arms Control (CSAC</w:t>
            </w:r>
            <w:r w:rsidR="00257DBA" w:rsidRPr="002A77C6">
              <w:rPr>
                <w:rFonts w:ascii="Calibri" w:hAnsi="Calibri"/>
                <w:sz w:val="22"/>
                <w:szCs w:val="22"/>
              </w:rPr>
              <w:t xml:space="preserve">) </w:t>
            </w:r>
            <w:r w:rsidR="004B4699">
              <w:rPr>
                <w:rFonts w:ascii="Calibri" w:hAnsi="Calibri"/>
                <w:sz w:val="22"/>
                <w:szCs w:val="22"/>
              </w:rPr>
              <w:t>initiatives</w:t>
            </w:r>
            <w:r w:rsidR="004B4699" w:rsidRPr="002A77C6">
              <w:rPr>
                <w:rFonts w:ascii="Calibri" w:hAnsi="Calibri"/>
                <w:sz w:val="22"/>
                <w:szCs w:val="22"/>
              </w:rPr>
              <w:t xml:space="preserve"> </w:t>
            </w:r>
            <w:r w:rsidRPr="002A77C6">
              <w:rPr>
                <w:rFonts w:ascii="Calibri" w:hAnsi="Calibri"/>
                <w:sz w:val="22"/>
                <w:szCs w:val="22"/>
              </w:rPr>
              <w:t xml:space="preserve">have diversified based on previous lessons learned and in an attempt to spread out the benefits to a larger target groups. </w:t>
            </w:r>
            <w:r w:rsidR="004B4699">
              <w:rPr>
                <w:rFonts w:ascii="Calibri" w:hAnsi="Calibri"/>
                <w:sz w:val="22"/>
                <w:szCs w:val="22"/>
              </w:rPr>
              <w:t>T</w:t>
            </w:r>
            <w:r w:rsidRPr="002A77C6">
              <w:rPr>
                <w:rFonts w:ascii="Calibri" w:hAnsi="Calibri"/>
                <w:sz w:val="22"/>
                <w:szCs w:val="22"/>
              </w:rPr>
              <w:t xml:space="preserve">his enabled </w:t>
            </w:r>
            <w:r w:rsidR="004B4699">
              <w:rPr>
                <w:rFonts w:ascii="Calibri" w:hAnsi="Calibri"/>
                <w:sz w:val="22"/>
                <w:szCs w:val="22"/>
              </w:rPr>
              <w:t>UNDP</w:t>
            </w:r>
            <w:r w:rsidRPr="002A77C6">
              <w:rPr>
                <w:rFonts w:ascii="Calibri" w:hAnsi="Calibri"/>
                <w:sz w:val="22"/>
                <w:szCs w:val="22"/>
              </w:rPr>
              <w:t xml:space="preserve"> to contribute </w:t>
            </w:r>
            <w:r w:rsidR="0096563E" w:rsidRPr="002A77C6">
              <w:rPr>
                <w:rFonts w:ascii="Calibri" w:hAnsi="Calibri"/>
                <w:sz w:val="22"/>
                <w:szCs w:val="22"/>
              </w:rPr>
              <w:t>towards an</w:t>
            </w:r>
            <w:r w:rsidRPr="002A77C6">
              <w:rPr>
                <w:rFonts w:ascii="Calibri" w:hAnsi="Calibri"/>
                <w:sz w:val="22"/>
                <w:szCs w:val="22"/>
              </w:rPr>
              <w:t xml:space="preserve"> effective mechanisms for consolidating peace and social cohesion. Currently, a total of </w:t>
            </w:r>
            <w:r w:rsidRPr="002A77C6">
              <w:rPr>
                <w:rFonts w:ascii="Calibri" w:hAnsi="Calibri"/>
                <w:bCs/>
                <w:sz w:val="22"/>
                <w:szCs w:val="22"/>
              </w:rPr>
              <w:t>16,000</w:t>
            </w:r>
            <w:r w:rsidRPr="002A77C6">
              <w:rPr>
                <w:rFonts w:ascii="Calibri" w:hAnsi="Calibri"/>
                <w:sz w:val="22"/>
                <w:szCs w:val="22"/>
              </w:rPr>
              <w:t xml:space="preserve"> people have benefitted from </w:t>
            </w:r>
            <w:r w:rsidR="004B4699">
              <w:rPr>
                <w:rFonts w:ascii="Calibri" w:hAnsi="Calibri"/>
                <w:sz w:val="22"/>
                <w:szCs w:val="22"/>
              </w:rPr>
              <w:t>UNDP’s support</w:t>
            </w:r>
            <w:r w:rsidRPr="002A77C6">
              <w:rPr>
                <w:rFonts w:ascii="Calibri" w:hAnsi="Calibri"/>
                <w:sz w:val="22"/>
                <w:szCs w:val="22"/>
              </w:rPr>
              <w:t xml:space="preserve">. A total of approximately </w:t>
            </w:r>
            <w:r w:rsidRPr="002A77C6">
              <w:rPr>
                <w:rFonts w:ascii="Calibri" w:hAnsi="Calibri"/>
                <w:bCs/>
                <w:sz w:val="22"/>
                <w:szCs w:val="22"/>
              </w:rPr>
              <w:t>69,000</w:t>
            </w:r>
            <w:r w:rsidRPr="002A77C6">
              <w:rPr>
                <w:rFonts w:ascii="Calibri" w:hAnsi="Calibri"/>
                <w:b/>
                <w:sz w:val="22"/>
                <w:szCs w:val="22"/>
              </w:rPr>
              <w:t xml:space="preserve"> </w:t>
            </w:r>
            <w:r w:rsidRPr="002A77C6">
              <w:rPr>
                <w:rFonts w:ascii="Calibri" w:hAnsi="Calibri"/>
                <w:sz w:val="22"/>
                <w:szCs w:val="22"/>
              </w:rPr>
              <w:t xml:space="preserve">beneficiaries have been </w:t>
            </w:r>
            <w:r w:rsidR="0096563E" w:rsidRPr="002A77C6">
              <w:rPr>
                <w:rFonts w:ascii="Calibri" w:hAnsi="Calibri"/>
                <w:sz w:val="22"/>
                <w:szCs w:val="22"/>
              </w:rPr>
              <w:t xml:space="preserve">targeted </w:t>
            </w:r>
            <w:r w:rsidRPr="002A77C6">
              <w:rPr>
                <w:rFonts w:ascii="Calibri" w:hAnsi="Calibri"/>
                <w:sz w:val="22"/>
                <w:szCs w:val="22"/>
              </w:rPr>
              <w:t>in Blue Nile, South Kordofan, White Nile, Sennar, West Kordofan and North Kordofan.</w:t>
            </w:r>
          </w:p>
          <w:p w:rsidR="008D0060" w:rsidRPr="002A77C6" w:rsidRDefault="008D0060" w:rsidP="008D0060">
            <w:pPr>
              <w:pStyle w:val="BodyText2"/>
              <w:rPr>
                <w:rFonts w:ascii="Calibri" w:hAnsi="Calibri"/>
                <w:sz w:val="22"/>
                <w:szCs w:val="22"/>
              </w:rPr>
            </w:pPr>
          </w:p>
          <w:p w:rsidR="008D0060" w:rsidRPr="002A77C6" w:rsidRDefault="008D0060" w:rsidP="008D0060">
            <w:pPr>
              <w:pStyle w:val="BodyText2"/>
              <w:rPr>
                <w:rFonts w:ascii="Calibri" w:hAnsi="Calibri"/>
                <w:sz w:val="22"/>
                <w:szCs w:val="22"/>
              </w:rPr>
            </w:pPr>
            <w:r w:rsidRPr="002A77C6">
              <w:rPr>
                <w:rFonts w:ascii="Calibri" w:hAnsi="Calibri"/>
                <w:sz w:val="22"/>
                <w:szCs w:val="22"/>
              </w:rPr>
              <w:t xml:space="preserve">Community based reintegration </w:t>
            </w:r>
            <w:r w:rsidR="00265ED6">
              <w:rPr>
                <w:rFonts w:ascii="Calibri" w:hAnsi="Calibri"/>
                <w:sz w:val="22"/>
                <w:szCs w:val="22"/>
              </w:rPr>
              <w:t>initiatives</w:t>
            </w:r>
            <w:r w:rsidR="00265ED6" w:rsidRPr="002A77C6">
              <w:rPr>
                <w:rFonts w:ascii="Calibri" w:hAnsi="Calibri"/>
                <w:sz w:val="22"/>
                <w:szCs w:val="22"/>
              </w:rPr>
              <w:t xml:space="preserve"> </w:t>
            </w:r>
            <w:r w:rsidRPr="002A77C6">
              <w:rPr>
                <w:rFonts w:ascii="Calibri" w:hAnsi="Calibri"/>
                <w:sz w:val="22"/>
                <w:szCs w:val="22"/>
              </w:rPr>
              <w:t>were piloted in the states of Southern Kordofan, White Nile and Blue Nile in 2013 and 2014 in a bid to a gradual shift from individual assistance to community-based assistance which simultaneously targeted ex-combatants and civilians. The approach resulted in valuable lessons learned and best practices in terms of sustainability and context specific interventions. These evidences have informed the current Community Security and Stabilization (C2SP)</w:t>
            </w:r>
            <w:r w:rsidR="0096563E" w:rsidRPr="002A77C6">
              <w:rPr>
                <w:rFonts w:ascii="Calibri" w:hAnsi="Calibri"/>
                <w:sz w:val="22"/>
                <w:szCs w:val="22"/>
              </w:rPr>
              <w:t xml:space="preserve"> </w:t>
            </w:r>
            <w:r w:rsidRPr="002A77C6">
              <w:rPr>
                <w:rFonts w:ascii="Calibri" w:hAnsi="Calibri"/>
                <w:sz w:val="22"/>
                <w:szCs w:val="22"/>
              </w:rPr>
              <w:t xml:space="preserve">approach. </w:t>
            </w:r>
          </w:p>
          <w:p w:rsidR="008D0060" w:rsidRPr="002A77C6" w:rsidRDefault="008D0060" w:rsidP="008D0060">
            <w:pPr>
              <w:pStyle w:val="BodyText2"/>
              <w:rPr>
                <w:rFonts w:ascii="Calibri" w:hAnsi="Calibri"/>
                <w:sz w:val="22"/>
                <w:szCs w:val="22"/>
              </w:rPr>
            </w:pPr>
          </w:p>
          <w:p w:rsidR="008D0060" w:rsidRPr="002A77C6" w:rsidRDefault="008D0060" w:rsidP="008D0060">
            <w:pPr>
              <w:pStyle w:val="BodyText2"/>
              <w:rPr>
                <w:rFonts w:ascii="Calibri" w:hAnsi="Calibri"/>
                <w:bCs/>
                <w:sz w:val="22"/>
                <w:szCs w:val="22"/>
              </w:rPr>
            </w:pPr>
            <w:r w:rsidRPr="002A77C6">
              <w:rPr>
                <w:rFonts w:ascii="Calibri" w:hAnsi="Calibri"/>
                <w:bCs/>
                <w:sz w:val="22"/>
                <w:szCs w:val="22"/>
              </w:rPr>
              <w:t xml:space="preserve">Through </w:t>
            </w:r>
            <w:r w:rsidR="004B4699">
              <w:rPr>
                <w:rFonts w:ascii="Calibri" w:hAnsi="Calibri"/>
                <w:bCs/>
                <w:sz w:val="22"/>
                <w:szCs w:val="22"/>
              </w:rPr>
              <w:t xml:space="preserve">UNDP supported </w:t>
            </w:r>
            <w:r w:rsidRPr="002A77C6">
              <w:rPr>
                <w:rFonts w:ascii="Calibri" w:hAnsi="Calibri"/>
                <w:bCs/>
                <w:sz w:val="22"/>
                <w:szCs w:val="22"/>
              </w:rPr>
              <w:t xml:space="preserve">infrastructure/economic assets/livelihood interventions in 4 states; 51%  of the total </w:t>
            </w:r>
            <w:r w:rsidRPr="002A77C6">
              <w:rPr>
                <w:rFonts w:ascii="Calibri" w:hAnsi="Calibri"/>
                <w:b/>
                <w:sz w:val="22"/>
                <w:szCs w:val="22"/>
              </w:rPr>
              <w:t xml:space="preserve"> </w:t>
            </w:r>
            <w:r w:rsidRPr="002A77C6">
              <w:rPr>
                <w:rFonts w:ascii="Calibri" w:hAnsi="Calibri"/>
                <w:bCs/>
                <w:sz w:val="22"/>
                <w:szCs w:val="22"/>
              </w:rPr>
              <w:t xml:space="preserve">1,839 direct beneficiaries are vulnerable unemployed youth of both female and male community members and approximately 50,000 indirect beneficiaries that include IDPs, refugees and other community members are targeted. The interventions are further aimed to enhance stability and peace building by strengthening the resilience of communities prone to potential conflicts in these “transitional areas” and promoting its recovery through the involvement and active participation of Community Management Committees (CMC’s) trained to manage the socio economic infrastructure/assets . </w:t>
            </w:r>
          </w:p>
          <w:p w:rsidR="008D0060" w:rsidRPr="002A77C6" w:rsidRDefault="008D0060" w:rsidP="008D0060">
            <w:pPr>
              <w:pStyle w:val="BodyText2"/>
              <w:rPr>
                <w:rFonts w:ascii="Calibri" w:hAnsi="Calibri"/>
                <w:bCs/>
                <w:sz w:val="22"/>
                <w:szCs w:val="22"/>
              </w:rPr>
            </w:pPr>
            <w:r w:rsidRPr="002A77C6">
              <w:rPr>
                <w:rFonts w:ascii="Calibri" w:hAnsi="Calibri"/>
                <w:bCs/>
                <w:sz w:val="22"/>
                <w:szCs w:val="22"/>
              </w:rPr>
              <w:t xml:space="preserve"> </w:t>
            </w:r>
          </w:p>
          <w:p w:rsidR="008D0060" w:rsidRPr="002A77C6" w:rsidRDefault="004B4699" w:rsidP="008D0060">
            <w:pPr>
              <w:pStyle w:val="BodyText2"/>
              <w:rPr>
                <w:rFonts w:ascii="Calibri" w:hAnsi="Calibri"/>
                <w:bCs/>
                <w:sz w:val="22"/>
                <w:szCs w:val="22"/>
              </w:rPr>
            </w:pPr>
            <w:r>
              <w:rPr>
                <w:rFonts w:ascii="Calibri" w:hAnsi="Calibri"/>
                <w:bCs/>
                <w:sz w:val="22"/>
                <w:szCs w:val="22"/>
              </w:rPr>
              <w:t>UNDP</w:t>
            </w:r>
            <w:r w:rsidRPr="002A77C6">
              <w:rPr>
                <w:rFonts w:ascii="Calibri" w:hAnsi="Calibri"/>
                <w:bCs/>
                <w:sz w:val="22"/>
                <w:szCs w:val="22"/>
              </w:rPr>
              <w:t xml:space="preserve"> </w:t>
            </w:r>
            <w:r w:rsidR="008D0060" w:rsidRPr="002A77C6">
              <w:rPr>
                <w:rFonts w:ascii="Calibri" w:hAnsi="Calibri"/>
                <w:bCs/>
                <w:sz w:val="22"/>
                <w:szCs w:val="22"/>
              </w:rPr>
              <w:t>contributed to the stability and resilience of unemployed youth (men and women) who have the potential to be radicalized and mobilized to join violent extremists groups and conflicts</w:t>
            </w:r>
            <w:r>
              <w:rPr>
                <w:rFonts w:ascii="Calibri" w:hAnsi="Calibri"/>
                <w:bCs/>
                <w:sz w:val="22"/>
                <w:szCs w:val="22"/>
              </w:rPr>
              <w:t>,</w:t>
            </w:r>
            <w:r w:rsidR="008D0060" w:rsidRPr="002A77C6">
              <w:rPr>
                <w:rFonts w:ascii="Calibri" w:hAnsi="Calibri"/>
                <w:bCs/>
                <w:sz w:val="22"/>
                <w:szCs w:val="22"/>
              </w:rPr>
              <w:t xml:space="preserve"> as well as the selected communities at the risk of being drawn into conflicts in </w:t>
            </w:r>
            <w:r w:rsidR="0096563E" w:rsidRPr="002A77C6">
              <w:rPr>
                <w:rFonts w:ascii="Calibri" w:hAnsi="Calibri"/>
                <w:bCs/>
                <w:sz w:val="22"/>
                <w:szCs w:val="22"/>
              </w:rPr>
              <w:t>the border</w:t>
            </w:r>
            <w:r w:rsidR="008D0060" w:rsidRPr="002A77C6">
              <w:rPr>
                <w:rFonts w:ascii="Calibri" w:hAnsi="Calibri"/>
                <w:bCs/>
                <w:sz w:val="22"/>
                <w:szCs w:val="22"/>
              </w:rPr>
              <w:t xml:space="preserve"> </w:t>
            </w:r>
            <w:r w:rsidR="0096563E" w:rsidRPr="002A77C6">
              <w:rPr>
                <w:rFonts w:ascii="Calibri" w:hAnsi="Calibri"/>
                <w:bCs/>
                <w:sz w:val="22"/>
                <w:szCs w:val="22"/>
              </w:rPr>
              <w:t xml:space="preserve">areas. </w:t>
            </w:r>
            <w:r w:rsidR="008D0060" w:rsidRPr="002A77C6">
              <w:rPr>
                <w:rFonts w:ascii="Calibri" w:hAnsi="Calibri"/>
                <w:bCs/>
                <w:sz w:val="22"/>
                <w:szCs w:val="22"/>
              </w:rPr>
              <w:t xml:space="preserve">Youth consists of 40% of population in the </w:t>
            </w:r>
            <w:r w:rsidR="0096563E" w:rsidRPr="002A77C6">
              <w:rPr>
                <w:rFonts w:ascii="Calibri" w:hAnsi="Calibri"/>
                <w:bCs/>
                <w:sz w:val="22"/>
                <w:szCs w:val="22"/>
              </w:rPr>
              <w:t>four target</w:t>
            </w:r>
            <w:r w:rsidR="008D0060" w:rsidRPr="002A77C6">
              <w:rPr>
                <w:rFonts w:ascii="Calibri" w:hAnsi="Calibri"/>
                <w:bCs/>
                <w:sz w:val="22"/>
                <w:szCs w:val="22"/>
              </w:rPr>
              <w:t xml:space="preserve"> states where 63% are unemployed, thus making them vulnerable to be mobilized or join the conflicts if no alternatives for livelihoods are available</w:t>
            </w:r>
            <w:r w:rsidR="00AA69E8" w:rsidRPr="002A77C6">
              <w:rPr>
                <w:rFonts w:ascii="Calibri" w:hAnsi="Calibri"/>
                <w:bCs/>
                <w:sz w:val="22"/>
                <w:szCs w:val="22"/>
              </w:rPr>
              <w:t>.</w:t>
            </w:r>
            <w:r w:rsidR="008D0060" w:rsidRPr="002A77C6">
              <w:rPr>
                <w:rFonts w:ascii="Calibri" w:hAnsi="Calibri"/>
                <w:bCs/>
                <w:sz w:val="22"/>
                <w:szCs w:val="22"/>
              </w:rPr>
              <w:t xml:space="preserve"> </w:t>
            </w:r>
            <w:r>
              <w:rPr>
                <w:rFonts w:ascii="Calibri" w:hAnsi="Calibri"/>
                <w:bCs/>
                <w:sz w:val="22"/>
                <w:szCs w:val="22"/>
              </w:rPr>
              <w:t>T</w:t>
            </w:r>
            <w:r w:rsidRPr="002A77C6">
              <w:rPr>
                <w:rFonts w:ascii="Calibri" w:hAnsi="Calibri"/>
                <w:bCs/>
                <w:sz w:val="22"/>
                <w:szCs w:val="22"/>
              </w:rPr>
              <w:t xml:space="preserve">here </w:t>
            </w:r>
            <w:r>
              <w:rPr>
                <w:rFonts w:ascii="Calibri" w:hAnsi="Calibri"/>
                <w:bCs/>
                <w:sz w:val="22"/>
                <w:szCs w:val="22"/>
              </w:rPr>
              <w:t xml:space="preserve">are recent </w:t>
            </w:r>
            <w:r w:rsidR="008D0060" w:rsidRPr="002A77C6">
              <w:rPr>
                <w:rFonts w:ascii="Calibri" w:hAnsi="Calibri"/>
                <w:bCs/>
                <w:sz w:val="22"/>
                <w:szCs w:val="22"/>
              </w:rPr>
              <w:t xml:space="preserve">reports of youth being mobilized </w:t>
            </w:r>
            <w:r>
              <w:rPr>
                <w:rFonts w:ascii="Calibri" w:hAnsi="Calibri"/>
                <w:bCs/>
                <w:sz w:val="22"/>
                <w:szCs w:val="22"/>
              </w:rPr>
              <w:t>to</w:t>
            </w:r>
            <w:r w:rsidR="008D0060" w:rsidRPr="002A77C6">
              <w:rPr>
                <w:rFonts w:ascii="Calibri" w:hAnsi="Calibri"/>
                <w:bCs/>
                <w:sz w:val="22"/>
                <w:szCs w:val="22"/>
              </w:rPr>
              <w:t xml:space="preserve"> join the conflicts in Sudan but also ISIS. </w:t>
            </w:r>
            <w:r>
              <w:rPr>
                <w:rFonts w:ascii="Calibri" w:hAnsi="Calibri"/>
                <w:bCs/>
                <w:sz w:val="22"/>
                <w:szCs w:val="22"/>
              </w:rPr>
              <w:t xml:space="preserve">Risk of </w:t>
            </w:r>
            <w:r w:rsidR="008D0060" w:rsidRPr="002A77C6">
              <w:rPr>
                <w:rFonts w:ascii="Calibri" w:hAnsi="Calibri"/>
                <w:bCs/>
                <w:sz w:val="22"/>
                <w:szCs w:val="22"/>
              </w:rPr>
              <w:t xml:space="preserve">violent </w:t>
            </w:r>
            <w:r w:rsidR="0096563E" w:rsidRPr="002A77C6">
              <w:rPr>
                <w:rFonts w:ascii="Calibri" w:hAnsi="Calibri"/>
                <w:bCs/>
                <w:sz w:val="22"/>
                <w:szCs w:val="22"/>
              </w:rPr>
              <w:t>behavior is</w:t>
            </w:r>
            <w:r w:rsidR="008D0060" w:rsidRPr="002A77C6">
              <w:rPr>
                <w:rFonts w:ascii="Calibri" w:hAnsi="Calibri"/>
                <w:bCs/>
                <w:sz w:val="22"/>
                <w:szCs w:val="22"/>
              </w:rPr>
              <w:t xml:space="preserve"> further exacerbated due to absence of economic opportunities, and availability of small arms.</w:t>
            </w:r>
            <w:r w:rsidR="00AA69E8">
              <w:rPr>
                <w:rFonts w:ascii="Calibri" w:hAnsi="Calibri"/>
                <w:bCs/>
                <w:sz w:val="22"/>
                <w:szCs w:val="22"/>
              </w:rPr>
              <w:t xml:space="preserve"> </w:t>
            </w:r>
            <w:r w:rsidR="0096563E" w:rsidRPr="002A77C6">
              <w:rPr>
                <w:rFonts w:ascii="Calibri" w:hAnsi="Calibri"/>
                <w:bCs/>
                <w:sz w:val="22"/>
                <w:szCs w:val="22"/>
              </w:rPr>
              <w:t>A (</w:t>
            </w:r>
            <w:r w:rsidR="008D0060" w:rsidRPr="002A77C6">
              <w:rPr>
                <w:rFonts w:ascii="Calibri" w:hAnsi="Calibri"/>
                <w:bCs/>
                <w:sz w:val="22"/>
                <w:szCs w:val="22"/>
              </w:rPr>
              <w:t>4</w:t>
            </w:r>
            <w:r w:rsidR="0096563E" w:rsidRPr="002A77C6">
              <w:rPr>
                <w:rFonts w:ascii="Calibri" w:hAnsi="Calibri"/>
                <w:bCs/>
                <w:sz w:val="22"/>
                <w:szCs w:val="22"/>
              </w:rPr>
              <w:t>) four days’</w:t>
            </w:r>
            <w:r w:rsidR="008D0060" w:rsidRPr="002A77C6">
              <w:rPr>
                <w:rFonts w:ascii="Calibri" w:hAnsi="Calibri"/>
                <w:bCs/>
                <w:sz w:val="22"/>
                <w:szCs w:val="22"/>
              </w:rPr>
              <w:t xml:space="preserve"> workshop was organized </w:t>
            </w:r>
            <w:r w:rsidR="0096563E" w:rsidRPr="002A77C6">
              <w:rPr>
                <w:rFonts w:ascii="Calibri" w:hAnsi="Calibri"/>
                <w:bCs/>
                <w:sz w:val="22"/>
                <w:szCs w:val="22"/>
              </w:rPr>
              <w:t xml:space="preserve">to </w:t>
            </w:r>
            <w:r>
              <w:rPr>
                <w:rFonts w:ascii="Calibri" w:hAnsi="Calibri"/>
                <w:bCs/>
                <w:sz w:val="22"/>
                <w:szCs w:val="22"/>
              </w:rPr>
              <w:t>identify</w:t>
            </w:r>
            <w:r w:rsidRPr="002A77C6">
              <w:rPr>
                <w:rFonts w:ascii="Calibri" w:hAnsi="Calibri"/>
                <w:bCs/>
                <w:sz w:val="22"/>
                <w:szCs w:val="22"/>
              </w:rPr>
              <w:t xml:space="preserve"> </w:t>
            </w:r>
            <w:r w:rsidR="008D0060" w:rsidRPr="002A77C6">
              <w:rPr>
                <w:rFonts w:ascii="Calibri" w:hAnsi="Calibri"/>
                <w:bCs/>
                <w:sz w:val="22"/>
                <w:szCs w:val="22"/>
              </w:rPr>
              <w:t xml:space="preserve">immerging issues and design appropriate </w:t>
            </w:r>
            <w:r w:rsidRPr="002A77C6">
              <w:rPr>
                <w:rFonts w:ascii="Calibri" w:hAnsi="Calibri"/>
                <w:bCs/>
                <w:sz w:val="22"/>
                <w:szCs w:val="22"/>
              </w:rPr>
              <w:t>interventions to</w:t>
            </w:r>
            <w:r w:rsidR="008D0060" w:rsidRPr="002A77C6">
              <w:rPr>
                <w:rFonts w:ascii="Calibri" w:hAnsi="Calibri"/>
                <w:bCs/>
                <w:sz w:val="22"/>
                <w:szCs w:val="22"/>
              </w:rPr>
              <w:t xml:space="preserve"> </w:t>
            </w:r>
            <w:r>
              <w:rPr>
                <w:rFonts w:ascii="Calibri" w:hAnsi="Calibri"/>
                <w:bCs/>
                <w:sz w:val="22"/>
                <w:szCs w:val="22"/>
              </w:rPr>
              <w:t>support</w:t>
            </w:r>
            <w:r w:rsidRPr="002A77C6">
              <w:rPr>
                <w:rFonts w:ascii="Calibri" w:hAnsi="Calibri"/>
                <w:bCs/>
                <w:sz w:val="22"/>
                <w:szCs w:val="22"/>
              </w:rPr>
              <w:t xml:space="preserve"> </w:t>
            </w:r>
            <w:r w:rsidR="0096563E" w:rsidRPr="002A77C6">
              <w:rPr>
                <w:rFonts w:ascii="Calibri" w:hAnsi="Calibri"/>
                <w:bCs/>
                <w:sz w:val="22"/>
                <w:szCs w:val="22"/>
              </w:rPr>
              <w:t>stabilization</w:t>
            </w:r>
            <w:r w:rsidR="008D0060" w:rsidRPr="002A77C6">
              <w:rPr>
                <w:rFonts w:ascii="Calibri" w:hAnsi="Calibri"/>
                <w:bCs/>
                <w:sz w:val="22"/>
                <w:szCs w:val="22"/>
              </w:rPr>
              <w:t xml:space="preserve">. The </w:t>
            </w:r>
            <w:r w:rsidR="0096563E" w:rsidRPr="002A77C6">
              <w:rPr>
                <w:rFonts w:ascii="Calibri" w:hAnsi="Calibri"/>
                <w:bCs/>
                <w:sz w:val="22"/>
                <w:szCs w:val="22"/>
              </w:rPr>
              <w:t>objective was</w:t>
            </w:r>
            <w:r w:rsidR="008D0060" w:rsidRPr="002A77C6">
              <w:rPr>
                <w:rFonts w:ascii="Calibri" w:hAnsi="Calibri"/>
                <w:bCs/>
                <w:sz w:val="22"/>
                <w:szCs w:val="22"/>
              </w:rPr>
              <w:t xml:space="preserve"> to understand why people engage in extremist </w:t>
            </w:r>
            <w:r w:rsidR="0096563E" w:rsidRPr="002A77C6">
              <w:rPr>
                <w:rFonts w:ascii="Calibri" w:hAnsi="Calibri"/>
                <w:bCs/>
                <w:sz w:val="22"/>
                <w:szCs w:val="22"/>
              </w:rPr>
              <w:lastRenderedPageBreak/>
              <w:t>behaviors</w:t>
            </w:r>
            <w:r w:rsidR="008D0060" w:rsidRPr="002A77C6">
              <w:rPr>
                <w:rFonts w:ascii="Calibri" w:hAnsi="Calibri"/>
                <w:bCs/>
                <w:sz w:val="22"/>
                <w:szCs w:val="22"/>
              </w:rPr>
              <w:t xml:space="preserve"> </w:t>
            </w:r>
            <w:r>
              <w:rPr>
                <w:rFonts w:ascii="Calibri" w:hAnsi="Calibri"/>
                <w:bCs/>
                <w:sz w:val="22"/>
                <w:szCs w:val="22"/>
              </w:rPr>
              <w:t>with a view</w:t>
            </w:r>
            <w:r w:rsidR="008D0060" w:rsidRPr="002A77C6">
              <w:rPr>
                <w:rFonts w:ascii="Calibri" w:hAnsi="Calibri"/>
                <w:bCs/>
                <w:sz w:val="22"/>
                <w:szCs w:val="22"/>
              </w:rPr>
              <w:t xml:space="preserve"> to address those issues, seeking to avoid radicalization or assist people to disengage and stop recruitment. One of the critical </w:t>
            </w:r>
            <w:r w:rsidR="0096563E" w:rsidRPr="002A77C6">
              <w:rPr>
                <w:rFonts w:ascii="Calibri" w:hAnsi="Calibri"/>
                <w:bCs/>
                <w:sz w:val="22"/>
                <w:szCs w:val="22"/>
              </w:rPr>
              <w:t>issues such</w:t>
            </w:r>
            <w:r w:rsidR="008D0060" w:rsidRPr="002A77C6">
              <w:rPr>
                <w:rFonts w:ascii="Calibri" w:hAnsi="Calibri"/>
                <w:bCs/>
                <w:sz w:val="22"/>
                <w:szCs w:val="22"/>
              </w:rPr>
              <w:t xml:space="preserve"> as radicalization was discussed in a forum consisting </w:t>
            </w:r>
            <w:r w:rsidR="0096563E" w:rsidRPr="002A77C6">
              <w:rPr>
                <w:rFonts w:ascii="Calibri" w:hAnsi="Calibri"/>
                <w:bCs/>
                <w:sz w:val="22"/>
                <w:szCs w:val="22"/>
              </w:rPr>
              <w:t>of youth</w:t>
            </w:r>
            <w:r w:rsidR="008D0060" w:rsidRPr="002A77C6">
              <w:rPr>
                <w:rFonts w:ascii="Calibri" w:hAnsi="Calibri"/>
                <w:bCs/>
                <w:sz w:val="22"/>
                <w:szCs w:val="22"/>
              </w:rPr>
              <w:t xml:space="preserve"> leaders, </w:t>
            </w:r>
            <w:r w:rsidR="0096563E" w:rsidRPr="002A77C6">
              <w:rPr>
                <w:rFonts w:ascii="Calibri" w:hAnsi="Calibri"/>
                <w:bCs/>
                <w:sz w:val="22"/>
                <w:szCs w:val="22"/>
              </w:rPr>
              <w:t>researchers and</w:t>
            </w:r>
            <w:r w:rsidR="008D0060" w:rsidRPr="002A77C6">
              <w:rPr>
                <w:rFonts w:ascii="Calibri" w:hAnsi="Calibri"/>
                <w:bCs/>
                <w:sz w:val="22"/>
                <w:szCs w:val="22"/>
              </w:rPr>
              <w:t xml:space="preserve"> key stakeholders of the </w:t>
            </w:r>
            <w:r>
              <w:rPr>
                <w:rFonts w:ascii="Calibri" w:hAnsi="Calibri"/>
                <w:bCs/>
                <w:sz w:val="22"/>
                <w:szCs w:val="22"/>
              </w:rPr>
              <w:t>p</w:t>
            </w:r>
            <w:r w:rsidRPr="002A77C6">
              <w:rPr>
                <w:rFonts w:ascii="Calibri" w:hAnsi="Calibri"/>
                <w:bCs/>
                <w:sz w:val="22"/>
                <w:szCs w:val="22"/>
              </w:rPr>
              <w:t>rogramme</w:t>
            </w:r>
            <w:r w:rsidR="008D0060" w:rsidRPr="002A77C6">
              <w:rPr>
                <w:rFonts w:ascii="Calibri" w:hAnsi="Calibri"/>
                <w:bCs/>
                <w:sz w:val="22"/>
                <w:szCs w:val="22"/>
              </w:rPr>
              <w:t>. The participants identified key areas of intervention which could be strengthened such as employability of youth, adequate resources invested in research and capacity building of grassroots level organizations</w:t>
            </w:r>
            <w:r w:rsidR="00E83540">
              <w:rPr>
                <w:rFonts w:ascii="Calibri" w:hAnsi="Calibri"/>
                <w:bCs/>
                <w:sz w:val="22"/>
                <w:szCs w:val="22"/>
              </w:rPr>
              <w:t>.</w:t>
            </w:r>
          </w:p>
          <w:p w:rsidR="008D0060" w:rsidRPr="002A77C6" w:rsidRDefault="008D0060" w:rsidP="008D0060">
            <w:pPr>
              <w:pStyle w:val="BodyText2"/>
              <w:rPr>
                <w:rFonts w:ascii="Calibri" w:hAnsi="Calibri"/>
                <w:sz w:val="22"/>
                <w:szCs w:val="22"/>
              </w:rPr>
            </w:pPr>
          </w:p>
          <w:p w:rsidR="008D0060" w:rsidRPr="002A77C6" w:rsidRDefault="008D0060" w:rsidP="008D0060">
            <w:pPr>
              <w:pStyle w:val="BodyText2"/>
              <w:rPr>
                <w:rFonts w:ascii="Calibri" w:hAnsi="Calibri"/>
                <w:sz w:val="22"/>
                <w:szCs w:val="22"/>
              </w:rPr>
            </w:pPr>
            <w:r w:rsidRPr="002A77C6">
              <w:rPr>
                <w:rFonts w:ascii="Calibri" w:hAnsi="Calibri"/>
                <w:sz w:val="22"/>
                <w:szCs w:val="22"/>
              </w:rPr>
              <w:t>D</w:t>
            </w:r>
            <w:r w:rsidR="00E83540">
              <w:rPr>
                <w:rFonts w:ascii="Calibri" w:hAnsi="Calibri"/>
                <w:sz w:val="22"/>
                <w:szCs w:val="22"/>
              </w:rPr>
              <w:t xml:space="preserve">isarmament, </w:t>
            </w:r>
            <w:r w:rsidRPr="002A77C6">
              <w:rPr>
                <w:rFonts w:ascii="Calibri" w:hAnsi="Calibri"/>
                <w:sz w:val="22"/>
                <w:szCs w:val="22"/>
              </w:rPr>
              <w:t xml:space="preserve">DR in </w:t>
            </w:r>
            <w:r w:rsidR="0096563E" w:rsidRPr="002A77C6">
              <w:rPr>
                <w:rFonts w:ascii="Calibri" w:hAnsi="Calibri"/>
                <w:sz w:val="22"/>
                <w:szCs w:val="22"/>
              </w:rPr>
              <w:t>Darfur also</w:t>
            </w:r>
            <w:r w:rsidRPr="002A77C6">
              <w:rPr>
                <w:rFonts w:ascii="Calibri" w:hAnsi="Calibri"/>
                <w:sz w:val="22"/>
                <w:szCs w:val="22"/>
              </w:rPr>
              <w:t xml:space="preserve"> made progress with the rolling out of </w:t>
            </w:r>
            <w:r w:rsidR="00E83540">
              <w:rPr>
                <w:rFonts w:ascii="Calibri" w:hAnsi="Calibri"/>
                <w:sz w:val="22"/>
                <w:szCs w:val="22"/>
              </w:rPr>
              <w:t xml:space="preserve">the </w:t>
            </w:r>
            <w:r w:rsidRPr="002A77C6">
              <w:rPr>
                <w:rFonts w:ascii="Calibri" w:hAnsi="Calibri"/>
                <w:sz w:val="22"/>
                <w:szCs w:val="22"/>
              </w:rPr>
              <w:t>D</w:t>
            </w:r>
            <w:r w:rsidR="00E83540">
              <w:rPr>
                <w:rFonts w:ascii="Calibri" w:hAnsi="Calibri"/>
                <w:sz w:val="22"/>
                <w:szCs w:val="22"/>
              </w:rPr>
              <w:t xml:space="preserve">arfur </w:t>
            </w:r>
            <w:r w:rsidRPr="002A77C6">
              <w:rPr>
                <w:rFonts w:ascii="Calibri" w:hAnsi="Calibri"/>
                <w:sz w:val="22"/>
                <w:szCs w:val="22"/>
              </w:rPr>
              <w:t>D</w:t>
            </w:r>
            <w:r w:rsidR="00E83540">
              <w:rPr>
                <w:rFonts w:ascii="Calibri" w:hAnsi="Calibri"/>
                <w:sz w:val="22"/>
                <w:szCs w:val="22"/>
              </w:rPr>
              <w:t xml:space="preserve">evelopment </w:t>
            </w:r>
            <w:r w:rsidRPr="002A77C6">
              <w:rPr>
                <w:rFonts w:ascii="Calibri" w:hAnsi="Calibri"/>
                <w:sz w:val="22"/>
                <w:szCs w:val="22"/>
              </w:rPr>
              <w:t>S</w:t>
            </w:r>
            <w:r w:rsidR="00E83540">
              <w:rPr>
                <w:rFonts w:ascii="Calibri" w:hAnsi="Calibri"/>
                <w:sz w:val="22"/>
                <w:szCs w:val="22"/>
              </w:rPr>
              <w:t>trategy</w:t>
            </w:r>
            <w:r w:rsidRPr="002A77C6">
              <w:rPr>
                <w:rFonts w:ascii="Calibri" w:hAnsi="Calibri"/>
                <w:sz w:val="22"/>
                <w:szCs w:val="22"/>
              </w:rPr>
              <w:t xml:space="preserve"> and strong commitment from </w:t>
            </w:r>
            <w:r w:rsidR="00E83540">
              <w:rPr>
                <w:rFonts w:ascii="Calibri" w:hAnsi="Calibri"/>
                <w:sz w:val="22"/>
                <w:szCs w:val="22"/>
              </w:rPr>
              <w:t>the Government</w:t>
            </w:r>
            <w:r w:rsidR="00E83540" w:rsidRPr="002A77C6">
              <w:rPr>
                <w:rFonts w:ascii="Calibri" w:hAnsi="Calibri"/>
                <w:sz w:val="22"/>
                <w:szCs w:val="22"/>
              </w:rPr>
              <w:t xml:space="preserve"> </w:t>
            </w:r>
            <w:r w:rsidR="0096563E" w:rsidRPr="002A77C6">
              <w:rPr>
                <w:rFonts w:ascii="Calibri" w:hAnsi="Calibri"/>
                <w:sz w:val="22"/>
                <w:szCs w:val="22"/>
              </w:rPr>
              <w:t>to</w:t>
            </w:r>
            <w:r w:rsidRPr="002A77C6">
              <w:rPr>
                <w:rFonts w:ascii="Calibri" w:hAnsi="Calibri"/>
                <w:sz w:val="22"/>
                <w:szCs w:val="22"/>
              </w:rPr>
              <w:t xml:space="preserve"> </w:t>
            </w:r>
            <w:r w:rsidR="0096563E" w:rsidRPr="002A77C6">
              <w:rPr>
                <w:rFonts w:ascii="Calibri" w:hAnsi="Calibri"/>
                <w:sz w:val="22"/>
                <w:szCs w:val="22"/>
              </w:rPr>
              <w:t>implement the</w:t>
            </w:r>
            <w:r w:rsidRPr="002A77C6">
              <w:rPr>
                <w:rFonts w:ascii="Calibri" w:hAnsi="Calibri"/>
                <w:sz w:val="22"/>
                <w:szCs w:val="22"/>
              </w:rPr>
              <w:t xml:space="preserve"> D</w:t>
            </w:r>
            <w:r w:rsidR="00E83540">
              <w:rPr>
                <w:rFonts w:ascii="Calibri" w:hAnsi="Calibri"/>
                <w:sz w:val="22"/>
                <w:szCs w:val="22"/>
              </w:rPr>
              <w:t xml:space="preserve">oha </w:t>
            </w:r>
            <w:r w:rsidRPr="002A77C6">
              <w:rPr>
                <w:rFonts w:ascii="Calibri" w:hAnsi="Calibri"/>
                <w:sz w:val="22"/>
                <w:szCs w:val="22"/>
              </w:rPr>
              <w:t>D</w:t>
            </w:r>
            <w:r w:rsidR="00E83540">
              <w:rPr>
                <w:rFonts w:ascii="Calibri" w:hAnsi="Calibri"/>
                <w:sz w:val="22"/>
                <w:szCs w:val="22"/>
              </w:rPr>
              <w:t xml:space="preserve">ocument for </w:t>
            </w:r>
            <w:r w:rsidRPr="002A77C6">
              <w:rPr>
                <w:rFonts w:ascii="Calibri" w:hAnsi="Calibri"/>
                <w:sz w:val="22"/>
                <w:szCs w:val="22"/>
              </w:rPr>
              <w:t>P</w:t>
            </w:r>
            <w:r w:rsidR="00E83540">
              <w:rPr>
                <w:rFonts w:ascii="Calibri" w:hAnsi="Calibri"/>
                <w:sz w:val="22"/>
                <w:szCs w:val="22"/>
              </w:rPr>
              <w:t xml:space="preserve">eace in </w:t>
            </w:r>
            <w:r w:rsidRPr="002A77C6">
              <w:rPr>
                <w:rFonts w:ascii="Calibri" w:hAnsi="Calibri"/>
                <w:sz w:val="22"/>
                <w:szCs w:val="22"/>
              </w:rPr>
              <w:t>D</w:t>
            </w:r>
            <w:r w:rsidR="00E83540">
              <w:rPr>
                <w:rFonts w:ascii="Calibri" w:hAnsi="Calibri"/>
                <w:sz w:val="22"/>
                <w:szCs w:val="22"/>
              </w:rPr>
              <w:t>arfur</w:t>
            </w:r>
            <w:r w:rsidRPr="002A77C6">
              <w:rPr>
                <w:rFonts w:ascii="Calibri" w:hAnsi="Calibri"/>
                <w:sz w:val="22"/>
                <w:szCs w:val="22"/>
              </w:rPr>
              <w:t xml:space="preserve">.  At </w:t>
            </w:r>
            <w:r w:rsidR="0096563E" w:rsidRPr="002A77C6">
              <w:rPr>
                <w:rFonts w:ascii="Calibri" w:hAnsi="Calibri"/>
                <w:sz w:val="22"/>
                <w:szCs w:val="22"/>
              </w:rPr>
              <w:t>least 4354</w:t>
            </w:r>
            <w:r w:rsidR="00E83540">
              <w:rPr>
                <w:rFonts w:ascii="Calibri" w:hAnsi="Calibri"/>
                <w:sz w:val="22"/>
                <w:szCs w:val="22"/>
              </w:rPr>
              <w:t xml:space="preserve"> people </w:t>
            </w:r>
            <w:r w:rsidR="0096563E" w:rsidRPr="002A77C6">
              <w:rPr>
                <w:rFonts w:ascii="Calibri" w:hAnsi="Calibri"/>
                <w:sz w:val="22"/>
                <w:szCs w:val="22"/>
              </w:rPr>
              <w:t>(3925</w:t>
            </w:r>
            <w:r w:rsidR="00E83540">
              <w:rPr>
                <w:rFonts w:ascii="Calibri" w:hAnsi="Calibri"/>
                <w:sz w:val="22"/>
                <w:szCs w:val="22"/>
              </w:rPr>
              <w:t xml:space="preserve"> </w:t>
            </w:r>
            <w:r w:rsidR="0096563E" w:rsidRPr="002A77C6">
              <w:rPr>
                <w:rFonts w:ascii="Calibri" w:hAnsi="Calibri"/>
                <w:sz w:val="22"/>
                <w:szCs w:val="22"/>
              </w:rPr>
              <w:t>male</w:t>
            </w:r>
            <w:r w:rsidR="00E83540">
              <w:rPr>
                <w:rFonts w:ascii="Calibri" w:hAnsi="Calibri"/>
                <w:sz w:val="22"/>
                <w:szCs w:val="22"/>
              </w:rPr>
              <w:t>s,</w:t>
            </w:r>
            <w:r w:rsidRPr="002A77C6">
              <w:rPr>
                <w:rFonts w:ascii="Calibri" w:hAnsi="Calibri"/>
                <w:sz w:val="22"/>
                <w:szCs w:val="22"/>
              </w:rPr>
              <w:t xml:space="preserve"> </w:t>
            </w:r>
            <w:r w:rsidR="0096563E" w:rsidRPr="002A77C6">
              <w:rPr>
                <w:rFonts w:ascii="Calibri" w:hAnsi="Calibri"/>
                <w:sz w:val="22"/>
                <w:szCs w:val="22"/>
              </w:rPr>
              <w:t>324</w:t>
            </w:r>
            <w:r w:rsidR="00E83540">
              <w:rPr>
                <w:rFonts w:ascii="Calibri" w:hAnsi="Calibri"/>
                <w:sz w:val="22"/>
                <w:szCs w:val="22"/>
              </w:rPr>
              <w:t xml:space="preserve"> </w:t>
            </w:r>
            <w:r w:rsidR="0096563E" w:rsidRPr="002A77C6">
              <w:rPr>
                <w:rFonts w:ascii="Calibri" w:hAnsi="Calibri"/>
                <w:sz w:val="22"/>
                <w:szCs w:val="22"/>
              </w:rPr>
              <w:t>female</w:t>
            </w:r>
            <w:r w:rsidR="00E83540">
              <w:rPr>
                <w:rFonts w:ascii="Calibri" w:hAnsi="Calibri"/>
                <w:sz w:val="22"/>
                <w:szCs w:val="22"/>
              </w:rPr>
              <w:t>s</w:t>
            </w:r>
            <w:r w:rsidR="0096563E" w:rsidRPr="002A77C6">
              <w:rPr>
                <w:rFonts w:ascii="Calibri" w:hAnsi="Calibri"/>
                <w:sz w:val="22"/>
                <w:szCs w:val="22"/>
              </w:rPr>
              <w:t>) received</w:t>
            </w:r>
            <w:r w:rsidRPr="002A77C6">
              <w:rPr>
                <w:rFonts w:ascii="Calibri" w:hAnsi="Calibri"/>
                <w:sz w:val="22"/>
                <w:szCs w:val="22"/>
              </w:rPr>
              <w:t xml:space="preserve"> counseling </w:t>
            </w:r>
            <w:r w:rsidR="0096563E" w:rsidRPr="002A77C6">
              <w:rPr>
                <w:rFonts w:ascii="Calibri" w:hAnsi="Calibri"/>
                <w:sz w:val="22"/>
                <w:szCs w:val="22"/>
              </w:rPr>
              <w:t>services on</w:t>
            </w:r>
            <w:r w:rsidRPr="002A77C6">
              <w:rPr>
                <w:rFonts w:ascii="Calibri" w:hAnsi="Calibri"/>
                <w:sz w:val="22"/>
                <w:szCs w:val="22"/>
              </w:rPr>
              <w:t xml:space="preserve"> </w:t>
            </w:r>
            <w:r w:rsidR="0096563E" w:rsidRPr="002A77C6">
              <w:rPr>
                <w:rFonts w:ascii="Calibri" w:hAnsi="Calibri"/>
                <w:sz w:val="22"/>
                <w:szCs w:val="22"/>
              </w:rPr>
              <w:t>the available</w:t>
            </w:r>
            <w:r w:rsidRPr="002A77C6">
              <w:rPr>
                <w:rFonts w:ascii="Calibri" w:hAnsi="Calibri"/>
                <w:sz w:val="22"/>
                <w:szCs w:val="22"/>
              </w:rPr>
              <w:t xml:space="preserve"> </w:t>
            </w:r>
            <w:r w:rsidR="0096563E" w:rsidRPr="002A77C6">
              <w:rPr>
                <w:rFonts w:ascii="Calibri" w:hAnsi="Calibri"/>
                <w:sz w:val="22"/>
                <w:szCs w:val="22"/>
              </w:rPr>
              <w:t>reintegration options</w:t>
            </w:r>
            <w:r w:rsidRPr="002A77C6">
              <w:rPr>
                <w:rFonts w:ascii="Calibri" w:hAnsi="Calibri"/>
                <w:sz w:val="22"/>
                <w:szCs w:val="22"/>
              </w:rPr>
              <w:t xml:space="preserve">. Despite the high level of risk and politicization as well as uncertainty that comes with the post conflict and </w:t>
            </w:r>
            <w:r w:rsidR="0096563E" w:rsidRPr="002A77C6">
              <w:rPr>
                <w:rFonts w:ascii="Calibri" w:hAnsi="Calibri"/>
                <w:sz w:val="22"/>
                <w:szCs w:val="22"/>
              </w:rPr>
              <w:t>post disaster</w:t>
            </w:r>
            <w:r w:rsidRPr="002A77C6">
              <w:rPr>
                <w:rFonts w:ascii="Calibri" w:hAnsi="Calibri"/>
                <w:sz w:val="22"/>
                <w:szCs w:val="22"/>
              </w:rPr>
              <w:t xml:space="preserve"> setting, the </w:t>
            </w:r>
            <w:r w:rsidR="0096563E" w:rsidRPr="002A77C6">
              <w:rPr>
                <w:rFonts w:ascii="Calibri" w:hAnsi="Calibri"/>
                <w:sz w:val="22"/>
                <w:szCs w:val="22"/>
              </w:rPr>
              <w:t>Programme</w:t>
            </w:r>
            <w:r w:rsidRPr="002A77C6">
              <w:rPr>
                <w:rFonts w:ascii="Calibri" w:hAnsi="Calibri"/>
                <w:sz w:val="22"/>
                <w:szCs w:val="22"/>
              </w:rPr>
              <w:t xml:space="preserve"> was able to overcome many of the challenges, primarily lack of economic </w:t>
            </w:r>
            <w:r w:rsidR="0096563E" w:rsidRPr="002A77C6">
              <w:rPr>
                <w:rFonts w:ascii="Calibri" w:hAnsi="Calibri"/>
                <w:sz w:val="22"/>
                <w:szCs w:val="22"/>
              </w:rPr>
              <w:t>opportunities and</w:t>
            </w:r>
            <w:r w:rsidRPr="002A77C6">
              <w:rPr>
                <w:rFonts w:ascii="Calibri" w:hAnsi="Calibri"/>
                <w:sz w:val="22"/>
                <w:szCs w:val="22"/>
              </w:rPr>
              <w:t xml:space="preserve"> capacity of local NGOs in major target locations. </w:t>
            </w:r>
            <w:r w:rsidR="00265ED6">
              <w:rPr>
                <w:rFonts w:ascii="Calibri" w:hAnsi="Calibri"/>
                <w:sz w:val="22"/>
                <w:szCs w:val="22"/>
              </w:rPr>
              <w:t>UNDP</w:t>
            </w:r>
            <w:r w:rsidRPr="002A77C6">
              <w:rPr>
                <w:rFonts w:ascii="Calibri" w:hAnsi="Calibri"/>
                <w:sz w:val="22"/>
                <w:szCs w:val="22"/>
              </w:rPr>
              <w:t xml:space="preserve"> embedded innovative approaches such as tapping into the private sector and microfinance and worked on the capacity development of NGOs.  To strengthen the approaches, these partnerships include but are not limited to, the government at the federal and state levels (SDDRC, HAC, Ministry of Interior, Ministry of Agriculture, Ministry of Education, Ministry of Health, Ministry of Social Welfare, UN (UNAMID, UNWOMEN, UNFPA, </w:t>
            </w:r>
            <w:r w:rsidR="0096563E" w:rsidRPr="002A77C6">
              <w:rPr>
                <w:rFonts w:ascii="Calibri" w:hAnsi="Calibri"/>
                <w:sz w:val="22"/>
                <w:szCs w:val="22"/>
              </w:rPr>
              <w:t>and UNEP</w:t>
            </w:r>
            <w:r w:rsidRPr="002A77C6">
              <w:rPr>
                <w:rFonts w:ascii="Calibri" w:hAnsi="Calibri"/>
                <w:sz w:val="22"/>
                <w:szCs w:val="22"/>
              </w:rPr>
              <w:t>), CSOs, and NGOs</w:t>
            </w:r>
            <w:r w:rsidR="0096563E" w:rsidRPr="002A77C6">
              <w:rPr>
                <w:rFonts w:ascii="Calibri" w:hAnsi="Calibri"/>
                <w:sz w:val="22"/>
                <w:szCs w:val="22"/>
              </w:rPr>
              <w:t>.</w:t>
            </w:r>
          </w:p>
          <w:p w:rsidR="008D0060" w:rsidRPr="002A77C6" w:rsidRDefault="008D0060" w:rsidP="008D0060">
            <w:pPr>
              <w:pStyle w:val="BodyText2"/>
              <w:rPr>
                <w:rFonts w:ascii="Calibri" w:hAnsi="Calibri"/>
                <w:sz w:val="22"/>
                <w:szCs w:val="22"/>
              </w:rPr>
            </w:pPr>
          </w:p>
          <w:p w:rsidR="008D0060" w:rsidRPr="002A77C6" w:rsidRDefault="008D0060" w:rsidP="008D0060">
            <w:pPr>
              <w:pStyle w:val="BodyText2"/>
              <w:rPr>
                <w:rFonts w:ascii="Calibri" w:hAnsi="Calibri"/>
                <w:sz w:val="22"/>
                <w:szCs w:val="22"/>
              </w:rPr>
            </w:pPr>
            <w:r w:rsidRPr="002A77C6">
              <w:rPr>
                <w:rFonts w:ascii="Calibri" w:hAnsi="Calibri"/>
                <w:sz w:val="22"/>
                <w:szCs w:val="22"/>
              </w:rPr>
              <w:t>Darfur-wide internal dialogue and consultations (DIDC</w:t>
            </w:r>
            <w:r w:rsidR="0096563E" w:rsidRPr="002A77C6">
              <w:rPr>
                <w:rFonts w:ascii="Calibri" w:hAnsi="Calibri"/>
                <w:sz w:val="22"/>
                <w:szCs w:val="22"/>
              </w:rPr>
              <w:t>) supported by</w:t>
            </w:r>
            <w:r w:rsidRPr="002A77C6">
              <w:rPr>
                <w:rFonts w:ascii="Calibri" w:hAnsi="Calibri"/>
                <w:sz w:val="22"/>
                <w:szCs w:val="22"/>
              </w:rPr>
              <w:t xml:space="preserve"> </w:t>
            </w:r>
            <w:r w:rsidR="00E55723">
              <w:rPr>
                <w:rFonts w:ascii="Calibri" w:hAnsi="Calibri"/>
                <w:sz w:val="22"/>
                <w:szCs w:val="22"/>
              </w:rPr>
              <w:t>UNDP and UNAMID</w:t>
            </w:r>
            <w:r w:rsidRPr="002A77C6">
              <w:rPr>
                <w:rFonts w:ascii="Calibri" w:hAnsi="Calibri"/>
                <w:sz w:val="22"/>
                <w:szCs w:val="22"/>
              </w:rPr>
              <w:t xml:space="preserve"> </w:t>
            </w:r>
            <w:r w:rsidR="0096563E" w:rsidRPr="002A77C6">
              <w:rPr>
                <w:rFonts w:ascii="Calibri" w:hAnsi="Calibri"/>
                <w:sz w:val="22"/>
                <w:szCs w:val="22"/>
              </w:rPr>
              <w:t>in five</w:t>
            </w:r>
            <w:r w:rsidRPr="002A77C6">
              <w:rPr>
                <w:rFonts w:ascii="Calibri" w:hAnsi="Calibri"/>
                <w:sz w:val="22"/>
                <w:szCs w:val="22"/>
              </w:rPr>
              <w:t xml:space="preserve"> states of Darfur and in Khartoum and in the diaspora</w:t>
            </w:r>
            <w:r w:rsidR="0096563E" w:rsidRPr="002A77C6">
              <w:rPr>
                <w:rFonts w:ascii="Calibri" w:hAnsi="Calibri"/>
                <w:sz w:val="22"/>
                <w:szCs w:val="22"/>
              </w:rPr>
              <w:t>, which</w:t>
            </w:r>
            <w:r w:rsidRPr="002A77C6">
              <w:rPr>
                <w:rFonts w:ascii="Calibri" w:hAnsi="Calibri"/>
                <w:sz w:val="22"/>
                <w:szCs w:val="22"/>
              </w:rPr>
              <w:t xml:space="preserve"> aims to support peace and recovery in Darfur. The DIDC process is premised on the need to consolidate the achievements of the Doha peace process, including effective implementation of the DDPD, through an inclusive and continuous multi-stakeholder engagement on issues underlying the Darfur conflict.  </w:t>
            </w:r>
            <w:r w:rsidR="0096563E" w:rsidRPr="002A77C6">
              <w:rPr>
                <w:rFonts w:ascii="Calibri" w:hAnsi="Calibri"/>
                <w:sz w:val="22"/>
                <w:szCs w:val="22"/>
              </w:rPr>
              <w:t>77 community awareness</w:t>
            </w:r>
            <w:r w:rsidRPr="002A77C6">
              <w:rPr>
                <w:rFonts w:ascii="Calibri" w:hAnsi="Calibri"/>
                <w:sz w:val="22"/>
                <w:szCs w:val="22"/>
              </w:rPr>
              <w:t xml:space="preserve"> workshops </w:t>
            </w:r>
            <w:r w:rsidR="0096563E" w:rsidRPr="002A77C6">
              <w:rPr>
                <w:rFonts w:ascii="Calibri" w:hAnsi="Calibri"/>
                <w:sz w:val="22"/>
                <w:szCs w:val="22"/>
              </w:rPr>
              <w:t>organized in</w:t>
            </w:r>
            <w:r w:rsidRPr="002A77C6">
              <w:rPr>
                <w:rFonts w:ascii="Calibri" w:hAnsi="Calibri"/>
                <w:sz w:val="22"/>
                <w:szCs w:val="22"/>
              </w:rPr>
              <w:t xml:space="preserve"> the first </w:t>
            </w:r>
            <w:r w:rsidR="0096563E" w:rsidRPr="002A77C6">
              <w:rPr>
                <w:rFonts w:ascii="Calibri" w:hAnsi="Calibri"/>
                <w:sz w:val="22"/>
                <w:szCs w:val="22"/>
              </w:rPr>
              <w:t>quarter of</w:t>
            </w:r>
            <w:r w:rsidRPr="002A77C6">
              <w:rPr>
                <w:rFonts w:ascii="Calibri" w:hAnsi="Calibri"/>
                <w:sz w:val="22"/>
                <w:szCs w:val="22"/>
              </w:rPr>
              <w:t xml:space="preserve"> 2015 and </w:t>
            </w:r>
            <w:r w:rsidR="0096563E" w:rsidRPr="002A77C6">
              <w:rPr>
                <w:rFonts w:ascii="Calibri" w:hAnsi="Calibri"/>
                <w:sz w:val="22"/>
                <w:szCs w:val="22"/>
              </w:rPr>
              <w:t>later followed</w:t>
            </w:r>
            <w:r w:rsidRPr="002A77C6">
              <w:rPr>
                <w:rFonts w:ascii="Calibri" w:hAnsi="Calibri"/>
                <w:sz w:val="22"/>
                <w:szCs w:val="22"/>
              </w:rPr>
              <w:t xml:space="preserve"> by 25 locality level </w:t>
            </w:r>
            <w:r w:rsidR="0096563E" w:rsidRPr="002A77C6">
              <w:rPr>
                <w:rFonts w:ascii="Calibri" w:hAnsi="Calibri"/>
                <w:sz w:val="22"/>
                <w:szCs w:val="22"/>
              </w:rPr>
              <w:t>consultations involving</w:t>
            </w:r>
            <w:r w:rsidRPr="002A77C6">
              <w:rPr>
                <w:rFonts w:ascii="Calibri" w:hAnsi="Calibri"/>
                <w:sz w:val="22"/>
                <w:szCs w:val="22"/>
              </w:rPr>
              <w:t xml:space="preserve"> at </w:t>
            </w:r>
            <w:r w:rsidR="0096563E" w:rsidRPr="002A77C6">
              <w:rPr>
                <w:rFonts w:ascii="Calibri" w:hAnsi="Calibri"/>
                <w:sz w:val="22"/>
                <w:szCs w:val="22"/>
              </w:rPr>
              <w:t>least 150</w:t>
            </w:r>
            <w:r w:rsidRPr="002A77C6">
              <w:rPr>
                <w:rFonts w:ascii="Calibri" w:hAnsi="Calibri"/>
                <w:sz w:val="22"/>
                <w:szCs w:val="22"/>
              </w:rPr>
              <w:t>-</w:t>
            </w:r>
            <w:r w:rsidR="0096563E" w:rsidRPr="002A77C6">
              <w:rPr>
                <w:rFonts w:ascii="Calibri" w:hAnsi="Calibri"/>
                <w:sz w:val="22"/>
                <w:szCs w:val="22"/>
              </w:rPr>
              <w:t>170 community</w:t>
            </w:r>
            <w:r w:rsidRPr="002A77C6">
              <w:rPr>
                <w:rFonts w:ascii="Calibri" w:hAnsi="Calibri"/>
                <w:sz w:val="22"/>
                <w:szCs w:val="22"/>
              </w:rPr>
              <w:t xml:space="preserve"> members in each localities. </w:t>
            </w:r>
          </w:p>
          <w:p w:rsidR="008D0060" w:rsidRPr="002A77C6" w:rsidRDefault="008D0060" w:rsidP="00854EC9">
            <w:pPr>
              <w:pStyle w:val="BodyText2"/>
              <w:jc w:val="both"/>
              <w:rPr>
                <w:rFonts w:ascii="Calibri" w:hAnsi="Calibri"/>
                <w:sz w:val="22"/>
                <w:szCs w:val="22"/>
                <w:u w:val="single"/>
              </w:rPr>
            </w:pPr>
          </w:p>
          <w:p w:rsidR="005726E8" w:rsidRPr="002A77C6" w:rsidRDefault="005726E8" w:rsidP="005726E8">
            <w:pPr>
              <w:jc w:val="both"/>
              <w:rPr>
                <w:rFonts w:ascii="Calibri" w:hAnsi="Calibri"/>
                <w:sz w:val="22"/>
                <w:szCs w:val="22"/>
                <w:lang w:val="en"/>
              </w:rPr>
            </w:pPr>
            <w:r w:rsidRPr="002A77C6">
              <w:rPr>
                <w:rFonts w:ascii="Calibri" w:hAnsi="Calibri"/>
                <w:sz w:val="22"/>
                <w:szCs w:val="22"/>
                <w:lang w:val="en"/>
              </w:rPr>
              <w:t xml:space="preserve">While UNDP continued to support early recovery and peace building efforts throughout the country, three achievements in particular have the potential of far-reaching transformational impact:  </w:t>
            </w:r>
          </w:p>
          <w:p w:rsidR="005726E8" w:rsidRPr="002A77C6" w:rsidRDefault="005726E8" w:rsidP="005726E8">
            <w:pPr>
              <w:numPr>
                <w:ilvl w:val="0"/>
                <w:numId w:val="29"/>
              </w:numPr>
              <w:jc w:val="both"/>
              <w:rPr>
                <w:rFonts w:ascii="Calibri" w:hAnsi="Calibri"/>
                <w:sz w:val="22"/>
                <w:szCs w:val="22"/>
                <w:lang w:val="en"/>
              </w:rPr>
            </w:pPr>
            <w:r w:rsidRPr="002A77C6">
              <w:rPr>
                <w:rFonts w:ascii="Calibri" w:hAnsi="Calibri"/>
                <w:sz w:val="22"/>
                <w:szCs w:val="22"/>
                <w:lang w:val="en"/>
              </w:rPr>
              <w:t xml:space="preserve">At the policy and institutional level, UNDP supported the Doha Document for Peace in Darfur (DDPD), and the supporting Darfur Development Strategy (DDS). UNDP launched the operational structure and took the lead in supporting the establishment of the UN Darfur Fund (UNDF) and its institutional structure. UNDP, together with the Darfur Regional Authority (DRA), provided leadership and technical support to the entire process, including the drafting of the DDS, and the organization of the international Donor Conference in Doha in April 2013. </w:t>
            </w:r>
          </w:p>
          <w:p w:rsidR="005726E8" w:rsidRPr="002A77C6" w:rsidRDefault="005726E8" w:rsidP="005726E8">
            <w:pPr>
              <w:numPr>
                <w:ilvl w:val="0"/>
                <w:numId w:val="29"/>
              </w:numPr>
              <w:jc w:val="both"/>
              <w:rPr>
                <w:rFonts w:ascii="Calibri" w:hAnsi="Calibri"/>
                <w:sz w:val="22"/>
                <w:szCs w:val="22"/>
                <w:lang w:val="en"/>
              </w:rPr>
            </w:pPr>
            <w:r w:rsidRPr="002A77C6">
              <w:rPr>
                <w:rFonts w:ascii="Calibri" w:hAnsi="Calibri"/>
                <w:sz w:val="22"/>
                <w:szCs w:val="22"/>
                <w:lang w:val="en"/>
              </w:rPr>
              <w:t xml:space="preserve">In 2014, UNDP </w:t>
            </w:r>
            <w:r w:rsidR="00E55723">
              <w:rPr>
                <w:rFonts w:ascii="Calibri" w:hAnsi="Calibri"/>
                <w:sz w:val="22"/>
                <w:szCs w:val="22"/>
                <w:lang w:val="en"/>
              </w:rPr>
              <w:t>took</w:t>
            </w:r>
            <w:r w:rsidRPr="002A77C6">
              <w:rPr>
                <w:rFonts w:ascii="Calibri" w:hAnsi="Calibri"/>
                <w:sz w:val="22"/>
                <w:szCs w:val="22"/>
                <w:lang w:val="en"/>
              </w:rPr>
              <w:t xml:space="preserve"> a lead role in developing the institutional structure of the DDS Board and in facilitating the establishment of the UN Darfur Fund, a pooled funding mechanism for UN/NGO interventions under the DDS, for which the State of Qatar approved the allocation of $88.5 million.</w:t>
            </w:r>
          </w:p>
          <w:p w:rsidR="005726E8" w:rsidRPr="002A77C6" w:rsidRDefault="005726E8" w:rsidP="005726E8">
            <w:pPr>
              <w:numPr>
                <w:ilvl w:val="0"/>
                <w:numId w:val="29"/>
              </w:numPr>
              <w:jc w:val="both"/>
              <w:rPr>
                <w:rFonts w:ascii="Calibri" w:hAnsi="Calibri"/>
                <w:sz w:val="22"/>
                <w:szCs w:val="22"/>
                <w:lang w:val="en"/>
              </w:rPr>
            </w:pPr>
            <w:r w:rsidRPr="002A77C6">
              <w:rPr>
                <w:rFonts w:ascii="Calibri" w:hAnsi="Calibri"/>
                <w:sz w:val="22"/>
                <w:szCs w:val="22"/>
                <w:lang w:val="en"/>
              </w:rPr>
              <w:t xml:space="preserve">In addition, through the establishment of the Darfur Reconstruction Board supposed to oversee the implementation of the Darfur Development Strategy (DDS) and the operationalization of the UN Darfur Fund (UNDF), key institutional arrangements to operationalize strategies that address the causes and triggers of crisis are in place. The main factors which contributed to the progress achieved were partnerships with, and capacity building of national counterparts aiming for group reintegration rather than individual reintegration and strong staff base with sufficient technical capacities. It also ensured full national buy-in for planned activities. The increased used – in 2013 and 2014 – of community-based approaches for the delivery of peace dividends </w:t>
            </w:r>
            <w:r w:rsidRPr="002A77C6">
              <w:rPr>
                <w:rFonts w:ascii="Calibri" w:hAnsi="Calibri"/>
                <w:sz w:val="22"/>
                <w:szCs w:val="22"/>
                <w:lang w:val="en"/>
              </w:rPr>
              <w:lastRenderedPageBreak/>
              <w:t xml:space="preserve">targeting all vulnerable population groups and involving all stakeholders at the same time has proven to be more sustainable and effective.  </w:t>
            </w:r>
          </w:p>
          <w:p w:rsidR="001F6694" w:rsidRPr="002A77C6" w:rsidRDefault="001F6694" w:rsidP="00854EC9">
            <w:pPr>
              <w:jc w:val="both"/>
              <w:rPr>
                <w:rFonts w:ascii="Calibri" w:hAnsi="Calibri"/>
                <w:b/>
                <w:bCs/>
                <w:sz w:val="22"/>
                <w:szCs w:val="22"/>
              </w:rPr>
            </w:pPr>
          </w:p>
          <w:p w:rsidR="00411054" w:rsidRPr="002A77C6" w:rsidRDefault="00411054" w:rsidP="00854EC9">
            <w:pPr>
              <w:jc w:val="both"/>
              <w:rPr>
                <w:rFonts w:ascii="Calibri" w:hAnsi="Calibri"/>
                <w:sz w:val="22"/>
                <w:szCs w:val="22"/>
              </w:rPr>
            </w:pPr>
            <w:r w:rsidRPr="002A77C6">
              <w:rPr>
                <w:rFonts w:ascii="Calibri" w:hAnsi="Calibri"/>
                <w:sz w:val="22"/>
                <w:szCs w:val="22"/>
              </w:rPr>
              <w:t>UNDP implemented community based interventions aimed at restoring the livelihoods of returnees, enhancing their sustainable reintegration and eventual peaceful co-existence with host community members. In view of this, UNDP developed and launched Community based Return Reintegration interventions in Darfur which enabled some 26,109 returnees and host community members restore and sustain their livelihoods and increasing community access to critical productive infrastructure and basic services in the West of Darfur. These resulted in 193%</w:t>
            </w:r>
            <w:r w:rsidRPr="002A77C6">
              <w:rPr>
                <w:rFonts w:ascii="Calibri" w:hAnsi="Calibri"/>
                <w:b/>
                <w:bCs/>
                <w:sz w:val="22"/>
                <w:szCs w:val="22"/>
              </w:rPr>
              <w:t xml:space="preserve"> </w:t>
            </w:r>
            <w:r w:rsidRPr="002A77C6">
              <w:rPr>
                <w:rFonts w:ascii="Calibri" w:hAnsi="Calibri"/>
                <w:sz w:val="22"/>
                <w:szCs w:val="22"/>
              </w:rPr>
              <w:t xml:space="preserve">household increase in annual household incomes among targeted households through increased access to income-generating and labor-intensive opportunities. Moreover, there are early signs that livelihoods of returnees are improving conditions to encourage the return or IDPs and refugees. Initial public opinion surveys suggest that community access to basic productive infrastructure increased by 75% thanks to 41 community infrastructure constructed/rehabilitated. The Partnership Survey indicates that </w:t>
            </w:r>
            <w:r w:rsidRPr="002A77C6">
              <w:rPr>
                <w:rFonts w:ascii="Calibri" w:hAnsi="Calibri"/>
                <w:b/>
                <w:bCs/>
                <w:sz w:val="22"/>
                <w:szCs w:val="22"/>
              </w:rPr>
              <w:t xml:space="preserve">95% </w:t>
            </w:r>
            <w:r w:rsidRPr="002A77C6">
              <w:rPr>
                <w:rFonts w:ascii="Calibri" w:hAnsi="Calibri"/>
                <w:sz w:val="22"/>
                <w:szCs w:val="22"/>
              </w:rPr>
              <w:t>of community member think</w:t>
            </w:r>
            <w:r w:rsidRPr="002A77C6">
              <w:rPr>
                <w:rFonts w:ascii="Calibri" w:hAnsi="Calibri"/>
                <w:b/>
                <w:bCs/>
                <w:sz w:val="22"/>
                <w:szCs w:val="22"/>
              </w:rPr>
              <w:t xml:space="preserve"> </w:t>
            </w:r>
            <w:r w:rsidRPr="002A77C6">
              <w:rPr>
                <w:rFonts w:ascii="Calibri" w:hAnsi="Calibri"/>
                <w:sz w:val="22"/>
                <w:szCs w:val="22"/>
              </w:rPr>
              <w:t>natural resource conflicts have</w:t>
            </w:r>
            <w:r w:rsidRPr="002A77C6">
              <w:rPr>
                <w:rFonts w:ascii="Calibri" w:hAnsi="Calibri"/>
                <w:b/>
                <w:bCs/>
                <w:sz w:val="22"/>
                <w:szCs w:val="22"/>
              </w:rPr>
              <w:t xml:space="preserve"> </w:t>
            </w:r>
            <w:r w:rsidRPr="002A77C6">
              <w:rPr>
                <w:rFonts w:ascii="Calibri" w:hAnsi="Calibri"/>
                <w:sz w:val="22"/>
                <w:szCs w:val="22"/>
              </w:rPr>
              <w:t xml:space="preserve">reduced through 9 peace committees established and capacitated in 9 communities who facilitated peaceful dialogues lead to resolution of </w:t>
            </w:r>
            <w:r w:rsidRPr="002A77C6">
              <w:rPr>
                <w:rFonts w:ascii="Calibri" w:hAnsi="Calibri"/>
                <w:b/>
                <w:bCs/>
                <w:sz w:val="22"/>
                <w:szCs w:val="22"/>
              </w:rPr>
              <w:t>22</w:t>
            </w:r>
            <w:r w:rsidRPr="002A77C6">
              <w:rPr>
                <w:rFonts w:ascii="Calibri" w:hAnsi="Calibri"/>
                <w:sz w:val="22"/>
                <w:szCs w:val="22"/>
              </w:rPr>
              <w:t xml:space="preserve"> communal disputes and settlement of 5 intertribal conflicts. Additionally, in order to consolidate the successes so far, UNDP is currently expanding partnerships with UNCHR, IOM, the Darfur Regional Authority and other Government line ministries to expand the interventions beyond west Darfur. UNDP also plays an important role in coordinating return and reintegration activities and processes across Sudan especially in the Darfur region; and providing technical, policy and strategic advisory toward the development of a comprehensive durable solutions strategy.</w:t>
            </w:r>
          </w:p>
          <w:p w:rsidR="00411054" w:rsidRPr="002A77C6" w:rsidRDefault="00411054" w:rsidP="00854EC9">
            <w:pPr>
              <w:jc w:val="both"/>
              <w:rPr>
                <w:rFonts w:ascii="Calibri" w:hAnsi="Calibri"/>
                <w:sz w:val="22"/>
                <w:szCs w:val="22"/>
              </w:rPr>
            </w:pPr>
          </w:p>
          <w:p w:rsidR="00411054" w:rsidRPr="002A77C6" w:rsidRDefault="00411054" w:rsidP="00854EC9">
            <w:pPr>
              <w:jc w:val="both"/>
              <w:rPr>
                <w:rFonts w:ascii="Calibri" w:hAnsi="Calibri"/>
                <w:sz w:val="22"/>
                <w:szCs w:val="22"/>
              </w:rPr>
            </w:pPr>
            <w:r w:rsidRPr="002A77C6">
              <w:rPr>
                <w:rFonts w:ascii="Calibri" w:hAnsi="Calibri"/>
                <w:sz w:val="22"/>
                <w:szCs w:val="22"/>
              </w:rPr>
              <w:t>A total of 2</w:t>
            </w:r>
            <w:r w:rsidRPr="002A77C6">
              <w:rPr>
                <w:rFonts w:ascii="Calibri" w:hAnsi="Calibri"/>
                <w:b/>
                <w:bCs/>
                <w:sz w:val="22"/>
                <w:szCs w:val="22"/>
              </w:rPr>
              <w:t>6,852</w:t>
            </w:r>
            <w:r w:rsidRPr="002A77C6">
              <w:rPr>
                <w:rFonts w:ascii="Calibri" w:hAnsi="Calibri"/>
                <w:sz w:val="22"/>
                <w:szCs w:val="22"/>
              </w:rPr>
              <w:t xml:space="preserve"> vulnerable households in 48 communities (</w:t>
            </w:r>
            <w:r w:rsidRPr="002A77C6">
              <w:rPr>
                <w:rFonts w:ascii="Calibri" w:hAnsi="Calibri"/>
                <w:sz w:val="22"/>
                <w:szCs w:val="22"/>
                <w:lang w:val="en-GB"/>
              </w:rPr>
              <w:t>73.42 % women and youth</w:t>
            </w:r>
            <w:r w:rsidRPr="002A77C6">
              <w:rPr>
                <w:rFonts w:ascii="Calibri" w:hAnsi="Calibri"/>
                <w:sz w:val="22"/>
                <w:szCs w:val="22"/>
              </w:rPr>
              <w:t>) were supported to improve their livelihoods through the production, processing and marketing of selected commodities (hibiscus, groundnut, honey and hides &amp; skins).. These resulted in the development of 520</w:t>
            </w:r>
            <w:r w:rsidRPr="002A77C6">
              <w:rPr>
                <w:rFonts w:ascii="Calibri" w:hAnsi="Calibri"/>
                <w:b/>
                <w:bCs/>
                <w:sz w:val="22"/>
                <w:szCs w:val="22"/>
                <w:lang w:val="en-GB"/>
              </w:rPr>
              <w:t xml:space="preserve"> </w:t>
            </w:r>
            <w:r w:rsidRPr="002A77C6">
              <w:rPr>
                <w:rFonts w:ascii="Calibri" w:hAnsi="Calibri"/>
                <w:sz w:val="22"/>
                <w:szCs w:val="22"/>
                <w:lang w:val="en-GB"/>
              </w:rPr>
              <w:t>new MSMEs which created 1,230 new jobs for smallholders through innovative partnerships with the private sector</w:t>
            </w:r>
            <w:r w:rsidRPr="002A77C6">
              <w:rPr>
                <w:rFonts w:ascii="Calibri" w:hAnsi="Calibri"/>
                <w:sz w:val="22"/>
                <w:szCs w:val="22"/>
              </w:rPr>
              <w:t xml:space="preserve">. The Value Chain Integration </w:t>
            </w:r>
            <w:r w:rsidR="00265ED6">
              <w:rPr>
                <w:rFonts w:ascii="Calibri" w:hAnsi="Calibri"/>
                <w:sz w:val="22"/>
                <w:szCs w:val="22"/>
              </w:rPr>
              <w:t>initiative</w:t>
            </w:r>
            <w:r w:rsidR="00265ED6" w:rsidRPr="002A77C6">
              <w:rPr>
                <w:rFonts w:ascii="Calibri" w:hAnsi="Calibri"/>
                <w:sz w:val="22"/>
                <w:szCs w:val="22"/>
              </w:rPr>
              <w:t xml:space="preserve"> </w:t>
            </w:r>
            <w:r w:rsidRPr="002A77C6">
              <w:rPr>
                <w:rFonts w:ascii="Calibri" w:hAnsi="Calibri"/>
                <w:sz w:val="22"/>
                <w:szCs w:val="22"/>
              </w:rPr>
              <w:t xml:space="preserve">was developed and launched and now being integrated into a larger livelihoods </w:t>
            </w:r>
            <w:r w:rsidR="0096563E" w:rsidRPr="002A77C6">
              <w:rPr>
                <w:rFonts w:ascii="Calibri" w:hAnsi="Calibri"/>
                <w:sz w:val="22"/>
                <w:szCs w:val="22"/>
              </w:rPr>
              <w:t>Programme</w:t>
            </w:r>
            <w:r w:rsidRPr="002A77C6">
              <w:rPr>
                <w:rFonts w:ascii="Calibri" w:hAnsi="Calibri"/>
                <w:sz w:val="22"/>
                <w:szCs w:val="22"/>
              </w:rPr>
              <w:t>. Moreover there are early signs that private sector interest is improving in partnering and supporting pro-poor value chain opportunities. Initial public opinion surveys suggest that average household annual incomes increased</w:t>
            </w:r>
            <w:r w:rsidRPr="002A77C6">
              <w:rPr>
                <w:rFonts w:ascii="Calibri" w:hAnsi="Calibri"/>
                <w:b/>
                <w:bCs/>
                <w:sz w:val="22"/>
                <w:szCs w:val="22"/>
              </w:rPr>
              <w:t xml:space="preserve"> </w:t>
            </w:r>
            <w:r w:rsidRPr="002A77C6">
              <w:rPr>
                <w:rFonts w:ascii="Calibri" w:hAnsi="Calibri"/>
                <w:sz w:val="22"/>
                <w:szCs w:val="22"/>
              </w:rPr>
              <w:t>51.7% increased among target households. Additionally UNDP played an important role in convening state level coordination processes on livelihoods recovery, leading knowledge management on the restoring productive capacities in the agriculture sector using the value chain approach in conjunction with Government ministries, UN agencies and other stakeholders. </w:t>
            </w:r>
          </w:p>
          <w:p w:rsidR="00411054" w:rsidRPr="002A77C6" w:rsidRDefault="00411054" w:rsidP="00854EC9">
            <w:pPr>
              <w:jc w:val="both"/>
              <w:rPr>
                <w:rFonts w:ascii="Calibri" w:hAnsi="Calibri"/>
                <w:sz w:val="22"/>
                <w:szCs w:val="22"/>
              </w:rPr>
            </w:pPr>
          </w:p>
          <w:p w:rsidR="00411054" w:rsidRPr="002A77C6" w:rsidRDefault="00411054" w:rsidP="00854EC9">
            <w:pPr>
              <w:pStyle w:val="BodyText2"/>
              <w:jc w:val="both"/>
              <w:rPr>
                <w:rFonts w:ascii="Calibri" w:hAnsi="Calibri"/>
                <w:sz w:val="22"/>
                <w:szCs w:val="22"/>
              </w:rPr>
            </w:pPr>
            <w:r w:rsidRPr="002A77C6">
              <w:rPr>
                <w:rFonts w:ascii="Calibri" w:hAnsi="Calibri"/>
                <w:sz w:val="22"/>
                <w:szCs w:val="22"/>
              </w:rPr>
              <w:t xml:space="preserve">At the end of the cycle UNDP established a functioning Youth volunteer scheme across the 5 states of Darfur. Through this </w:t>
            </w:r>
            <w:r w:rsidR="00E55723">
              <w:rPr>
                <w:rFonts w:ascii="Calibri" w:hAnsi="Calibri"/>
                <w:sz w:val="22"/>
                <w:szCs w:val="22"/>
              </w:rPr>
              <w:t>initiat</w:t>
            </w:r>
            <w:r w:rsidR="00265ED6">
              <w:rPr>
                <w:rFonts w:ascii="Calibri" w:hAnsi="Calibri"/>
                <w:sz w:val="22"/>
                <w:szCs w:val="22"/>
              </w:rPr>
              <w:t>ive</w:t>
            </w:r>
            <w:r w:rsidRPr="002A77C6">
              <w:rPr>
                <w:rFonts w:ascii="Calibri" w:hAnsi="Calibri"/>
                <w:sz w:val="22"/>
                <w:szCs w:val="22"/>
              </w:rPr>
              <w:t xml:space="preserve">, 14,839 community members were support to improve their entrepreneurial and business management skills thereby empowering volunteers and community members contribute to restoring the economic opportunities in rural communities. The interventions have resulted in improved employment opportunities by 51% among target youth on short and long term basis. Moreover there are early signs that government and community interest and approval of the </w:t>
            </w:r>
            <w:r w:rsidR="00265ED6">
              <w:rPr>
                <w:rFonts w:ascii="Calibri" w:hAnsi="Calibri"/>
                <w:sz w:val="22"/>
                <w:szCs w:val="22"/>
              </w:rPr>
              <w:t xml:space="preserve">initiative </w:t>
            </w:r>
            <w:r w:rsidRPr="002A77C6">
              <w:rPr>
                <w:rFonts w:ascii="Calibri" w:hAnsi="Calibri"/>
                <w:sz w:val="22"/>
                <w:szCs w:val="22"/>
              </w:rPr>
              <w:t xml:space="preserve">continue to grow.  Initial public opinion surveys and terminal evaluation report suggest that the </w:t>
            </w:r>
            <w:r w:rsidR="00265ED6">
              <w:rPr>
                <w:rFonts w:ascii="Calibri" w:hAnsi="Calibri"/>
                <w:sz w:val="22"/>
                <w:szCs w:val="22"/>
              </w:rPr>
              <w:t>initiative</w:t>
            </w:r>
            <w:r w:rsidRPr="002A77C6">
              <w:rPr>
                <w:rFonts w:ascii="Calibri" w:hAnsi="Calibri"/>
                <w:sz w:val="22"/>
                <w:szCs w:val="22"/>
              </w:rPr>
              <w:t xml:space="preserve"> has been a successful flagship and need to be replicated. The Partnership Survey indicates that </w:t>
            </w:r>
            <w:r w:rsidR="00E55723">
              <w:rPr>
                <w:rFonts w:ascii="Calibri" w:hAnsi="Calibri"/>
                <w:sz w:val="22"/>
                <w:szCs w:val="22"/>
              </w:rPr>
              <w:t>this initiative</w:t>
            </w:r>
            <w:r w:rsidRPr="002A77C6">
              <w:rPr>
                <w:rFonts w:ascii="Calibri" w:hAnsi="Calibri"/>
                <w:sz w:val="22"/>
                <w:szCs w:val="22"/>
              </w:rPr>
              <w:t xml:space="preserve"> had marked and positive impact on the lives of women</w:t>
            </w:r>
            <w:r w:rsidR="00E55723">
              <w:rPr>
                <w:rFonts w:ascii="Calibri" w:hAnsi="Calibri"/>
                <w:sz w:val="22"/>
                <w:szCs w:val="22"/>
              </w:rPr>
              <w:t>,</w:t>
            </w:r>
            <w:r w:rsidRPr="002A77C6">
              <w:rPr>
                <w:rFonts w:ascii="Calibri" w:hAnsi="Calibri"/>
                <w:sz w:val="22"/>
                <w:szCs w:val="22"/>
              </w:rPr>
              <w:t xml:space="preserve"> in particular in the target locations. Additionally UNDP played an important role in developing strong partnerships with state government ministries, regional </w:t>
            </w:r>
            <w:r w:rsidR="00E55723">
              <w:rPr>
                <w:rFonts w:ascii="Calibri" w:hAnsi="Calibri"/>
                <w:sz w:val="22"/>
                <w:szCs w:val="22"/>
              </w:rPr>
              <w:t>u</w:t>
            </w:r>
            <w:r w:rsidR="00E55723" w:rsidRPr="002A77C6">
              <w:rPr>
                <w:rFonts w:ascii="Calibri" w:hAnsi="Calibri"/>
                <w:sz w:val="22"/>
                <w:szCs w:val="22"/>
              </w:rPr>
              <w:t>niversities</w:t>
            </w:r>
            <w:r w:rsidRPr="002A77C6">
              <w:rPr>
                <w:rFonts w:ascii="Calibri" w:hAnsi="Calibri"/>
                <w:sz w:val="22"/>
                <w:szCs w:val="22"/>
              </w:rPr>
              <w:t>, private actor players, the youth and other UN entities such as UNV and UNAMID and ensured participatory engagement at different levels</w:t>
            </w:r>
          </w:p>
          <w:p w:rsidR="00411054" w:rsidRPr="002A77C6" w:rsidRDefault="00411054" w:rsidP="005726E8">
            <w:pPr>
              <w:autoSpaceDE w:val="0"/>
              <w:autoSpaceDN w:val="0"/>
              <w:adjustRightInd w:val="0"/>
              <w:spacing w:after="3" w:line="248" w:lineRule="atLeast"/>
              <w:ind w:left="-5" w:hanging="10"/>
              <w:jc w:val="both"/>
              <w:rPr>
                <w:rFonts w:ascii="Calibri" w:hAnsi="Calibri"/>
                <w:sz w:val="22"/>
                <w:szCs w:val="22"/>
                <w:lang w:val="en"/>
              </w:rPr>
            </w:pPr>
          </w:p>
        </w:tc>
      </w:tr>
    </w:tbl>
    <w:p w:rsidR="00D9192E" w:rsidRPr="002A77C6" w:rsidRDefault="00D9192E" w:rsidP="005454E9">
      <w:pPr>
        <w:jc w:val="both"/>
        <w:rPr>
          <w:rFonts w:ascii="Calibri" w:hAnsi="Calibri"/>
          <w:sz w:val="22"/>
          <w:szCs w:val="22"/>
          <w:lang w:val="en"/>
        </w:rPr>
      </w:pPr>
    </w:p>
    <w:p w:rsidR="00AA69E8" w:rsidRPr="002A77C6" w:rsidRDefault="00AA69E8" w:rsidP="005454E9">
      <w:pPr>
        <w:jc w:val="both"/>
        <w:rPr>
          <w:rFonts w:ascii="Calibri" w:hAnsi="Calibr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BB52C4" w:rsidRPr="007A4B14" w:rsidTr="009E7526">
        <w:tc>
          <w:tcPr>
            <w:tcW w:w="14040" w:type="dxa"/>
          </w:tcPr>
          <w:p w:rsidR="009E7526" w:rsidRPr="007A4B14" w:rsidRDefault="009E7526" w:rsidP="005454E9">
            <w:pPr>
              <w:jc w:val="both"/>
              <w:rPr>
                <w:rFonts w:ascii="Calibri" w:hAnsi="Calibri"/>
                <w:sz w:val="22"/>
                <w:szCs w:val="22"/>
                <w:u w:val="single"/>
              </w:rPr>
            </w:pPr>
            <w:r w:rsidRPr="007A4B14">
              <w:rPr>
                <w:rFonts w:ascii="Calibri" w:hAnsi="Calibri"/>
                <w:sz w:val="22"/>
                <w:szCs w:val="22"/>
                <w:u w:val="single"/>
              </w:rPr>
              <w:t>Summary of evaluation</w:t>
            </w:r>
            <w:r w:rsidR="00674B1A" w:rsidRPr="007A4B14">
              <w:rPr>
                <w:rFonts w:ascii="Calibri" w:hAnsi="Calibri"/>
                <w:sz w:val="22"/>
                <w:szCs w:val="22"/>
                <w:u w:val="single"/>
              </w:rPr>
              <w:t xml:space="preserve"> finding</w:t>
            </w:r>
            <w:r w:rsidRPr="007A4B14">
              <w:rPr>
                <w:rFonts w:ascii="Calibri" w:hAnsi="Calibri"/>
                <w:sz w:val="22"/>
                <w:szCs w:val="22"/>
                <w:u w:val="single"/>
              </w:rPr>
              <w:t xml:space="preserve">s </w:t>
            </w:r>
          </w:p>
          <w:p w:rsidR="00C86149" w:rsidRPr="007A4B14" w:rsidRDefault="00C86149" w:rsidP="005454E9">
            <w:pPr>
              <w:jc w:val="both"/>
              <w:rPr>
                <w:rFonts w:ascii="Calibri" w:hAnsi="Calibri"/>
                <w:i/>
                <w:sz w:val="22"/>
                <w:szCs w:val="22"/>
              </w:rPr>
            </w:pPr>
          </w:p>
          <w:p w:rsidR="009E7526" w:rsidRPr="00CF58BA" w:rsidRDefault="009E7526" w:rsidP="006A54FB">
            <w:pPr>
              <w:jc w:val="both"/>
              <w:rPr>
                <w:rFonts w:ascii="Calibri" w:hAnsi="Calibri"/>
                <w:sz w:val="22"/>
                <w:szCs w:val="22"/>
              </w:rPr>
            </w:pPr>
            <w:r w:rsidRPr="00CF58BA">
              <w:rPr>
                <w:rFonts w:ascii="Calibri" w:hAnsi="Calibri"/>
                <w:sz w:val="22"/>
                <w:szCs w:val="22"/>
                <w:u w:val="single"/>
              </w:rPr>
              <w:t xml:space="preserve">Key </w:t>
            </w:r>
            <w:r w:rsidR="005D2982" w:rsidRPr="00CF58BA">
              <w:rPr>
                <w:rFonts w:ascii="Calibri" w:hAnsi="Calibri"/>
                <w:sz w:val="22"/>
                <w:szCs w:val="22"/>
                <w:u w:val="single"/>
              </w:rPr>
              <w:t>Evaluations and reviews conducted (2013-201</w:t>
            </w:r>
            <w:r w:rsidR="006A54FB">
              <w:rPr>
                <w:rFonts w:ascii="Calibri" w:hAnsi="Calibri"/>
                <w:sz w:val="22"/>
                <w:szCs w:val="22"/>
                <w:u w:val="single"/>
              </w:rPr>
              <w:t xml:space="preserve">7 </w:t>
            </w:r>
            <w:r w:rsidR="005D2982" w:rsidRPr="00CF58BA">
              <w:rPr>
                <w:rFonts w:ascii="Calibri" w:hAnsi="Calibri"/>
                <w:sz w:val="22"/>
                <w:szCs w:val="22"/>
                <w:u w:val="single"/>
              </w:rPr>
              <w:t>)</w:t>
            </w:r>
            <w:r w:rsidR="005F6261" w:rsidRPr="00CF58BA">
              <w:rPr>
                <w:rFonts w:ascii="Calibri" w:hAnsi="Calibri"/>
                <w:sz w:val="22"/>
                <w:szCs w:val="22"/>
              </w:rPr>
              <w:t>:</w:t>
            </w:r>
          </w:p>
          <w:p w:rsidR="005D2982" w:rsidRPr="007A4B14" w:rsidRDefault="005D2982" w:rsidP="000A0460">
            <w:pPr>
              <w:numPr>
                <w:ilvl w:val="0"/>
                <w:numId w:val="41"/>
              </w:numPr>
              <w:autoSpaceDE w:val="0"/>
              <w:autoSpaceDN w:val="0"/>
              <w:adjustRightInd w:val="0"/>
              <w:rPr>
                <w:rFonts w:ascii="Calibri" w:hAnsi="Calibri" w:cs="51ovbbg"/>
                <w:color w:val="000000"/>
                <w:sz w:val="22"/>
                <w:szCs w:val="22"/>
              </w:rPr>
            </w:pPr>
            <w:r w:rsidRPr="007A4B14">
              <w:rPr>
                <w:rFonts w:ascii="Calibri" w:hAnsi="Calibri" w:cs="51ovbbg"/>
                <w:color w:val="000000"/>
                <w:sz w:val="22"/>
                <w:szCs w:val="22"/>
              </w:rPr>
              <w:t>UNDP Sudan CPAP Indicators Tracking Portfolio Study (ITS) (March 2013)</w:t>
            </w:r>
          </w:p>
          <w:p w:rsidR="005D2982" w:rsidRPr="007A4B14" w:rsidRDefault="005D2982" w:rsidP="000A0460">
            <w:pPr>
              <w:numPr>
                <w:ilvl w:val="0"/>
                <w:numId w:val="41"/>
              </w:numPr>
              <w:autoSpaceDE w:val="0"/>
              <w:autoSpaceDN w:val="0"/>
              <w:adjustRightInd w:val="0"/>
              <w:rPr>
                <w:rFonts w:ascii="Calibri" w:hAnsi="Calibri" w:cs="51ovbbg"/>
                <w:color w:val="000000"/>
                <w:sz w:val="22"/>
                <w:szCs w:val="22"/>
              </w:rPr>
            </w:pPr>
            <w:r w:rsidRPr="007A4B14">
              <w:rPr>
                <w:rFonts w:ascii="Calibri" w:hAnsi="Calibri" w:cs="51ovbbg"/>
                <w:color w:val="000000"/>
                <w:sz w:val="22"/>
                <w:szCs w:val="22"/>
              </w:rPr>
              <w:t>UNDP Sudan Final Evaluation of Project LGDPEM in Eastern Sudan.</w:t>
            </w:r>
          </w:p>
          <w:p w:rsidR="005D2982" w:rsidRPr="007A4B14" w:rsidRDefault="005D2982" w:rsidP="000A0460">
            <w:pPr>
              <w:numPr>
                <w:ilvl w:val="0"/>
                <w:numId w:val="41"/>
              </w:numPr>
              <w:autoSpaceDE w:val="0"/>
              <w:autoSpaceDN w:val="0"/>
              <w:adjustRightInd w:val="0"/>
              <w:rPr>
                <w:rFonts w:ascii="Calibri" w:hAnsi="Calibri" w:cs="51ovbbg"/>
                <w:color w:val="000000"/>
                <w:sz w:val="22"/>
                <w:szCs w:val="22"/>
              </w:rPr>
            </w:pPr>
            <w:r w:rsidRPr="007A4B14">
              <w:rPr>
                <w:rFonts w:ascii="Calibri" w:hAnsi="Calibri" w:cs="51ovbbg"/>
                <w:color w:val="000000"/>
                <w:sz w:val="22"/>
                <w:szCs w:val="22"/>
              </w:rPr>
              <w:t>UNDP Sudan Evaluation on the Rule of Law Project in Darfur 2013</w:t>
            </w:r>
          </w:p>
          <w:p w:rsidR="00075725" w:rsidRPr="007A4B14" w:rsidRDefault="00632D0E" w:rsidP="00632D0E">
            <w:pPr>
              <w:pStyle w:val="NoSpacing"/>
              <w:numPr>
                <w:ilvl w:val="0"/>
                <w:numId w:val="41"/>
              </w:numPr>
              <w:jc w:val="both"/>
              <w:rPr>
                <w:rFonts w:eastAsia="Times New Roman"/>
                <w:color w:val="000000"/>
              </w:rPr>
            </w:pPr>
            <w:r>
              <w:rPr>
                <w:rFonts w:eastAsia="Times New Roman"/>
                <w:color w:val="000000"/>
              </w:rPr>
              <w:t xml:space="preserve">Mid-Term Evaluation of </w:t>
            </w:r>
            <w:r w:rsidR="00075725" w:rsidRPr="007A4B14">
              <w:rPr>
                <w:rFonts w:eastAsia="Times New Roman"/>
                <w:color w:val="000000"/>
              </w:rPr>
              <w:t>the Sudan NAPA Follow-up Project: “Implementing NAPA Priority Interventions to Build Resilience in the Agriculture and Water Sectors to the Adverse Impacts of Climate Change”: (M</w:t>
            </w:r>
            <w:r>
              <w:rPr>
                <w:rFonts w:eastAsia="Times New Roman"/>
                <w:color w:val="000000"/>
              </w:rPr>
              <w:t>arch 2013</w:t>
            </w:r>
            <w:r w:rsidR="00075725" w:rsidRPr="007A4B14">
              <w:rPr>
                <w:rFonts w:eastAsia="Times New Roman"/>
                <w:color w:val="000000"/>
              </w:rPr>
              <w:t>)</w:t>
            </w:r>
          </w:p>
          <w:p w:rsidR="005D2982" w:rsidRPr="007A4B14" w:rsidRDefault="005D2982" w:rsidP="000A0460">
            <w:pPr>
              <w:numPr>
                <w:ilvl w:val="0"/>
                <w:numId w:val="41"/>
              </w:numPr>
              <w:autoSpaceDE w:val="0"/>
              <w:autoSpaceDN w:val="0"/>
              <w:adjustRightInd w:val="0"/>
              <w:rPr>
                <w:rFonts w:ascii="Calibri" w:hAnsi="Calibri" w:cs="51ovbbg"/>
                <w:color w:val="000000"/>
                <w:sz w:val="22"/>
                <w:szCs w:val="22"/>
              </w:rPr>
            </w:pPr>
            <w:r w:rsidRPr="007A4B14">
              <w:rPr>
                <w:rFonts w:ascii="Calibri" w:hAnsi="Calibri" w:cs="51ovbbg"/>
                <w:color w:val="000000"/>
                <w:sz w:val="22"/>
                <w:szCs w:val="22"/>
              </w:rPr>
              <w:t>Sudan DDR Project Survey in 2013</w:t>
            </w:r>
          </w:p>
          <w:p w:rsidR="00697206" w:rsidRPr="007A4B14" w:rsidRDefault="00DC0B8F" w:rsidP="000A0460">
            <w:pPr>
              <w:pStyle w:val="NoSpacing"/>
              <w:numPr>
                <w:ilvl w:val="0"/>
                <w:numId w:val="41"/>
              </w:numPr>
              <w:jc w:val="both"/>
              <w:rPr>
                <w:rFonts w:eastAsia="Times New Roman"/>
                <w:color w:val="000000"/>
              </w:rPr>
            </w:pPr>
            <w:r w:rsidRPr="007A4B14">
              <w:rPr>
                <w:rFonts w:eastAsia="Times New Roman"/>
                <w:color w:val="000000"/>
              </w:rPr>
              <w:t>UNDAF Evaluation</w:t>
            </w:r>
            <w:r w:rsidR="00697206" w:rsidRPr="007A4B14">
              <w:rPr>
                <w:rFonts w:eastAsia="Times New Roman"/>
                <w:color w:val="000000"/>
              </w:rPr>
              <w:t xml:space="preserve"> (October 2015)</w:t>
            </w:r>
          </w:p>
          <w:p w:rsidR="00697206" w:rsidRPr="007A4B14" w:rsidRDefault="00DC0B8F" w:rsidP="000A0460">
            <w:pPr>
              <w:pStyle w:val="NoSpacing"/>
              <w:numPr>
                <w:ilvl w:val="0"/>
                <w:numId w:val="41"/>
              </w:numPr>
              <w:jc w:val="both"/>
              <w:rPr>
                <w:rFonts w:eastAsia="Times New Roman"/>
                <w:color w:val="000000"/>
              </w:rPr>
            </w:pPr>
            <w:r w:rsidRPr="007A4B14">
              <w:rPr>
                <w:rFonts w:eastAsia="Times New Roman"/>
                <w:color w:val="000000"/>
              </w:rPr>
              <w:t>End-of-Project Evaluation of the Sudan NAPA Follow-up Project: “Implementing NAPA Priority Interventions to Build Resilience in the Agriculture and Water Sectors to the Adverse Impacts of Climate Change”:</w:t>
            </w:r>
            <w:r w:rsidR="00697206" w:rsidRPr="007A4B14">
              <w:rPr>
                <w:rFonts w:eastAsia="Times New Roman"/>
                <w:color w:val="000000"/>
              </w:rPr>
              <w:t xml:space="preserve"> (May 2015)</w:t>
            </w:r>
          </w:p>
          <w:p w:rsidR="00697206" w:rsidRPr="007A4B14" w:rsidRDefault="00DC0B8F" w:rsidP="000A0460">
            <w:pPr>
              <w:pStyle w:val="NoSpacing"/>
              <w:numPr>
                <w:ilvl w:val="0"/>
                <w:numId w:val="41"/>
              </w:numPr>
              <w:jc w:val="both"/>
              <w:rPr>
                <w:color w:val="000000"/>
              </w:rPr>
            </w:pPr>
            <w:r w:rsidRPr="007A4B14">
              <w:rPr>
                <w:color w:val="000000"/>
              </w:rPr>
              <w:t>Final Evaluation for project Youth Volunteers Rebuilding Darfur (YVRDP):</w:t>
            </w:r>
            <w:r w:rsidR="00697206" w:rsidRPr="007A4B14">
              <w:rPr>
                <w:color w:val="000000"/>
              </w:rPr>
              <w:t xml:space="preserve"> (December 2015)</w:t>
            </w:r>
          </w:p>
          <w:p w:rsidR="00697206" w:rsidRPr="007A4B14" w:rsidRDefault="00DC0B8F" w:rsidP="000A0460">
            <w:pPr>
              <w:pStyle w:val="NoSpacing"/>
              <w:numPr>
                <w:ilvl w:val="0"/>
                <w:numId w:val="41"/>
              </w:numPr>
              <w:jc w:val="both"/>
              <w:rPr>
                <w:color w:val="000000"/>
              </w:rPr>
            </w:pPr>
            <w:r w:rsidRPr="007A4B14">
              <w:rPr>
                <w:color w:val="000000"/>
              </w:rPr>
              <w:t xml:space="preserve">Mid Term Review of the Joint Conflict Reduction Programme (Final evaluation of the same projects is under-way): </w:t>
            </w:r>
            <w:r w:rsidR="00697206" w:rsidRPr="007A4B14">
              <w:rPr>
                <w:color w:val="000000"/>
              </w:rPr>
              <w:t>(May 2015).</w:t>
            </w:r>
          </w:p>
          <w:p w:rsidR="00697206" w:rsidRPr="007A4B14" w:rsidRDefault="00697206" w:rsidP="000A0460">
            <w:pPr>
              <w:pStyle w:val="NoSpacing"/>
              <w:numPr>
                <w:ilvl w:val="0"/>
                <w:numId w:val="41"/>
              </w:numPr>
              <w:jc w:val="both"/>
              <w:rPr>
                <w:color w:val="000000"/>
              </w:rPr>
            </w:pPr>
            <w:r w:rsidRPr="007A4B14">
              <w:rPr>
                <w:color w:val="000000"/>
              </w:rPr>
              <w:t>Final Evaluation of the Joint Conflict Reduction Programme (Final evaluation report May 2016).</w:t>
            </w:r>
          </w:p>
          <w:p w:rsidR="00697206" w:rsidRPr="007A4B14" w:rsidRDefault="00DC0B8F" w:rsidP="000A0460">
            <w:pPr>
              <w:pStyle w:val="NoSpacing"/>
              <w:numPr>
                <w:ilvl w:val="0"/>
                <w:numId w:val="41"/>
              </w:numPr>
              <w:jc w:val="both"/>
              <w:rPr>
                <w:color w:val="000000"/>
              </w:rPr>
            </w:pPr>
            <w:r w:rsidRPr="007A4B14">
              <w:rPr>
                <w:color w:val="000000"/>
              </w:rPr>
              <w:t>East Sudan’ programme Review:</w:t>
            </w:r>
            <w:r w:rsidR="00697206" w:rsidRPr="007A4B14">
              <w:rPr>
                <w:color w:val="000000"/>
              </w:rPr>
              <w:t xml:space="preserve"> (November 2015)</w:t>
            </w:r>
          </w:p>
          <w:p w:rsidR="00DC0B8F" w:rsidRPr="007A4B14" w:rsidRDefault="00DC0B8F" w:rsidP="006A54FB">
            <w:pPr>
              <w:pStyle w:val="NoSpacing"/>
              <w:numPr>
                <w:ilvl w:val="0"/>
                <w:numId w:val="41"/>
              </w:numPr>
              <w:jc w:val="both"/>
              <w:rPr>
                <w:color w:val="0D0D0D"/>
              </w:rPr>
            </w:pPr>
            <w:r w:rsidRPr="007A4B14">
              <w:rPr>
                <w:color w:val="000000"/>
              </w:rPr>
              <w:t>Country Programme (CP) Achievements Report (2013-201</w:t>
            </w:r>
            <w:r w:rsidR="006A54FB">
              <w:rPr>
                <w:color w:val="000000"/>
              </w:rPr>
              <w:t>6</w:t>
            </w:r>
            <w:r w:rsidRPr="007A4B14">
              <w:rPr>
                <w:color w:val="000000"/>
              </w:rPr>
              <w:t>): The objective of the CP achievements report, is to provide evidence-based accomplishments, resulted from UNDP interventions, and offers opportunity to recommend future programming</w:t>
            </w:r>
            <w:r w:rsidRPr="007A4B14">
              <w:rPr>
                <w:color w:val="0D0D0D"/>
              </w:rPr>
              <w:t xml:space="preserve">. </w:t>
            </w:r>
          </w:p>
          <w:p w:rsidR="008D3E0D" w:rsidRPr="00003D74" w:rsidRDefault="00CB271D" w:rsidP="00CB271D">
            <w:pPr>
              <w:jc w:val="both"/>
              <w:rPr>
                <w:rFonts w:ascii="Calibri" w:hAnsi="Calibri"/>
                <w:sz w:val="22"/>
                <w:szCs w:val="22"/>
              </w:rPr>
            </w:pPr>
            <w:r w:rsidRPr="00003D74">
              <w:rPr>
                <w:rFonts w:ascii="Calibri" w:hAnsi="Calibri"/>
                <w:sz w:val="22"/>
                <w:szCs w:val="22"/>
              </w:rPr>
              <w:t>Ongoing/planned evaluations in 2017:</w:t>
            </w:r>
          </w:p>
          <w:p w:rsidR="00CB271D" w:rsidRPr="00003D74" w:rsidRDefault="00CB271D" w:rsidP="005454E9">
            <w:pPr>
              <w:jc w:val="both"/>
              <w:rPr>
                <w:rFonts w:ascii="Calibri" w:hAnsi="Calibri"/>
                <w:sz w:val="22"/>
                <w:szCs w:val="22"/>
              </w:rPr>
            </w:pPr>
            <w:r w:rsidRPr="00003D74">
              <w:rPr>
                <w:rFonts w:ascii="Calibri" w:hAnsi="Calibri"/>
                <w:sz w:val="22"/>
                <w:szCs w:val="22"/>
              </w:rPr>
              <w:t>1. Darfur Community Peace and Stability Fund (DCPSF) Phase II (2011-2017) Evaluation</w:t>
            </w:r>
          </w:p>
          <w:p w:rsidR="00CB271D" w:rsidRPr="00003D74" w:rsidRDefault="00CB271D" w:rsidP="005454E9">
            <w:pPr>
              <w:jc w:val="both"/>
              <w:rPr>
                <w:rFonts w:ascii="Calibri" w:hAnsi="Calibri"/>
                <w:sz w:val="22"/>
                <w:szCs w:val="22"/>
              </w:rPr>
            </w:pPr>
            <w:r w:rsidRPr="00003D74">
              <w:rPr>
                <w:rFonts w:ascii="Calibri" w:hAnsi="Calibri"/>
                <w:sz w:val="22"/>
                <w:szCs w:val="22"/>
              </w:rPr>
              <w:t>2. Terminal Evaluation of the Canada funded project: Implementing NAPA Priority Interventions to Build Resilience in the Agriculture and Water  sectors</w:t>
            </w:r>
          </w:p>
          <w:p w:rsidR="00CB271D" w:rsidRPr="00003D74" w:rsidRDefault="00CB271D" w:rsidP="005454E9">
            <w:pPr>
              <w:jc w:val="both"/>
              <w:rPr>
                <w:rFonts w:ascii="Calibri" w:hAnsi="Calibri"/>
                <w:sz w:val="22"/>
                <w:szCs w:val="22"/>
              </w:rPr>
            </w:pPr>
            <w:r w:rsidRPr="00003D74">
              <w:rPr>
                <w:rFonts w:ascii="Calibri" w:hAnsi="Calibri"/>
                <w:sz w:val="22"/>
                <w:szCs w:val="22"/>
              </w:rPr>
              <w:t>3. Promoting Utility Scale Power Generation from Wing Energy</w:t>
            </w:r>
          </w:p>
          <w:p w:rsidR="00CB271D" w:rsidRPr="00003D74" w:rsidRDefault="00CB271D" w:rsidP="005454E9">
            <w:pPr>
              <w:jc w:val="both"/>
              <w:rPr>
                <w:rFonts w:ascii="Calibri" w:hAnsi="Calibri"/>
                <w:sz w:val="22"/>
                <w:szCs w:val="22"/>
              </w:rPr>
            </w:pPr>
            <w:r w:rsidRPr="00003D74">
              <w:rPr>
                <w:rFonts w:ascii="Calibri" w:hAnsi="Calibri"/>
                <w:sz w:val="22"/>
                <w:szCs w:val="22"/>
              </w:rPr>
              <w:t>4. Evaluation of the Outcome: Populations vulnerable to environmental risks and climate change become more resilient and relevant institutions are more effective in the management of natural resources.</w:t>
            </w:r>
          </w:p>
          <w:p w:rsidR="00CB271D" w:rsidRPr="00003D74" w:rsidRDefault="00CB271D" w:rsidP="005454E9">
            <w:pPr>
              <w:jc w:val="both"/>
              <w:rPr>
                <w:rFonts w:ascii="Calibri" w:hAnsi="Calibri"/>
                <w:sz w:val="22"/>
                <w:szCs w:val="22"/>
              </w:rPr>
            </w:pPr>
            <w:r w:rsidRPr="00003D74">
              <w:rPr>
                <w:rFonts w:ascii="Calibri" w:hAnsi="Calibri"/>
                <w:sz w:val="22"/>
                <w:szCs w:val="22"/>
              </w:rPr>
              <w:t>5. Mid-Term review of the Climate</w:t>
            </w:r>
            <w:r w:rsidR="00003D74">
              <w:rPr>
                <w:rFonts w:ascii="Calibri" w:hAnsi="Calibri"/>
                <w:sz w:val="22"/>
                <w:szCs w:val="22"/>
              </w:rPr>
              <w:t xml:space="preserve"> </w:t>
            </w:r>
            <w:r w:rsidRPr="00003D74">
              <w:rPr>
                <w:rFonts w:ascii="Calibri" w:hAnsi="Calibri"/>
                <w:sz w:val="22"/>
                <w:szCs w:val="22"/>
              </w:rPr>
              <w:t>Risk Finance Project for Sustainable Agricultural and Pastoral Systems in Sudan</w:t>
            </w:r>
          </w:p>
          <w:p w:rsidR="00CB271D" w:rsidRPr="007A4B14" w:rsidRDefault="00CB271D" w:rsidP="005454E9">
            <w:pPr>
              <w:jc w:val="both"/>
              <w:rPr>
                <w:rFonts w:ascii="Calibri" w:hAnsi="Calibri"/>
                <w:color w:val="FF0000"/>
                <w:sz w:val="22"/>
                <w:szCs w:val="22"/>
              </w:rPr>
            </w:pPr>
          </w:p>
          <w:p w:rsidR="009E7526" w:rsidRPr="00CF58BA" w:rsidRDefault="009E7526" w:rsidP="005454E9">
            <w:pPr>
              <w:pStyle w:val="BodyText2"/>
              <w:jc w:val="both"/>
              <w:rPr>
                <w:rFonts w:ascii="Calibri" w:hAnsi="Calibri"/>
                <w:sz w:val="22"/>
                <w:szCs w:val="22"/>
              </w:rPr>
            </w:pPr>
            <w:r w:rsidRPr="00CF58BA">
              <w:rPr>
                <w:rFonts w:ascii="Calibri" w:hAnsi="Calibri"/>
                <w:sz w:val="22"/>
                <w:szCs w:val="22"/>
                <w:u w:val="single"/>
              </w:rPr>
              <w:t>Major Lessons Learnt</w:t>
            </w:r>
            <w:r w:rsidR="005F6261" w:rsidRPr="00CF58BA">
              <w:rPr>
                <w:rFonts w:ascii="Calibri" w:hAnsi="Calibri"/>
                <w:sz w:val="22"/>
                <w:szCs w:val="22"/>
              </w:rPr>
              <w:t>:</w:t>
            </w:r>
          </w:p>
          <w:p w:rsidR="00226675" w:rsidRPr="00226675" w:rsidRDefault="00226675" w:rsidP="00226675">
            <w:pPr>
              <w:pStyle w:val="NoSpacing"/>
              <w:numPr>
                <w:ilvl w:val="0"/>
                <w:numId w:val="43"/>
              </w:numPr>
              <w:ind w:left="360"/>
              <w:jc w:val="both"/>
              <w:rPr>
                <w:lang w:val="en"/>
              </w:rPr>
            </w:pPr>
            <w:r w:rsidRPr="00226675">
              <w:rPr>
                <w:lang w:val="en"/>
              </w:rPr>
              <w:t xml:space="preserve">UNDP managed to successfully realize many achievements during this cycle </w:t>
            </w:r>
            <w:r w:rsidR="007746AB">
              <w:rPr>
                <w:lang w:val="en"/>
              </w:rPr>
              <w:t>(</w:t>
            </w:r>
            <w:r w:rsidR="00632D0E">
              <w:rPr>
                <w:lang w:val="en"/>
              </w:rPr>
              <w:t xml:space="preserve">2013-2015) </w:t>
            </w:r>
            <w:r w:rsidRPr="00226675">
              <w:rPr>
                <w:lang w:val="en"/>
              </w:rPr>
              <w:t xml:space="preserve">in spite of a volatile political situation and localized conflict flare ups, shrinking resource base, institutional instability in government counterpart structure as well as senior UNDP staff turn-over. Planning for the next cycle will want to take stock of the challenges encountered and the lessons learned particularly the drastic diversity in Sudan’s diverse regional contexts and the constantly changing socio-economic and political challenges with no solid evidence of change so far. In addition, UNDP needs to also </w:t>
            </w:r>
            <w:r w:rsidRPr="00226675">
              <w:rPr>
                <w:lang w:val="en"/>
              </w:rPr>
              <w:lastRenderedPageBreak/>
              <w:t xml:space="preserve">follow closely the conflict situation and peace efforts in surrounding countries such as South Sudan, Libya and even Syria because of possible implications for Sudan in terms of refugee influx, the human trafficking problem and availability of resources for recovery.     </w:t>
            </w:r>
          </w:p>
          <w:p w:rsidR="00226675" w:rsidRPr="00226675" w:rsidRDefault="00226675" w:rsidP="00226675">
            <w:pPr>
              <w:pStyle w:val="NoSpacing"/>
              <w:numPr>
                <w:ilvl w:val="0"/>
                <w:numId w:val="43"/>
              </w:numPr>
              <w:ind w:left="360"/>
              <w:jc w:val="both"/>
              <w:rPr>
                <w:lang w:val="en"/>
              </w:rPr>
            </w:pPr>
            <w:r w:rsidRPr="00226675">
              <w:rPr>
                <w:lang w:val="en"/>
              </w:rPr>
              <w:t xml:space="preserve">In dealing with the complex context of Sudan and its conflict profile, an integrated approach to peace building is crucial. UNDP Sudan pioneered an integrated approach in 2011 and has piloted it since in conflict-affected regions of the country such as Darfur and eastern Sudan, combining governance and access to justice, supporting local peace mechanisms and peace dividends and sustainable livelihoods and employment at community level. This approach is now strongly recommended by UNDP’s global corporate Strategic Plan.  </w:t>
            </w:r>
          </w:p>
          <w:p w:rsidR="00226675" w:rsidRPr="00226675" w:rsidRDefault="00226675" w:rsidP="00226675">
            <w:pPr>
              <w:pStyle w:val="NoSpacing"/>
              <w:numPr>
                <w:ilvl w:val="0"/>
                <w:numId w:val="43"/>
              </w:numPr>
              <w:ind w:left="360"/>
              <w:jc w:val="both"/>
              <w:rPr>
                <w:lang w:val="en"/>
              </w:rPr>
            </w:pPr>
            <w:r w:rsidRPr="00226675">
              <w:rPr>
                <w:lang w:val="en"/>
              </w:rPr>
              <w:t xml:space="preserve">While this integrated approach has proven successful in stabilizing conflict-affected communities, it requires careful navigation and monitoring since results are entangled with the macro-level politics of conflict in the country.  </w:t>
            </w:r>
          </w:p>
          <w:p w:rsidR="00226675" w:rsidRPr="00226675" w:rsidRDefault="00226675" w:rsidP="00226675">
            <w:pPr>
              <w:pStyle w:val="NoSpacing"/>
              <w:numPr>
                <w:ilvl w:val="0"/>
                <w:numId w:val="43"/>
              </w:numPr>
              <w:ind w:left="360"/>
              <w:jc w:val="both"/>
              <w:rPr>
                <w:lang w:val="en"/>
              </w:rPr>
            </w:pPr>
            <w:r w:rsidRPr="00226675">
              <w:rPr>
                <w:lang w:val="en"/>
              </w:rPr>
              <w:t xml:space="preserve">In a low technology context such as Sudan, the cross-cutting issue of ICT is crucial. ICT has been successfully piloted for the first time in UNDP’s programme interventions in different ways, with youth generally and especially those based in conflict-affected regions specifically targeted.  </w:t>
            </w:r>
          </w:p>
          <w:p w:rsidR="00226675" w:rsidRPr="00226675" w:rsidRDefault="00226675" w:rsidP="00226675">
            <w:pPr>
              <w:pStyle w:val="NoSpacing"/>
              <w:numPr>
                <w:ilvl w:val="0"/>
                <w:numId w:val="43"/>
              </w:numPr>
              <w:ind w:left="360"/>
              <w:jc w:val="both"/>
              <w:rPr>
                <w:lang w:val="en"/>
              </w:rPr>
            </w:pPr>
            <w:r w:rsidRPr="00226675">
              <w:rPr>
                <w:lang w:val="en"/>
              </w:rPr>
              <w:t xml:space="preserve">A combination of policy support and demonstrative piloting of how policy can be practically effected on the ground is a pragmatic approach to change. UNDP’s  focus on the macro federal level has allowed it to support a range of strategic policies related to poverty reduction, human rights and the environment that are crucial to human development and sustainable development. This will ultimately and eventually build a foundation for sustainable human development - the deterrent of conflict.    </w:t>
            </w:r>
          </w:p>
          <w:p w:rsidR="00226675" w:rsidRPr="00226675" w:rsidRDefault="00226675" w:rsidP="00226675">
            <w:pPr>
              <w:pStyle w:val="NoSpacing"/>
              <w:numPr>
                <w:ilvl w:val="0"/>
                <w:numId w:val="43"/>
              </w:numPr>
              <w:ind w:left="360"/>
              <w:jc w:val="both"/>
              <w:rPr>
                <w:lang w:val="en"/>
              </w:rPr>
            </w:pPr>
            <w:r w:rsidRPr="00226675">
              <w:rPr>
                <w:lang w:val="en"/>
              </w:rPr>
              <w:t xml:space="preserve">Including a component of peace dividends for the community in terms of social service delivery and livelihoods is a crucial step in mitigating drivers of conflict, in consolidating peace and in ensuring buy-in and attention from the community. Introducing natural resources management in its capacity-building package is again a successful approach by UNDP to demonstrate that livelihoods and recovery should not be achieved at the expense of environmental sustainability, especially in an already conflict-ravaged or post-conflict area.   </w:t>
            </w:r>
          </w:p>
          <w:p w:rsidR="00226675" w:rsidRPr="00226675" w:rsidRDefault="00226675" w:rsidP="00226675">
            <w:pPr>
              <w:pStyle w:val="NoSpacing"/>
              <w:numPr>
                <w:ilvl w:val="0"/>
                <w:numId w:val="43"/>
              </w:numPr>
              <w:ind w:left="360"/>
              <w:jc w:val="both"/>
              <w:rPr>
                <w:lang w:val="en"/>
              </w:rPr>
            </w:pPr>
            <w:r w:rsidRPr="00226675">
              <w:rPr>
                <w:lang w:val="en"/>
              </w:rPr>
              <w:t>Faced with a dire financial resource situation, a multi-pronged approach of consolidating existing partnerships, expanding to South/South cooperation, and forging partnerships with emerging and new partners is a step in the right direction. UNDP did exactly that, but it needs to continue and expand this trend to the maximum extent possible. Partnerships should not be limited to funding but enlarged to include knowledge exchange and “in kind” input of expertise and capacity-building. Examples abound of countries who successfully drew on this approach to help them surmount horrific conflict experiences, achieve reconciliation and sustain peace, e.g. South Africa and Rwanda. Others, such as Ethiopia, were able to begin surmounting acute development challenges in part through making major strides in development planning.</w:t>
            </w:r>
          </w:p>
          <w:p w:rsidR="00226675" w:rsidRPr="00226675" w:rsidRDefault="00226675" w:rsidP="00226675">
            <w:pPr>
              <w:pStyle w:val="NoSpacing"/>
              <w:numPr>
                <w:ilvl w:val="0"/>
                <w:numId w:val="43"/>
              </w:numPr>
              <w:ind w:left="360"/>
              <w:jc w:val="both"/>
              <w:rPr>
                <w:lang w:val="en"/>
              </w:rPr>
            </w:pPr>
            <w:r w:rsidRPr="00226675">
              <w:rPr>
                <w:lang w:val="en"/>
              </w:rPr>
              <w:t xml:space="preserve">UNDP’s long-standing position as a trusted partner in Sudan is a major asset that should not be underestimated. It has helped the organization to carve inroads into the most difficult of conflict-and-post conflict areas in the country, as well as in exclusively venturing into the most sensitive areas of intervention at national policy level, such as human rights, gender equity, disarmament and reintegration.  </w:t>
            </w:r>
          </w:p>
          <w:p w:rsidR="008D3E0D" w:rsidRPr="00226675" w:rsidRDefault="00226675" w:rsidP="00226675">
            <w:pPr>
              <w:pStyle w:val="NoSpacing"/>
              <w:numPr>
                <w:ilvl w:val="0"/>
                <w:numId w:val="43"/>
              </w:numPr>
              <w:ind w:left="360"/>
              <w:jc w:val="both"/>
            </w:pPr>
            <w:r w:rsidRPr="00226675">
              <w:rPr>
                <w:lang w:val="en"/>
              </w:rPr>
              <w:t xml:space="preserve">While UNDP’s interventions were successful in responding to evolving needs and resources availability in this cycle, there is a need for even “ more focus within the focus” in the next cycle but with a flexibility that allows accelerated expansion and replication as context and needs evolve both geographically and thematically. </w:t>
            </w:r>
          </w:p>
        </w:tc>
      </w:tr>
    </w:tbl>
    <w:p w:rsidR="00FE7A03" w:rsidRDefault="00FE7A03" w:rsidP="00736CDD">
      <w:pPr>
        <w:widowControl/>
        <w:jc w:val="center"/>
        <w:rPr>
          <w:rFonts w:ascii="Calibri" w:hAnsi="Calibri"/>
          <w:sz w:val="22"/>
          <w:szCs w:val="22"/>
        </w:rPr>
      </w:pPr>
    </w:p>
    <w:p w:rsidR="00FE7A03" w:rsidRDefault="00FE7A03" w:rsidP="00736CDD">
      <w:pPr>
        <w:widowControl/>
        <w:jc w:val="center"/>
        <w:rPr>
          <w:rFonts w:ascii="Calibri" w:hAnsi="Calibri"/>
          <w:sz w:val="22"/>
          <w:szCs w:val="22"/>
        </w:rPr>
      </w:pPr>
    </w:p>
    <w:p w:rsidR="00FE7A03" w:rsidRDefault="00FE7A03" w:rsidP="00736CDD">
      <w:pPr>
        <w:widowControl/>
        <w:jc w:val="center"/>
        <w:rPr>
          <w:rFonts w:ascii="Calibri" w:hAnsi="Calibri"/>
          <w:sz w:val="22"/>
          <w:szCs w:val="22"/>
        </w:rPr>
      </w:pPr>
    </w:p>
    <w:p w:rsidR="00736CDD" w:rsidRPr="007A4B14" w:rsidRDefault="00736CDD" w:rsidP="00736CDD">
      <w:pPr>
        <w:widowControl/>
        <w:jc w:val="center"/>
        <w:rPr>
          <w:rFonts w:ascii="Calibri" w:hAnsi="Calibri"/>
          <w:sz w:val="22"/>
          <w:szCs w:val="22"/>
        </w:rPr>
      </w:pPr>
      <w:r w:rsidRPr="007A4B14">
        <w:rPr>
          <w:rFonts w:ascii="Calibri" w:hAnsi="Calibri"/>
          <w:sz w:val="22"/>
          <w:szCs w:val="22"/>
        </w:rPr>
        <w:lastRenderedPageBreak/>
        <w:t>III. Country Programme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745"/>
        <w:gridCol w:w="2039"/>
        <w:gridCol w:w="1949"/>
        <w:gridCol w:w="1979"/>
      </w:tblGrid>
      <w:tr w:rsidR="00BB52C4" w:rsidRPr="007A4B14" w:rsidTr="00327D60">
        <w:tc>
          <w:tcPr>
            <w:tcW w:w="5238" w:type="dxa"/>
            <w:shd w:val="clear" w:color="auto" w:fill="000000"/>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Focus Area</w:t>
            </w:r>
          </w:p>
        </w:tc>
        <w:tc>
          <w:tcPr>
            <w:tcW w:w="6733" w:type="dxa"/>
            <w:gridSpan w:val="3"/>
            <w:shd w:val="clear" w:color="auto" w:fill="000000"/>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Programme Expenditure ($)</w:t>
            </w:r>
            <w:r w:rsidR="00215F46">
              <w:rPr>
                <w:rFonts w:ascii="Calibri" w:hAnsi="Calibri"/>
                <w:b/>
                <w:sz w:val="22"/>
                <w:szCs w:val="22"/>
              </w:rPr>
              <w:t xml:space="preserve"> for 2013 -2016</w:t>
            </w:r>
          </w:p>
        </w:tc>
        <w:tc>
          <w:tcPr>
            <w:tcW w:w="1979" w:type="dxa"/>
            <w:shd w:val="clear" w:color="auto" w:fill="000000"/>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 of Total</w:t>
            </w:r>
          </w:p>
        </w:tc>
      </w:tr>
      <w:tr w:rsidR="00BB52C4" w:rsidRPr="007A4B14" w:rsidTr="00327D60">
        <w:tc>
          <w:tcPr>
            <w:tcW w:w="5238" w:type="dxa"/>
          </w:tcPr>
          <w:p w:rsidR="00736CDD" w:rsidRPr="007A4B14" w:rsidRDefault="00736CDD" w:rsidP="00736CDD">
            <w:pPr>
              <w:widowControl/>
              <w:rPr>
                <w:rFonts w:ascii="Calibri" w:hAnsi="Calibri"/>
                <w:b/>
                <w:sz w:val="22"/>
                <w:szCs w:val="22"/>
              </w:rPr>
            </w:pPr>
          </w:p>
        </w:tc>
        <w:tc>
          <w:tcPr>
            <w:tcW w:w="2745" w:type="dxa"/>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Regular (TRAC)</w:t>
            </w:r>
          </w:p>
        </w:tc>
        <w:tc>
          <w:tcPr>
            <w:tcW w:w="2039" w:type="dxa"/>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Other</w:t>
            </w:r>
          </w:p>
        </w:tc>
        <w:tc>
          <w:tcPr>
            <w:tcW w:w="1949" w:type="dxa"/>
          </w:tcPr>
          <w:p w:rsidR="00736CDD" w:rsidRPr="007A4B14" w:rsidRDefault="00736CDD" w:rsidP="00736CDD">
            <w:pPr>
              <w:widowControl/>
              <w:jc w:val="center"/>
              <w:rPr>
                <w:rFonts w:ascii="Calibri" w:hAnsi="Calibri"/>
                <w:b/>
                <w:sz w:val="22"/>
                <w:szCs w:val="22"/>
              </w:rPr>
            </w:pPr>
            <w:r w:rsidRPr="007A4B14">
              <w:rPr>
                <w:rFonts w:ascii="Calibri" w:hAnsi="Calibri"/>
                <w:b/>
                <w:sz w:val="22"/>
                <w:szCs w:val="22"/>
              </w:rPr>
              <w:t>Total</w:t>
            </w:r>
          </w:p>
        </w:tc>
        <w:tc>
          <w:tcPr>
            <w:tcW w:w="1979" w:type="dxa"/>
          </w:tcPr>
          <w:p w:rsidR="00736CDD" w:rsidRPr="007A4B14" w:rsidRDefault="00736CDD" w:rsidP="00736CDD">
            <w:pPr>
              <w:widowControl/>
              <w:jc w:val="center"/>
              <w:rPr>
                <w:rFonts w:ascii="Calibri" w:hAnsi="Calibri"/>
                <w:b/>
                <w:sz w:val="22"/>
                <w:szCs w:val="22"/>
              </w:rPr>
            </w:pPr>
          </w:p>
        </w:tc>
      </w:tr>
      <w:tr w:rsidR="00751EF9" w:rsidRPr="007A4B14" w:rsidTr="00327D60">
        <w:tc>
          <w:tcPr>
            <w:tcW w:w="5238" w:type="dxa"/>
          </w:tcPr>
          <w:p w:rsidR="00751EF9" w:rsidRPr="007A4B14" w:rsidRDefault="00751EF9" w:rsidP="00751EF9">
            <w:pPr>
              <w:widowControl/>
              <w:rPr>
                <w:rFonts w:ascii="Calibri" w:hAnsi="Calibri"/>
                <w:sz w:val="22"/>
                <w:szCs w:val="22"/>
              </w:rPr>
            </w:pPr>
            <w:r w:rsidRPr="007A4B14">
              <w:rPr>
                <w:rFonts w:ascii="Calibri" w:hAnsi="Calibri"/>
                <w:sz w:val="22"/>
                <w:szCs w:val="22"/>
              </w:rPr>
              <w:t>Poverty and MDGs</w:t>
            </w:r>
          </w:p>
        </w:tc>
        <w:tc>
          <w:tcPr>
            <w:tcW w:w="2745" w:type="dxa"/>
            <w:vAlign w:val="center"/>
          </w:tcPr>
          <w:p w:rsidR="00751EF9" w:rsidRPr="00837042" w:rsidRDefault="00751EF9" w:rsidP="00751EF9">
            <w:pPr>
              <w:widowControl/>
              <w:jc w:val="right"/>
              <w:rPr>
                <w:rFonts w:ascii="Calibri" w:hAnsi="Calibri"/>
                <w:sz w:val="22"/>
                <w:szCs w:val="22"/>
                <w:highlight w:val="yellow"/>
              </w:rPr>
            </w:pPr>
            <w:r w:rsidRPr="00837042">
              <w:rPr>
                <w:rFonts w:ascii="Calibri" w:hAnsi="Calibri"/>
                <w:color w:val="000000"/>
                <w:sz w:val="22"/>
                <w:szCs w:val="22"/>
              </w:rPr>
              <w:t xml:space="preserve">                3,201,468 </w:t>
            </w:r>
          </w:p>
        </w:tc>
        <w:tc>
          <w:tcPr>
            <w:tcW w:w="203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222,132,485 </w:t>
            </w:r>
          </w:p>
        </w:tc>
        <w:tc>
          <w:tcPr>
            <w:tcW w:w="1949" w:type="dxa"/>
            <w:vAlign w:val="center"/>
          </w:tcPr>
          <w:p w:rsidR="00751EF9" w:rsidRPr="00485186"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225,333,954 </w:t>
            </w:r>
          </w:p>
        </w:tc>
        <w:tc>
          <w:tcPr>
            <w:tcW w:w="1979" w:type="dxa"/>
            <w:vAlign w:val="center"/>
          </w:tcPr>
          <w:p w:rsidR="00751EF9" w:rsidRPr="00F42010" w:rsidRDefault="00751EF9">
            <w:pPr>
              <w:widowControl/>
              <w:jc w:val="center"/>
              <w:rPr>
                <w:rFonts w:ascii="Calibri" w:hAnsi="Calibri"/>
                <w:sz w:val="22"/>
                <w:szCs w:val="22"/>
              </w:rPr>
            </w:pPr>
            <w:r w:rsidRPr="00837042">
              <w:rPr>
                <w:rFonts w:ascii="Calibri" w:hAnsi="Calibri"/>
                <w:color w:val="000000"/>
                <w:sz w:val="22"/>
                <w:szCs w:val="22"/>
              </w:rPr>
              <w:t xml:space="preserve">51 </w:t>
            </w:r>
          </w:p>
        </w:tc>
      </w:tr>
      <w:tr w:rsidR="00751EF9" w:rsidRPr="007A4B14" w:rsidTr="00327D60">
        <w:tc>
          <w:tcPr>
            <w:tcW w:w="5238" w:type="dxa"/>
          </w:tcPr>
          <w:p w:rsidR="00751EF9" w:rsidRPr="007A4B14" w:rsidRDefault="00751EF9" w:rsidP="00751EF9">
            <w:pPr>
              <w:widowControl/>
              <w:rPr>
                <w:rFonts w:ascii="Calibri" w:hAnsi="Calibri"/>
                <w:sz w:val="22"/>
                <w:szCs w:val="22"/>
              </w:rPr>
            </w:pPr>
            <w:r w:rsidRPr="007A4B14">
              <w:rPr>
                <w:rFonts w:ascii="Calibri" w:hAnsi="Calibri"/>
                <w:sz w:val="22"/>
                <w:szCs w:val="22"/>
              </w:rPr>
              <w:t>Democratic Governance</w:t>
            </w:r>
          </w:p>
        </w:tc>
        <w:tc>
          <w:tcPr>
            <w:tcW w:w="2745"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3,188,014 </w:t>
            </w:r>
          </w:p>
        </w:tc>
        <w:tc>
          <w:tcPr>
            <w:tcW w:w="203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10,999,756 </w:t>
            </w:r>
          </w:p>
        </w:tc>
        <w:tc>
          <w:tcPr>
            <w:tcW w:w="194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14,187,770 </w:t>
            </w:r>
          </w:p>
        </w:tc>
        <w:tc>
          <w:tcPr>
            <w:tcW w:w="1979" w:type="dxa"/>
            <w:vAlign w:val="center"/>
          </w:tcPr>
          <w:p w:rsidR="00751EF9" w:rsidRPr="00F42010" w:rsidRDefault="00751EF9">
            <w:pPr>
              <w:jc w:val="center"/>
              <w:rPr>
                <w:rFonts w:ascii="Calibri" w:hAnsi="Calibri"/>
                <w:sz w:val="22"/>
                <w:szCs w:val="22"/>
              </w:rPr>
            </w:pPr>
            <w:r w:rsidRPr="00837042">
              <w:rPr>
                <w:rFonts w:ascii="Calibri" w:hAnsi="Calibri"/>
                <w:color w:val="000000"/>
                <w:sz w:val="22"/>
                <w:szCs w:val="22"/>
              </w:rPr>
              <w:t xml:space="preserve">3 </w:t>
            </w:r>
          </w:p>
        </w:tc>
      </w:tr>
      <w:tr w:rsidR="00751EF9" w:rsidRPr="007A4B14" w:rsidTr="00327D60">
        <w:tc>
          <w:tcPr>
            <w:tcW w:w="5238" w:type="dxa"/>
          </w:tcPr>
          <w:p w:rsidR="00751EF9" w:rsidRPr="007A4B14" w:rsidRDefault="00751EF9" w:rsidP="00751EF9">
            <w:pPr>
              <w:widowControl/>
              <w:rPr>
                <w:rFonts w:ascii="Calibri" w:hAnsi="Calibri"/>
                <w:sz w:val="22"/>
                <w:szCs w:val="22"/>
              </w:rPr>
            </w:pPr>
            <w:r w:rsidRPr="007A4B14">
              <w:rPr>
                <w:rFonts w:ascii="Calibri" w:hAnsi="Calibri"/>
                <w:sz w:val="22"/>
                <w:szCs w:val="22"/>
              </w:rPr>
              <w:t>Crisis Prevention and Recovery</w:t>
            </w:r>
          </w:p>
        </w:tc>
        <w:tc>
          <w:tcPr>
            <w:tcW w:w="2745"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4,635,154 </w:t>
            </w:r>
          </w:p>
        </w:tc>
        <w:tc>
          <w:tcPr>
            <w:tcW w:w="203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44,963,071 </w:t>
            </w:r>
          </w:p>
        </w:tc>
        <w:tc>
          <w:tcPr>
            <w:tcW w:w="194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49,598,225 </w:t>
            </w:r>
          </w:p>
        </w:tc>
        <w:tc>
          <w:tcPr>
            <w:tcW w:w="1979" w:type="dxa"/>
            <w:vAlign w:val="center"/>
          </w:tcPr>
          <w:p w:rsidR="00751EF9" w:rsidRPr="00F42010" w:rsidRDefault="00751EF9">
            <w:pPr>
              <w:jc w:val="center"/>
              <w:rPr>
                <w:rFonts w:ascii="Calibri" w:hAnsi="Calibri"/>
                <w:sz w:val="22"/>
                <w:szCs w:val="22"/>
              </w:rPr>
            </w:pPr>
            <w:r w:rsidRPr="00837042">
              <w:rPr>
                <w:rFonts w:ascii="Calibri" w:hAnsi="Calibri"/>
                <w:color w:val="000000"/>
                <w:sz w:val="22"/>
                <w:szCs w:val="22"/>
              </w:rPr>
              <w:t xml:space="preserve">11 </w:t>
            </w:r>
          </w:p>
        </w:tc>
      </w:tr>
      <w:tr w:rsidR="00751EF9" w:rsidRPr="002A77C6" w:rsidTr="00327D60">
        <w:tc>
          <w:tcPr>
            <w:tcW w:w="5238" w:type="dxa"/>
          </w:tcPr>
          <w:p w:rsidR="00751EF9" w:rsidRPr="002A77C6" w:rsidRDefault="00751EF9" w:rsidP="00751EF9">
            <w:pPr>
              <w:widowControl/>
              <w:rPr>
                <w:rFonts w:ascii="Calibri" w:hAnsi="Calibri"/>
                <w:sz w:val="22"/>
                <w:szCs w:val="22"/>
              </w:rPr>
            </w:pPr>
            <w:r w:rsidRPr="002A77C6">
              <w:rPr>
                <w:rFonts w:ascii="Calibri" w:hAnsi="Calibri"/>
                <w:sz w:val="22"/>
                <w:szCs w:val="22"/>
              </w:rPr>
              <w:t>Environment and Sustainable Development</w:t>
            </w:r>
          </w:p>
        </w:tc>
        <w:tc>
          <w:tcPr>
            <w:tcW w:w="2745"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1,738,267 </w:t>
            </w:r>
          </w:p>
        </w:tc>
        <w:tc>
          <w:tcPr>
            <w:tcW w:w="2039" w:type="dxa"/>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8,411,885 </w:t>
            </w:r>
          </w:p>
        </w:tc>
        <w:tc>
          <w:tcPr>
            <w:tcW w:w="1949" w:type="dxa"/>
            <w:vAlign w:val="center"/>
          </w:tcPr>
          <w:p w:rsidR="00751EF9" w:rsidRPr="00485186"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10,150,152 </w:t>
            </w:r>
          </w:p>
        </w:tc>
        <w:tc>
          <w:tcPr>
            <w:tcW w:w="1979" w:type="dxa"/>
            <w:vAlign w:val="center"/>
          </w:tcPr>
          <w:p w:rsidR="00751EF9" w:rsidRPr="00F42010" w:rsidRDefault="00751EF9">
            <w:pPr>
              <w:jc w:val="center"/>
              <w:rPr>
                <w:rFonts w:ascii="Calibri" w:hAnsi="Calibri"/>
                <w:sz w:val="22"/>
                <w:szCs w:val="22"/>
              </w:rPr>
            </w:pPr>
            <w:r w:rsidRPr="00837042">
              <w:rPr>
                <w:rFonts w:ascii="Calibri" w:hAnsi="Calibri"/>
                <w:color w:val="000000"/>
                <w:sz w:val="22"/>
                <w:szCs w:val="22"/>
              </w:rPr>
              <w:t xml:space="preserve">2 </w:t>
            </w:r>
          </w:p>
        </w:tc>
      </w:tr>
      <w:tr w:rsidR="00751EF9" w:rsidRPr="002A77C6" w:rsidTr="00327D60">
        <w:tc>
          <w:tcPr>
            <w:tcW w:w="5238" w:type="dxa"/>
            <w:shd w:val="clear" w:color="auto" w:fill="auto"/>
          </w:tcPr>
          <w:p w:rsidR="00751EF9" w:rsidRPr="002A77C6" w:rsidRDefault="00751EF9" w:rsidP="00751EF9">
            <w:pPr>
              <w:widowControl/>
              <w:rPr>
                <w:rFonts w:ascii="Calibri" w:hAnsi="Calibri"/>
                <w:sz w:val="22"/>
                <w:szCs w:val="22"/>
              </w:rPr>
            </w:pPr>
            <w:r w:rsidRPr="002A77C6">
              <w:rPr>
                <w:rFonts w:ascii="Calibri" w:hAnsi="Calibri"/>
                <w:sz w:val="22"/>
                <w:szCs w:val="22"/>
              </w:rPr>
              <w:t>CHF</w:t>
            </w:r>
          </w:p>
        </w:tc>
        <w:tc>
          <w:tcPr>
            <w:tcW w:w="2745" w:type="dxa"/>
            <w:shd w:val="clear" w:color="auto" w:fill="auto"/>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   </w:t>
            </w:r>
          </w:p>
        </w:tc>
        <w:tc>
          <w:tcPr>
            <w:tcW w:w="2039" w:type="dxa"/>
            <w:shd w:val="clear" w:color="auto" w:fill="auto"/>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142,203,292 </w:t>
            </w:r>
          </w:p>
        </w:tc>
        <w:tc>
          <w:tcPr>
            <w:tcW w:w="1949" w:type="dxa"/>
            <w:shd w:val="clear" w:color="auto" w:fill="auto"/>
            <w:vAlign w:val="center"/>
          </w:tcPr>
          <w:p w:rsidR="00751EF9" w:rsidRPr="00837042" w:rsidRDefault="00751EF9" w:rsidP="00751EF9">
            <w:pPr>
              <w:jc w:val="right"/>
              <w:rPr>
                <w:rFonts w:ascii="Calibri" w:hAnsi="Calibri"/>
                <w:sz w:val="22"/>
                <w:szCs w:val="22"/>
                <w:highlight w:val="yellow"/>
              </w:rPr>
            </w:pPr>
            <w:r w:rsidRPr="00837042">
              <w:rPr>
                <w:rFonts w:ascii="Calibri" w:hAnsi="Calibri"/>
                <w:color w:val="000000"/>
                <w:sz w:val="22"/>
                <w:szCs w:val="22"/>
              </w:rPr>
              <w:t xml:space="preserve">          142,203,292 </w:t>
            </w:r>
          </w:p>
        </w:tc>
        <w:tc>
          <w:tcPr>
            <w:tcW w:w="1979" w:type="dxa"/>
            <w:shd w:val="clear" w:color="auto" w:fill="auto"/>
            <w:vAlign w:val="center"/>
          </w:tcPr>
          <w:p w:rsidR="00751EF9" w:rsidRPr="00F42010" w:rsidRDefault="00751EF9">
            <w:pPr>
              <w:jc w:val="center"/>
              <w:rPr>
                <w:rFonts w:ascii="Calibri" w:hAnsi="Calibri"/>
                <w:sz w:val="22"/>
                <w:szCs w:val="22"/>
              </w:rPr>
            </w:pPr>
            <w:r w:rsidRPr="00837042">
              <w:rPr>
                <w:rFonts w:ascii="Calibri" w:hAnsi="Calibri"/>
                <w:color w:val="000000"/>
                <w:sz w:val="22"/>
                <w:szCs w:val="22"/>
              </w:rPr>
              <w:t xml:space="preserve">32 </w:t>
            </w:r>
          </w:p>
        </w:tc>
      </w:tr>
      <w:tr w:rsidR="00751EF9" w:rsidRPr="002A77C6" w:rsidTr="00327D60">
        <w:tc>
          <w:tcPr>
            <w:tcW w:w="5238" w:type="dxa"/>
            <w:shd w:val="clear" w:color="auto" w:fill="00B0F0"/>
          </w:tcPr>
          <w:p w:rsidR="00751EF9" w:rsidRPr="002A77C6" w:rsidRDefault="00751EF9" w:rsidP="00751EF9">
            <w:pPr>
              <w:widowControl/>
              <w:jc w:val="center"/>
              <w:rPr>
                <w:rFonts w:ascii="Calibri" w:hAnsi="Calibri"/>
                <w:b/>
                <w:sz w:val="22"/>
                <w:szCs w:val="22"/>
              </w:rPr>
            </w:pPr>
            <w:r w:rsidRPr="002A77C6">
              <w:rPr>
                <w:rFonts w:ascii="Calibri" w:hAnsi="Calibri"/>
                <w:b/>
                <w:sz w:val="22"/>
                <w:szCs w:val="22"/>
              </w:rPr>
              <w:t>Total</w:t>
            </w:r>
          </w:p>
        </w:tc>
        <w:tc>
          <w:tcPr>
            <w:tcW w:w="2745" w:type="dxa"/>
            <w:shd w:val="clear" w:color="auto" w:fill="00B0F0"/>
            <w:vAlign w:val="center"/>
          </w:tcPr>
          <w:p w:rsidR="00751EF9" w:rsidRPr="00837042" w:rsidRDefault="00751EF9" w:rsidP="00751EF9">
            <w:pPr>
              <w:jc w:val="right"/>
              <w:rPr>
                <w:rFonts w:ascii="Calibri" w:hAnsi="Calibri"/>
                <w:b/>
                <w:bCs/>
                <w:sz w:val="22"/>
                <w:szCs w:val="22"/>
                <w:highlight w:val="yellow"/>
              </w:rPr>
            </w:pPr>
            <w:r w:rsidRPr="00837042">
              <w:rPr>
                <w:rFonts w:ascii="Calibri" w:hAnsi="Calibri"/>
                <w:b/>
                <w:bCs/>
                <w:color w:val="000000"/>
                <w:sz w:val="22"/>
                <w:szCs w:val="22"/>
              </w:rPr>
              <w:t xml:space="preserve">              12,762,904 </w:t>
            </w:r>
          </w:p>
        </w:tc>
        <w:tc>
          <w:tcPr>
            <w:tcW w:w="2039" w:type="dxa"/>
            <w:shd w:val="clear" w:color="auto" w:fill="00B0F0"/>
            <w:vAlign w:val="center"/>
          </w:tcPr>
          <w:p w:rsidR="00751EF9" w:rsidRPr="00837042" w:rsidRDefault="00751EF9" w:rsidP="00751EF9">
            <w:pPr>
              <w:jc w:val="right"/>
              <w:rPr>
                <w:rFonts w:ascii="Calibri" w:hAnsi="Calibri"/>
                <w:b/>
                <w:bCs/>
                <w:sz w:val="22"/>
                <w:szCs w:val="22"/>
                <w:highlight w:val="yellow"/>
              </w:rPr>
            </w:pPr>
            <w:r w:rsidRPr="00837042">
              <w:rPr>
                <w:rFonts w:ascii="Calibri" w:hAnsi="Calibri"/>
                <w:b/>
                <w:bCs/>
                <w:color w:val="000000"/>
                <w:sz w:val="22"/>
                <w:szCs w:val="22"/>
              </w:rPr>
              <w:t xml:space="preserve">          428,710,489 </w:t>
            </w:r>
          </w:p>
        </w:tc>
        <w:tc>
          <w:tcPr>
            <w:tcW w:w="1949" w:type="dxa"/>
            <w:shd w:val="clear" w:color="auto" w:fill="00B0F0"/>
            <w:vAlign w:val="center"/>
          </w:tcPr>
          <w:p w:rsidR="00751EF9" w:rsidRPr="00837042" w:rsidRDefault="00751EF9" w:rsidP="00751EF9">
            <w:pPr>
              <w:jc w:val="right"/>
              <w:rPr>
                <w:rFonts w:ascii="Calibri" w:hAnsi="Calibri"/>
                <w:b/>
                <w:bCs/>
                <w:sz w:val="22"/>
                <w:szCs w:val="22"/>
                <w:highlight w:val="yellow"/>
              </w:rPr>
            </w:pPr>
            <w:r w:rsidRPr="00837042">
              <w:rPr>
                <w:rFonts w:ascii="Calibri" w:hAnsi="Calibri"/>
                <w:b/>
                <w:bCs/>
                <w:color w:val="000000"/>
                <w:sz w:val="22"/>
                <w:szCs w:val="22"/>
              </w:rPr>
              <w:t xml:space="preserve">          441,473,393 </w:t>
            </w:r>
          </w:p>
        </w:tc>
        <w:tc>
          <w:tcPr>
            <w:tcW w:w="1979" w:type="dxa"/>
            <w:shd w:val="clear" w:color="auto" w:fill="00B0F0"/>
            <w:vAlign w:val="center"/>
          </w:tcPr>
          <w:p w:rsidR="00751EF9" w:rsidRPr="00F42010" w:rsidRDefault="00751EF9">
            <w:pPr>
              <w:jc w:val="center"/>
              <w:rPr>
                <w:rFonts w:ascii="Calibri" w:hAnsi="Calibri"/>
                <w:b/>
                <w:bCs/>
                <w:sz w:val="22"/>
                <w:szCs w:val="22"/>
              </w:rPr>
            </w:pPr>
            <w:r w:rsidRPr="00F42010">
              <w:rPr>
                <w:rFonts w:ascii="Calibri" w:hAnsi="Calibri"/>
                <w:b/>
                <w:bCs/>
                <w:sz w:val="22"/>
                <w:szCs w:val="22"/>
              </w:rPr>
              <w:t>100</w:t>
            </w:r>
          </w:p>
        </w:tc>
      </w:tr>
    </w:tbl>
    <w:p w:rsidR="004B3911" w:rsidRDefault="004B3911" w:rsidP="005454E9">
      <w:pPr>
        <w:pStyle w:val="BodyText2"/>
        <w:jc w:val="both"/>
        <w:rPr>
          <w:rFonts w:ascii="Calibri" w:hAnsi="Calibri"/>
          <w:sz w:val="22"/>
          <w:szCs w:val="22"/>
        </w:rPr>
      </w:pPr>
    </w:p>
    <w:p w:rsidR="00635929" w:rsidRPr="002A77C6" w:rsidRDefault="00635929" w:rsidP="005454E9">
      <w:pPr>
        <w:pStyle w:val="BodyText2"/>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A77C6" w:rsidRPr="002A77C6" w:rsidTr="00A16F22">
        <w:tc>
          <w:tcPr>
            <w:tcW w:w="14176" w:type="dxa"/>
          </w:tcPr>
          <w:p w:rsidR="002547CF" w:rsidRPr="002A77C6" w:rsidRDefault="002547CF" w:rsidP="00BF3DB0">
            <w:pPr>
              <w:pStyle w:val="BodyText2"/>
              <w:jc w:val="both"/>
              <w:rPr>
                <w:rFonts w:ascii="Calibri" w:hAnsi="Calibri"/>
                <w:b/>
                <w:sz w:val="22"/>
                <w:szCs w:val="22"/>
              </w:rPr>
            </w:pPr>
            <w:r w:rsidRPr="002A77C6">
              <w:rPr>
                <w:rFonts w:ascii="Calibri" w:hAnsi="Calibri"/>
                <w:b/>
                <w:sz w:val="22"/>
                <w:szCs w:val="22"/>
              </w:rPr>
              <w:t xml:space="preserve">Data sources: </w:t>
            </w:r>
          </w:p>
        </w:tc>
      </w:tr>
      <w:tr w:rsidR="002A77C6" w:rsidRPr="002A77C6" w:rsidTr="00A16F22">
        <w:tc>
          <w:tcPr>
            <w:tcW w:w="14176" w:type="dxa"/>
          </w:tcPr>
          <w:p w:rsidR="00DC4992" w:rsidRPr="00C616C2" w:rsidRDefault="00DC4992" w:rsidP="00DC4992">
            <w:pPr>
              <w:pStyle w:val="BodyText2"/>
              <w:jc w:val="both"/>
              <w:rPr>
                <w:rFonts w:ascii="Calibri" w:hAnsi="Calibri"/>
                <w:b/>
                <w:sz w:val="22"/>
                <w:szCs w:val="22"/>
              </w:rPr>
            </w:pPr>
            <w:r w:rsidRPr="00C616C2">
              <w:rPr>
                <w:rFonts w:ascii="Calibri" w:hAnsi="Calibri"/>
                <w:b/>
                <w:sz w:val="22"/>
                <w:szCs w:val="22"/>
              </w:rPr>
              <w:t xml:space="preserve">All sources </w:t>
            </w:r>
            <w:r w:rsidR="00D22988" w:rsidRPr="00C616C2">
              <w:rPr>
                <w:rFonts w:ascii="Calibri" w:hAnsi="Calibri"/>
                <w:b/>
                <w:sz w:val="22"/>
                <w:szCs w:val="22"/>
              </w:rPr>
              <w:t xml:space="preserve">of the above information </w:t>
            </w:r>
            <w:r w:rsidRPr="00C616C2">
              <w:rPr>
                <w:rFonts w:ascii="Calibri" w:hAnsi="Calibri"/>
                <w:b/>
                <w:sz w:val="22"/>
                <w:szCs w:val="22"/>
              </w:rPr>
              <w:t>are available within the following link</w:t>
            </w:r>
            <w:r w:rsidR="00753696">
              <w:rPr>
                <w:rFonts w:ascii="Calibri" w:hAnsi="Calibri"/>
                <w:b/>
                <w:sz w:val="22"/>
                <w:szCs w:val="22"/>
              </w:rPr>
              <w:t>s/table</w:t>
            </w:r>
            <w:r w:rsidRPr="00C616C2">
              <w:rPr>
                <w:rFonts w:ascii="Calibri" w:hAnsi="Calibri"/>
                <w:b/>
                <w:sz w:val="22"/>
                <w:szCs w:val="22"/>
              </w:rPr>
              <w:t>:</w:t>
            </w:r>
          </w:p>
          <w:p w:rsidR="00BE1107" w:rsidRPr="00C616C2" w:rsidRDefault="00BE1107" w:rsidP="00DC4992">
            <w:pPr>
              <w:pStyle w:val="BodyText2"/>
              <w:jc w:val="both"/>
              <w:rPr>
                <w:rFonts w:ascii="Calibri" w:hAnsi="Calibri"/>
                <w:b/>
                <w:sz w:val="22"/>
                <w:szCs w:val="22"/>
              </w:rPr>
            </w:pPr>
          </w:p>
          <w:p w:rsidR="00DC4992" w:rsidRDefault="00534839" w:rsidP="00DC4992">
            <w:pPr>
              <w:pStyle w:val="BodyText2"/>
              <w:jc w:val="both"/>
              <w:rPr>
                <w:rFonts w:ascii="Calibri" w:hAnsi="Calibri"/>
                <w:color w:val="1F497D"/>
                <w:sz w:val="22"/>
                <w:szCs w:val="22"/>
              </w:rPr>
            </w:pPr>
            <w:hyperlink r:id="rId9" w:history="1">
              <w:r w:rsidR="00DC4992" w:rsidRPr="00C616C2">
                <w:rPr>
                  <w:rStyle w:val="Hyperlink"/>
                  <w:rFonts w:ascii="Calibri" w:hAnsi="Calibri"/>
                  <w:sz w:val="22"/>
                  <w:szCs w:val="22"/>
                </w:rPr>
                <w:t>https://intranet.undp.org/country/rbas/sd/intra/OSD/Oversight%20and%20Support%20Division%20OSD/Forms/AllItems.aspx</w:t>
              </w:r>
            </w:hyperlink>
          </w:p>
          <w:p w:rsidR="0002062F" w:rsidRPr="00837042" w:rsidRDefault="00534839" w:rsidP="0002062F">
            <w:pPr>
              <w:rPr>
                <w:rFonts w:ascii="Calibri" w:hAnsi="Calibri"/>
                <w:sz w:val="22"/>
                <w:szCs w:val="22"/>
              </w:rPr>
            </w:pPr>
            <w:hyperlink r:id="rId10" w:history="1">
              <w:r w:rsidR="0002062F" w:rsidRPr="00485186">
                <w:rPr>
                  <w:rStyle w:val="Hyperlink"/>
                  <w:rFonts w:ascii="Calibri" w:hAnsi="Calibri"/>
                  <w:sz w:val="22"/>
                  <w:szCs w:val="22"/>
                </w:rPr>
                <w:t>SDN_CO_2016_ROAR_Evidences</w:t>
              </w:r>
            </w:hyperlink>
            <w:hyperlink r:id="rId11" w:history="1">
              <w:r w:rsidR="0002062F" w:rsidRPr="00837042">
                <w:rPr>
                  <w:rStyle w:val="Hyperlink"/>
                  <w:rFonts w:ascii="Calibri" w:hAnsi="Calibri"/>
                  <w:sz w:val="22"/>
                  <w:szCs w:val="22"/>
                </w:rPr>
                <w:t>https://erc.undp.org/evaluation/plans/detail/1296</w:t>
              </w:r>
            </w:hyperlink>
          </w:p>
          <w:p w:rsidR="008D791F" w:rsidRPr="002A77C6" w:rsidRDefault="008D791F" w:rsidP="00DC4992">
            <w:pPr>
              <w:pStyle w:val="BodyText2"/>
              <w:jc w:val="both"/>
              <w:rPr>
                <w:rFonts w:ascii="Calibri" w:hAnsi="Calibri"/>
                <w:b/>
                <w:sz w:val="22"/>
                <w:szCs w:val="22"/>
              </w:rPr>
            </w:pPr>
          </w:p>
        </w:tc>
      </w:tr>
    </w:tbl>
    <w:p w:rsidR="0018401C" w:rsidRDefault="0018401C" w:rsidP="0018401C">
      <w:pPr>
        <w:rPr>
          <w:rFonts w:ascii="51ovbbg" w:hAnsi="51ovbbg" w:cs="51ovbbg"/>
          <w:color w:val="333333"/>
          <w:sz w:val="11"/>
          <w:szCs w:val="1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60"/>
      </w:tblGrid>
      <w:tr w:rsidR="00753696" w:rsidRPr="00753696" w:rsidTr="00753696">
        <w:trPr>
          <w:tblCellSpacing w:w="15" w:type="dxa"/>
        </w:trPr>
        <w:tc>
          <w:tcPr>
            <w:tcW w:w="0" w:type="auto"/>
            <w:vAlign w:val="center"/>
            <w:hideMark/>
          </w:tcPr>
          <w:p w:rsidR="00753696" w:rsidRPr="00753696" w:rsidRDefault="00753696" w:rsidP="00753696">
            <w:pPr>
              <w:widowControl/>
              <w:rPr>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3"/>
              <w:gridCol w:w="3395"/>
              <w:gridCol w:w="1621"/>
              <w:gridCol w:w="1661"/>
              <w:gridCol w:w="6360"/>
            </w:tblGrid>
            <w:tr w:rsidR="00753696" w:rsidRPr="00753696" w:rsidTr="00753696">
              <w:trPr>
                <w:tblCellSpacing w:w="15" w:type="dxa"/>
              </w:trPr>
              <w:tc>
                <w:tcPr>
                  <w:tcW w:w="0" w:type="auto"/>
                  <w:vAlign w:val="center"/>
                  <w:hideMark/>
                </w:tcPr>
                <w:p w:rsidR="00753696" w:rsidRPr="00753696" w:rsidRDefault="00753696" w:rsidP="00753696">
                  <w:pPr>
                    <w:widowControl/>
                    <w:jc w:val="center"/>
                    <w:rPr>
                      <w:rFonts w:ascii="Arial Narrow" w:hAnsi="Arial Narrow"/>
                      <w:b/>
                      <w:bCs/>
                      <w:sz w:val="16"/>
                      <w:szCs w:val="16"/>
                    </w:rPr>
                  </w:pPr>
                  <w:r w:rsidRPr="00753696">
                    <w:rPr>
                      <w:rFonts w:ascii="Arial Narrow" w:hAnsi="Arial Narrow"/>
                      <w:b/>
                      <w:bCs/>
                      <w:sz w:val="16"/>
                      <w:szCs w:val="16"/>
                    </w:rPr>
                    <w:t xml:space="preserve">Reference ID </w:t>
                  </w:r>
                </w:p>
              </w:tc>
              <w:tc>
                <w:tcPr>
                  <w:tcW w:w="0" w:type="auto"/>
                  <w:vAlign w:val="center"/>
                  <w:hideMark/>
                </w:tcPr>
                <w:p w:rsidR="00753696" w:rsidRPr="00753696" w:rsidRDefault="00753696" w:rsidP="00753696">
                  <w:pPr>
                    <w:widowControl/>
                    <w:jc w:val="center"/>
                    <w:rPr>
                      <w:rFonts w:ascii="Arial Narrow" w:hAnsi="Arial Narrow"/>
                      <w:b/>
                      <w:bCs/>
                      <w:sz w:val="16"/>
                      <w:szCs w:val="16"/>
                    </w:rPr>
                  </w:pPr>
                  <w:r w:rsidRPr="00753696">
                    <w:rPr>
                      <w:rFonts w:ascii="Arial Narrow" w:hAnsi="Arial Narrow"/>
                      <w:b/>
                      <w:bCs/>
                      <w:sz w:val="16"/>
                      <w:szCs w:val="16"/>
                    </w:rPr>
                    <w:t>Full title</w:t>
                  </w:r>
                </w:p>
              </w:tc>
              <w:tc>
                <w:tcPr>
                  <w:tcW w:w="0" w:type="auto"/>
                  <w:vAlign w:val="center"/>
                  <w:hideMark/>
                </w:tcPr>
                <w:p w:rsidR="00753696" w:rsidRPr="00753696" w:rsidRDefault="00753696" w:rsidP="00753696">
                  <w:pPr>
                    <w:widowControl/>
                    <w:jc w:val="center"/>
                    <w:rPr>
                      <w:rFonts w:ascii="Arial Narrow" w:hAnsi="Arial Narrow"/>
                      <w:b/>
                      <w:bCs/>
                      <w:sz w:val="16"/>
                      <w:szCs w:val="16"/>
                    </w:rPr>
                  </w:pPr>
                  <w:r w:rsidRPr="00753696">
                    <w:rPr>
                      <w:rFonts w:ascii="Arial Narrow" w:hAnsi="Arial Narrow"/>
                      <w:b/>
                      <w:bCs/>
                      <w:sz w:val="16"/>
                      <w:szCs w:val="16"/>
                    </w:rPr>
                    <w:t xml:space="preserve">Date of publication (MM/DD/yyyy) </w:t>
                  </w:r>
                </w:p>
              </w:tc>
              <w:tc>
                <w:tcPr>
                  <w:tcW w:w="0" w:type="auto"/>
                  <w:vAlign w:val="center"/>
                  <w:hideMark/>
                </w:tcPr>
                <w:p w:rsidR="00753696" w:rsidRPr="00753696" w:rsidRDefault="00753696" w:rsidP="00753696">
                  <w:pPr>
                    <w:widowControl/>
                    <w:jc w:val="center"/>
                    <w:rPr>
                      <w:rFonts w:ascii="Arial Narrow" w:hAnsi="Arial Narrow"/>
                      <w:b/>
                      <w:bCs/>
                      <w:sz w:val="16"/>
                      <w:szCs w:val="16"/>
                    </w:rPr>
                  </w:pPr>
                  <w:r w:rsidRPr="00753696">
                    <w:rPr>
                      <w:rFonts w:ascii="Arial Narrow" w:hAnsi="Arial Narrow"/>
                      <w:b/>
                      <w:bCs/>
                      <w:sz w:val="16"/>
                      <w:szCs w:val="16"/>
                    </w:rPr>
                    <w:t xml:space="preserve">Author </w:t>
                  </w:r>
                </w:p>
              </w:tc>
              <w:tc>
                <w:tcPr>
                  <w:tcW w:w="0" w:type="auto"/>
                  <w:vAlign w:val="center"/>
                  <w:hideMark/>
                </w:tcPr>
                <w:p w:rsidR="00753696" w:rsidRPr="00753696" w:rsidRDefault="00753696" w:rsidP="00753696">
                  <w:pPr>
                    <w:widowControl/>
                    <w:jc w:val="center"/>
                    <w:rPr>
                      <w:rFonts w:ascii="Arial Narrow" w:hAnsi="Arial Narrow"/>
                      <w:b/>
                      <w:bCs/>
                      <w:sz w:val="16"/>
                      <w:szCs w:val="16"/>
                    </w:rPr>
                  </w:pPr>
                  <w:r w:rsidRPr="00753696">
                    <w:rPr>
                      <w:rFonts w:ascii="Arial Narrow" w:hAnsi="Arial Narrow"/>
                      <w:b/>
                      <w:bCs/>
                      <w:sz w:val="16"/>
                      <w:szCs w:val="16"/>
                    </w:rPr>
                    <w:t xml:space="preserve">Link if any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Ministry of Labour (Sudan) Sudan Labour Force Survey (LFS)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05/01/2011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Ministry of Labour (MoL)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SDN Tribune, 1 May 2014 SDN Vision, Jul 9, 2015 SDN Tribune Nov 16,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News letters/Media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http://www.sudantribune.com/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Promoting Access to Justice and RoL in SDN Bridge and Inception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UNDP&amp;UNAMID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OCHA Humanitarian Update (Sudan), August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08/03/2015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UNOCHA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https://www.dabangasudan.org/en/).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2015 UNHCR country operations profile – Sudan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09/12/2015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UNHCR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http://www.unhcr.org/pages/49e483b76.html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End-of-Project Evaluation: Sudan NAPA Follow-up Project: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05/04/2015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HCENR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http://erc.undp.org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National Biodiversity Strategy&amp;Action Plan 2015 -2020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Ministry of Agriculture (HCENR)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Wind Energy Annual Operational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12/15/2015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Government; Ministry of Agriculture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lastRenderedPageBreak/>
                    <w:t xml:space="preserve">E.9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Study on Revenue Mobilization &amp; Collection at Subnational levels, Darfur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11/03/2015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SDDR End of Progarmme Review and lessons learned workshop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12/18/2014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Social Reintegration &amp; Women Empowerment in BN &amp; SK-Evaluation Brief.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SDDR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EVALUATION REPORT OF SUDAN UNDAF(2013-2016)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10/05/2015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UNCT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Sudan Country Office ROAR for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01/31/2015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Joint Conflict Reduction Programme 2015 Biannual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IOM (JP)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Peace Building Fund (PBF) –Final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02/15/2015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PBF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TSI JP -Phase I (2012-2014)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&amp; UNHCR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Darfur Community Recovery for Coexistence Annual Report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02/01/2015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DDR Preparatory Support Project Final Report of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UNICEF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E.19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Sudan DDR Programme –Annual Report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PBF End of Project Report Jan 2011-31 Jul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01/31/2015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JCRP End of Grant Report, Jan 2011- Feb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07/31/2015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&amp; IOM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IOM/UNDP: JP JCRP Mid-Term Review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UNDP&amp;IOM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Review of UNDP Programming in East Sudan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Youth Volunteers Rebuilding Darfur- Final Evaluation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Support the Implementation of SUPR Recommendations-Annual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DCPSF in Darfur Perception Survey in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MPTF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Darfur Document Strategy DDS and FAST Project Booklet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UNCT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Key Messages from the Analysis of the 2015 Budget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Central Bureau of Statistics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E.29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Sudan Digest- December 2015 (Related to Innovations)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12/05/2015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http://ow./VqfAq)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The Report of Independent Expert for HR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OHCHR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https://geneva.usmission.gov/.../u-s-statement-at-human-rights-council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Reports and Updates from the Ministry of Justice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Governments Counterparts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NHRC Annual Report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HDR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12/14/2015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http://hdr.undp.org/en/2015-report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lastRenderedPageBreak/>
                    <w:t xml:space="preserve">E.34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SDN Multiple Indicator Cluster Survey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09/16/2015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UNICEF &amp; CBS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http://reliefweb.int/report/sudan/sudan-multiple-indicator-cluster-survey-2014-key-findings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WHO Data &amp; MoH Annual/Progress Report 2014 &amp;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WHO &amp; MoH (UNDP GF)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http://search.unaids.org/search.asp?lg=en&amp;search=global%20report%20201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CRF for Sustainable</w:t>
                  </w:r>
                  <w:r w:rsidR="002F7308">
                    <w:rPr>
                      <w:rFonts w:ascii="Arial Narrow" w:hAnsi="Arial Narrow"/>
                      <w:sz w:val="16"/>
                      <w:szCs w:val="16"/>
                    </w:rPr>
                    <w:t xml:space="preserve"> </w:t>
                  </w:r>
                  <w:r w:rsidRPr="00753696">
                    <w:rPr>
                      <w:rFonts w:ascii="Arial Narrow" w:hAnsi="Arial Narrow"/>
                      <w:sz w:val="16"/>
                      <w:szCs w:val="16"/>
                    </w:rPr>
                    <w:t>&amp;</w:t>
                  </w:r>
                  <w:r w:rsidR="002F7308">
                    <w:rPr>
                      <w:rFonts w:ascii="Arial Narrow" w:hAnsi="Arial Narrow"/>
                      <w:sz w:val="16"/>
                      <w:szCs w:val="16"/>
                    </w:rPr>
                    <w:t xml:space="preserve"> </w:t>
                  </w:r>
                  <w:r w:rsidRPr="00753696">
                    <w:rPr>
                      <w:rFonts w:ascii="Arial Narrow" w:hAnsi="Arial Narrow"/>
                      <w:sz w:val="16"/>
                      <w:szCs w:val="16"/>
                    </w:rPr>
                    <w:t xml:space="preserve">climate resilient rain-fed Farming &amp;Pastoral Systems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05/20/2014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News letter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08/10/2015 </w:t>
                  </w:r>
                </w:p>
              </w:tc>
              <w:tc>
                <w:tcPr>
                  <w:tcW w:w="0" w:type="auto"/>
                  <w:vAlign w:val="center"/>
                  <w:hideMark/>
                </w:tcPr>
                <w:p w:rsidR="00753696" w:rsidRPr="00753696" w:rsidRDefault="00753696" w:rsidP="00837042">
                  <w:pPr>
                    <w:widowControl/>
                    <w:rPr>
                      <w:rFonts w:ascii="Arial Narrow" w:hAnsi="Arial Narrow"/>
                      <w:sz w:val="16"/>
                      <w:szCs w:val="16"/>
                    </w:rPr>
                  </w:pPr>
                  <w:r w:rsidRPr="00753696">
                    <w:rPr>
                      <w:rFonts w:ascii="Arial Narrow" w:hAnsi="Arial Narrow"/>
                      <w:sz w:val="16"/>
                      <w:szCs w:val="16"/>
                    </w:rPr>
                    <w:t xml:space="preserve">Newsletter (UNOCHA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http://www.sudantribune.com/spip.php?article55980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The Impact of Local Governance </w:t>
                  </w:r>
                  <w:r w:rsidR="002F7308">
                    <w:rPr>
                      <w:rFonts w:ascii="Arial Narrow" w:hAnsi="Arial Narrow"/>
                      <w:sz w:val="16"/>
                      <w:szCs w:val="16"/>
                    </w:rPr>
                    <w:t>development on Budgeting</w:t>
                  </w:r>
                  <w:r w:rsidRPr="00753696">
                    <w:rPr>
                      <w:rFonts w:ascii="Arial Narrow" w:hAnsi="Arial Narrow"/>
                      <w:sz w:val="16"/>
                      <w:szCs w:val="16"/>
                    </w:rPr>
                    <w:t xml:space="preserve"> in E. Sudan.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E.39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Support the Development o</w:t>
                  </w:r>
                  <w:r w:rsidR="002F7308">
                    <w:rPr>
                      <w:rFonts w:ascii="Arial Narrow" w:hAnsi="Arial Narrow"/>
                      <w:sz w:val="16"/>
                      <w:szCs w:val="16"/>
                    </w:rPr>
                    <w:t>f National Employment Framework</w:t>
                  </w:r>
                  <w:r w:rsidRPr="00753696">
                    <w:rPr>
                      <w:rFonts w:ascii="Arial Narrow" w:hAnsi="Arial Narrow"/>
                      <w:sz w:val="16"/>
                      <w:szCs w:val="16"/>
                    </w:rPr>
                    <w:t xml:space="preserve">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12/31/2014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CASE STUDY: USING A RURAL FINANCING MECHANISM.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08/20/2015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CIDA, GEF, HECNR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http://www.undp.org/content/undp/en/home/ourwork/ourstories/a-new-window-of-hope-in-sudan.html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NAPAP: IMPLEMENTING PRIORITY INTERVENTIONS TO BUILD RESILIENCE.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05/31/2015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GEF, WHO Report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http://www.undp-alm.org/projects/ldcf-sudan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Pro-poor Value Chain Integrated project annual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11/30/2015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Improving people's lives: A story of women from Siraj Alnour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http://www.sd.undp.org/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Capacity Development for Aid management &amp; coordination Phase II.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Planning and Public Expenditure Management in Darfur Annual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Sudan Country Brief – updated in October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CO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ROAR 2013 of Sudan CO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01/31/2014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CO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Sudan Aid Information Data Base — SAID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01/31/2015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GOV counterpart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www.said.imof.sov.sd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E.49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Youth Volunteers Rebuilding Darfur Project Document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12/31/2014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Disaster risk reduction AWP in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02/15/2015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LGDEM, in Eastern Sudan, annual report 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Promoting Access to Justice and ROL in Sudan - Final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&amp; UNAMID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DIDC PEB Presentation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&amp; UNAMID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Central sector and community perception survey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08/31/2013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Strengthening early recovery operations &amp;coordination in Darfur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06/30/2015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Indicators Monitoring &amp; Evaluation System (IMES)// Local System Solutions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08/31/2015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E.57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Big data // Innovation nucleus in Sudan Background Study and Concept Note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10/22/2015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lastRenderedPageBreak/>
                    <w:t xml:space="preserve">E.58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IMWG 4Ws Database and Mapping Tool to track projects progress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10/22/2015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http://imwgweb.4wsimwg.net/db_tools/index.html).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E.59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Country Office Human Resources Newsletter, 3rd quarter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09/30/2015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HR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www.sd.undp.org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E.60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Labour Intensive Project Quarterly Progress Reports in 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10/01/2015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E.61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Promoting Low Carbon Development- Annual Report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02/28/2014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UNDP, Gov</w:t>
                  </w:r>
                  <w:r w:rsidR="002F7308">
                    <w:rPr>
                      <w:rFonts w:ascii="Arial Narrow" w:hAnsi="Arial Narrow"/>
                      <w:sz w:val="16"/>
                      <w:szCs w:val="16"/>
                    </w:rPr>
                    <w:t>.</w:t>
                  </w:r>
                  <w:r w:rsidRPr="00753696">
                    <w:rPr>
                      <w:rFonts w:ascii="Arial Narrow" w:hAnsi="Arial Narrow"/>
                      <w:sz w:val="16"/>
                      <w:szCs w:val="16"/>
                    </w:rPr>
                    <w:t xml:space="preserve"> counterpart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E.62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Strengthening Access to Justice and Confidence Building in Eastern Sudan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03/31/2015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E.63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Common Country Analysis (CCA) for Sudan- Desk Review (Draft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01/10/2016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UNCT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r w:rsidR="00753696" w:rsidRPr="00753696" w:rsidTr="00753696">
              <w:trPr>
                <w:tblCellSpacing w:w="15" w:type="dxa"/>
              </w:trPr>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E.64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Eastern Sudan Mapping, Partner Interventions, Development of Indicators &amp; Migration.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10/08/2015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UNDP </w:t>
                  </w:r>
                </w:p>
              </w:tc>
              <w:tc>
                <w:tcPr>
                  <w:tcW w:w="0" w:type="auto"/>
                  <w:vAlign w:val="center"/>
                  <w:hideMark/>
                </w:tcPr>
                <w:p w:rsidR="00753696" w:rsidRPr="00753696" w:rsidRDefault="00753696" w:rsidP="00753696">
                  <w:pPr>
                    <w:widowControl/>
                    <w:rPr>
                      <w:rFonts w:ascii="Arial Narrow" w:hAnsi="Arial Narrow"/>
                      <w:sz w:val="16"/>
                      <w:szCs w:val="16"/>
                    </w:rPr>
                  </w:pPr>
                  <w:r w:rsidRPr="00753696">
                    <w:rPr>
                      <w:rFonts w:ascii="Arial Narrow" w:hAnsi="Arial Narrow"/>
                      <w:sz w:val="16"/>
                      <w:szCs w:val="16"/>
                    </w:rPr>
                    <w:t xml:space="preserve">https://intranet.undp.org/country/rbas/sd/intra/OSD/SDN_CO_2015_ROAR_Evidencies/Forms/AllItems.aspx </w:t>
                  </w:r>
                </w:p>
              </w:tc>
            </w:tr>
          </w:tbl>
          <w:p w:rsidR="00753696" w:rsidRPr="00753696" w:rsidRDefault="00753696" w:rsidP="00753696">
            <w:pPr>
              <w:widowControl/>
              <w:rPr>
                <w:szCs w:val="24"/>
              </w:rPr>
            </w:pPr>
          </w:p>
        </w:tc>
      </w:tr>
    </w:tbl>
    <w:p w:rsidR="0018401C" w:rsidRDefault="0018401C" w:rsidP="0018401C">
      <w:pPr>
        <w:rPr>
          <w:rFonts w:ascii="51ovbbg" w:hAnsi="51ovbbg" w:cs="51ovbbg"/>
          <w:color w:val="333333"/>
          <w:sz w:val="11"/>
          <w:szCs w:val="11"/>
        </w:rPr>
      </w:pPr>
    </w:p>
    <w:sectPr w:rsidR="0018401C"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39" w:rsidRDefault="00534839">
      <w:r>
        <w:separator/>
      </w:r>
    </w:p>
  </w:endnote>
  <w:endnote w:type="continuationSeparator" w:id="0">
    <w:p w:rsidR="00534839" w:rsidRDefault="005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 Pro">
    <w:altName w:val="Corbel"/>
    <w:panose1 w:val="020B0503030403020204"/>
    <w:charset w:val="00"/>
    <w:family w:val="swiss"/>
    <w:notTrueType/>
    <w:pitch w:val="variable"/>
    <w:sig w:usb0="A00002AF" w:usb1="5000204B" w:usb2="00000000" w:usb3="00000000" w:csb0="0000009F" w:csb1="00000000"/>
  </w:font>
  <w:font w:name="51ovbbg">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1" w:rsidRDefault="00AA3F91">
    <w:pPr>
      <w:pStyle w:val="Footer"/>
      <w:jc w:val="center"/>
    </w:pPr>
    <w:r>
      <w:fldChar w:fldCharType="begin"/>
    </w:r>
    <w:r>
      <w:instrText xml:space="preserve"> PAGE   \* MERGEFORMAT </w:instrText>
    </w:r>
    <w:r>
      <w:fldChar w:fldCharType="separate"/>
    </w:r>
    <w:r w:rsidR="00C7006E">
      <w:rPr>
        <w:noProof/>
      </w:rPr>
      <w:t>1</w:t>
    </w:r>
    <w:r>
      <w:fldChar w:fldCharType="end"/>
    </w:r>
  </w:p>
  <w:p w:rsidR="00AA3F91" w:rsidRDefault="00AA3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39" w:rsidRDefault="00534839">
      <w:r>
        <w:separator/>
      </w:r>
    </w:p>
  </w:footnote>
  <w:footnote w:type="continuationSeparator" w:id="0">
    <w:p w:rsidR="00534839" w:rsidRDefault="00534839">
      <w:r>
        <w:continuationSeparator/>
      </w:r>
    </w:p>
  </w:footnote>
  <w:footnote w:id="1">
    <w:p w:rsidR="00AA3F91" w:rsidRPr="0064746F" w:rsidRDefault="00AA3F91">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AA150E"/>
    <w:lvl w:ilvl="0">
      <w:numFmt w:val="bullet"/>
      <w:lvlText w:val="*"/>
      <w:lvlJc w:val="left"/>
    </w:lvl>
  </w:abstractNum>
  <w:abstractNum w:abstractNumId="1" w15:restartNumberingAfterBreak="0">
    <w:nsid w:val="00CD6D1A"/>
    <w:multiLevelType w:val="hybridMultilevel"/>
    <w:tmpl w:val="7F5A1EE4"/>
    <w:lvl w:ilvl="0" w:tplc="DE8C3392">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1330"/>
    <w:multiLevelType w:val="hybridMultilevel"/>
    <w:tmpl w:val="4A70F7D4"/>
    <w:lvl w:ilvl="0" w:tplc="1EAE465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93572"/>
    <w:multiLevelType w:val="hybridMultilevel"/>
    <w:tmpl w:val="7CDA304A"/>
    <w:lvl w:ilvl="0" w:tplc="E582632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31588"/>
    <w:multiLevelType w:val="hybridMultilevel"/>
    <w:tmpl w:val="242883F8"/>
    <w:lvl w:ilvl="0" w:tplc="672EDEBC">
      <w:start w:val="1"/>
      <w:numFmt w:val="decimal"/>
      <w:pStyle w:val="mystandardnumbered"/>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DF0488"/>
    <w:multiLevelType w:val="hybridMultilevel"/>
    <w:tmpl w:val="0E74E4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C5AF9"/>
    <w:multiLevelType w:val="hybridMultilevel"/>
    <w:tmpl w:val="94C2466E"/>
    <w:lvl w:ilvl="0" w:tplc="8A40237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7615D"/>
    <w:multiLevelType w:val="hybridMultilevel"/>
    <w:tmpl w:val="99C6E2C0"/>
    <w:lvl w:ilvl="0" w:tplc="7E68B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1F3C6E"/>
    <w:multiLevelType w:val="hybridMultilevel"/>
    <w:tmpl w:val="FE50D8BC"/>
    <w:lvl w:ilvl="0" w:tplc="9E86EC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756F12"/>
    <w:multiLevelType w:val="hybridMultilevel"/>
    <w:tmpl w:val="A6D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94418E7"/>
    <w:multiLevelType w:val="hybridMultilevel"/>
    <w:tmpl w:val="D2B27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1917FC"/>
    <w:multiLevelType w:val="hybridMultilevel"/>
    <w:tmpl w:val="A6129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5B0582"/>
    <w:multiLevelType w:val="hybridMultilevel"/>
    <w:tmpl w:val="4C42C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2" w15:restartNumberingAfterBreak="0">
    <w:nsid w:val="3ED35572"/>
    <w:multiLevelType w:val="hybridMultilevel"/>
    <w:tmpl w:val="70560178"/>
    <w:lvl w:ilvl="0" w:tplc="764016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506E4"/>
    <w:multiLevelType w:val="hybridMultilevel"/>
    <w:tmpl w:val="FB2A16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97488"/>
    <w:multiLevelType w:val="hybridMultilevel"/>
    <w:tmpl w:val="B28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705402"/>
    <w:multiLevelType w:val="hybridMultilevel"/>
    <w:tmpl w:val="F4EECF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3052DA"/>
    <w:multiLevelType w:val="multilevel"/>
    <w:tmpl w:val="7B947CF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D059F9"/>
    <w:multiLevelType w:val="multilevel"/>
    <w:tmpl w:val="E6B0A412"/>
    <w:lvl w:ilvl="0">
      <w:start w:val="2"/>
      <w:numFmt w:val="decimal"/>
      <w:lvlText w:val="(%1.0)"/>
      <w:lvlJc w:val="left"/>
      <w:pPr>
        <w:ind w:left="720" w:hanging="72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4320" w:hanging="144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3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92545E"/>
    <w:multiLevelType w:val="hybridMultilevel"/>
    <w:tmpl w:val="B5B0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387FF6"/>
    <w:multiLevelType w:val="hybridMultilevel"/>
    <w:tmpl w:val="DB04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3B19EC"/>
    <w:multiLevelType w:val="hybridMultilevel"/>
    <w:tmpl w:val="53788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5B61A2"/>
    <w:multiLevelType w:val="hybridMultilevel"/>
    <w:tmpl w:val="C6680F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BB0860"/>
    <w:multiLevelType w:val="hybridMultilevel"/>
    <w:tmpl w:val="173EE7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6ADC3952"/>
    <w:multiLevelType w:val="hybridMultilevel"/>
    <w:tmpl w:val="8426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F053C3"/>
    <w:multiLevelType w:val="hybridMultilevel"/>
    <w:tmpl w:val="2FA42FA2"/>
    <w:lvl w:ilvl="0" w:tplc="775C6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26C9A"/>
    <w:multiLevelType w:val="hybridMultilevel"/>
    <w:tmpl w:val="1166BBD6"/>
    <w:lvl w:ilvl="0" w:tplc="DE8C3392">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7E84BD6"/>
    <w:multiLevelType w:val="hybridMultilevel"/>
    <w:tmpl w:val="326E0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E30F99"/>
    <w:multiLevelType w:val="multilevel"/>
    <w:tmpl w:val="081C8426"/>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21"/>
  </w:num>
  <w:num w:numId="2">
    <w:abstractNumId w:val="4"/>
  </w:num>
  <w:num w:numId="3">
    <w:abstractNumId w:val="12"/>
  </w:num>
  <w:num w:numId="4">
    <w:abstractNumId w:val="7"/>
  </w:num>
  <w:num w:numId="5">
    <w:abstractNumId w:val="30"/>
  </w:num>
  <w:num w:numId="6">
    <w:abstractNumId w:val="33"/>
  </w:num>
  <w:num w:numId="7">
    <w:abstractNumId w:val="5"/>
  </w:num>
  <w:num w:numId="8">
    <w:abstractNumId w:val="32"/>
  </w:num>
  <w:num w:numId="9">
    <w:abstractNumId w:val="8"/>
  </w:num>
  <w:num w:numId="10">
    <w:abstractNumId w:val="17"/>
  </w:num>
  <w:num w:numId="11">
    <w:abstractNumId w:val="42"/>
  </w:num>
  <w:num w:numId="12">
    <w:abstractNumId w:val="23"/>
  </w:num>
  <w:num w:numId="13">
    <w:abstractNumId w:val="26"/>
  </w:num>
  <w:num w:numId="14">
    <w:abstractNumId w:val="13"/>
  </w:num>
  <w:num w:numId="15">
    <w:abstractNumId w:val="3"/>
  </w:num>
  <w:num w:numId="16">
    <w:abstractNumId w:val="36"/>
  </w:num>
  <w:num w:numId="17">
    <w:abstractNumId w:val="34"/>
  </w:num>
  <w:num w:numId="18">
    <w:abstractNumId w:val="24"/>
  </w:num>
  <w:num w:numId="19">
    <w:abstractNumId w:val="14"/>
  </w:num>
  <w:num w:numId="20">
    <w:abstractNumId w:val="15"/>
  </w:num>
  <w:num w:numId="21">
    <w:abstractNumId w:val="37"/>
  </w:num>
  <w:num w:numId="22">
    <w:abstractNumId w:val="27"/>
  </w:num>
  <w:num w:numId="23">
    <w:abstractNumId w:val="25"/>
  </w:num>
  <w:num w:numId="24">
    <w:abstractNumId w:val="20"/>
  </w:num>
  <w:num w:numId="25">
    <w:abstractNumId w:val="35"/>
  </w:num>
  <w:num w:numId="26">
    <w:abstractNumId w:val="6"/>
  </w:num>
  <w:num w:numId="27">
    <w:abstractNumId w:val="0"/>
    <w:lvlOverride w:ilvl="0">
      <w:lvl w:ilvl="0">
        <w:numFmt w:val="bullet"/>
        <w:lvlText w:val=""/>
        <w:legacy w:legacy="1" w:legacySpace="0" w:legacyIndent="360"/>
        <w:lvlJc w:val="left"/>
        <w:rPr>
          <w:rFonts w:ascii="Symbol" w:hAnsi="Symbol" w:cs="Symbol" w:hint="default"/>
        </w:rPr>
      </w:lvl>
    </w:lvlOverride>
  </w:num>
  <w:num w:numId="28">
    <w:abstractNumId w:val="38"/>
  </w:num>
  <w:num w:numId="29">
    <w:abstractNumId w:val="39"/>
  </w:num>
  <w:num w:numId="30">
    <w:abstractNumId w:val="10"/>
  </w:num>
  <w:num w:numId="31">
    <w:abstractNumId w:val="40"/>
  </w:num>
  <w:num w:numId="32">
    <w:abstractNumId w:val="9"/>
  </w:num>
  <w:num w:numId="33">
    <w:abstractNumId w:val="19"/>
  </w:num>
  <w:num w:numId="34">
    <w:abstractNumId w:val="18"/>
  </w:num>
  <w:num w:numId="35">
    <w:abstractNumId w:val="41"/>
  </w:num>
  <w:num w:numId="36">
    <w:abstractNumId w:val="1"/>
  </w:num>
  <w:num w:numId="37">
    <w:abstractNumId w:val="28"/>
  </w:num>
  <w:num w:numId="38">
    <w:abstractNumId w:val="29"/>
  </w:num>
  <w:num w:numId="39">
    <w:abstractNumId w:val="44"/>
  </w:num>
  <w:num w:numId="40">
    <w:abstractNumId w:val="2"/>
  </w:num>
  <w:num w:numId="41">
    <w:abstractNumId w:val="43"/>
  </w:num>
  <w:num w:numId="42">
    <w:abstractNumId w:val="31"/>
  </w:num>
  <w:num w:numId="43">
    <w:abstractNumId w:val="16"/>
  </w:num>
  <w:num w:numId="44">
    <w:abstractNumId w:val="1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25AD"/>
    <w:rsid w:val="00003AC4"/>
    <w:rsid w:val="00003D74"/>
    <w:rsid w:val="00006D68"/>
    <w:rsid w:val="00007461"/>
    <w:rsid w:val="000079CC"/>
    <w:rsid w:val="00011A63"/>
    <w:rsid w:val="0002062F"/>
    <w:rsid w:val="000222FA"/>
    <w:rsid w:val="00025A50"/>
    <w:rsid w:val="00036034"/>
    <w:rsid w:val="0003628F"/>
    <w:rsid w:val="000502AD"/>
    <w:rsid w:val="00050CFA"/>
    <w:rsid w:val="00056854"/>
    <w:rsid w:val="00056A5A"/>
    <w:rsid w:val="00066807"/>
    <w:rsid w:val="00075725"/>
    <w:rsid w:val="000759F9"/>
    <w:rsid w:val="000823AC"/>
    <w:rsid w:val="000A0460"/>
    <w:rsid w:val="000A049E"/>
    <w:rsid w:val="000B11F0"/>
    <w:rsid w:val="000C09B4"/>
    <w:rsid w:val="000C145F"/>
    <w:rsid w:val="000C1D7B"/>
    <w:rsid w:val="000C4457"/>
    <w:rsid w:val="000C4782"/>
    <w:rsid w:val="000C5544"/>
    <w:rsid w:val="000D2B85"/>
    <w:rsid w:val="000D6DE5"/>
    <w:rsid w:val="000E0647"/>
    <w:rsid w:val="000E1588"/>
    <w:rsid w:val="000E35AE"/>
    <w:rsid w:val="000F0277"/>
    <w:rsid w:val="000F77FD"/>
    <w:rsid w:val="001034D4"/>
    <w:rsid w:val="0012243D"/>
    <w:rsid w:val="0012256C"/>
    <w:rsid w:val="001262CB"/>
    <w:rsid w:val="001277CE"/>
    <w:rsid w:val="001277E2"/>
    <w:rsid w:val="001322B9"/>
    <w:rsid w:val="00144946"/>
    <w:rsid w:val="00150767"/>
    <w:rsid w:val="0015409F"/>
    <w:rsid w:val="00154998"/>
    <w:rsid w:val="00157815"/>
    <w:rsid w:val="001663A4"/>
    <w:rsid w:val="00167DA9"/>
    <w:rsid w:val="00170EC1"/>
    <w:rsid w:val="00171F9D"/>
    <w:rsid w:val="00176076"/>
    <w:rsid w:val="0018154E"/>
    <w:rsid w:val="00183A4C"/>
    <w:rsid w:val="0018401C"/>
    <w:rsid w:val="00190C65"/>
    <w:rsid w:val="00192D4E"/>
    <w:rsid w:val="00192EE9"/>
    <w:rsid w:val="001956C7"/>
    <w:rsid w:val="001A4D75"/>
    <w:rsid w:val="001A6BC9"/>
    <w:rsid w:val="001A7440"/>
    <w:rsid w:val="001B5049"/>
    <w:rsid w:val="001B721D"/>
    <w:rsid w:val="001C478B"/>
    <w:rsid w:val="001C5C52"/>
    <w:rsid w:val="001D07E7"/>
    <w:rsid w:val="001D0996"/>
    <w:rsid w:val="001D309A"/>
    <w:rsid w:val="001D7778"/>
    <w:rsid w:val="001F3524"/>
    <w:rsid w:val="001F6694"/>
    <w:rsid w:val="00210F04"/>
    <w:rsid w:val="00211B9D"/>
    <w:rsid w:val="00211D80"/>
    <w:rsid w:val="00215F46"/>
    <w:rsid w:val="00226675"/>
    <w:rsid w:val="00230A0E"/>
    <w:rsid w:val="002315A5"/>
    <w:rsid w:val="00232597"/>
    <w:rsid w:val="00246140"/>
    <w:rsid w:val="002547CF"/>
    <w:rsid w:val="00257DBA"/>
    <w:rsid w:val="0026008C"/>
    <w:rsid w:val="002631C5"/>
    <w:rsid w:val="0026321D"/>
    <w:rsid w:val="002635E1"/>
    <w:rsid w:val="00265ED6"/>
    <w:rsid w:val="00273B7B"/>
    <w:rsid w:val="00275F27"/>
    <w:rsid w:val="00287456"/>
    <w:rsid w:val="00293B23"/>
    <w:rsid w:val="002A06CC"/>
    <w:rsid w:val="002A55B8"/>
    <w:rsid w:val="002A77C6"/>
    <w:rsid w:val="002B0DC0"/>
    <w:rsid w:val="002C4B80"/>
    <w:rsid w:val="002D4426"/>
    <w:rsid w:val="002D6BF6"/>
    <w:rsid w:val="002E338F"/>
    <w:rsid w:val="002E71FF"/>
    <w:rsid w:val="002F0169"/>
    <w:rsid w:val="002F0ED6"/>
    <w:rsid w:val="002F72C8"/>
    <w:rsid w:val="002F7308"/>
    <w:rsid w:val="002F7E65"/>
    <w:rsid w:val="003144E8"/>
    <w:rsid w:val="0032175A"/>
    <w:rsid w:val="00322DEA"/>
    <w:rsid w:val="00325660"/>
    <w:rsid w:val="00327813"/>
    <w:rsid w:val="00327D60"/>
    <w:rsid w:val="00334187"/>
    <w:rsid w:val="003343CF"/>
    <w:rsid w:val="00340435"/>
    <w:rsid w:val="003420D7"/>
    <w:rsid w:val="003432FD"/>
    <w:rsid w:val="00344C68"/>
    <w:rsid w:val="00346615"/>
    <w:rsid w:val="00354CB5"/>
    <w:rsid w:val="003576ED"/>
    <w:rsid w:val="003578AA"/>
    <w:rsid w:val="00357B0E"/>
    <w:rsid w:val="00363EC5"/>
    <w:rsid w:val="003649A4"/>
    <w:rsid w:val="00365B47"/>
    <w:rsid w:val="00366AD1"/>
    <w:rsid w:val="00373270"/>
    <w:rsid w:val="0037523B"/>
    <w:rsid w:val="00390556"/>
    <w:rsid w:val="0039250E"/>
    <w:rsid w:val="00394BBC"/>
    <w:rsid w:val="003A2D47"/>
    <w:rsid w:val="003A4055"/>
    <w:rsid w:val="003A5738"/>
    <w:rsid w:val="003A6A2E"/>
    <w:rsid w:val="003B037A"/>
    <w:rsid w:val="003B422F"/>
    <w:rsid w:val="003B671B"/>
    <w:rsid w:val="003D240D"/>
    <w:rsid w:val="003D57B2"/>
    <w:rsid w:val="003D653B"/>
    <w:rsid w:val="003D6782"/>
    <w:rsid w:val="003E14C0"/>
    <w:rsid w:val="003E2034"/>
    <w:rsid w:val="003E2BB3"/>
    <w:rsid w:val="003E60C9"/>
    <w:rsid w:val="003F14B9"/>
    <w:rsid w:val="004004FC"/>
    <w:rsid w:val="004103E6"/>
    <w:rsid w:val="00411054"/>
    <w:rsid w:val="00417008"/>
    <w:rsid w:val="0042060A"/>
    <w:rsid w:val="004228E5"/>
    <w:rsid w:val="00424E4F"/>
    <w:rsid w:val="004269E3"/>
    <w:rsid w:val="00430F06"/>
    <w:rsid w:val="004366CA"/>
    <w:rsid w:val="004413F1"/>
    <w:rsid w:val="0045515C"/>
    <w:rsid w:val="00461D62"/>
    <w:rsid w:val="004810EF"/>
    <w:rsid w:val="00484269"/>
    <w:rsid w:val="00485186"/>
    <w:rsid w:val="0049193E"/>
    <w:rsid w:val="00492D43"/>
    <w:rsid w:val="0049379A"/>
    <w:rsid w:val="0049616C"/>
    <w:rsid w:val="004A3368"/>
    <w:rsid w:val="004A5ADE"/>
    <w:rsid w:val="004B3911"/>
    <w:rsid w:val="004B4699"/>
    <w:rsid w:val="004C13CA"/>
    <w:rsid w:val="004C595C"/>
    <w:rsid w:val="004D3DBE"/>
    <w:rsid w:val="004D6959"/>
    <w:rsid w:val="004E26D2"/>
    <w:rsid w:val="004F0EA9"/>
    <w:rsid w:val="004F5B97"/>
    <w:rsid w:val="00503149"/>
    <w:rsid w:val="00504CE7"/>
    <w:rsid w:val="0051116E"/>
    <w:rsid w:val="00514E9D"/>
    <w:rsid w:val="00516AC8"/>
    <w:rsid w:val="00517955"/>
    <w:rsid w:val="00530FDE"/>
    <w:rsid w:val="00534839"/>
    <w:rsid w:val="00542B36"/>
    <w:rsid w:val="005454E9"/>
    <w:rsid w:val="005474ED"/>
    <w:rsid w:val="0056156B"/>
    <w:rsid w:val="0056218B"/>
    <w:rsid w:val="005726E8"/>
    <w:rsid w:val="00583AEC"/>
    <w:rsid w:val="00585A07"/>
    <w:rsid w:val="0058787F"/>
    <w:rsid w:val="0059186A"/>
    <w:rsid w:val="005934AD"/>
    <w:rsid w:val="005A244A"/>
    <w:rsid w:val="005A2993"/>
    <w:rsid w:val="005A487C"/>
    <w:rsid w:val="005A7B65"/>
    <w:rsid w:val="005C3ADB"/>
    <w:rsid w:val="005C6168"/>
    <w:rsid w:val="005D2982"/>
    <w:rsid w:val="005E0C05"/>
    <w:rsid w:val="005F2E08"/>
    <w:rsid w:val="005F6261"/>
    <w:rsid w:val="00612159"/>
    <w:rsid w:val="0061558E"/>
    <w:rsid w:val="006176D2"/>
    <w:rsid w:val="006305EC"/>
    <w:rsid w:val="00630BA0"/>
    <w:rsid w:val="00632D0E"/>
    <w:rsid w:val="00635929"/>
    <w:rsid w:val="006409EA"/>
    <w:rsid w:val="0064563E"/>
    <w:rsid w:val="0064746F"/>
    <w:rsid w:val="0065080C"/>
    <w:rsid w:val="006531E6"/>
    <w:rsid w:val="00656671"/>
    <w:rsid w:val="006567B4"/>
    <w:rsid w:val="00656D58"/>
    <w:rsid w:val="00673710"/>
    <w:rsid w:val="006739E7"/>
    <w:rsid w:val="00674B1A"/>
    <w:rsid w:val="00681A28"/>
    <w:rsid w:val="00684FCF"/>
    <w:rsid w:val="0068695B"/>
    <w:rsid w:val="006900FE"/>
    <w:rsid w:val="00697206"/>
    <w:rsid w:val="006A1D3B"/>
    <w:rsid w:val="006A54FB"/>
    <w:rsid w:val="006B1C90"/>
    <w:rsid w:val="006C0223"/>
    <w:rsid w:val="006C3FC8"/>
    <w:rsid w:val="006F02FD"/>
    <w:rsid w:val="006F2549"/>
    <w:rsid w:val="006F6225"/>
    <w:rsid w:val="00700521"/>
    <w:rsid w:val="00700907"/>
    <w:rsid w:val="00704406"/>
    <w:rsid w:val="00706EE0"/>
    <w:rsid w:val="00730636"/>
    <w:rsid w:val="00730A50"/>
    <w:rsid w:val="007319AA"/>
    <w:rsid w:val="00732C11"/>
    <w:rsid w:val="00736CDD"/>
    <w:rsid w:val="00747A13"/>
    <w:rsid w:val="0075088D"/>
    <w:rsid w:val="00751EF9"/>
    <w:rsid w:val="00753388"/>
    <w:rsid w:val="00753696"/>
    <w:rsid w:val="00760E32"/>
    <w:rsid w:val="007639C7"/>
    <w:rsid w:val="00764E41"/>
    <w:rsid w:val="007663DD"/>
    <w:rsid w:val="00771515"/>
    <w:rsid w:val="00771730"/>
    <w:rsid w:val="007746AB"/>
    <w:rsid w:val="007757F6"/>
    <w:rsid w:val="00776056"/>
    <w:rsid w:val="007761AC"/>
    <w:rsid w:val="00781AF6"/>
    <w:rsid w:val="00781DA1"/>
    <w:rsid w:val="00790C12"/>
    <w:rsid w:val="0079122E"/>
    <w:rsid w:val="00793BE6"/>
    <w:rsid w:val="007940CA"/>
    <w:rsid w:val="007961AF"/>
    <w:rsid w:val="007A2C26"/>
    <w:rsid w:val="007A3A5B"/>
    <w:rsid w:val="007A4B14"/>
    <w:rsid w:val="007A6EB2"/>
    <w:rsid w:val="007B2E95"/>
    <w:rsid w:val="007B2EFD"/>
    <w:rsid w:val="007C1B15"/>
    <w:rsid w:val="007C5478"/>
    <w:rsid w:val="007E1663"/>
    <w:rsid w:val="007F7AF8"/>
    <w:rsid w:val="008018C5"/>
    <w:rsid w:val="00813F1E"/>
    <w:rsid w:val="0081403B"/>
    <w:rsid w:val="0082140D"/>
    <w:rsid w:val="00822938"/>
    <w:rsid w:val="008265DE"/>
    <w:rsid w:val="008338C2"/>
    <w:rsid w:val="00837042"/>
    <w:rsid w:val="00837C4B"/>
    <w:rsid w:val="00842737"/>
    <w:rsid w:val="00843006"/>
    <w:rsid w:val="008440D9"/>
    <w:rsid w:val="00845340"/>
    <w:rsid w:val="00854EC9"/>
    <w:rsid w:val="00861EED"/>
    <w:rsid w:val="0086257A"/>
    <w:rsid w:val="0086715E"/>
    <w:rsid w:val="00867AAC"/>
    <w:rsid w:val="00870635"/>
    <w:rsid w:val="00874967"/>
    <w:rsid w:val="00880FC8"/>
    <w:rsid w:val="00882ECA"/>
    <w:rsid w:val="00885ECD"/>
    <w:rsid w:val="00886A88"/>
    <w:rsid w:val="0089149E"/>
    <w:rsid w:val="008960A5"/>
    <w:rsid w:val="0089732F"/>
    <w:rsid w:val="008975BA"/>
    <w:rsid w:val="008B06DD"/>
    <w:rsid w:val="008D0060"/>
    <w:rsid w:val="008D3E0D"/>
    <w:rsid w:val="008D4556"/>
    <w:rsid w:val="008D500C"/>
    <w:rsid w:val="008D791F"/>
    <w:rsid w:val="008E4C06"/>
    <w:rsid w:val="008E6DC8"/>
    <w:rsid w:val="008F0A97"/>
    <w:rsid w:val="00906FB3"/>
    <w:rsid w:val="0091385C"/>
    <w:rsid w:val="00920A71"/>
    <w:rsid w:val="00920DBC"/>
    <w:rsid w:val="00926B77"/>
    <w:rsid w:val="00927126"/>
    <w:rsid w:val="009353D7"/>
    <w:rsid w:val="009358B2"/>
    <w:rsid w:val="00942B3B"/>
    <w:rsid w:val="00947677"/>
    <w:rsid w:val="00950F09"/>
    <w:rsid w:val="009528DE"/>
    <w:rsid w:val="00954DAA"/>
    <w:rsid w:val="009564B2"/>
    <w:rsid w:val="0096563E"/>
    <w:rsid w:val="0097197E"/>
    <w:rsid w:val="0097429B"/>
    <w:rsid w:val="00975566"/>
    <w:rsid w:val="0098516A"/>
    <w:rsid w:val="00990CED"/>
    <w:rsid w:val="0099572E"/>
    <w:rsid w:val="00997DA5"/>
    <w:rsid w:val="009A2D81"/>
    <w:rsid w:val="009B76A1"/>
    <w:rsid w:val="009D59AF"/>
    <w:rsid w:val="009D72EA"/>
    <w:rsid w:val="009E0A21"/>
    <w:rsid w:val="009E19A3"/>
    <w:rsid w:val="009E2DBA"/>
    <w:rsid w:val="009E5919"/>
    <w:rsid w:val="009E7526"/>
    <w:rsid w:val="009F21FD"/>
    <w:rsid w:val="009F5E65"/>
    <w:rsid w:val="009F6A7D"/>
    <w:rsid w:val="00A0001A"/>
    <w:rsid w:val="00A16F22"/>
    <w:rsid w:val="00A1786A"/>
    <w:rsid w:val="00A210CD"/>
    <w:rsid w:val="00A2343E"/>
    <w:rsid w:val="00A2455B"/>
    <w:rsid w:val="00A30EBB"/>
    <w:rsid w:val="00A31922"/>
    <w:rsid w:val="00A35F09"/>
    <w:rsid w:val="00A40130"/>
    <w:rsid w:val="00A44F24"/>
    <w:rsid w:val="00A45528"/>
    <w:rsid w:val="00A51E63"/>
    <w:rsid w:val="00A57912"/>
    <w:rsid w:val="00A73ADE"/>
    <w:rsid w:val="00A74149"/>
    <w:rsid w:val="00A85E34"/>
    <w:rsid w:val="00A869F7"/>
    <w:rsid w:val="00A97CC3"/>
    <w:rsid w:val="00AA2C1E"/>
    <w:rsid w:val="00AA3F91"/>
    <w:rsid w:val="00AA69E8"/>
    <w:rsid w:val="00AB0AA6"/>
    <w:rsid w:val="00AB488A"/>
    <w:rsid w:val="00AB6898"/>
    <w:rsid w:val="00AB7252"/>
    <w:rsid w:val="00AF0F6C"/>
    <w:rsid w:val="00B00E5C"/>
    <w:rsid w:val="00B014D3"/>
    <w:rsid w:val="00B01CBA"/>
    <w:rsid w:val="00B023AC"/>
    <w:rsid w:val="00B053BE"/>
    <w:rsid w:val="00B05C65"/>
    <w:rsid w:val="00B11DCA"/>
    <w:rsid w:val="00B2050D"/>
    <w:rsid w:val="00B21981"/>
    <w:rsid w:val="00B2482B"/>
    <w:rsid w:val="00B25B8C"/>
    <w:rsid w:val="00B27D75"/>
    <w:rsid w:val="00B32ADA"/>
    <w:rsid w:val="00B437FD"/>
    <w:rsid w:val="00B453A9"/>
    <w:rsid w:val="00B52579"/>
    <w:rsid w:val="00B60F21"/>
    <w:rsid w:val="00B64ACA"/>
    <w:rsid w:val="00B839FF"/>
    <w:rsid w:val="00B87D32"/>
    <w:rsid w:val="00BB52C4"/>
    <w:rsid w:val="00BB6C44"/>
    <w:rsid w:val="00BC05BE"/>
    <w:rsid w:val="00BC38E0"/>
    <w:rsid w:val="00BD115D"/>
    <w:rsid w:val="00BE1107"/>
    <w:rsid w:val="00BE2925"/>
    <w:rsid w:val="00BE3ED7"/>
    <w:rsid w:val="00BE480A"/>
    <w:rsid w:val="00BF0D72"/>
    <w:rsid w:val="00BF3DB0"/>
    <w:rsid w:val="00C00A92"/>
    <w:rsid w:val="00C014F8"/>
    <w:rsid w:val="00C14B02"/>
    <w:rsid w:val="00C2322E"/>
    <w:rsid w:val="00C2573B"/>
    <w:rsid w:val="00C266B9"/>
    <w:rsid w:val="00C27D93"/>
    <w:rsid w:val="00C30099"/>
    <w:rsid w:val="00C342C8"/>
    <w:rsid w:val="00C34DF8"/>
    <w:rsid w:val="00C36EE7"/>
    <w:rsid w:val="00C466FF"/>
    <w:rsid w:val="00C56327"/>
    <w:rsid w:val="00C5643B"/>
    <w:rsid w:val="00C576D1"/>
    <w:rsid w:val="00C616C2"/>
    <w:rsid w:val="00C66DE1"/>
    <w:rsid w:val="00C7006E"/>
    <w:rsid w:val="00C703AB"/>
    <w:rsid w:val="00C735E4"/>
    <w:rsid w:val="00C74AAD"/>
    <w:rsid w:val="00C76CFB"/>
    <w:rsid w:val="00C833D3"/>
    <w:rsid w:val="00C86149"/>
    <w:rsid w:val="00C90760"/>
    <w:rsid w:val="00C94991"/>
    <w:rsid w:val="00C97E31"/>
    <w:rsid w:val="00CA3A46"/>
    <w:rsid w:val="00CB271D"/>
    <w:rsid w:val="00CB437C"/>
    <w:rsid w:val="00CB647D"/>
    <w:rsid w:val="00CB77AB"/>
    <w:rsid w:val="00CD61B7"/>
    <w:rsid w:val="00CE040E"/>
    <w:rsid w:val="00CE2988"/>
    <w:rsid w:val="00CE5507"/>
    <w:rsid w:val="00CF0F6D"/>
    <w:rsid w:val="00CF58BA"/>
    <w:rsid w:val="00D01B5C"/>
    <w:rsid w:val="00D065DE"/>
    <w:rsid w:val="00D14324"/>
    <w:rsid w:val="00D2105F"/>
    <w:rsid w:val="00D22988"/>
    <w:rsid w:val="00D2712D"/>
    <w:rsid w:val="00D30516"/>
    <w:rsid w:val="00D30BD4"/>
    <w:rsid w:val="00D30BE3"/>
    <w:rsid w:val="00D4465F"/>
    <w:rsid w:val="00D46BC4"/>
    <w:rsid w:val="00D5575F"/>
    <w:rsid w:val="00D55D75"/>
    <w:rsid w:val="00D629BB"/>
    <w:rsid w:val="00D73651"/>
    <w:rsid w:val="00D80A4F"/>
    <w:rsid w:val="00D9192E"/>
    <w:rsid w:val="00D9230F"/>
    <w:rsid w:val="00D94FFE"/>
    <w:rsid w:val="00DA0497"/>
    <w:rsid w:val="00DA6465"/>
    <w:rsid w:val="00DB0BDA"/>
    <w:rsid w:val="00DB3428"/>
    <w:rsid w:val="00DB3D0A"/>
    <w:rsid w:val="00DB4D1E"/>
    <w:rsid w:val="00DB6838"/>
    <w:rsid w:val="00DC0B8F"/>
    <w:rsid w:val="00DC1055"/>
    <w:rsid w:val="00DC4992"/>
    <w:rsid w:val="00DC4D86"/>
    <w:rsid w:val="00DC7354"/>
    <w:rsid w:val="00DD4368"/>
    <w:rsid w:val="00DD76D1"/>
    <w:rsid w:val="00DE4BD8"/>
    <w:rsid w:val="00DF0357"/>
    <w:rsid w:val="00E01833"/>
    <w:rsid w:val="00E022E1"/>
    <w:rsid w:val="00E03B1D"/>
    <w:rsid w:val="00E06A4E"/>
    <w:rsid w:val="00E1547F"/>
    <w:rsid w:val="00E21446"/>
    <w:rsid w:val="00E31E74"/>
    <w:rsid w:val="00E32ACA"/>
    <w:rsid w:val="00E3647B"/>
    <w:rsid w:val="00E37E7A"/>
    <w:rsid w:val="00E4625A"/>
    <w:rsid w:val="00E55723"/>
    <w:rsid w:val="00E60F7C"/>
    <w:rsid w:val="00E64BB8"/>
    <w:rsid w:val="00E74953"/>
    <w:rsid w:val="00E76105"/>
    <w:rsid w:val="00E76961"/>
    <w:rsid w:val="00E770DC"/>
    <w:rsid w:val="00E83540"/>
    <w:rsid w:val="00E91A1D"/>
    <w:rsid w:val="00EA04B1"/>
    <w:rsid w:val="00EA7740"/>
    <w:rsid w:val="00EB000C"/>
    <w:rsid w:val="00EB213E"/>
    <w:rsid w:val="00EB5FA8"/>
    <w:rsid w:val="00EB71F8"/>
    <w:rsid w:val="00EC16CB"/>
    <w:rsid w:val="00EC7BBC"/>
    <w:rsid w:val="00EE1D60"/>
    <w:rsid w:val="00F01FDE"/>
    <w:rsid w:val="00F043AF"/>
    <w:rsid w:val="00F15F83"/>
    <w:rsid w:val="00F16195"/>
    <w:rsid w:val="00F22E9A"/>
    <w:rsid w:val="00F26149"/>
    <w:rsid w:val="00F31949"/>
    <w:rsid w:val="00F36820"/>
    <w:rsid w:val="00F37ED2"/>
    <w:rsid w:val="00F37FA7"/>
    <w:rsid w:val="00F418DB"/>
    <w:rsid w:val="00F42010"/>
    <w:rsid w:val="00F6319F"/>
    <w:rsid w:val="00F70E41"/>
    <w:rsid w:val="00F718C6"/>
    <w:rsid w:val="00F7252C"/>
    <w:rsid w:val="00F7411F"/>
    <w:rsid w:val="00F81C18"/>
    <w:rsid w:val="00F826EC"/>
    <w:rsid w:val="00F84FD4"/>
    <w:rsid w:val="00FA1392"/>
    <w:rsid w:val="00FB1ACC"/>
    <w:rsid w:val="00FB2C4C"/>
    <w:rsid w:val="00FB3DB2"/>
    <w:rsid w:val="00FB6195"/>
    <w:rsid w:val="00FC1F88"/>
    <w:rsid w:val="00FD204D"/>
    <w:rsid w:val="00FE3711"/>
    <w:rsid w:val="00FE7A03"/>
    <w:rsid w:val="00FF01E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FCBADD-699A-4505-B191-FA91C702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12243D"/>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styleId="BalloonText">
    <w:name w:val="Balloon Text"/>
    <w:basedOn w:val="Normal"/>
    <w:link w:val="BalloonTextChar"/>
    <w:rsid w:val="009528DE"/>
    <w:rPr>
      <w:rFonts w:ascii="Segoe UI" w:hAnsi="Segoe UI" w:cs="Segoe UI"/>
      <w:sz w:val="18"/>
      <w:szCs w:val="18"/>
    </w:rPr>
  </w:style>
  <w:style w:type="character" w:customStyle="1" w:styleId="BalloonTextChar">
    <w:name w:val="Balloon Text Char"/>
    <w:link w:val="BalloonText"/>
    <w:rsid w:val="009528DE"/>
    <w:rPr>
      <w:rFonts w:ascii="Segoe UI" w:hAnsi="Segoe UI" w:cs="Segoe UI"/>
      <w:sz w:val="18"/>
      <w:szCs w:val="18"/>
    </w:rPr>
  </w:style>
  <w:style w:type="character" w:customStyle="1" w:styleId="roarquestion">
    <w:name w:val="roar_question"/>
    <w:rsid w:val="0086715E"/>
  </w:style>
  <w:style w:type="paragraph" w:customStyle="1" w:styleId="Default">
    <w:name w:val="Default"/>
    <w:rsid w:val="0086715E"/>
    <w:pPr>
      <w:autoSpaceDE w:val="0"/>
      <w:autoSpaceDN w:val="0"/>
      <w:adjustRightInd w:val="0"/>
    </w:pPr>
    <w:rPr>
      <w:color w:val="000000"/>
      <w:sz w:val="24"/>
      <w:szCs w:val="24"/>
    </w:rPr>
  </w:style>
  <w:style w:type="paragraph" w:styleId="CommentText">
    <w:name w:val="annotation text"/>
    <w:basedOn w:val="Normal"/>
    <w:link w:val="CommentTextChar"/>
    <w:uiPriority w:val="99"/>
    <w:rsid w:val="0018154E"/>
    <w:pPr>
      <w:widowControl/>
    </w:pPr>
    <w:rPr>
      <w:rFonts w:eastAsia="MS Mincho"/>
      <w:sz w:val="20"/>
      <w:lang w:val="en-GB"/>
    </w:rPr>
  </w:style>
  <w:style w:type="character" w:customStyle="1" w:styleId="CommentTextChar">
    <w:name w:val="Comment Text Char"/>
    <w:link w:val="CommentText"/>
    <w:uiPriority w:val="99"/>
    <w:rsid w:val="0018154E"/>
    <w:rPr>
      <w:rFonts w:eastAsia="MS Mincho"/>
      <w:lang w:val="en-GB"/>
    </w:rPr>
  </w:style>
  <w:style w:type="paragraph" w:styleId="ListParagraph">
    <w:name w:val="List Paragraph"/>
    <w:basedOn w:val="Normal"/>
    <w:uiPriority w:val="34"/>
    <w:qFormat/>
    <w:rsid w:val="0018154E"/>
    <w:pPr>
      <w:widowControl/>
      <w:ind w:left="720"/>
    </w:pPr>
    <w:rPr>
      <w:rFonts w:eastAsia="MS Mincho"/>
      <w:szCs w:val="24"/>
      <w:lang w:val="en-GB"/>
    </w:rPr>
  </w:style>
  <w:style w:type="paragraph" w:styleId="EndnoteText">
    <w:name w:val="endnote text"/>
    <w:basedOn w:val="Normal"/>
    <w:link w:val="EndnoteTextChar"/>
    <w:uiPriority w:val="99"/>
    <w:unhideWhenUsed/>
    <w:rsid w:val="00C00A92"/>
    <w:pPr>
      <w:widowControl/>
    </w:pPr>
    <w:rPr>
      <w:rFonts w:eastAsia="MS Mincho"/>
      <w:sz w:val="20"/>
      <w:lang w:val="en-GB"/>
    </w:rPr>
  </w:style>
  <w:style w:type="character" w:customStyle="1" w:styleId="EndnoteTextChar">
    <w:name w:val="Endnote Text Char"/>
    <w:link w:val="EndnoteText"/>
    <w:uiPriority w:val="99"/>
    <w:rsid w:val="00C00A92"/>
    <w:rPr>
      <w:rFonts w:eastAsia="MS Mincho"/>
      <w:lang w:val="en-GB"/>
    </w:rPr>
  </w:style>
  <w:style w:type="character" w:styleId="EndnoteReference">
    <w:name w:val="endnote reference"/>
    <w:uiPriority w:val="99"/>
    <w:unhideWhenUsed/>
    <w:rsid w:val="00C00A92"/>
    <w:rPr>
      <w:vertAlign w:val="superscript"/>
    </w:rPr>
  </w:style>
  <w:style w:type="paragraph" w:styleId="NoSpacing">
    <w:name w:val="No Spacing"/>
    <w:link w:val="NoSpacingChar"/>
    <w:uiPriority w:val="1"/>
    <w:qFormat/>
    <w:rsid w:val="00947677"/>
    <w:rPr>
      <w:rFonts w:ascii="Calibri" w:eastAsia="Calibri" w:hAnsi="Calibri"/>
      <w:sz w:val="22"/>
      <w:szCs w:val="22"/>
    </w:rPr>
  </w:style>
  <w:style w:type="character" w:customStyle="1" w:styleId="NoSpacingChar">
    <w:name w:val="No Spacing Char"/>
    <w:link w:val="NoSpacing"/>
    <w:uiPriority w:val="1"/>
    <w:locked/>
    <w:rsid w:val="00947677"/>
    <w:rPr>
      <w:rFonts w:ascii="Calibri" w:eastAsia="Calibri" w:hAnsi="Calibri"/>
      <w:sz w:val="22"/>
      <w:szCs w:val="22"/>
    </w:rPr>
  </w:style>
  <w:style w:type="character" w:customStyle="1" w:styleId="programmeoutcomedescription">
    <w:name w:val="programme_outcome_description"/>
    <w:rsid w:val="00880FC8"/>
  </w:style>
  <w:style w:type="character" w:styleId="CommentReference">
    <w:name w:val="annotation reference"/>
    <w:rsid w:val="00D065DE"/>
    <w:rPr>
      <w:sz w:val="16"/>
      <w:szCs w:val="16"/>
    </w:rPr>
  </w:style>
  <w:style w:type="paragraph" w:styleId="CommentSubject">
    <w:name w:val="annotation subject"/>
    <w:basedOn w:val="CommentText"/>
    <w:next w:val="CommentText"/>
    <w:link w:val="CommentSubjectChar"/>
    <w:rsid w:val="00D065DE"/>
    <w:pPr>
      <w:widowControl w:val="0"/>
    </w:pPr>
    <w:rPr>
      <w:rFonts w:eastAsia="Times New Roman"/>
      <w:b/>
      <w:bCs/>
      <w:lang w:val="en-US"/>
    </w:rPr>
  </w:style>
  <w:style w:type="character" w:customStyle="1" w:styleId="CommentSubjectChar">
    <w:name w:val="Comment Subject Char"/>
    <w:link w:val="CommentSubject"/>
    <w:rsid w:val="00D065DE"/>
    <w:rPr>
      <w:rFonts w:eastAsia="MS Mincho"/>
      <w:b/>
      <w:bCs/>
      <w:lang w:val="en-GB"/>
    </w:rPr>
  </w:style>
  <w:style w:type="character" w:customStyle="1" w:styleId="Heading2Char">
    <w:name w:val="Heading 2 Char"/>
    <w:link w:val="Heading2"/>
    <w:semiHidden/>
    <w:rsid w:val="0012243D"/>
    <w:rPr>
      <w:rFonts w:ascii="Calibri Light" w:eastAsia="Times New Roman" w:hAnsi="Calibri Light" w:cs="Times New Roman"/>
      <w:b/>
      <w:bCs/>
      <w:i/>
      <w:iCs/>
      <w:sz w:val="28"/>
      <w:szCs w:val="28"/>
    </w:rPr>
  </w:style>
  <w:style w:type="paragraph" w:customStyle="1" w:styleId="mystandardnumbered">
    <w:name w:val="mystandardnumbered"/>
    <w:basedOn w:val="ListParagraph"/>
    <w:qFormat/>
    <w:rsid w:val="00DC0B8F"/>
    <w:pPr>
      <w:numPr>
        <w:numId w:val="32"/>
      </w:numPr>
      <w:autoSpaceDE w:val="0"/>
      <w:autoSpaceDN w:val="0"/>
      <w:adjustRightInd w:val="0"/>
      <w:ind w:left="720"/>
      <w:contextualSpacing/>
      <w:jc w:val="both"/>
    </w:pPr>
    <w:rPr>
      <w:rFonts w:ascii="Calibri" w:eastAsia="SymbolMT" w:hAnsi="Calibri" w:cs="Calibri"/>
      <w:sz w:val="22"/>
      <w:szCs w:val="22"/>
      <w:lang w:val="en-AU"/>
    </w:rPr>
  </w:style>
  <w:style w:type="paragraph" w:styleId="z-TopofForm">
    <w:name w:val="HTML Top of Form"/>
    <w:basedOn w:val="Normal"/>
    <w:next w:val="Normal"/>
    <w:link w:val="z-TopofFormChar"/>
    <w:hidden/>
    <w:uiPriority w:val="99"/>
    <w:unhideWhenUsed/>
    <w:rsid w:val="002A06CC"/>
    <w:pPr>
      <w:widowControl/>
      <w:pBdr>
        <w:bottom w:val="single" w:sz="6" w:space="1" w:color="auto"/>
      </w:pBdr>
      <w:spacing w:line="259" w:lineRule="auto"/>
      <w:jc w:val="center"/>
    </w:pPr>
    <w:rPr>
      <w:rFonts w:ascii="Arial" w:eastAsia="Calibri" w:hAnsi="Arial" w:cs="Arial"/>
      <w:vanish/>
      <w:sz w:val="16"/>
      <w:szCs w:val="16"/>
    </w:rPr>
  </w:style>
  <w:style w:type="character" w:customStyle="1" w:styleId="z-TopofFormChar">
    <w:name w:val="z-Top of Form Char"/>
    <w:link w:val="z-TopofForm"/>
    <w:uiPriority w:val="99"/>
    <w:rsid w:val="002A06CC"/>
    <w:rPr>
      <w:rFonts w:ascii="Arial" w:eastAsia="Calibri" w:hAnsi="Arial" w:cs="Arial"/>
      <w:vanish/>
      <w:sz w:val="16"/>
      <w:szCs w:val="16"/>
    </w:rPr>
  </w:style>
  <w:style w:type="character" w:styleId="Hyperlink">
    <w:name w:val="Hyperlink"/>
    <w:uiPriority w:val="99"/>
    <w:unhideWhenUsed/>
    <w:rsid w:val="00DC4992"/>
    <w:rPr>
      <w:color w:val="0563C1"/>
      <w:u w:val="single"/>
    </w:rPr>
  </w:style>
  <w:style w:type="paragraph" w:styleId="Title">
    <w:name w:val="Title"/>
    <w:basedOn w:val="Normal"/>
    <w:next w:val="Normal"/>
    <w:link w:val="TitleChar"/>
    <w:qFormat/>
    <w:rsid w:val="0022667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26675"/>
    <w:rPr>
      <w:rFonts w:ascii="Calibri Light" w:eastAsia="Times New Roman" w:hAnsi="Calibri Light" w:cs="Times New Roman"/>
      <w:b/>
      <w:bCs/>
      <w:kern w:val="28"/>
      <w:sz w:val="32"/>
      <w:szCs w:val="32"/>
    </w:rPr>
  </w:style>
  <w:style w:type="character" w:styleId="Emphasis">
    <w:name w:val="Emphasis"/>
    <w:uiPriority w:val="20"/>
    <w:qFormat/>
    <w:rsid w:val="009A2D81"/>
    <w:rPr>
      <w:i/>
      <w:iCs/>
    </w:rPr>
  </w:style>
  <w:style w:type="character" w:customStyle="1" w:styleId="apple-converted-space">
    <w:name w:val="apple-converted-space"/>
    <w:rsid w:val="00390556"/>
  </w:style>
  <w:style w:type="character" w:customStyle="1" w:styleId="answertext">
    <w:name w:val="answer_text"/>
    <w:rsid w:val="00753696"/>
  </w:style>
  <w:style w:type="character" w:customStyle="1" w:styleId="headingh5">
    <w:name w:val="heading_h5"/>
    <w:rsid w:val="00753696"/>
  </w:style>
  <w:style w:type="paragraph" w:styleId="Revision">
    <w:name w:val="Revision"/>
    <w:hidden/>
    <w:uiPriority w:val="99"/>
    <w:semiHidden/>
    <w:rsid w:val="004851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417">
      <w:bodyDiv w:val="1"/>
      <w:marLeft w:val="0"/>
      <w:marRight w:val="0"/>
      <w:marTop w:val="0"/>
      <w:marBottom w:val="0"/>
      <w:divBdr>
        <w:top w:val="none" w:sz="0" w:space="0" w:color="auto"/>
        <w:left w:val="none" w:sz="0" w:space="0" w:color="auto"/>
        <w:bottom w:val="none" w:sz="0" w:space="0" w:color="auto"/>
        <w:right w:val="none" w:sz="0" w:space="0" w:color="auto"/>
      </w:divBdr>
    </w:div>
    <w:div w:id="193425002">
      <w:bodyDiv w:val="1"/>
      <w:marLeft w:val="0"/>
      <w:marRight w:val="0"/>
      <w:marTop w:val="0"/>
      <w:marBottom w:val="0"/>
      <w:divBdr>
        <w:top w:val="none" w:sz="0" w:space="0" w:color="auto"/>
        <w:left w:val="none" w:sz="0" w:space="0" w:color="auto"/>
        <w:bottom w:val="none" w:sz="0" w:space="0" w:color="auto"/>
        <w:right w:val="none" w:sz="0" w:space="0" w:color="auto"/>
      </w:divBdr>
    </w:div>
    <w:div w:id="478159117">
      <w:bodyDiv w:val="1"/>
      <w:marLeft w:val="0"/>
      <w:marRight w:val="0"/>
      <w:marTop w:val="0"/>
      <w:marBottom w:val="0"/>
      <w:divBdr>
        <w:top w:val="none" w:sz="0" w:space="0" w:color="auto"/>
        <w:left w:val="none" w:sz="0" w:space="0" w:color="auto"/>
        <w:bottom w:val="none" w:sz="0" w:space="0" w:color="auto"/>
        <w:right w:val="none" w:sz="0" w:space="0" w:color="auto"/>
      </w:divBdr>
    </w:div>
    <w:div w:id="515971290">
      <w:bodyDiv w:val="1"/>
      <w:marLeft w:val="0"/>
      <w:marRight w:val="0"/>
      <w:marTop w:val="0"/>
      <w:marBottom w:val="0"/>
      <w:divBdr>
        <w:top w:val="none" w:sz="0" w:space="0" w:color="auto"/>
        <w:left w:val="none" w:sz="0" w:space="0" w:color="auto"/>
        <w:bottom w:val="none" w:sz="0" w:space="0" w:color="auto"/>
        <w:right w:val="none" w:sz="0" w:space="0" w:color="auto"/>
      </w:divBdr>
    </w:div>
    <w:div w:id="629747813">
      <w:bodyDiv w:val="1"/>
      <w:marLeft w:val="0"/>
      <w:marRight w:val="0"/>
      <w:marTop w:val="0"/>
      <w:marBottom w:val="0"/>
      <w:divBdr>
        <w:top w:val="none" w:sz="0" w:space="0" w:color="auto"/>
        <w:left w:val="none" w:sz="0" w:space="0" w:color="auto"/>
        <w:bottom w:val="none" w:sz="0" w:space="0" w:color="auto"/>
        <w:right w:val="none" w:sz="0" w:space="0" w:color="auto"/>
      </w:divBdr>
    </w:div>
    <w:div w:id="650910444">
      <w:bodyDiv w:val="1"/>
      <w:marLeft w:val="0"/>
      <w:marRight w:val="0"/>
      <w:marTop w:val="0"/>
      <w:marBottom w:val="0"/>
      <w:divBdr>
        <w:top w:val="none" w:sz="0" w:space="0" w:color="auto"/>
        <w:left w:val="none" w:sz="0" w:space="0" w:color="auto"/>
        <w:bottom w:val="none" w:sz="0" w:space="0" w:color="auto"/>
        <w:right w:val="none" w:sz="0" w:space="0" w:color="auto"/>
      </w:divBdr>
      <w:divsChild>
        <w:div w:id="516232117">
          <w:marLeft w:val="0"/>
          <w:marRight w:val="0"/>
          <w:marTop w:val="0"/>
          <w:marBottom w:val="0"/>
          <w:divBdr>
            <w:top w:val="none" w:sz="0" w:space="0" w:color="auto"/>
            <w:left w:val="none" w:sz="0" w:space="0" w:color="auto"/>
            <w:bottom w:val="none" w:sz="0" w:space="0" w:color="auto"/>
            <w:right w:val="none" w:sz="0" w:space="0" w:color="auto"/>
          </w:divBdr>
          <w:divsChild>
            <w:div w:id="1731999855">
              <w:marLeft w:val="0"/>
              <w:marRight w:val="0"/>
              <w:marTop w:val="0"/>
              <w:marBottom w:val="0"/>
              <w:divBdr>
                <w:top w:val="none" w:sz="0" w:space="0" w:color="auto"/>
                <w:left w:val="none" w:sz="0" w:space="0" w:color="auto"/>
                <w:bottom w:val="none" w:sz="0" w:space="0" w:color="auto"/>
                <w:right w:val="none" w:sz="0" w:space="0" w:color="auto"/>
              </w:divBdr>
              <w:divsChild>
                <w:div w:id="158692643">
                  <w:marLeft w:val="0"/>
                  <w:marRight w:val="0"/>
                  <w:marTop w:val="0"/>
                  <w:marBottom w:val="0"/>
                  <w:divBdr>
                    <w:top w:val="none" w:sz="0" w:space="0" w:color="auto"/>
                    <w:left w:val="none" w:sz="0" w:space="0" w:color="auto"/>
                    <w:bottom w:val="none" w:sz="0" w:space="0" w:color="auto"/>
                    <w:right w:val="none" w:sz="0" w:space="0" w:color="auto"/>
                  </w:divBdr>
                  <w:divsChild>
                    <w:div w:id="748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7752">
      <w:bodyDiv w:val="1"/>
      <w:marLeft w:val="0"/>
      <w:marRight w:val="0"/>
      <w:marTop w:val="0"/>
      <w:marBottom w:val="0"/>
      <w:divBdr>
        <w:top w:val="none" w:sz="0" w:space="0" w:color="auto"/>
        <w:left w:val="none" w:sz="0" w:space="0" w:color="auto"/>
        <w:bottom w:val="none" w:sz="0" w:space="0" w:color="auto"/>
        <w:right w:val="none" w:sz="0" w:space="0" w:color="auto"/>
      </w:divBdr>
      <w:divsChild>
        <w:div w:id="1110662468">
          <w:marLeft w:val="0"/>
          <w:marRight w:val="0"/>
          <w:marTop w:val="0"/>
          <w:marBottom w:val="0"/>
          <w:divBdr>
            <w:top w:val="none" w:sz="0" w:space="0" w:color="auto"/>
            <w:left w:val="none" w:sz="0" w:space="0" w:color="auto"/>
            <w:bottom w:val="none" w:sz="0" w:space="0" w:color="auto"/>
            <w:right w:val="none" w:sz="0" w:space="0" w:color="auto"/>
          </w:divBdr>
          <w:divsChild>
            <w:div w:id="742028641">
              <w:marLeft w:val="0"/>
              <w:marRight w:val="0"/>
              <w:marTop w:val="0"/>
              <w:marBottom w:val="0"/>
              <w:divBdr>
                <w:top w:val="none" w:sz="0" w:space="0" w:color="auto"/>
                <w:left w:val="none" w:sz="0" w:space="0" w:color="auto"/>
                <w:bottom w:val="none" w:sz="0" w:space="0" w:color="auto"/>
                <w:right w:val="none" w:sz="0" w:space="0" w:color="auto"/>
              </w:divBdr>
              <w:divsChild>
                <w:div w:id="1678999298">
                  <w:marLeft w:val="0"/>
                  <w:marRight w:val="0"/>
                  <w:marTop w:val="0"/>
                  <w:marBottom w:val="0"/>
                  <w:divBdr>
                    <w:top w:val="none" w:sz="0" w:space="0" w:color="auto"/>
                    <w:left w:val="none" w:sz="0" w:space="0" w:color="auto"/>
                    <w:bottom w:val="none" w:sz="0" w:space="0" w:color="auto"/>
                    <w:right w:val="none" w:sz="0" w:space="0" w:color="auto"/>
                  </w:divBdr>
                  <w:divsChild>
                    <w:div w:id="615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6673">
      <w:bodyDiv w:val="1"/>
      <w:marLeft w:val="0"/>
      <w:marRight w:val="0"/>
      <w:marTop w:val="0"/>
      <w:marBottom w:val="0"/>
      <w:divBdr>
        <w:top w:val="none" w:sz="0" w:space="0" w:color="auto"/>
        <w:left w:val="none" w:sz="0" w:space="0" w:color="auto"/>
        <w:bottom w:val="none" w:sz="0" w:space="0" w:color="auto"/>
        <w:right w:val="none" w:sz="0" w:space="0" w:color="auto"/>
      </w:divBdr>
    </w:div>
    <w:div w:id="768431547">
      <w:bodyDiv w:val="1"/>
      <w:marLeft w:val="0"/>
      <w:marRight w:val="0"/>
      <w:marTop w:val="0"/>
      <w:marBottom w:val="0"/>
      <w:divBdr>
        <w:top w:val="none" w:sz="0" w:space="0" w:color="auto"/>
        <w:left w:val="none" w:sz="0" w:space="0" w:color="auto"/>
        <w:bottom w:val="none" w:sz="0" w:space="0" w:color="auto"/>
        <w:right w:val="none" w:sz="0" w:space="0" w:color="auto"/>
      </w:divBdr>
      <w:divsChild>
        <w:div w:id="358579997">
          <w:marLeft w:val="0"/>
          <w:marRight w:val="0"/>
          <w:marTop w:val="0"/>
          <w:marBottom w:val="0"/>
          <w:divBdr>
            <w:top w:val="none" w:sz="0" w:space="0" w:color="auto"/>
            <w:left w:val="none" w:sz="0" w:space="0" w:color="auto"/>
            <w:bottom w:val="none" w:sz="0" w:space="0" w:color="auto"/>
            <w:right w:val="none" w:sz="0" w:space="0" w:color="auto"/>
          </w:divBdr>
          <w:divsChild>
            <w:div w:id="1219634516">
              <w:marLeft w:val="0"/>
              <w:marRight w:val="0"/>
              <w:marTop w:val="0"/>
              <w:marBottom w:val="0"/>
              <w:divBdr>
                <w:top w:val="none" w:sz="0" w:space="0" w:color="auto"/>
                <w:left w:val="none" w:sz="0" w:space="0" w:color="auto"/>
                <w:bottom w:val="none" w:sz="0" w:space="0" w:color="auto"/>
                <w:right w:val="none" w:sz="0" w:space="0" w:color="auto"/>
              </w:divBdr>
              <w:divsChild>
                <w:div w:id="592738478">
                  <w:marLeft w:val="0"/>
                  <w:marRight w:val="0"/>
                  <w:marTop w:val="0"/>
                  <w:marBottom w:val="0"/>
                  <w:divBdr>
                    <w:top w:val="none" w:sz="0" w:space="0" w:color="auto"/>
                    <w:left w:val="none" w:sz="0" w:space="0" w:color="auto"/>
                    <w:bottom w:val="none" w:sz="0" w:space="0" w:color="auto"/>
                    <w:right w:val="none" w:sz="0" w:space="0" w:color="auto"/>
                  </w:divBdr>
                  <w:divsChild>
                    <w:div w:id="13474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1283">
      <w:bodyDiv w:val="1"/>
      <w:marLeft w:val="0"/>
      <w:marRight w:val="0"/>
      <w:marTop w:val="0"/>
      <w:marBottom w:val="0"/>
      <w:divBdr>
        <w:top w:val="none" w:sz="0" w:space="0" w:color="auto"/>
        <w:left w:val="none" w:sz="0" w:space="0" w:color="auto"/>
        <w:bottom w:val="none" w:sz="0" w:space="0" w:color="auto"/>
        <w:right w:val="none" w:sz="0" w:space="0" w:color="auto"/>
      </w:divBdr>
    </w:div>
    <w:div w:id="1142499227">
      <w:bodyDiv w:val="1"/>
      <w:marLeft w:val="0"/>
      <w:marRight w:val="0"/>
      <w:marTop w:val="0"/>
      <w:marBottom w:val="0"/>
      <w:divBdr>
        <w:top w:val="none" w:sz="0" w:space="0" w:color="auto"/>
        <w:left w:val="none" w:sz="0" w:space="0" w:color="auto"/>
        <w:bottom w:val="none" w:sz="0" w:space="0" w:color="auto"/>
        <w:right w:val="none" w:sz="0" w:space="0" w:color="auto"/>
      </w:divBdr>
      <w:divsChild>
        <w:div w:id="763653213">
          <w:marLeft w:val="0"/>
          <w:marRight w:val="0"/>
          <w:marTop w:val="0"/>
          <w:marBottom w:val="0"/>
          <w:divBdr>
            <w:top w:val="none" w:sz="0" w:space="0" w:color="auto"/>
            <w:left w:val="none" w:sz="0" w:space="0" w:color="auto"/>
            <w:bottom w:val="none" w:sz="0" w:space="0" w:color="auto"/>
            <w:right w:val="none" w:sz="0" w:space="0" w:color="auto"/>
          </w:divBdr>
          <w:divsChild>
            <w:div w:id="985204471">
              <w:marLeft w:val="0"/>
              <w:marRight w:val="0"/>
              <w:marTop w:val="0"/>
              <w:marBottom w:val="0"/>
              <w:divBdr>
                <w:top w:val="none" w:sz="0" w:space="0" w:color="auto"/>
                <w:left w:val="none" w:sz="0" w:space="0" w:color="auto"/>
                <w:bottom w:val="none" w:sz="0" w:space="0" w:color="auto"/>
                <w:right w:val="none" w:sz="0" w:space="0" w:color="auto"/>
              </w:divBdr>
              <w:divsChild>
                <w:div w:id="926840091">
                  <w:marLeft w:val="0"/>
                  <w:marRight w:val="0"/>
                  <w:marTop w:val="0"/>
                  <w:marBottom w:val="0"/>
                  <w:divBdr>
                    <w:top w:val="none" w:sz="0" w:space="0" w:color="auto"/>
                    <w:left w:val="none" w:sz="0" w:space="0" w:color="auto"/>
                    <w:bottom w:val="none" w:sz="0" w:space="0" w:color="auto"/>
                    <w:right w:val="none" w:sz="0" w:space="0" w:color="auto"/>
                  </w:divBdr>
                  <w:divsChild>
                    <w:div w:id="20395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3203">
      <w:bodyDiv w:val="1"/>
      <w:marLeft w:val="0"/>
      <w:marRight w:val="0"/>
      <w:marTop w:val="0"/>
      <w:marBottom w:val="0"/>
      <w:divBdr>
        <w:top w:val="none" w:sz="0" w:space="0" w:color="auto"/>
        <w:left w:val="none" w:sz="0" w:space="0" w:color="auto"/>
        <w:bottom w:val="none" w:sz="0" w:space="0" w:color="auto"/>
        <w:right w:val="none" w:sz="0" w:space="0" w:color="auto"/>
      </w:divBdr>
    </w:div>
    <w:div w:id="1278372632">
      <w:bodyDiv w:val="1"/>
      <w:marLeft w:val="0"/>
      <w:marRight w:val="0"/>
      <w:marTop w:val="0"/>
      <w:marBottom w:val="0"/>
      <w:divBdr>
        <w:top w:val="none" w:sz="0" w:space="0" w:color="auto"/>
        <w:left w:val="none" w:sz="0" w:space="0" w:color="auto"/>
        <w:bottom w:val="none" w:sz="0" w:space="0" w:color="auto"/>
        <w:right w:val="none" w:sz="0" w:space="0" w:color="auto"/>
      </w:divBdr>
    </w:div>
    <w:div w:id="1310591356">
      <w:bodyDiv w:val="1"/>
      <w:marLeft w:val="0"/>
      <w:marRight w:val="0"/>
      <w:marTop w:val="0"/>
      <w:marBottom w:val="0"/>
      <w:divBdr>
        <w:top w:val="none" w:sz="0" w:space="0" w:color="auto"/>
        <w:left w:val="none" w:sz="0" w:space="0" w:color="auto"/>
        <w:bottom w:val="none" w:sz="0" w:space="0" w:color="auto"/>
        <w:right w:val="none" w:sz="0" w:space="0" w:color="auto"/>
      </w:divBdr>
    </w:div>
    <w:div w:id="1482381931">
      <w:bodyDiv w:val="1"/>
      <w:marLeft w:val="0"/>
      <w:marRight w:val="0"/>
      <w:marTop w:val="0"/>
      <w:marBottom w:val="0"/>
      <w:divBdr>
        <w:top w:val="none" w:sz="0" w:space="0" w:color="auto"/>
        <w:left w:val="none" w:sz="0" w:space="0" w:color="auto"/>
        <w:bottom w:val="none" w:sz="0" w:space="0" w:color="auto"/>
        <w:right w:val="none" w:sz="0" w:space="0" w:color="auto"/>
      </w:divBdr>
    </w:div>
    <w:div w:id="1578512636">
      <w:bodyDiv w:val="1"/>
      <w:marLeft w:val="0"/>
      <w:marRight w:val="0"/>
      <w:marTop w:val="0"/>
      <w:marBottom w:val="0"/>
      <w:divBdr>
        <w:top w:val="none" w:sz="0" w:space="0" w:color="auto"/>
        <w:left w:val="none" w:sz="0" w:space="0" w:color="auto"/>
        <w:bottom w:val="none" w:sz="0" w:space="0" w:color="auto"/>
        <w:right w:val="none" w:sz="0" w:space="0" w:color="auto"/>
      </w:divBdr>
    </w:div>
    <w:div w:id="1689596470">
      <w:bodyDiv w:val="1"/>
      <w:marLeft w:val="0"/>
      <w:marRight w:val="0"/>
      <w:marTop w:val="0"/>
      <w:marBottom w:val="0"/>
      <w:divBdr>
        <w:top w:val="none" w:sz="0" w:space="0" w:color="auto"/>
        <w:left w:val="none" w:sz="0" w:space="0" w:color="auto"/>
        <w:bottom w:val="none" w:sz="0" w:space="0" w:color="auto"/>
        <w:right w:val="none" w:sz="0" w:space="0" w:color="auto"/>
      </w:divBdr>
      <w:divsChild>
        <w:div w:id="483745454">
          <w:marLeft w:val="30"/>
          <w:marRight w:val="30"/>
          <w:marTop w:val="30"/>
          <w:marBottom w:val="30"/>
          <w:divBdr>
            <w:top w:val="none" w:sz="0" w:space="0" w:color="auto"/>
            <w:left w:val="none" w:sz="0" w:space="0" w:color="auto"/>
            <w:bottom w:val="none" w:sz="0" w:space="0" w:color="auto"/>
            <w:right w:val="none" w:sz="0" w:space="0" w:color="auto"/>
          </w:divBdr>
        </w:div>
      </w:divsChild>
    </w:div>
    <w:div w:id="1806316112">
      <w:bodyDiv w:val="1"/>
      <w:marLeft w:val="0"/>
      <w:marRight w:val="0"/>
      <w:marTop w:val="0"/>
      <w:marBottom w:val="0"/>
      <w:divBdr>
        <w:top w:val="none" w:sz="0" w:space="0" w:color="auto"/>
        <w:left w:val="none" w:sz="0" w:space="0" w:color="auto"/>
        <w:bottom w:val="none" w:sz="0" w:space="0" w:color="auto"/>
        <w:right w:val="none" w:sz="0" w:space="0" w:color="auto"/>
      </w:divBdr>
      <w:divsChild>
        <w:div w:id="1911423599">
          <w:marLeft w:val="0"/>
          <w:marRight w:val="0"/>
          <w:marTop w:val="0"/>
          <w:marBottom w:val="0"/>
          <w:divBdr>
            <w:top w:val="none" w:sz="0" w:space="0" w:color="auto"/>
            <w:left w:val="none" w:sz="0" w:space="0" w:color="auto"/>
            <w:bottom w:val="none" w:sz="0" w:space="0" w:color="auto"/>
            <w:right w:val="none" w:sz="0" w:space="0" w:color="auto"/>
          </w:divBdr>
          <w:divsChild>
            <w:div w:id="1777364776">
              <w:marLeft w:val="0"/>
              <w:marRight w:val="0"/>
              <w:marTop w:val="0"/>
              <w:marBottom w:val="0"/>
              <w:divBdr>
                <w:top w:val="none" w:sz="0" w:space="0" w:color="auto"/>
                <w:left w:val="none" w:sz="0" w:space="0" w:color="auto"/>
                <w:bottom w:val="none" w:sz="0" w:space="0" w:color="auto"/>
                <w:right w:val="none" w:sz="0" w:space="0" w:color="auto"/>
              </w:divBdr>
              <w:divsChild>
                <w:div w:id="988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3672">
      <w:bodyDiv w:val="1"/>
      <w:marLeft w:val="0"/>
      <w:marRight w:val="0"/>
      <w:marTop w:val="0"/>
      <w:marBottom w:val="0"/>
      <w:divBdr>
        <w:top w:val="none" w:sz="0" w:space="0" w:color="auto"/>
        <w:left w:val="none" w:sz="0" w:space="0" w:color="auto"/>
        <w:bottom w:val="none" w:sz="0" w:space="0" w:color="auto"/>
        <w:right w:val="none" w:sz="0" w:space="0" w:color="auto"/>
      </w:divBdr>
      <w:divsChild>
        <w:div w:id="1272007201">
          <w:marLeft w:val="0"/>
          <w:marRight w:val="0"/>
          <w:marTop w:val="0"/>
          <w:marBottom w:val="0"/>
          <w:divBdr>
            <w:top w:val="none" w:sz="0" w:space="0" w:color="auto"/>
            <w:left w:val="none" w:sz="0" w:space="0" w:color="auto"/>
            <w:bottom w:val="none" w:sz="0" w:space="0" w:color="auto"/>
            <w:right w:val="none" w:sz="0" w:space="0" w:color="auto"/>
          </w:divBdr>
          <w:divsChild>
            <w:div w:id="1067996355">
              <w:marLeft w:val="0"/>
              <w:marRight w:val="0"/>
              <w:marTop w:val="0"/>
              <w:marBottom w:val="0"/>
              <w:divBdr>
                <w:top w:val="none" w:sz="0" w:space="0" w:color="auto"/>
                <w:left w:val="none" w:sz="0" w:space="0" w:color="auto"/>
                <w:bottom w:val="none" w:sz="0" w:space="0" w:color="auto"/>
                <w:right w:val="none" w:sz="0" w:space="0" w:color="auto"/>
              </w:divBdr>
              <w:divsChild>
                <w:div w:id="653919180">
                  <w:marLeft w:val="0"/>
                  <w:marRight w:val="0"/>
                  <w:marTop w:val="0"/>
                  <w:marBottom w:val="0"/>
                  <w:divBdr>
                    <w:top w:val="none" w:sz="0" w:space="0" w:color="auto"/>
                    <w:left w:val="none" w:sz="0" w:space="0" w:color="auto"/>
                    <w:bottom w:val="none" w:sz="0" w:space="0" w:color="auto"/>
                    <w:right w:val="none" w:sz="0" w:space="0" w:color="auto"/>
                  </w:divBdr>
                  <w:divsChild>
                    <w:div w:id="13217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66893">
      <w:bodyDiv w:val="1"/>
      <w:marLeft w:val="0"/>
      <w:marRight w:val="0"/>
      <w:marTop w:val="0"/>
      <w:marBottom w:val="0"/>
      <w:divBdr>
        <w:top w:val="none" w:sz="0" w:space="0" w:color="auto"/>
        <w:left w:val="none" w:sz="0" w:space="0" w:color="auto"/>
        <w:bottom w:val="none" w:sz="0" w:space="0" w:color="auto"/>
        <w:right w:val="none" w:sz="0" w:space="0" w:color="auto"/>
      </w:divBdr>
    </w:div>
    <w:div w:id="1865055462">
      <w:bodyDiv w:val="1"/>
      <w:marLeft w:val="0"/>
      <w:marRight w:val="0"/>
      <w:marTop w:val="0"/>
      <w:marBottom w:val="0"/>
      <w:divBdr>
        <w:top w:val="none" w:sz="0" w:space="0" w:color="auto"/>
        <w:left w:val="none" w:sz="0" w:space="0" w:color="auto"/>
        <w:bottom w:val="none" w:sz="0" w:space="0" w:color="auto"/>
        <w:right w:val="none" w:sz="0" w:space="0" w:color="auto"/>
      </w:divBdr>
    </w:div>
    <w:div w:id="2102069866">
      <w:bodyDiv w:val="1"/>
      <w:marLeft w:val="0"/>
      <w:marRight w:val="0"/>
      <w:marTop w:val="0"/>
      <w:marBottom w:val="0"/>
      <w:divBdr>
        <w:top w:val="none" w:sz="0" w:space="0" w:color="auto"/>
        <w:left w:val="none" w:sz="0" w:space="0" w:color="auto"/>
        <w:bottom w:val="none" w:sz="0" w:space="0" w:color="auto"/>
        <w:right w:val="none" w:sz="0" w:space="0" w:color="auto"/>
      </w:divBdr>
      <w:divsChild>
        <w:div w:id="1807967649">
          <w:marLeft w:val="0"/>
          <w:marRight w:val="0"/>
          <w:marTop w:val="0"/>
          <w:marBottom w:val="0"/>
          <w:divBdr>
            <w:top w:val="none" w:sz="0" w:space="0" w:color="auto"/>
            <w:left w:val="none" w:sz="0" w:space="0" w:color="auto"/>
            <w:bottom w:val="none" w:sz="0" w:space="0" w:color="auto"/>
            <w:right w:val="none" w:sz="0" w:space="0" w:color="auto"/>
          </w:divBdr>
          <w:divsChild>
            <w:div w:id="1651710670">
              <w:marLeft w:val="0"/>
              <w:marRight w:val="0"/>
              <w:marTop w:val="0"/>
              <w:marBottom w:val="0"/>
              <w:divBdr>
                <w:top w:val="none" w:sz="0" w:space="0" w:color="auto"/>
                <w:left w:val="none" w:sz="0" w:space="0" w:color="auto"/>
                <w:bottom w:val="none" w:sz="0" w:space="0" w:color="auto"/>
                <w:right w:val="none" w:sz="0" w:space="0" w:color="auto"/>
              </w:divBdr>
              <w:divsChild>
                <w:div w:id="1532497023">
                  <w:marLeft w:val="0"/>
                  <w:marRight w:val="0"/>
                  <w:marTop w:val="0"/>
                  <w:marBottom w:val="0"/>
                  <w:divBdr>
                    <w:top w:val="none" w:sz="0" w:space="0" w:color="auto"/>
                    <w:left w:val="none" w:sz="0" w:space="0" w:color="auto"/>
                    <w:bottom w:val="none" w:sz="0" w:space="0" w:color="auto"/>
                    <w:right w:val="none" w:sz="0" w:space="0" w:color="auto"/>
                  </w:divBdr>
                  <w:divsChild>
                    <w:div w:id="9641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undp.org/evaluation/plans/detail/1296" TargetMode="External"/><Relationship Id="rId5" Type="http://schemas.openxmlformats.org/officeDocument/2006/relationships/webSettings" Target="webSettings.xml"/><Relationship Id="rId10" Type="http://schemas.openxmlformats.org/officeDocument/2006/relationships/hyperlink" Target="https://intranet.undp.org/country/rbas/sd/intra/OSD/SDN_CO_2016_ROAR_Evidences/Forms/AllItems.aspx" TargetMode="External"/><Relationship Id="rId4" Type="http://schemas.openxmlformats.org/officeDocument/2006/relationships/settings" Target="settings.xml"/><Relationship Id="rId9" Type="http://schemas.openxmlformats.org/officeDocument/2006/relationships/hyperlink" Target="https://intranet.undp.org/country/rbas/sd/intra/OSD/Oversight%20and%20Support%20Division%20OSD/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90C7-5A81-476A-ACB2-689321E2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12231</Words>
  <Characters>69718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81786</CharactersWithSpaces>
  <SharedDoc>false</SharedDoc>
  <HLinks>
    <vt:vector size="18" baseType="variant">
      <vt:variant>
        <vt:i4>5439582</vt:i4>
      </vt:variant>
      <vt:variant>
        <vt:i4>6</vt:i4>
      </vt:variant>
      <vt:variant>
        <vt:i4>0</vt:i4>
      </vt:variant>
      <vt:variant>
        <vt:i4>5</vt:i4>
      </vt:variant>
      <vt:variant>
        <vt:lpwstr>https://erc.undp.org/evaluation/plans/detail/1296</vt:lpwstr>
      </vt:variant>
      <vt:variant>
        <vt:lpwstr/>
      </vt:variant>
      <vt:variant>
        <vt:i4>3211303</vt:i4>
      </vt:variant>
      <vt:variant>
        <vt:i4>3</vt:i4>
      </vt:variant>
      <vt:variant>
        <vt:i4>0</vt:i4>
      </vt:variant>
      <vt:variant>
        <vt:i4>5</vt:i4>
      </vt:variant>
      <vt:variant>
        <vt:lpwstr>https://intranet.undp.org/country/rbas/sd/intra/OSD/SDN_CO_2016_ROAR_Evidences/Forms/AllItems.aspx</vt:lpwstr>
      </vt:variant>
      <vt:variant>
        <vt:lpwstr/>
      </vt:variant>
      <vt:variant>
        <vt:i4>7143551</vt:i4>
      </vt:variant>
      <vt:variant>
        <vt:i4>0</vt:i4>
      </vt:variant>
      <vt:variant>
        <vt:i4>0</vt:i4>
      </vt:variant>
      <vt:variant>
        <vt:i4>5</vt:i4>
      </vt:variant>
      <vt:variant>
        <vt:lpwstr>https://intranet.undp.org/country/rbas/sd/intra/OSD/Oversight and Support Division OSD/Forms/AllItems.aspx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Svetlana Iazykova</cp:lastModifiedBy>
  <cp:revision>2</cp:revision>
  <cp:lastPrinted>2008-06-06T08:39:00Z</cp:lastPrinted>
  <dcterms:created xsi:type="dcterms:W3CDTF">2017-05-26T18:05:00Z</dcterms:created>
  <dcterms:modified xsi:type="dcterms:W3CDTF">2017-05-26T18:05:00Z</dcterms:modified>
</cp:coreProperties>
</file>