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5615D" w14:textId="77777777" w:rsidR="005C6168" w:rsidRPr="00517955" w:rsidRDefault="00E25F2F">
      <w:pPr>
        <w:pStyle w:val="Heading3"/>
        <w:jc w:val="left"/>
        <w:rPr>
          <w:rFonts w:asciiTheme="minorHAnsi" w:hAnsiTheme="minorHAnsi"/>
        </w:rPr>
      </w:pPr>
      <w:bookmarkStart w:id="0" w:name="_GoBack"/>
      <w:bookmarkEnd w:id="0"/>
      <w:r>
        <w:rPr>
          <w:rFonts w:asciiTheme="minorHAnsi" w:hAnsiTheme="minorHAnsi"/>
        </w:rPr>
        <w:t>Country:</w:t>
      </w:r>
      <w:r>
        <w:rPr>
          <w:rFonts w:asciiTheme="minorHAnsi" w:hAnsiTheme="minorHAnsi"/>
        </w:rPr>
        <w:tab/>
      </w:r>
      <w:r>
        <w:rPr>
          <w:rFonts w:asciiTheme="minorHAnsi" w:hAnsiTheme="minorHAnsi"/>
        </w:rPr>
        <w:tab/>
        <w:t>HAITI</w:t>
      </w:r>
    </w:p>
    <w:p w14:paraId="42E50A85" w14:textId="77777777" w:rsidR="005C6168" w:rsidRPr="00517955" w:rsidRDefault="005C6168">
      <w:pPr>
        <w:pStyle w:val="Heading3"/>
        <w:rPr>
          <w:rFonts w:asciiTheme="minorHAnsi" w:hAnsiTheme="minorHAnsi"/>
        </w:rPr>
      </w:pPr>
    </w:p>
    <w:p w14:paraId="67D17312" w14:textId="6B6834E5" w:rsidR="005C6168" w:rsidRPr="00517955" w:rsidRDefault="00BC38E0">
      <w:pPr>
        <w:pStyle w:val="Heading3"/>
        <w:rPr>
          <w:rFonts w:asciiTheme="minorHAnsi" w:hAnsiTheme="minorHAnsi"/>
          <w:b/>
          <w:bCs w:val="0"/>
        </w:rPr>
      </w:pPr>
      <w:r w:rsidRPr="00517955">
        <w:rPr>
          <w:rFonts w:asciiTheme="minorHAnsi" w:hAnsiTheme="minorHAnsi"/>
          <w:b/>
          <w:bCs w:val="0"/>
        </w:rPr>
        <w:t>COUNTRY PROGRAMME</w:t>
      </w:r>
      <w:r w:rsidR="00B32ADA">
        <w:rPr>
          <w:rFonts w:asciiTheme="minorHAnsi" w:hAnsiTheme="minorHAnsi"/>
          <w:b/>
          <w:bCs w:val="0"/>
        </w:rPr>
        <w:t xml:space="preserve"> PERFORMANCE SUMMARY</w:t>
      </w:r>
    </w:p>
    <w:p w14:paraId="693862D0" w14:textId="77777777" w:rsidR="005C6168" w:rsidRPr="00517955" w:rsidRDefault="005C6168">
      <w:pPr>
        <w:pStyle w:val="Heading3"/>
        <w:rPr>
          <w:rFonts w:asciiTheme="minorHAnsi" w:hAnsiTheme="minorHAnsi"/>
          <w:b/>
        </w:rPr>
      </w:pPr>
    </w:p>
    <w:p w14:paraId="3333A745" w14:textId="77777777" w:rsidR="005C6168" w:rsidRPr="00517955" w:rsidRDefault="00D9390D" w:rsidP="00D9390D">
      <w:pPr>
        <w:pStyle w:val="Heading3"/>
        <w:jc w:val="left"/>
        <w:rPr>
          <w:rFonts w:asciiTheme="minorHAnsi" w:hAnsiTheme="minorHAnsi"/>
        </w:rPr>
      </w:pPr>
      <w:r>
        <w:rPr>
          <w:rFonts w:asciiTheme="minorHAnsi" w:hAnsiTheme="minorHAnsi"/>
        </w:rPr>
        <w:t xml:space="preserve">Reporting period: </w:t>
      </w:r>
      <w:r>
        <w:rPr>
          <w:rFonts w:asciiTheme="minorHAnsi" w:hAnsiTheme="minorHAnsi"/>
        </w:rPr>
        <w:tab/>
        <w:t>[2013-2016</w:t>
      </w:r>
      <w:r w:rsidR="005C6168" w:rsidRPr="00517955">
        <w:rPr>
          <w:rFonts w:asciiTheme="minorHAnsi" w:hAnsiTheme="minorHAnsi"/>
        </w:rPr>
        <w:t>]</w:t>
      </w:r>
    </w:p>
    <w:p w14:paraId="5FA4D682" w14:textId="77777777" w:rsidR="005C6168" w:rsidRPr="00517955" w:rsidRDefault="005C6168">
      <w:pPr>
        <w:rPr>
          <w:rFonts w:asciiTheme="minorHAnsi" w:hAnsiTheme="minorHAnsi"/>
        </w:rPr>
      </w:pPr>
    </w:p>
    <w:p w14:paraId="51C62E44" w14:textId="77777777" w:rsidR="005C6168" w:rsidRPr="00517955" w:rsidRDefault="005C6168">
      <w:pPr>
        <w:pStyle w:val="Heading3"/>
        <w:rPr>
          <w:rFonts w:asciiTheme="minorHAnsi" w:hAnsiTheme="minorHAnsi"/>
          <w:b/>
          <w:bCs w:val="0"/>
        </w:rPr>
      </w:pPr>
      <w:r w:rsidRPr="00517955">
        <w:rPr>
          <w:rFonts w:asciiTheme="minorHAnsi" w:hAnsiTheme="minorHAnsi"/>
          <w:b/>
          <w:bCs w:val="0"/>
        </w:rPr>
        <w:t xml:space="preserve">I.  </w:t>
      </w:r>
      <w:r w:rsidR="0064746F">
        <w:rPr>
          <w:rFonts w:asciiTheme="minorHAnsi" w:hAnsiTheme="minorHAnsi"/>
          <w:b/>
          <w:bCs w:val="0"/>
        </w:rPr>
        <w:t>EXECUTIVE SUMMARY</w:t>
      </w:r>
      <w:r w:rsidR="00760E32" w:rsidRPr="00517955">
        <w:rPr>
          <w:rFonts w:asciiTheme="minorHAnsi" w:hAnsiTheme="minorHAnsi"/>
          <w:b/>
          <w:bCs w:val="0"/>
        </w:rPr>
        <w:t xml:space="preserve"> (</w:t>
      </w:r>
      <w:r w:rsidR="00990CED" w:rsidRPr="00517955">
        <w:rPr>
          <w:rFonts w:asciiTheme="minorHAnsi" w:hAnsiTheme="minorHAnsi"/>
          <w:b/>
          <w:bCs w:val="0"/>
        </w:rPr>
        <w:t>1/2 page maximum)</w:t>
      </w:r>
    </w:p>
    <w:p w14:paraId="5FCF0FD5" w14:textId="77777777" w:rsidR="005C6168" w:rsidRPr="00517955" w:rsidRDefault="005C6168" w:rsidP="00363EC5">
      <w:pPr>
        <w:pStyle w:val="BodyText"/>
        <w:rPr>
          <w:rFonts w:asciiTheme="minorHAnsi" w:hAnsiTheme="minorHAnsi"/>
        </w:rPr>
      </w:pPr>
    </w:p>
    <w:p w14:paraId="7850CFEB" w14:textId="24B2FEA1" w:rsidR="00717CE1" w:rsidRDefault="00717CE1" w:rsidP="00C005EF">
      <w:pPr>
        <w:pStyle w:val="BodyText2"/>
        <w:jc w:val="both"/>
        <w:rPr>
          <w:rFonts w:ascii="Times New Roman" w:hAnsi="Times New Roman"/>
          <w:color w:val="000000"/>
          <w:sz w:val="22"/>
          <w:lang w:val="fr-FR"/>
        </w:rPr>
      </w:pPr>
      <w:r>
        <w:rPr>
          <w:rFonts w:ascii="Times New Roman" w:hAnsi="Times New Roman"/>
          <w:color w:val="000000"/>
          <w:sz w:val="22"/>
          <w:lang w:val="fr-FR"/>
        </w:rPr>
        <w:t xml:space="preserve">A la veille du nouveau cycle programmatique du PNUD en Haiti, le pays fait encore face au relèvement d’une catastrophe dévastatrice, </w:t>
      </w:r>
      <w:r w:rsidR="00151571">
        <w:rPr>
          <w:rFonts w:ascii="Times New Roman" w:hAnsi="Times New Roman"/>
          <w:color w:val="000000"/>
          <w:sz w:val="22"/>
          <w:lang w:val="fr-FR"/>
        </w:rPr>
        <w:t>le cyclone</w:t>
      </w:r>
      <w:r>
        <w:rPr>
          <w:rFonts w:ascii="Times New Roman" w:hAnsi="Times New Roman"/>
          <w:color w:val="000000"/>
          <w:sz w:val="22"/>
          <w:lang w:val="fr-FR"/>
        </w:rPr>
        <w:t xml:space="preserve"> Matthew. Les leçons apprisses depuis le </w:t>
      </w:r>
      <w:r w:rsidR="000115B5" w:rsidRPr="00A61286">
        <w:rPr>
          <w:rFonts w:ascii="Times New Roman" w:hAnsi="Times New Roman"/>
          <w:color w:val="000000"/>
          <w:sz w:val="22"/>
          <w:lang w:val="fr-FR"/>
        </w:rPr>
        <w:t>séisme de 2010</w:t>
      </w:r>
      <w:r>
        <w:rPr>
          <w:rFonts w:ascii="Times New Roman" w:hAnsi="Times New Roman"/>
          <w:color w:val="000000"/>
          <w:sz w:val="22"/>
          <w:lang w:val="fr-FR"/>
        </w:rPr>
        <w:t xml:space="preserve"> sont mis en évidence dans </w:t>
      </w:r>
      <w:r w:rsidR="00861B21">
        <w:rPr>
          <w:rFonts w:ascii="Times New Roman" w:hAnsi="Times New Roman"/>
          <w:color w:val="000000"/>
          <w:sz w:val="22"/>
          <w:lang w:val="fr-FR"/>
        </w:rPr>
        <w:t xml:space="preserve">les réponses </w:t>
      </w:r>
      <w:r>
        <w:rPr>
          <w:rFonts w:ascii="Times New Roman" w:hAnsi="Times New Roman"/>
          <w:color w:val="000000"/>
          <w:sz w:val="22"/>
          <w:lang w:val="fr-FR"/>
        </w:rPr>
        <w:t>du Gouvernement haïtien, le peuple haïtien, les communautés affectées, la communauté internationale et le PNUD.</w:t>
      </w:r>
      <w:r w:rsidR="00861B21">
        <w:rPr>
          <w:rFonts w:ascii="Times New Roman" w:hAnsi="Times New Roman"/>
          <w:color w:val="000000"/>
          <w:sz w:val="22"/>
          <w:lang w:val="fr-FR"/>
        </w:rPr>
        <w:t xml:space="preserve"> Une semaine avant l’arrivée de Matthew, le Gouvernement, les autorités locales, le PNUD et ses partenaires faisaient le cap sur des cartes multirisques dans la région sud du pays, sans savoir combien cette approche deviendrait critique dans les jours à venir. L’activation des </w:t>
      </w:r>
      <w:r w:rsidR="00861B21" w:rsidRPr="00861B21">
        <w:rPr>
          <w:rFonts w:ascii="Times New Roman" w:hAnsi="Times New Roman"/>
          <w:color w:val="000000"/>
          <w:sz w:val="22"/>
          <w:lang w:val="fr-FR"/>
        </w:rPr>
        <w:t>Centre</w:t>
      </w:r>
      <w:r w:rsidR="00AB50AA">
        <w:rPr>
          <w:rFonts w:ascii="Times New Roman" w:hAnsi="Times New Roman"/>
          <w:color w:val="000000"/>
          <w:sz w:val="22"/>
          <w:lang w:val="fr-FR"/>
        </w:rPr>
        <w:t>s</w:t>
      </w:r>
      <w:r w:rsidR="00861B21" w:rsidRPr="00861B21">
        <w:rPr>
          <w:rFonts w:ascii="Times New Roman" w:hAnsi="Times New Roman"/>
          <w:color w:val="000000"/>
          <w:sz w:val="22"/>
          <w:lang w:val="fr-FR"/>
        </w:rPr>
        <w:t xml:space="preserve"> d'Operations d'Urgence National et Départementales (COUN et COUD), la </w:t>
      </w:r>
      <w:r w:rsidR="00861B21">
        <w:rPr>
          <w:rFonts w:ascii="Times New Roman" w:hAnsi="Times New Roman"/>
          <w:color w:val="000000"/>
          <w:sz w:val="22"/>
          <w:lang w:val="fr-FR"/>
        </w:rPr>
        <w:t>mobilisation des volontaires en appui à la Direction de la Protection Civile pour communiquer sur l’</w:t>
      </w:r>
      <w:r w:rsidR="00AB50AA">
        <w:rPr>
          <w:rFonts w:ascii="Times New Roman" w:hAnsi="Times New Roman"/>
          <w:color w:val="000000"/>
          <w:sz w:val="22"/>
          <w:lang w:val="fr-FR"/>
        </w:rPr>
        <w:t xml:space="preserve">arrivée du cyclone </w:t>
      </w:r>
      <w:r w:rsidR="00861B21">
        <w:rPr>
          <w:rFonts w:ascii="Times New Roman" w:hAnsi="Times New Roman"/>
          <w:color w:val="000000"/>
          <w:sz w:val="22"/>
          <w:lang w:val="fr-FR"/>
        </w:rPr>
        <w:t xml:space="preserve">et les mesures à prendre ont testé l’efficacité des </w:t>
      </w:r>
      <w:r w:rsidR="002E24D1">
        <w:rPr>
          <w:rFonts w:ascii="Times New Roman" w:hAnsi="Times New Roman"/>
          <w:color w:val="000000"/>
          <w:sz w:val="22"/>
          <w:lang w:val="fr-FR"/>
        </w:rPr>
        <w:t>exercices de simulation (</w:t>
      </w:r>
      <w:r w:rsidR="00861B21">
        <w:rPr>
          <w:rFonts w:ascii="Times New Roman" w:hAnsi="Times New Roman"/>
          <w:color w:val="000000"/>
          <w:sz w:val="22"/>
          <w:lang w:val="fr-FR"/>
        </w:rPr>
        <w:t>SIMEX</w:t>
      </w:r>
      <w:r w:rsidR="002E24D1">
        <w:rPr>
          <w:rFonts w:ascii="Times New Roman" w:hAnsi="Times New Roman"/>
          <w:color w:val="000000"/>
          <w:sz w:val="22"/>
          <w:lang w:val="fr-FR"/>
        </w:rPr>
        <w:t>)</w:t>
      </w:r>
      <w:r w:rsidR="00861B21">
        <w:rPr>
          <w:rFonts w:ascii="Times New Roman" w:hAnsi="Times New Roman"/>
          <w:color w:val="000000"/>
          <w:sz w:val="22"/>
          <w:lang w:val="fr-FR"/>
        </w:rPr>
        <w:t xml:space="preserve"> tenues dans les mois et années précédents. Quand en 2010 les activités de relèvement économique ont pris des semaines à démarrées, en 2016 le PNUD </w:t>
      </w:r>
      <w:r w:rsidR="00955FC7">
        <w:rPr>
          <w:rFonts w:ascii="Times New Roman" w:hAnsi="Times New Roman"/>
          <w:color w:val="000000"/>
          <w:sz w:val="22"/>
          <w:lang w:val="fr-FR"/>
        </w:rPr>
        <w:t xml:space="preserve">a mobilisé des activités génératrices de revenue en partenariat avec les autorités locales dix jours après l’évènement. </w:t>
      </w:r>
      <w:r w:rsidR="00861B21">
        <w:rPr>
          <w:rFonts w:ascii="Times New Roman" w:hAnsi="Times New Roman"/>
          <w:color w:val="000000"/>
          <w:sz w:val="22"/>
          <w:lang w:val="fr-FR"/>
        </w:rPr>
        <w:t xml:space="preserve"> </w:t>
      </w:r>
      <w:r w:rsidR="00955FC7">
        <w:rPr>
          <w:rFonts w:ascii="Times New Roman" w:hAnsi="Times New Roman"/>
          <w:color w:val="000000"/>
          <w:sz w:val="22"/>
          <w:lang w:val="fr-FR"/>
        </w:rPr>
        <w:t xml:space="preserve">Ces actions </w:t>
      </w:r>
      <w:r w:rsidR="00151571">
        <w:rPr>
          <w:rFonts w:ascii="Times New Roman" w:hAnsi="Times New Roman"/>
          <w:color w:val="000000"/>
          <w:sz w:val="22"/>
          <w:lang w:val="fr-FR"/>
        </w:rPr>
        <w:t xml:space="preserve">prises </w:t>
      </w:r>
      <w:r w:rsidR="00955FC7">
        <w:rPr>
          <w:rFonts w:ascii="Times New Roman" w:hAnsi="Times New Roman"/>
          <w:color w:val="000000"/>
          <w:sz w:val="22"/>
          <w:lang w:val="fr-FR"/>
        </w:rPr>
        <w:t>par le PNUD ensemble avec ses partenaires font la preuve de</w:t>
      </w:r>
      <w:r w:rsidR="00151571">
        <w:rPr>
          <w:rFonts w:ascii="Times New Roman" w:hAnsi="Times New Roman"/>
          <w:color w:val="000000"/>
          <w:sz w:val="22"/>
          <w:lang w:val="fr-FR"/>
        </w:rPr>
        <w:t xml:space="preserve"> la pertinence et de</w:t>
      </w:r>
      <w:r w:rsidR="00955FC7">
        <w:rPr>
          <w:rFonts w:ascii="Times New Roman" w:hAnsi="Times New Roman"/>
          <w:color w:val="000000"/>
          <w:sz w:val="22"/>
          <w:lang w:val="fr-FR"/>
        </w:rPr>
        <w:t xml:space="preserve"> l’adaptabilité de son approche programmatique</w:t>
      </w:r>
      <w:r w:rsidR="00151571">
        <w:rPr>
          <w:rFonts w:ascii="Times New Roman" w:hAnsi="Times New Roman"/>
          <w:color w:val="000000"/>
          <w:sz w:val="22"/>
          <w:lang w:val="fr-FR"/>
        </w:rPr>
        <w:t xml:space="preserve"> en Haiti. </w:t>
      </w:r>
    </w:p>
    <w:p w14:paraId="56395FC5" w14:textId="77777777" w:rsidR="00717CE1" w:rsidRDefault="00717CE1" w:rsidP="00C005EF">
      <w:pPr>
        <w:pStyle w:val="BodyText2"/>
        <w:jc w:val="both"/>
        <w:rPr>
          <w:rFonts w:ascii="Times New Roman" w:hAnsi="Times New Roman"/>
          <w:color w:val="000000"/>
          <w:sz w:val="22"/>
          <w:lang w:val="fr-FR"/>
        </w:rPr>
      </w:pPr>
    </w:p>
    <w:p w14:paraId="080EE129" w14:textId="574CE91C" w:rsidR="00C005EF" w:rsidRPr="00A61286" w:rsidRDefault="00151571" w:rsidP="00C005EF">
      <w:pPr>
        <w:pStyle w:val="BodyText2"/>
        <w:jc w:val="both"/>
        <w:rPr>
          <w:rFonts w:ascii="Times New Roman" w:hAnsi="Times New Roman"/>
          <w:color w:val="000000"/>
          <w:sz w:val="22"/>
          <w:lang w:val="fr-FR"/>
        </w:rPr>
      </w:pPr>
      <w:r>
        <w:rPr>
          <w:rFonts w:ascii="Times New Roman" w:hAnsi="Times New Roman"/>
          <w:color w:val="000000"/>
          <w:sz w:val="22"/>
          <w:lang w:val="fr-FR"/>
        </w:rPr>
        <w:t>Pendant le cycle 2013</w:t>
      </w:r>
      <w:r w:rsidR="00514BC0">
        <w:rPr>
          <w:rFonts w:ascii="Times New Roman" w:hAnsi="Times New Roman"/>
          <w:color w:val="000000"/>
          <w:sz w:val="22"/>
          <w:lang w:val="fr-FR"/>
        </w:rPr>
        <w:t xml:space="preserve"> - </w:t>
      </w:r>
      <w:r>
        <w:rPr>
          <w:rFonts w:ascii="Times New Roman" w:hAnsi="Times New Roman"/>
          <w:color w:val="000000"/>
          <w:sz w:val="22"/>
          <w:lang w:val="fr-FR"/>
        </w:rPr>
        <w:t xml:space="preserve">2016, </w:t>
      </w:r>
      <w:r w:rsidR="000115B5" w:rsidRPr="00A61286">
        <w:rPr>
          <w:rFonts w:ascii="Times New Roman" w:hAnsi="Times New Roman"/>
          <w:color w:val="000000"/>
          <w:sz w:val="22"/>
          <w:lang w:val="fr-FR"/>
        </w:rPr>
        <w:t xml:space="preserve">le PNUD s’est concentré </w:t>
      </w:r>
      <w:r w:rsidR="00514BC0">
        <w:rPr>
          <w:rFonts w:ascii="Times New Roman" w:hAnsi="Times New Roman"/>
          <w:color w:val="000000"/>
          <w:sz w:val="22"/>
          <w:lang w:val="fr-FR"/>
        </w:rPr>
        <w:t xml:space="preserve">sur une stratégie de développement à moyen et long terme, en consolidant les résultats pendant la période post-séisme, et en mettant un accent </w:t>
      </w:r>
      <w:r w:rsidR="000115B5" w:rsidRPr="00A61286">
        <w:rPr>
          <w:rFonts w:ascii="Times New Roman" w:hAnsi="Times New Roman"/>
          <w:color w:val="000000"/>
          <w:sz w:val="22"/>
          <w:lang w:val="fr-FR"/>
        </w:rPr>
        <w:t xml:space="preserve">sur </w:t>
      </w:r>
      <w:r w:rsidR="008A5586" w:rsidRPr="00A61286">
        <w:rPr>
          <w:rFonts w:ascii="Times New Roman" w:hAnsi="Times New Roman"/>
          <w:color w:val="000000"/>
          <w:sz w:val="22"/>
          <w:lang w:val="fr-FR"/>
        </w:rPr>
        <w:t xml:space="preserve">la création d’emplois, la promotion du relèvement, et le </w:t>
      </w:r>
      <w:r w:rsidR="000115B5" w:rsidRPr="00A61286">
        <w:rPr>
          <w:rFonts w:ascii="Times New Roman" w:hAnsi="Times New Roman"/>
          <w:color w:val="000000"/>
          <w:sz w:val="22"/>
          <w:lang w:val="fr-FR"/>
        </w:rPr>
        <w:t>rétablissement des fonctions essentielles de l’Etat.</w:t>
      </w:r>
      <w:r w:rsidR="00514BC0">
        <w:rPr>
          <w:rFonts w:ascii="Times New Roman" w:hAnsi="Times New Roman"/>
          <w:color w:val="000000"/>
          <w:sz w:val="22"/>
          <w:lang w:val="fr-FR"/>
        </w:rPr>
        <w:t xml:space="preserve"> G</w:t>
      </w:r>
      <w:r w:rsidR="000115B5" w:rsidRPr="00A61286">
        <w:rPr>
          <w:rFonts w:ascii="Times New Roman" w:hAnsi="Times New Roman"/>
          <w:color w:val="000000"/>
          <w:sz w:val="22"/>
          <w:lang w:val="fr-FR"/>
        </w:rPr>
        <w:t xml:space="preserve">râce au PNUD, </w:t>
      </w:r>
      <w:r w:rsidR="00D53CC9">
        <w:rPr>
          <w:rFonts w:ascii="Times New Roman" w:hAnsi="Times New Roman"/>
          <w:color w:val="000000"/>
          <w:sz w:val="22"/>
          <w:lang w:val="fr-FR"/>
        </w:rPr>
        <w:t xml:space="preserve">les plus affectés par le séisme </w:t>
      </w:r>
      <w:r w:rsidR="000115B5" w:rsidRPr="00A61286">
        <w:rPr>
          <w:rFonts w:ascii="Times New Roman" w:hAnsi="Times New Roman"/>
          <w:color w:val="000000"/>
          <w:sz w:val="22"/>
          <w:lang w:val="fr-FR"/>
        </w:rPr>
        <w:t>ont eu accès à un habitat décent et sûr</w:t>
      </w:r>
      <w:r w:rsidR="00D53CC9">
        <w:rPr>
          <w:rFonts w:ascii="Times New Roman" w:hAnsi="Times New Roman"/>
          <w:color w:val="000000"/>
          <w:sz w:val="22"/>
          <w:lang w:val="fr-FR"/>
        </w:rPr>
        <w:t xml:space="preserve"> et des mesures ont été prises pour institutionnalisation de la </w:t>
      </w:r>
      <w:r w:rsidR="000115B5" w:rsidRPr="00A61286">
        <w:rPr>
          <w:rFonts w:ascii="Times New Roman" w:hAnsi="Times New Roman"/>
          <w:color w:val="000000"/>
          <w:sz w:val="22"/>
          <w:lang w:val="fr-FR"/>
        </w:rPr>
        <w:t>première Politique nationale du logement et de l’habitat.</w:t>
      </w:r>
      <w:r w:rsidR="00FC45FD">
        <w:rPr>
          <w:rFonts w:ascii="Times New Roman" w:hAnsi="Times New Roman"/>
          <w:color w:val="000000"/>
          <w:sz w:val="22"/>
          <w:lang w:val="fr-FR"/>
        </w:rPr>
        <w:t xml:space="preserve"> A travers le projet 16/6, mis en œuvre avec l’appui du PNUD, </w:t>
      </w:r>
      <w:r w:rsidR="00C005EF" w:rsidRPr="00FC45FD">
        <w:rPr>
          <w:rFonts w:ascii="Times New Roman" w:hAnsi="Times New Roman"/>
          <w:color w:val="000000"/>
          <w:sz w:val="22"/>
          <w:lang w:val="fr-FR"/>
        </w:rPr>
        <w:t xml:space="preserve">l’UCLBP a </w:t>
      </w:r>
      <w:r w:rsidR="00FC45FD" w:rsidRPr="00FC45FD">
        <w:rPr>
          <w:rFonts w:ascii="Times New Roman" w:hAnsi="Times New Roman"/>
          <w:color w:val="000000"/>
          <w:sz w:val="22"/>
          <w:lang w:val="fr-FR"/>
        </w:rPr>
        <w:t xml:space="preserve">renforcé </w:t>
      </w:r>
      <w:r w:rsidR="00C005EF" w:rsidRPr="00FC45FD">
        <w:rPr>
          <w:rFonts w:ascii="Times New Roman" w:hAnsi="Times New Roman"/>
          <w:color w:val="000000"/>
          <w:sz w:val="22"/>
          <w:lang w:val="fr-FR"/>
        </w:rPr>
        <w:t>ca</w:t>
      </w:r>
      <w:r w:rsidR="00FC45FD" w:rsidRPr="00FC45FD">
        <w:rPr>
          <w:rFonts w:ascii="Times New Roman" w:hAnsi="Times New Roman"/>
          <w:color w:val="000000"/>
          <w:sz w:val="22"/>
          <w:lang w:val="fr-FR"/>
        </w:rPr>
        <w:t>pacités et aujourd’hui c’est l’i</w:t>
      </w:r>
      <w:r w:rsidR="00C005EF" w:rsidRPr="00FC45FD">
        <w:rPr>
          <w:rFonts w:ascii="Times New Roman" w:hAnsi="Times New Roman"/>
          <w:color w:val="000000"/>
          <w:sz w:val="22"/>
          <w:lang w:val="fr-FR"/>
        </w:rPr>
        <w:t xml:space="preserve">nstitution de </w:t>
      </w:r>
      <w:r w:rsidR="00FC45FD" w:rsidRPr="00FC45FD">
        <w:rPr>
          <w:rFonts w:ascii="Times New Roman" w:hAnsi="Times New Roman"/>
          <w:color w:val="000000"/>
          <w:sz w:val="22"/>
          <w:lang w:val="fr-FR"/>
        </w:rPr>
        <w:t>référence</w:t>
      </w:r>
      <w:r w:rsidR="00C005EF" w:rsidRPr="00FC45FD">
        <w:rPr>
          <w:rFonts w:ascii="Times New Roman" w:hAnsi="Times New Roman"/>
          <w:color w:val="000000"/>
          <w:sz w:val="22"/>
          <w:lang w:val="fr-FR"/>
        </w:rPr>
        <w:t xml:space="preserve"> pour la reconstruction des bâtiments publiques dans le Pays mais aussi une référence pour combler le gap de logemen</w:t>
      </w:r>
      <w:r w:rsidR="008C3258">
        <w:rPr>
          <w:rFonts w:ascii="Times New Roman" w:hAnsi="Times New Roman"/>
          <w:color w:val="000000"/>
          <w:sz w:val="22"/>
          <w:lang w:val="fr-FR"/>
        </w:rPr>
        <w:t>t dans le p</w:t>
      </w:r>
      <w:r w:rsidR="00C005EF" w:rsidRPr="00FC45FD">
        <w:rPr>
          <w:rFonts w:ascii="Times New Roman" w:hAnsi="Times New Roman"/>
          <w:color w:val="000000"/>
          <w:sz w:val="22"/>
          <w:lang w:val="fr-FR"/>
        </w:rPr>
        <w:t>ays.</w:t>
      </w:r>
      <w:r w:rsidR="00D53CC9">
        <w:rPr>
          <w:rFonts w:ascii="Times New Roman" w:hAnsi="Times New Roman"/>
          <w:color w:val="000000"/>
          <w:sz w:val="22"/>
          <w:lang w:val="fr-FR"/>
        </w:rPr>
        <w:t xml:space="preserve"> Cette même approche est en application dans les zones récemment affectées par Matthew, une capitalisation des expertises nationales et locales pour un relèvement favorisant le développement durable.</w:t>
      </w:r>
      <w:r w:rsidR="00683B92">
        <w:rPr>
          <w:rFonts w:ascii="Times New Roman" w:hAnsi="Times New Roman"/>
          <w:color w:val="000000"/>
          <w:sz w:val="22"/>
          <w:lang w:val="fr-FR"/>
        </w:rPr>
        <w:t xml:space="preserve"> Pendant le cycle, le PNUD est parti d’une approche de création d’emplois (temporaires </w:t>
      </w:r>
      <w:r w:rsidR="00683B92" w:rsidRPr="00A61286">
        <w:rPr>
          <w:rFonts w:ascii="Times New Roman" w:hAnsi="Times New Roman"/>
          <w:color w:val="000000"/>
          <w:sz w:val="22"/>
          <w:lang w:val="fr-FR"/>
        </w:rPr>
        <w:t>et permanents</w:t>
      </w:r>
      <w:r w:rsidR="00683B92">
        <w:rPr>
          <w:rFonts w:ascii="Times New Roman" w:hAnsi="Times New Roman"/>
          <w:color w:val="000000"/>
          <w:sz w:val="22"/>
          <w:lang w:val="fr-FR"/>
        </w:rPr>
        <w:t xml:space="preserve">), vers le </w:t>
      </w:r>
      <w:r w:rsidR="00683B92" w:rsidRPr="00A61286">
        <w:rPr>
          <w:rFonts w:ascii="Times New Roman" w:hAnsi="Times New Roman"/>
          <w:color w:val="000000"/>
          <w:sz w:val="22"/>
          <w:lang w:val="fr-FR"/>
        </w:rPr>
        <w:t>renforcement de</w:t>
      </w:r>
      <w:r w:rsidR="00683B92">
        <w:rPr>
          <w:rFonts w:ascii="Times New Roman" w:hAnsi="Times New Roman"/>
          <w:color w:val="000000"/>
          <w:sz w:val="22"/>
          <w:lang w:val="fr-FR"/>
        </w:rPr>
        <w:t>s</w:t>
      </w:r>
      <w:r w:rsidR="00683B92" w:rsidRPr="00A61286">
        <w:rPr>
          <w:rFonts w:ascii="Times New Roman" w:hAnsi="Times New Roman"/>
          <w:color w:val="000000"/>
          <w:sz w:val="22"/>
          <w:lang w:val="fr-FR"/>
        </w:rPr>
        <w:t xml:space="preserve"> chaînes de valeurs</w:t>
      </w:r>
      <w:r w:rsidR="00683B92">
        <w:rPr>
          <w:rFonts w:ascii="Times New Roman" w:hAnsi="Times New Roman"/>
          <w:color w:val="000000"/>
          <w:sz w:val="22"/>
          <w:lang w:val="fr-FR"/>
        </w:rPr>
        <w:t xml:space="preserve"> et les </w:t>
      </w:r>
      <w:r w:rsidR="00FF58D4">
        <w:rPr>
          <w:rFonts w:ascii="Times New Roman" w:hAnsi="Times New Roman"/>
          <w:color w:val="000000"/>
          <w:sz w:val="22"/>
          <w:lang w:val="fr-FR"/>
        </w:rPr>
        <w:t xml:space="preserve">petites et moyennes </w:t>
      </w:r>
      <w:r w:rsidR="00FF58D4" w:rsidRPr="00A61286">
        <w:rPr>
          <w:rFonts w:ascii="Times New Roman" w:hAnsi="Times New Roman"/>
          <w:color w:val="000000"/>
          <w:sz w:val="22"/>
          <w:lang w:val="fr-FR"/>
        </w:rPr>
        <w:t>entrepris</w:t>
      </w:r>
      <w:r w:rsidR="00FF58D4">
        <w:rPr>
          <w:rFonts w:ascii="Times New Roman" w:hAnsi="Times New Roman"/>
          <w:color w:val="000000"/>
          <w:sz w:val="22"/>
          <w:lang w:val="fr-FR"/>
        </w:rPr>
        <w:t>es</w:t>
      </w:r>
      <w:r w:rsidR="00683B92" w:rsidRPr="00A61286">
        <w:rPr>
          <w:rFonts w:ascii="Times New Roman" w:hAnsi="Times New Roman"/>
          <w:color w:val="000000"/>
          <w:sz w:val="22"/>
          <w:lang w:val="fr-FR"/>
        </w:rPr>
        <w:t xml:space="preserve">. </w:t>
      </w:r>
    </w:p>
    <w:p w14:paraId="07781A83" w14:textId="77777777" w:rsidR="00C005EF" w:rsidRDefault="00C005EF" w:rsidP="000115B5">
      <w:pPr>
        <w:pStyle w:val="BodyText2"/>
        <w:jc w:val="both"/>
        <w:rPr>
          <w:rFonts w:ascii="Times New Roman" w:hAnsi="Times New Roman"/>
          <w:color w:val="000000"/>
          <w:sz w:val="22"/>
          <w:lang w:val="fr-FR"/>
        </w:rPr>
      </w:pPr>
    </w:p>
    <w:p w14:paraId="259F3C7E" w14:textId="77FAA6E0" w:rsidR="000115B5" w:rsidRDefault="0017188F" w:rsidP="000115B5">
      <w:pPr>
        <w:pStyle w:val="BodyText2"/>
        <w:jc w:val="both"/>
        <w:rPr>
          <w:rFonts w:ascii="Times New Roman" w:hAnsi="Times New Roman"/>
          <w:color w:val="000000"/>
          <w:sz w:val="22"/>
          <w:lang w:val="fr-FR"/>
        </w:rPr>
      </w:pPr>
      <w:r>
        <w:rPr>
          <w:rFonts w:ascii="Times New Roman" w:hAnsi="Times New Roman"/>
          <w:color w:val="000000"/>
          <w:sz w:val="22"/>
          <w:lang w:val="fr-FR"/>
        </w:rPr>
        <w:t xml:space="preserve">Dans le cadre de la prévention des risques et des désastres, </w:t>
      </w:r>
      <w:r w:rsidR="00683B92">
        <w:rPr>
          <w:rFonts w:ascii="Times New Roman" w:hAnsi="Times New Roman"/>
          <w:color w:val="000000"/>
          <w:sz w:val="22"/>
          <w:lang w:val="fr-FR"/>
        </w:rPr>
        <w:t xml:space="preserve">il y a eu un fort accent sur la formation technique </w:t>
      </w:r>
      <w:r w:rsidR="000115B5" w:rsidRPr="00A61286">
        <w:rPr>
          <w:rFonts w:ascii="Times New Roman" w:hAnsi="Times New Roman"/>
          <w:color w:val="000000"/>
          <w:sz w:val="22"/>
          <w:lang w:val="fr-FR"/>
        </w:rPr>
        <w:t xml:space="preserve">à la construction parasismique, </w:t>
      </w:r>
      <w:r w:rsidR="00683B92">
        <w:rPr>
          <w:rFonts w:ascii="Times New Roman" w:hAnsi="Times New Roman"/>
          <w:color w:val="000000"/>
          <w:sz w:val="22"/>
          <w:lang w:val="fr-FR"/>
        </w:rPr>
        <w:t xml:space="preserve">la dotation des institutions concernées des </w:t>
      </w:r>
      <w:r w:rsidR="000115B5" w:rsidRPr="00A61286">
        <w:rPr>
          <w:rFonts w:ascii="Times New Roman" w:hAnsi="Times New Roman"/>
          <w:color w:val="000000"/>
          <w:sz w:val="22"/>
          <w:lang w:val="fr-FR"/>
        </w:rPr>
        <w:t xml:space="preserve">cartes </w:t>
      </w:r>
      <w:r w:rsidR="00F71C0C">
        <w:rPr>
          <w:rFonts w:ascii="Times New Roman" w:hAnsi="Times New Roman"/>
          <w:color w:val="000000"/>
          <w:sz w:val="22"/>
          <w:lang w:val="fr-FR"/>
        </w:rPr>
        <w:t xml:space="preserve">multirisques et </w:t>
      </w:r>
      <w:r w:rsidR="00683B92">
        <w:rPr>
          <w:rFonts w:ascii="Times New Roman" w:hAnsi="Times New Roman"/>
          <w:color w:val="000000"/>
          <w:sz w:val="22"/>
          <w:lang w:val="fr-FR"/>
        </w:rPr>
        <w:t xml:space="preserve">des </w:t>
      </w:r>
      <w:r w:rsidR="00F71C0C">
        <w:rPr>
          <w:rFonts w:ascii="Times New Roman" w:hAnsi="Times New Roman"/>
          <w:color w:val="000000"/>
          <w:sz w:val="22"/>
          <w:lang w:val="fr-FR"/>
        </w:rPr>
        <w:t>Plans de Prévention et de Réduction des Risques Naturels (PPRRN)</w:t>
      </w:r>
      <w:r w:rsidR="00683B92">
        <w:rPr>
          <w:rFonts w:ascii="Times New Roman" w:hAnsi="Times New Roman"/>
          <w:color w:val="000000"/>
          <w:sz w:val="22"/>
          <w:lang w:val="fr-FR"/>
        </w:rPr>
        <w:t xml:space="preserve">, accompagnés par </w:t>
      </w:r>
      <w:r w:rsidR="000115B5" w:rsidRPr="00A61286">
        <w:rPr>
          <w:rFonts w:ascii="Times New Roman" w:hAnsi="Times New Roman"/>
          <w:color w:val="000000"/>
          <w:sz w:val="22"/>
          <w:lang w:val="fr-FR"/>
        </w:rPr>
        <w:t xml:space="preserve">un guide méthodologique sur la réduction des </w:t>
      </w:r>
      <w:r w:rsidR="00311553">
        <w:rPr>
          <w:rFonts w:ascii="Times New Roman" w:hAnsi="Times New Roman"/>
          <w:color w:val="000000"/>
          <w:sz w:val="22"/>
          <w:lang w:val="fr-FR"/>
        </w:rPr>
        <w:t>r</w:t>
      </w:r>
      <w:r w:rsidR="000115B5" w:rsidRPr="00A61286">
        <w:rPr>
          <w:rFonts w:ascii="Times New Roman" w:hAnsi="Times New Roman"/>
          <w:color w:val="000000"/>
          <w:sz w:val="22"/>
          <w:lang w:val="fr-FR"/>
        </w:rPr>
        <w:t>isques urbains</w:t>
      </w:r>
      <w:r w:rsidR="00683B92">
        <w:rPr>
          <w:rFonts w:ascii="Times New Roman" w:hAnsi="Times New Roman"/>
          <w:color w:val="000000"/>
          <w:sz w:val="22"/>
          <w:lang w:val="fr-FR"/>
        </w:rPr>
        <w:t xml:space="preserve">. Comme paquet, le pays est doté avec </w:t>
      </w:r>
      <w:r w:rsidR="000115B5" w:rsidRPr="00A61286">
        <w:rPr>
          <w:rFonts w:ascii="Times New Roman" w:hAnsi="Times New Roman"/>
          <w:color w:val="000000"/>
          <w:sz w:val="22"/>
          <w:lang w:val="fr-FR"/>
        </w:rPr>
        <w:t>un référentiel national pour la planification urbaine et l’aménagement du territoire.</w:t>
      </w:r>
      <w:r w:rsidR="00F71C0C">
        <w:rPr>
          <w:rFonts w:ascii="Times New Roman" w:hAnsi="Times New Roman"/>
          <w:color w:val="000000"/>
          <w:sz w:val="22"/>
          <w:lang w:val="fr-FR"/>
        </w:rPr>
        <w:t xml:space="preserve"> </w:t>
      </w:r>
      <w:r w:rsidR="00683B92">
        <w:rPr>
          <w:rFonts w:ascii="Times New Roman" w:hAnsi="Times New Roman"/>
          <w:color w:val="000000"/>
          <w:sz w:val="22"/>
          <w:lang w:val="fr-FR"/>
        </w:rPr>
        <w:t xml:space="preserve">Les travaux de réhabilitation </w:t>
      </w:r>
      <w:r w:rsidR="000115B5" w:rsidRPr="00A61286">
        <w:rPr>
          <w:rFonts w:ascii="Times New Roman" w:hAnsi="Times New Roman"/>
          <w:color w:val="000000"/>
          <w:sz w:val="22"/>
          <w:lang w:val="fr-FR"/>
        </w:rPr>
        <w:t>des bassins versants</w:t>
      </w:r>
      <w:r w:rsidR="00683B92">
        <w:rPr>
          <w:rFonts w:ascii="Times New Roman" w:hAnsi="Times New Roman"/>
          <w:color w:val="000000"/>
          <w:sz w:val="22"/>
          <w:lang w:val="fr-FR"/>
        </w:rPr>
        <w:t xml:space="preserve"> ont contribués</w:t>
      </w:r>
      <w:r w:rsidR="000115B5" w:rsidRPr="00A61286">
        <w:rPr>
          <w:rFonts w:ascii="Times New Roman" w:hAnsi="Times New Roman"/>
          <w:color w:val="000000"/>
          <w:sz w:val="22"/>
          <w:lang w:val="fr-FR"/>
        </w:rPr>
        <w:t xml:space="preserve"> à réduire la vulnérabilité environnementale et à développer le potentiel écologique d’Haïti.  </w:t>
      </w:r>
    </w:p>
    <w:p w14:paraId="1BFEB03B" w14:textId="416BF232" w:rsidR="00C005EF" w:rsidRDefault="00C005EF" w:rsidP="000115B5">
      <w:pPr>
        <w:pStyle w:val="BodyText2"/>
        <w:jc w:val="both"/>
        <w:rPr>
          <w:rFonts w:ascii="Times New Roman" w:hAnsi="Times New Roman"/>
          <w:color w:val="000000"/>
          <w:sz w:val="22"/>
          <w:lang w:val="fr-FR"/>
        </w:rPr>
      </w:pPr>
    </w:p>
    <w:p w14:paraId="03CE9C9D" w14:textId="645F061C" w:rsidR="000115B5" w:rsidRPr="00A61286" w:rsidRDefault="000115B5" w:rsidP="000115B5">
      <w:pPr>
        <w:pStyle w:val="BodyText2"/>
        <w:jc w:val="both"/>
        <w:rPr>
          <w:rFonts w:ascii="Times New Roman" w:hAnsi="Times New Roman"/>
          <w:color w:val="000000"/>
          <w:sz w:val="22"/>
          <w:lang w:val="fr-FR"/>
        </w:rPr>
      </w:pPr>
      <w:r w:rsidRPr="00A61286">
        <w:rPr>
          <w:rFonts w:ascii="Times New Roman" w:hAnsi="Times New Roman"/>
          <w:color w:val="000000"/>
          <w:sz w:val="22"/>
          <w:lang w:val="fr-FR"/>
        </w:rPr>
        <w:t xml:space="preserve">L’appui à la réforme administrative a permis d’avancer vers une gestion du service public plus rationnelle, transparente et équitable pour les femmes, préalable indispensable à une plus grande efficacité de l’Etat dans la fourniture de services de base. Le diagnostic institutionnel lancé à la demande de la Cour supérieure des comptes et du contentieux administratif a débouché sur une feuille de route nationale sur </w:t>
      </w:r>
      <w:r w:rsidR="003F03B5">
        <w:rPr>
          <w:rFonts w:ascii="Times New Roman" w:hAnsi="Times New Roman"/>
          <w:color w:val="000000"/>
          <w:sz w:val="22"/>
          <w:lang w:val="fr-FR"/>
        </w:rPr>
        <w:t>les prochaines neuf années</w:t>
      </w:r>
      <w:r w:rsidRPr="00A61286">
        <w:rPr>
          <w:rFonts w:ascii="Times New Roman" w:hAnsi="Times New Roman"/>
          <w:color w:val="000000"/>
          <w:sz w:val="22"/>
          <w:lang w:val="fr-FR"/>
        </w:rPr>
        <w:t xml:space="preserve">. Le PNUD a contribué à une meilleure planification et gestion du développement à travers l’élaboration du premier rapport sur les Objectifs du millénaire pour le développement, publié en 2014, et la mise en place du Module de gestion de l’aide externe. </w:t>
      </w:r>
    </w:p>
    <w:p w14:paraId="285AF041" w14:textId="77777777" w:rsidR="000115B5" w:rsidRPr="00A61286" w:rsidRDefault="000115B5" w:rsidP="000115B5">
      <w:pPr>
        <w:pStyle w:val="BodyText2"/>
        <w:jc w:val="both"/>
        <w:rPr>
          <w:rFonts w:ascii="Times New Roman" w:hAnsi="Times New Roman"/>
          <w:color w:val="000000"/>
          <w:sz w:val="22"/>
          <w:lang w:val="fr-FR"/>
        </w:rPr>
      </w:pPr>
    </w:p>
    <w:p w14:paraId="43BFB073" w14:textId="49F5DF5D" w:rsidR="000115B5" w:rsidRDefault="000115B5" w:rsidP="000115B5">
      <w:pPr>
        <w:pStyle w:val="BodyText2"/>
        <w:jc w:val="both"/>
        <w:rPr>
          <w:rFonts w:ascii="Times New Roman" w:hAnsi="Times New Roman"/>
          <w:color w:val="000000"/>
          <w:sz w:val="22"/>
          <w:lang w:val="fr-FR"/>
        </w:rPr>
      </w:pPr>
      <w:r w:rsidRPr="00A61286">
        <w:rPr>
          <w:rFonts w:ascii="Times New Roman" w:hAnsi="Times New Roman"/>
          <w:color w:val="000000"/>
          <w:sz w:val="22"/>
          <w:lang w:val="fr-FR"/>
        </w:rPr>
        <w:lastRenderedPageBreak/>
        <w:t xml:space="preserve">Plusieurs enseignements ont été tirés dont la nécessité d’intégrer pleinement la vulnérabilité environnementale et la prévention des catastrophes dans les programmes et les projets, et d’investir dans les capacités de gestion et de coordination du Gouvernement. L’évaluation du projet de réduction de la vulnérabilité des populations dans le Département du Sud a montré que l’implication directe des autorités locales dans la prise de décisions et l’exécution permet de mieux répondre aux besoins de la population. L’évaluation du programme de relèvement a recommandé l’introduction systématique de quotas pour la participation des femmes dans les interventions afin de favoriser un changement d’attitude vis-à-vis de celles-ci.  </w:t>
      </w:r>
    </w:p>
    <w:p w14:paraId="7886C8A6" w14:textId="2B4D5B5E" w:rsidR="00260CB9" w:rsidRDefault="00260CB9" w:rsidP="00325DFF">
      <w:pPr>
        <w:pStyle w:val="BodyText2"/>
        <w:jc w:val="both"/>
        <w:rPr>
          <w:rFonts w:ascii="Times New Roman" w:hAnsi="Times New Roman"/>
          <w:color w:val="000000"/>
          <w:sz w:val="22"/>
          <w:lang w:val="fr-FR"/>
        </w:rPr>
      </w:pPr>
    </w:p>
    <w:p w14:paraId="0D1F1623" w14:textId="626639F5" w:rsidR="00325DFF" w:rsidRPr="00325DFF" w:rsidRDefault="00260CB9" w:rsidP="00325DFF">
      <w:pPr>
        <w:pStyle w:val="HTMLPreformatted"/>
        <w:jc w:val="both"/>
        <w:rPr>
          <w:rFonts w:ascii="Times New Roman" w:hAnsi="Times New Roman"/>
          <w:color w:val="000000"/>
          <w:sz w:val="22"/>
          <w:lang w:val="fr-FR"/>
        </w:rPr>
      </w:pPr>
      <w:r>
        <w:rPr>
          <w:rFonts w:ascii="Times New Roman" w:hAnsi="Times New Roman"/>
          <w:color w:val="000000"/>
          <w:sz w:val="22"/>
          <w:lang w:val="fr-FR"/>
        </w:rPr>
        <w:t xml:space="preserve">La stratégie programmatique pour la réponse au cyclone Matthew s’appuie sur deux axes d’intervention : </w:t>
      </w:r>
      <w:r w:rsidR="00325DFF">
        <w:rPr>
          <w:rFonts w:ascii="Times New Roman" w:hAnsi="Times New Roman"/>
          <w:color w:val="000000"/>
          <w:sz w:val="22"/>
          <w:lang w:val="fr-FR"/>
        </w:rPr>
        <w:t xml:space="preserve">le renforcement des </w:t>
      </w:r>
      <w:r w:rsidR="00325DFF" w:rsidRPr="00325DFF">
        <w:rPr>
          <w:rFonts w:ascii="Times New Roman" w:hAnsi="Times New Roman"/>
          <w:color w:val="000000"/>
          <w:sz w:val="22"/>
          <w:lang w:val="fr-FR"/>
        </w:rPr>
        <w:t>capacités nationales et locales pour la planification, la gestion, le suivi et l'évaluation des efforts de post-récupération Matthew (Gouvernance</w:t>
      </w:r>
      <w:r w:rsidR="00EA59AC">
        <w:rPr>
          <w:rFonts w:ascii="Times New Roman" w:hAnsi="Times New Roman"/>
          <w:color w:val="000000"/>
          <w:sz w:val="22"/>
          <w:lang w:val="fr-FR"/>
        </w:rPr>
        <w:t>)</w:t>
      </w:r>
      <w:r w:rsidR="00325DFF" w:rsidRPr="00325DFF">
        <w:rPr>
          <w:rFonts w:ascii="Times New Roman" w:hAnsi="Times New Roman"/>
          <w:color w:val="000000"/>
          <w:sz w:val="22"/>
          <w:lang w:val="fr-FR"/>
        </w:rPr>
        <w:t>, et la restauration des capacités et des moyens d'existence des pour la reprise économique résilient des communautés affectées (</w:t>
      </w:r>
      <w:r w:rsidR="00EA59AC">
        <w:rPr>
          <w:rFonts w:ascii="Times New Roman" w:hAnsi="Times New Roman"/>
          <w:color w:val="000000"/>
          <w:sz w:val="22"/>
          <w:lang w:val="fr-FR"/>
        </w:rPr>
        <w:t>Moyens de subsistance</w:t>
      </w:r>
      <w:r w:rsidR="00325DFF" w:rsidRPr="00325DFF">
        <w:rPr>
          <w:rFonts w:ascii="Times New Roman" w:hAnsi="Times New Roman"/>
          <w:color w:val="000000"/>
          <w:sz w:val="22"/>
          <w:lang w:val="fr-FR"/>
        </w:rPr>
        <w:t>)</w:t>
      </w:r>
      <w:r w:rsidR="00325DFF">
        <w:rPr>
          <w:rFonts w:ascii="Times New Roman" w:hAnsi="Times New Roman"/>
          <w:color w:val="000000"/>
          <w:sz w:val="22"/>
          <w:lang w:val="fr-FR"/>
        </w:rPr>
        <w:t xml:space="preserve"> crée un pont entre le programme pays de 2013 à 2016 et le nouveau cadre programmatique du PNUD pour 2017 à 2021. </w:t>
      </w:r>
    </w:p>
    <w:p w14:paraId="2BE10684" w14:textId="77777777" w:rsidR="000115B5" w:rsidRPr="00325DFF" w:rsidRDefault="000115B5" w:rsidP="000115B5">
      <w:pPr>
        <w:pStyle w:val="BodyText2"/>
        <w:jc w:val="both"/>
        <w:rPr>
          <w:rFonts w:ascii="Times New Roman" w:hAnsi="Times New Roman"/>
          <w:color w:val="000000"/>
          <w:sz w:val="22"/>
          <w:lang w:val="fr-FR"/>
        </w:rPr>
      </w:pPr>
    </w:p>
    <w:p w14:paraId="72C3CE84" w14:textId="2E9EA26A" w:rsidR="0037523B" w:rsidRDefault="000115B5" w:rsidP="00685360">
      <w:pPr>
        <w:pStyle w:val="BodyText2"/>
        <w:jc w:val="both"/>
        <w:rPr>
          <w:rFonts w:ascii="Times New Roman" w:hAnsi="Times New Roman"/>
          <w:color w:val="000000"/>
          <w:sz w:val="22"/>
          <w:lang w:val="fr-FR"/>
        </w:rPr>
      </w:pPr>
      <w:r w:rsidRPr="00A61286">
        <w:rPr>
          <w:rFonts w:ascii="Times New Roman" w:hAnsi="Times New Roman"/>
          <w:color w:val="000000"/>
          <w:sz w:val="22"/>
          <w:lang w:val="fr-FR"/>
        </w:rPr>
        <w:t xml:space="preserve">Il ressort que les avantages comparatifs du PNUD résident dans </w:t>
      </w:r>
      <w:r w:rsidR="00D53CC9">
        <w:rPr>
          <w:rFonts w:ascii="Times New Roman" w:hAnsi="Times New Roman"/>
          <w:color w:val="000000"/>
          <w:sz w:val="22"/>
          <w:lang w:val="fr-FR"/>
        </w:rPr>
        <w:t xml:space="preserve">sa flexibilité, son appui stratégique et continue aux institutions nationales, la transversalisation </w:t>
      </w:r>
      <w:r w:rsidR="00685360">
        <w:rPr>
          <w:rFonts w:ascii="Times New Roman" w:hAnsi="Times New Roman"/>
          <w:color w:val="000000"/>
          <w:sz w:val="22"/>
          <w:lang w:val="fr-FR"/>
        </w:rPr>
        <w:t>des approches participatives, sensibles</w:t>
      </w:r>
      <w:r w:rsidR="00D53CC9">
        <w:rPr>
          <w:rFonts w:ascii="Times New Roman" w:hAnsi="Times New Roman"/>
          <w:color w:val="000000"/>
          <w:sz w:val="22"/>
          <w:lang w:val="fr-FR"/>
        </w:rPr>
        <w:t xml:space="preserve"> au genre, </w:t>
      </w:r>
      <w:r w:rsidR="00685360">
        <w:rPr>
          <w:rFonts w:ascii="Times New Roman" w:hAnsi="Times New Roman"/>
          <w:color w:val="000000"/>
          <w:sz w:val="22"/>
          <w:lang w:val="fr-FR"/>
        </w:rPr>
        <w:t xml:space="preserve">et à la </w:t>
      </w:r>
      <w:r w:rsidR="00D53CC9">
        <w:rPr>
          <w:rFonts w:ascii="Times New Roman" w:hAnsi="Times New Roman"/>
          <w:color w:val="000000"/>
          <w:sz w:val="22"/>
          <w:lang w:val="fr-FR"/>
        </w:rPr>
        <w:t>vulnérabilité environnementale</w:t>
      </w:r>
      <w:r w:rsidR="00685360">
        <w:rPr>
          <w:rFonts w:ascii="Times New Roman" w:hAnsi="Times New Roman"/>
          <w:color w:val="000000"/>
          <w:sz w:val="22"/>
          <w:lang w:val="fr-FR"/>
        </w:rPr>
        <w:t xml:space="preserve">. La </w:t>
      </w:r>
      <w:r w:rsidRPr="00A61286">
        <w:rPr>
          <w:rFonts w:ascii="Times New Roman" w:hAnsi="Times New Roman"/>
          <w:color w:val="000000"/>
          <w:sz w:val="22"/>
          <w:lang w:val="fr-FR"/>
        </w:rPr>
        <w:t>capacité d’innovation, de mobilisation d’expertises de haut niveau et de transfert de capacités</w:t>
      </w:r>
      <w:r w:rsidR="00685360">
        <w:rPr>
          <w:rFonts w:ascii="Times New Roman" w:hAnsi="Times New Roman"/>
          <w:color w:val="000000"/>
          <w:sz w:val="22"/>
          <w:lang w:val="fr-FR"/>
        </w:rPr>
        <w:t xml:space="preserve"> du PNUD sont ressorties d’une manière récurrente pendant le cycle 2013 – 2016</w:t>
      </w:r>
      <w:r w:rsidRPr="00A61286">
        <w:rPr>
          <w:rFonts w:ascii="Times New Roman" w:hAnsi="Times New Roman"/>
          <w:color w:val="000000"/>
          <w:sz w:val="22"/>
          <w:lang w:val="fr-FR"/>
        </w:rPr>
        <w:t>.</w:t>
      </w:r>
      <w:r w:rsidR="00622914">
        <w:rPr>
          <w:rFonts w:ascii="Times New Roman" w:hAnsi="Times New Roman"/>
          <w:color w:val="000000"/>
          <w:sz w:val="22"/>
          <w:lang w:val="fr-FR"/>
        </w:rPr>
        <w:t xml:space="preserve"> Des partenaires clés dans la mise en œuvre du programme 2013 -2016 se sont mobilisées encore une fois en appui au PNUD pour la réponse post-Matthew : l</w:t>
      </w:r>
      <w:r w:rsidR="008019FD">
        <w:rPr>
          <w:rFonts w:ascii="Times New Roman" w:hAnsi="Times New Roman"/>
          <w:color w:val="000000"/>
          <w:sz w:val="22"/>
          <w:lang w:val="fr-FR"/>
        </w:rPr>
        <w:t>e Gouvernement de l</w:t>
      </w:r>
      <w:r w:rsidR="00622914">
        <w:rPr>
          <w:rFonts w:ascii="Times New Roman" w:hAnsi="Times New Roman"/>
          <w:color w:val="000000"/>
          <w:sz w:val="22"/>
          <w:lang w:val="fr-FR"/>
        </w:rPr>
        <w:t xml:space="preserve">’Argentine avec un don additionnel de semences dans le cadre du projet Prohuertas, le </w:t>
      </w:r>
      <w:r w:rsidR="008019FD">
        <w:rPr>
          <w:rFonts w:ascii="Times New Roman" w:hAnsi="Times New Roman"/>
          <w:color w:val="000000"/>
          <w:sz w:val="22"/>
          <w:lang w:val="fr-FR"/>
        </w:rPr>
        <w:t xml:space="preserve">Gouvernement du </w:t>
      </w:r>
      <w:r w:rsidR="00622914">
        <w:rPr>
          <w:rFonts w:ascii="Times New Roman" w:hAnsi="Times New Roman"/>
          <w:color w:val="000000"/>
          <w:sz w:val="22"/>
          <w:lang w:val="fr-FR"/>
        </w:rPr>
        <w:t xml:space="preserve">Japon pour des activités génératrices de revenus en complémentarité à son financement pour la résilience au risques et désastres, et l’Union Européenne pour une réplication des cartes multirisques. Le partenariat stratégique avec la MINUSTAH dans le cadre de la réduction de la violence communautaire s’est approfondi en ciblant une planification pour des activités conjointes en faveur des quartiers urbains les plus vulnérables post-cyclone. </w:t>
      </w:r>
      <w:r w:rsidR="008019FD">
        <w:rPr>
          <w:rFonts w:ascii="Times New Roman" w:hAnsi="Times New Roman"/>
          <w:color w:val="000000"/>
          <w:sz w:val="22"/>
          <w:lang w:val="fr-FR"/>
        </w:rPr>
        <w:t xml:space="preserve">Cette diversité des partenariats </w:t>
      </w:r>
      <w:r w:rsidR="00BC6750">
        <w:rPr>
          <w:rFonts w:ascii="Times New Roman" w:hAnsi="Times New Roman"/>
          <w:color w:val="000000"/>
          <w:sz w:val="22"/>
          <w:lang w:val="fr-FR"/>
        </w:rPr>
        <w:t xml:space="preserve">et le climat de confiance </w:t>
      </w:r>
      <w:r w:rsidR="008019FD">
        <w:rPr>
          <w:rFonts w:ascii="Times New Roman" w:hAnsi="Times New Roman"/>
          <w:color w:val="000000"/>
          <w:sz w:val="22"/>
          <w:lang w:val="fr-FR"/>
        </w:rPr>
        <w:t xml:space="preserve">bâti pendant le cycle du programme a permis au PNUD d’agir rapidement </w:t>
      </w:r>
      <w:r w:rsidR="00BC6750">
        <w:rPr>
          <w:rFonts w:ascii="Times New Roman" w:hAnsi="Times New Roman"/>
          <w:color w:val="000000"/>
          <w:sz w:val="22"/>
          <w:lang w:val="fr-FR"/>
        </w:rPr>
        <w:t xml:space="preserve">et efficacement </w:t>
      </w:r>
      <w:r w:rsidR="008019FD">
        <w:rPr>
          <w:rFonts w:ascii="Times New Roman" w:hAnsi="Times New Roman"/>
          <w:color w:val="000000"/>
          <w:sz w:val="22"/>
          <w:lang w:val="fr-FR"/>
        </w:rPr>
        <w:t xml:space="preserve">au nouveau contexte.  </w:t>
      </w:r>
    </w:p>
    <w:p w14:paraId="5CD6929D" w14:textId="77777777" w:rsidR="00D005C1" w:rsidRDefault="00D005C1" w:rsidP="000115B5">
      <w:pPr>
        <w:pStyle w:val="BodyText2"/>
        <w:jc w:val="both"/>
        <w:rPr>
          <w:rFonts w:ascii="Times New Roman" w:hAnsi="Times New Roman"/>
          <w:color w:val="000000"/>
          <w:sz w:val="22"/>
          <w:lang w:val="fr-FR"/>
        </w:rPr>
      </w:pPr>
    </w:p>
    <w:p w14:paraId="1E996EFE" w14:textId="77777777" w:rsidR="00D51AA1" w:rsidRPr="00D005C1" w:rsidRDefault="00E07236" w:rsidP="00D005C1">
      <w:pPr>
        <w:pStyle w:val="BodyText2"/>
        <w:spacing w:after="120"/>
        <w:jc w:val="both"/>
        <w:rPr>
          <w:rFonts w:ascii="Times New Roman" w:hAnsi="Times New Roman"/>
          <w:sz w:val="22"/>
          <w:lang w:val="fr-FR"/>
        </w:rPr>
      </w:pPr>
      <w:r>
        <w:rPr>
          <w:rFonts w:ascii="Times New Roman" w:hAnsi="Times New Roman"/>
          <w:sz w:val="22"/>
          <w:lang w:val="fr-FR"/>
        </w:rPr>
        <w:t xml:space="preserve">Par </w:t>
      </w:r>
      <w:r w:rsidR="00D51AA1" w:rsidRPr="00D005C1">
        <w:rPr>
          <w:rFonts w:ascii="Times New Roman" w:hAnsi="Times New Roman"/>
          <w:sz w:val="22"/>
          <w:lang w:val="fr-FR"/>
        </w:rPr>
        <w:t>rapport à l’égalité des sexes et l’autonomisation des femmes, le PNUD Haïti a tiré des leçons importantes. Dans le domaine du processus électorale et la vie politique l'analyse a montré que, malgré la di</w:t>
      </w:r>
      <w:r>
        <w:rPr>
          <w:rFonts w:ascii="Times New Roman" w:hAnsi="Times New Roman"/>
          <w:sz w:val="22"/>
          <w:lang w:val="fr-FR"/>
        </w:rPr>
        <w:t>sposition constitutionnelle d’</w:t>
      </w:r>
      <w:r w:rsidR="00D51AA1" w:rsidRPr="00D005C1">
        <w:rPr>
          <w:rFonts w:ascii="Times New Roman" w:hAnsi="Times New Roman"/>
          <w:sz w:val="22"/>
          <w:lang w:val="fr-FR"/>
        </w:rPr>
        <w:t xml:space="preserve">un minimum de 30% de femmes dans tous les domaines en particulier dans les sphères publiques, il y a eu un écart sérieux entre les sexes dans la représentation des femmes, provenant de plusieurs obstacles, dont le manque d'intérêt, la capacité et l'engagement de la part des institutions clés, et des difficultés à accéder à des opportunités et des ressources de la part des femmes en politique. En réponse, le PNUD s’est concentré sur la formation </w:t>
      </w:r>
      <w:r w:rsidR="00E87F2C">
        <w:rPr>
          <w:rFonts w:ascii="Times New Roman" w:hAnsi="Times New Roman"/>
          <w:sz w:val="22"/>
          <w:lang w:val="fr-FR"/>
        </w:rPr>
        <w:t xml:space="preserve">des </w:t>
      </w:r>
      <w:r w:rsidR="00D51AA1" w:rsidRPr="00D005C1">
        <w:rPr>
          <w:rFonts w:ascii="Times New Roman" w:hAnsi="Times New Roman"/>
          <w:sz w:val="22"/>
          <w:lang w:val="fr-FR"/>
        </w:rPr>
        <w:t xml:space="preserve">techniciens du Conseil électoral, des jeunes et des personnes handicapées, l'organisation de conférences-débats ciblant les femmes concernées des partis politiques et les organisations de femmes, et le développement d'outils pour rendre des statistiques ventilées par sexe disponibles liées aux élections. </w:t>
      </w:r>
    </w:p>
    <w:p w14:paraId="7F43BD0B" w14:textId="77777777" w:rsidR="00D51AA1" w:rsidRPr="00A61286" w:rsidRDefault="00D51AA1" w:rsidP="002117DA">
      <w:pPr>
        <w:pStyle w:val="BodyText2"/>
        <w:spacing w:after="120"/>
        <w:jc w:val="both"/>
        <w:rPr>
          <w:rFonts w:ascii="Times New Roman" w:hAnsi="Times New Roman"/>
          <w:sz w:val="22"/>
          <w:lang w:val="fr-FR"/>
        </w:rPr>
      </w:pPr>
      <w:r w:rsidRPr="00A61286">
        <w:rPr>
          <w:rFonts w:ascii="Times New Roman" w:hAnsi="Times New Roman"/>
          <w:sz w:val="22"/>
          <w:lang w:val="fr-FR"/>
        </w:rPr>
        <w:t>Dans le domaine de l’Etat de Droit, l'analyse a montré qu’entre 9 et 31% des femmes haïtiennes sont victimes de violence de diverses formes, tandis que leur accès à l'aide juridique est encore très limité. En réponse, l'intervention du PNUD a mis l'accent sur le renforcement de l'École de la magistrature. Un programme de formation de formateurs et de la formation sur la VGB a été achevée en 2014. En outre, la sensibilisation des directeurs de l'École de la magistrature a conduit à la parité entre hommes et garçons.</w:t>
      </w:r>
    </w:p>
    <w:p w14:paraId="64B846BB" w14:textId="77777777" w:rsidR="00D51AA1" w:rsidRPr="002117DA" w:rsidRDefault="00D51AA1" w:rsidP="002117DA">
      <w:pPr>
        <w:pStyle w:val="BodyText2"/>
        <w:spacing w:after="120"/>
        <w:jc w:val="both"/>
        <w:rPr>
          <w:rFonts w:ascii="Times New Roman" w:hAnsi="Times New Roman"/>
          <w:sz w:val="22"/>
          <w:lang w:val="fr-FR"/>
        </w:rPr>
      </w:pPr>
      <w:r w:rsidRPr="00A61286">
        <w:rPr>
          <w:rFonts w:ascii="Times New Roman" w:hAnsi="Times New Roman"/>
          <w:sz w:val="22"/>
          <w:lang w:val="fr-FR"/>
        </w:rPr>
        <w:t xml:space="preserve">Dans le domaine de l'autonomisation économique, les tendances indiquent que les femmes travaillent principalement dans les microentreprises qui sont souvent fragiles et précaires, en partie comme un dernier recours pour échapper au chômage et subvenir à leurs familles. Parmi les 72.000 micro, petites et moyennes entreprises (MPME) enregistrés dans le pays, 62% sont dirigés par des femmes et près de 98% sont des entreprises privées et ont un seul employé. Le chômage touche particulièrement les femmes et les filles : le </w:t>
      </w:r>
      <w:r w:rsidRPr="00A61286">
        <w:rPr>
          <w:rFonts w:ascii="Times New Roman" w:hAnsi="Times New Roman"/>
          <w:sz w:val="22"/>
          <w:lang w:val="fr-FR"/>
        </w:rPr>
        <w:lastRenderedPageBreak/>
        <w:t>taux rural et urbain moyen le chômage atteint 20% pour les femmes et près de 15% pour les hommes. L’entrepreneuriat forcé perpétue l'inégalité en poussant les femmes et les hommes à investir dans une activité de subsistance et ne laissant aucune opportunité pour le développement économique de la croissance réelle. En réponse, l’intervention du PNUD a était axée sur la promotion de l'entreprenariat féminin et de la production.</w:t>
      </w:r>
      <w:r w:rsidR="00E87F2C" w:rsidRPr="002117DA">
        <w:rPr>
          <w:rFonts w:ascii="Times New Roman" w:hAnsi="Times New Roman"/>
          <w:sz w:val="22"/>
          <w:lang w:val="fr-FR"/>
        </w:rPr>
        <w:t xml:space="preserve"> </w:t>
      </w:r>
    </w:p>
    <w:p w14:paraId="0C7E57F7" w14:textId="77777777" w:rsidR="00D005C1" w:rsidRPr="002117DA" w:rsidRDefault="00D51AA1" w:rsidP="002117DA">
      <w:pPr>
        <w:pStyle w:val="BodyText2"/>
        <w:spacing w:after="120"/>
        <w:jc w:val="both"/>
        <w:rPr>
          <w:rFonts w:ascii="Times New Roman" w:hAnsi="Times New Roman"/>
          <w:sz w:val="22"/>
          <w:lang w:val="fr-FR"/>
        </w:rPr>
      </w:pPr>
      <w:r w:rsidRPr="00A61286">
        <w:rPr>
          <w:rFonts w:ascii="Times New Roman" w:hAnsi="Times New Roman"/>
          <w:sz w:val="22"/>
          <w:lang w:val="fr-FR"/>
        </w:rPr>
        <w:t xml:space="preserve">Dans le domaine du changement climatique, l'absence des femmes dans des rôles de leadership dans la gestion de l'eau et d'autres ressources naturelles a été largement reconnue. En réponse, le PNUD cible l'intégration des femmes dans plusieurs structures communautaires de gestion des ressources et de promouvoir la participation des femmes dans les pépinières, ce qui donne des avantages pour les femmes. </w:t>
      </w:r>
    </w:p>
    <w:p w14:paraId="66016503" w14:textId="77777777" w:rsidR="00FC0777" w:rsidRDefault="00284517" w:rsidP="00E34241">
      <w:pPr>
        <w:pStyle w:val="BodyText2"/>
        <w:spacing w:after="120"/>
        <w:jc w:val="both"/>
        <w:rPr>
          <w:rFonts w:ascii="Times New Roman" w:hAnsi="Times New Roman"/>
          <w:sz w:val="22"/>
          <w:lang w:val="fr-FR"/>
        </w:rPr>
      </w:pPr>
      <w:r w:rsidRPr="00E87F2C">
        <w:rPr>
          <w:rFonts w:ascii="Times New Roman" w:hAnsi="Times New Roman"/>
          <w:sz w:val="22"/>
          <w:lang w:val="fr-FR"/>
        </w:rPr>
        <w:t>Le PNUD est un leader de l'UNCT</w:t>
      </w:r>
      <w:r w:rsidR="002117DA">
        <w:rPr>
          <w:rFonts w:ascii="Times New Roman" w:hAnsi="Times New Roman"/>
          <w:sz w:val="22"/>
          <w:lang w:val="fr-FR"/>
        </w:rPr>
        <w:t xml:space="preserve">. Entre 2013 et 2016, le PNUD a participé dans </w:t>
      </w:r>
      <w:r w:rsidR="00E34241">
        <w:rPr>
          <w:rFonts w:ascii="Times New Roman" w:hAnsi="Times New Roman"/>
          <w:sz w:val="22"/>
          <w:lang w:val="fr-FR"/>
        </w:rPr>
        <w:t>6</w:t>
      </w:r>
      <w:r w:rsidR="002117DA">
        <w:rPr>
          <w:rFonts w:ascii="Times New Roman" w:hAnsi="Times New Roman"/>
          <w:sz w:val="22"/>
          <w:lang w:val="fr-FR"/>
        </w:rPr>
        <w:t xml:space="preserve"> processus de planification des Nations Unies en Haïti : </w:t>
      </w:r>
      <w:r w:rsidR="0065268E">
        <w:rPr>
          <w:rFonts w:ascii="Times New Roman" w:hAnsi="Times New Roman"/>
          <w:sz w:val="22"/>
          <w:lang w:val="fr-FR"/>
        </w:rPr>
        <w:t xml:space="preserve">la première planification de la Consolidation de la MINUSTAH en 2103, </w:t>
      </w:r>
      <w:r w:rsidR="002117DA">
        <w:rPr>
          <w:rFonts w:ascii="Times New Roman" w:hAnsi="Times New Roman"/>
          <w:sz w:val="22"/>
          <w:lang w:val="fr-FR"/>
        </w:rPr>
        <w:t>la mise en œuvre du Cadre Stratégique Intégré (CSI) 2013 – 2016</w:t>
      </w:r>
      <w:r w:rsidR="0065268E">
        <w:rPr>
          <w:rFonts w:ascii="Times New Roman" w:hAnsi="Times New Roman"/>
          <w:sz w:val="22"/>
          <w:lang w:val="fr-FR"/>
        </w:rPr>
        <w:t xml:space="preserve"> et sa </w:t>
      </w:r>
      <w:r w:rsidR="002117DA">
        <w:rPr>
          <w:rFonts w:ascii="Times New Roman" w:hAnsi="Times New Roman"/>
          <w:sz w:val="22"/>
          <w:lang w:val="fr-FR"/>
        </w:rPr>
        <w:t xml:space="preserve">révision </w:t>
      </w:r>
      <w:r w:rsidR="0065268E">
        <w:rPr>
          <w:rFonts w:ascii="Times New Roman" w:hAnsi="Times New Roman"/>
          <w:sz w:val="22"/>
          <w:lang w:val="fr-FR"/>
        </w:rPr>
        <w:t>en 2014</w:t>
      </w:r>
      <w:r w:rsidR="002117DA">
        <w:rPr>
          <w:rFonts w:ascii="Times New Roman" w:hAnsi="Times New Roman"/>
          <w:sz w:val="22"/>
          <w:lang w:val="fr-FR"/>
        </w:rPr>
        <w:t xml:space="preserve">, la planification de la transition de la MINUSTAH et des Nations Unies en 2014, </w:t>
      </w:r>
      <w:r w:rsidR="00E34241">
        <w:rPr>
          <w:rFonts w:ascii="Times New Roman" w:hAnsi="Times New Roman"/>
          <w:sz w:val="22"/>
          <w:lang w:val="fr-FR"/>
        </w:rPr>
        <w:t>l’Appel à Transition de l’Humanitaire au Développement (TAP)</w:t>
      </w:r>
      <w:r w:rsidR="0065268E">
        <w:rPr>
          <w:rFonts w:ascii="Times New Roman" w:hAnsi="Times New Roman"/>
          <w:sz w:val="22"/>
          <w:lang w:val="fr-FR"/>
        </w:rPr>
        <w:t xml:space="preserve"> en 2014</w:t>
      </w:r>
      <w:r w:rsidR="00E34241">
        <w:rPr>
          <w:rFonts w:ascii="Times New Roman" w:hAnsi="Times New Roman"/>
          <w:sz w:val="22"/>
          <w:lang w:val="fr-FR"/>
        </w:rPr>
        <w:t xml:space="preserve">, </w:t>
      </w:r>
      <w:r w:rsidR="002117DA">
        <w:rPr>
          <w:rFonts w:ascii="Times New Roman" w:hAnsi="Times New Roman"/>
          <w:sz w:val="22"/>
          <w:lang w:val="fr-FR"/>
        </w:rPr>
        <w:t>et le développement de l’</w:t>
      </w:r>
      <w:r w:rsidR="00E34241">
        <w:rPr>
          <w:rFonts w:ascii="Times New Roman" w:hAnsi="Times New Roman"/>
          <w:sz w:val="22"/>
          <w:lang w:val="fr-FR"/>
        </w:rPr>
        <w:t xml:space="preserve">UNSDF en 2016. </w:t>
      </w:r>
      <w:r w:rsidR="002117DA">
        <w:rPr>
          <w:rFonts w:ascii="Times New Roman" w:hAnsi="Times New Roman"/>
          <w:sz w:val="22"/>
          <w:lang w:val="fr-FR"/>
        </w:rPr>
        <w:t xml:space="preserve">Le PNUD </w:t>
      </w:r>
      <w:r w:rsidR="00E34241">
        <w:rPr>
          <w:rFonts w:ascii="Times New Roman" w:hAnsi="Times New Roman"/>
          <w:sz w:val="22"/>
          <w:lang w:val="fr-FR"/>
        </w:rPr>
        <w:t xml:space="preserve">a </w:t>
      </w:r>
      <w:r w:rsidR="002117DA">
        <w:rPr>
          <w:rFonts w:ascii="Times New Roman" w:hAnsi="Times New Roman"/>
          <w:sz w:val="22"/>
          <w:lang w:val="fr-FR"/>
        </w:rPr>
        <w:t xml:space="preserve">participé dans </w:t>
      </w:r>
      <w:r w:rsidR="00E34241">
        <w:rPr>
          <w:rFonts w:ascii="Times New Roman" w:hAnsi="Times New Roman"/>
          <w:sz w:val="22"/>
          <w:lang w:val="fr-FR"/>
        </w:rPr>
        <w:t>un maximum de 7</w:t>
      </w:r>
      <w:r w:rsidR="002117DA">
        <w:rPr>
          <w:rFonts w:ascii="Times New Roman" w:hAnsi="Times New Roman"/>
          <w:sz w:val="22"/>
          <w:lang w:val="fr-FR"/>
        </w:rPr>
        <w:t xml:space="preserve"> </w:t>
      </w:r>
      <w:r w:rsidRPr="00E87F2C">
        <w:rPr>
          <w:rFonts w:ascii="Times New Roman" w:hAnsi="Times New Roman"/>
          <w:sz w:val="22"/>
          <w:lang w:val="fr-FR"/>
        </w:rPr>
        <w:t>groupes thématiques et de travail</w:t>
      </w:r>
      <w:r w:rsidR="00E34241">
        <w:rPr>
          <w:rFonts w:ascii="Times New Roman" w:hAnsi="Times New Roman"/>
          <w:sz w:val="22"/>
          <w:lang w:val="fr-FR"/>
        </w:rPr>
        <w:t xml:space="preserve"> et était </w:t>
      </w:r>
      <w:r w:rsidRPr="00E87F2C">
        <w:rPr>
          <w:rFonts w:ascii="Times New Roman" w:hAnsi="Times New Roman"/>
          <w:sz w:val="22"/>
          <w:lang w:val="fr-FR"/>
        </w:rPr>
        <w:t xml:space="preserve">présidant ou co-présidant </w:t>
      </w:r>
      <w:r w:rsidR="00E34241">
        <w:rPr>
          <w:rFonts w:ascii="Times New Roman" w:hAnsi="Times New Roman"/>
          <w:sz w:val="22"/>
          <w:lang w:val="fr-FR"/>
        </w:rPr>
        <w:t xml:space="preserve">de 5 </w:t>
      </w:r>
      <w:r w:rsidRPr="00E87F2C">
        <w:rPr>
          <w:rFonts w:ascii="Times New Roman" w:hAnsi="Times New Roman"/>
          <w:sz w:val="22"/>
          <w:lang w:val="fr-FR"/>
        </w:rPr>
        <w:t xml:space="preserve">groupes. </w:t>
      </w:r>
      <w:r w:rsidR="00E34241">
        <w:rPr>
          <w:rFonts w:ascii="Times New Roman" w:hAnsi="Times New Roman"/>
          <w:sz w:val="22"/>
          <w:lang w:val="fr-FR"/>
        </w:rPr>
        <w:t xml:space="preserve">En 2014, ces groupes de travail ont produit </w:t>
      </w:r>
      <w:r w:rsidRPr="00E87F2C">
        <w:rPr>
          <w:rFonts w:ascii="Times New Roman" w:hAnsi="Times New Roman"/>
          <w:sz w:val="22"/>
          <w:lang w:val="fr-FR"/>
        </w:rPr>
        <w:t xml:space="preserve">le « Transition Report ». </w:t>
      </w:r>
      <w:r w:rsidR="00E34241">
        <w:rPr>
          <w:rFonts w:ascii="Times New Roman" w:hAnsi="Times New Roman"/>
          <w:sz w:val="22"/>
          <w:lang w:val="fr-FR"/>
        </w:rPr>
        <w:t>En plus, l</w:t>
      </w:r>
      <w:r w:rsidRPr="00E87F2C">
        <w:rPr>
          <w:rFonts w:ascii="Times New Roman" w:hAnsi="Times New Roman"/>
          <w:sz w:val="22"/>
          <w:lang w:val="fr-FR"/>
        </w:rPr>
        <w:t xml:space="preserve">’UNCT et le HCT ont pris la décision de lancer un Appel de Transition à la place d’un Humanitarian Action Plan (HAP) en 2015. </w:t>
      </w:r>
    </w:p>
    <w:p w14:paraId="5E8D0C77" w14:textId="42EB6CFB" w:rsidR="00E34241" w:rsidRPr="002117DA" w:rsidRDefault="00284517" w:rsidP="00E34241">
      <w:pPr>
        <w:pStyle w:val="BodyText2"/>
        <w:spacing w:after="120"/>
        <w:jc w:val="both"/>
        <w:rPr>
          <w:rFonts w:ascii="Times New Roman" w:hAnsi="Times New Roman"/>
          <w:sz w:val="22"/>
          <w:lang w:val="fr-FR"/>
        </w:rPr>
      </w:pPr>
      <w:r w:rsidRPr="00E87F2C">
        <w:rPr>
          <w:rFonts w:ascii="Times New Roman" w:hAnsi="Times New Roman"/>
          <w:sz w:val="22"/>
          <w:lang w:val="fr-FR"/>
        </w:rPr>
        <w:t xml:space="preserve">Le PNUD a </w:t>
      </w:r>
      <w:r w:rsidR="00E34241">
        <w:rPr>
          <w:rFonts w:ascii="Times New Roman" w:hAnsi="Times New Roman"/>
          <w:sz w:val="22"/>
          <w:lang w:val="fr-FR"/>
        </w:rPr>
        <w:t xml:space="preserve">aussi </w:t>
      </w:r>
      <w:r w:rsidR="00622914">
        <w:rPr>
          <w:rFonts w:ascii="Times New Roman" w:hAnsi="Times New Roman"/>
          <w:sz w:val="22"/>
          <w:lang w:val="fr-FR"/>
        </w:rPr>
        <w:t>assuré la coordination du G</w:t>
      </w:r>
      <w:r w:rsidRPr="00E87F2C">
        <w:rPr>
          <w:rFonts w:ascii="Times New Roman" w:hAnsi="Times New Roman"/>
          <w:sz w:val="22"/>
          <w:lang w:val="fr-FR"/>
        </w:rPr>
        <w:t>roupe des champions politiques pour la résilience aux désastres. Un travail participatif a été mené afin de définir un cadre programmatique</w:t>
      </w:r>
      <w:r w:rsidR="00D005C1" w:rsidRPr="002117DA">
        <w:rPr>
          <w:rFonts w:ascii="Times New Roman" w:hAnsi="Times New Roman"/>
          <w:sz w:val="22"/>
          <w:lang w:val="fr-FR"/>
        </w:rPr>
        <w:t xml:space="preserve"> </w:t>
      </w:r>
      <w:r w:rsidRPr="00E87F2C">
        <w:rPr>
          <w:rFonts w:ascii="Times New Roman" w:hAnsi="Times New Roman"/>
          <w:sz w:val="22"/>
          <w:lang w:val="fr-FR"/>
        </w:rPr>
        <w:t xml:space="preserve">multisectoriel dans 3 départements du pays. 10 millions USD ont été mobilisé pour la mise en </w:t>
      </w:r>
      <w:r w:rsidR="00B4430C" w:rsidRPr="00E87F2C">
        <w:rPr>
          <w:rFonts w:ascii="Times New Roman" w:hAnsi="Times New Roman"/>
          <w:sz w:val="22"/>
          <w:lang w:val="fr-FR"/>
        </w:rPr>
        <w:t>œuvre</w:t>
      </w:r>
      <w:r w:rsidRPr="00E87F2C">
        <w:rPr>
          <w:rFonts w:ascii="Times New Roman" w:hAnsi="Times New Roman"/>
          <w:sz w:val="22"/>
          <w:lang w:val="fr-FR"/>
        </w:rPr>
        <w:t xml:space="preserve"> de ce plan. Tout ce travail conjoint a demandé des efforts de coordination avec les autres agences et</w:t>
      </w:r>
      <w:r w:rsidR="00D005C1" w:rsidRPr="002117DA">
        <w:rPr>
          <w:rFonts w:ascii="Times New Roman" w:hAnsi="Times New Roman"/>
          <w:sz w:val="22"/>
          <w:lang w:val="fr-FR"/>
        </w:rPr>
        <w:t xml:space="preserve"> </w:t>
      </w:r>
      <w:r w:rsidRPr="00E87F2C">
        <w:rPr>
          <w:rFonts w:ascii="Times New Roman" w:hAnsi="Times New Roman"/>
          <w:sz w:val="22"/>
          <w:lang w:val="fr-FR"/>
        </w:rPr>
        <w:t xml:space="preserve">des réflexions au niveau technique à l’interne de chaque initiative. </w:t>
      </w:r>
      <w:r w:rsidR="00E34241">
        <w:rPr>
          <w:rFonts w:ascii="Times New Roman" w:hAnsi="Times New Roman"/>
          <w:sz w:val="22"/>
          <w:lang w:val="fr-FR"/>
        </w:rPr>
        <w:t xml:space="preserve">Le </w:t>
      </w:r>
      <w:r w:rsidR="00E34241" w:rsidRPr="00A61286">
        <w:rPr>
          <w:rFonts w:ascii="Times New Roman" w:hAnsi="Times New Roman"/>
          <w:sz w:val="22"/>
          <w:lang w:val="fr-FR"/>
        </w:rPr>
        <w:t xml:space="preserve">PNUD a fourni un soutien essentiel à la création d'un Groupe de travail UNCT M&amp;E. Ce fut, en plus de la participation dans </w:t>
      </w:r>
      <w:r w:rsidR="00E34241">
        <w:rPr>
          <w:rFonts w:ascii="Times New Roman" w:hAnsi="Times New Roman"/>
          <w:sz w:val="22"/>
          <w:lang w:val="fr-FR"/>
        </w:rPr>
        <w:t>les groupes standards de l’UNCT (</w:t>
      </w:r>
      <w:r w:rsidR="00E34241" w:rsidRPr="00A61286">
        <w:rPr>
          <w:rFonts w:ascii="Times New Roman" w:hAnsi="Times New Roman"/>
          <w:sz w:val="22"/>
          <w:lang w:val="fr-FR"/>
        </w:rPr>
        <w:t>le</w:t>
      </w:r>
      <w:r w:rsidR="00E34241" w:rsidRPr="002117DA">
        <w:rPr>
          <w:rFonts w:ascii="Times New Roman" w:hAnsi="Times New Roman"/>
          <w:sz w:val="22"/>
          <w:lang w:val="fr-FR"/>
        </w:rPr>
        <w:t xml:space="preserve"> </w:t>
      </w:r>
      <w:r w:rsidR="00E34241" w:rsidRPr="00A61286">
        <w:rPr>
          <w:rFonts w:ascii="Times New Roman" w:hAnsi="Times New Roman"/>
          <w:sz w:val="22"/>
          <w:lang w:val="fr-FR"/>
        </w:rPr>
        <w:t xml:space="preserve">Groupe du Programme, le Groupe Thématique Genre, le Groupe de la communication, et la Présidence continue </w:t>
      </w:r>
      <w:r w:rsidR="00E34241">
        <w:rPr>
          <w:rFonts w:ascii="Times New Roman" w:hAnsi="Times New Roman"/>
          <w:sz w:val="22"/>
          <w:lang w:val="fr-FR"/>
        </w:rPr>
        <w:t>de l’OMT)</w:t>
      </w:r>
      <w:r w:rsidR="00E34241" w:rsidRPr="00A61286">
        <w:rPr>
          <w:rFonts w:ascii="Times New Roman" w:hAnsi="Times New Roman"/>
          <w:sz w:val="22"/>
          <w:lang w:val="fr-FR"/>
        </w:rPr>
        <w:t>. Le PNUD a également pris le lead dans la facilitation des discussions sur l’Etat de</w:t>
      </w:r>
      <w:r w:rsidR="00E34241" w:rsidRPr="002117DA">
        <w:rPr>
          <w:rFonts w:ascii="Times New Roman" w:hAnsi="Times New Roman"/>
          <w:sz w:val="22"/>
          <w:lang w:val="fr-FR"/>
        </w:rPr>
        <w:t xml:space="preserve"> </w:t>
      </w:r>
      <w:r w:rsidR="00E34241" w:rsidRPr="00A61286">
        <w:rPr>
          <w:rFonts w:ascii="Times New Roman" w:hAnsi="Times New Roman"/>
          <w:sz w:val="22"/>
          <w:lang w:val="fr-FR"/>
        </w:rPr>
        <w:t>Droit dans le cadre de la transition de la MINUSTAH</w:t>
      </w:r>
      <w:r w:rsidR="001F229E">
        <w:rPr>
          <w:rFonts w:ascii="Times New Roman" w:hAnsi="Times New Roman"/>
          <w:sz w:val="22"/>
          <w:lang w:val="fr-FR"/>
        </w:rPr>
        <w:t>, menant au développement d’un programme conjoint</w:t>
      </w:r>
      <w:r w:rsidR="00E34241" w:rsidRPr="00A61286">
        <w:rPr>
          <w:rFonts w:ascii="Times New Roman" w:hAnsi="Times New Roman"/>
          <w:sz w:val="22"/>
          <w:lang w:val="fr-FR"/>
        </w:rPr>
        <w:t>. Cela a impliqué la convocation d'autres organismes, l'analyse des données, la rédaction et la présentation à ses</w:t>
      </w:r>
      <w:r w:rsidR="00E34241" w:rsidRPr="002117DA">
        <w:rPr>
          <w:rFonts w:ascii="Times New Roman" w:hAnsi="Times New Roman"/>
          <w:sz w:val="22"/>
          <w:lang w:val="fr-FR"/>
        </w:rPr>
        <w:t xml:space="preserve"> </w:t>
      </w:r>
      <w:r w:rsidR="00E34241" w:rsidRPr="00D005C1">
        <w:rPr>
          <w:rFonts w:ascii="Times New Roman" w:hAnsi="Times New Roman"/>
          <w:sz w:val="22"/>
          <w:lang w:val="fr-FR"/>
        </w:rPr>
        <w:t>homologues gouvernementaux.</w:t>
      </w:r>
    </w:p>
    <w:p w14:paraId="64240C0B" w14:textId="1BC7BBC6" w:rsidR="0037523B" w:rsidRDefault="00284517" w:rsidP="001F229E">
      <w:pPr>
        <w:pStyle w:val="BodyText2"/>
        <w:spacing w:after="120"/>
        <w:jc w:val="both"/>
        <w:rPr>
          <w:rFonts w:ascii="Times New Roman" w:hAnsi="Times New Roman"/>
          <w:sz w:val="22"/>
          <w:lang w:val="fr-FR"/>
        </w:rPr>
      </w:pPr>
      <w:r w:rsidRPr="00E87F2C">
        <w:rPr>
          <w:rFonts w:ascii="Times New Roman" w:hAnsi="Times New Roman"/>
          <w:sz w:val="22"/>
          <w:lang w:val="fr-FR"/>
        </w:rPr>
        <w:t>En plus du support fourni au Bureau du RC/HC à travers la gestion du budget de la Coordination, le PNUD a fourni un appui au</w:t>
      </w:r>
      <w:r w:rsidR="00D005C1" w:rsidRPr="002117DA">
        <w:rPr>
          <w:rFonts w:ascii="Times New Roman" w:hAnsi="Times New Roman"/>
          <w:sz w:val="22"/>
          <w:lang w:val="fr-FR"/>
        </w:rPr>
        <w:t xml:space="preserve"> </w:t>
      </w:r>
      <w:r w:rsidRPr="00E87F2C">
        <w:rPr>
          <w:rFonts w:ascii="Times New Roman" w:hAnsi="Times New Roman"/>
          <w:sz w:val="22"/>
          <w:lang w:val="fr-FR"/>
        </w:rPr>
        <w:t xml:space="preserve">recrutement de </w:t>
      </w:r>
      <w:r w:rsidR="00E34241">
        <w:rPr>
          <w:rFonts w:ascii="Times New Roman" w:hAnsi="Times New Roman"/>
          <w:sz w:val="22"/>
          <w:lang w:val="fr-FR"/>
        </w:rPr>
        <w:t>son personnel clé</w:t>
      </w:r>
      <w:r w:rsidRPr="00E87F2C">
        <w:rPr>
          <w:rFonts w:ascii="Times New Roman" w:hAnsi="Times New Roman"/>
          <w:sz w:val="22"/>
          <w:lang w:val="fr-FR"/>
        </w:rPr>
        <w:t>. Le PNUD a continué à présider l’OMT, et à faciliter la participation dans concernés dans les enquêtes pour le siège et</w:t>
      </w:r>
      <w:r w:rsidR="00D005C1" w:rsidRPr="002117DA">
        <w:rPr>
          <w:rFonts w:ascii="Times New Roman" w:hAnsi="Times New Roman"/>
          <w:sz w:val="22"/>
          <w:lang w:val="fr-FR"/>
        </w:rPr>
        <w:t xml:space="preserve"> </w:t>
      </w:r>
      <w:r w:rsidRPr="00E87F2C">
        <w:rPr>
          <w:rFonts w:ascii="Times New Roman" w:hAnsi="Times New Roman"/>
          <w:sz w:val="22"/>
          <w:lang w:val="fr-FR"/>
        </w:rPr>
        <w:t>ISCS (Cost of Living, Hardship, DSA et Interim Salary Survey).</w:t>
      </w:r>
    </w:p>
    <w:p w14:paraId="587B69FA" w14:textId="77777777" w:rsidR="00622914" w:rsidRPr="001F229E" w:rsidRDefault="00622914" w:rsidP="001F229E">
      <w:pPr>
        <w:pStyle w:val="BodyText2"/>
        <w:spacing w:after="120"/>
        <w:jc w:val="both"/>
        <w:rPr>
          <w:rFonts w:ascii="Times New Roman" w:hAnsi="Times New Roman"/>
          <w:sz w:val="22"/>
          <w:lang w:val="fr-FR"/>
        </w:rPr>
      </w:pPr>
    </w:p>
    <w:p w14:paraId="55EEE187" w14:textId="77777777" w:rsidR="0037523B" w:rsidRPr="003E7099" w:rsidRDefault="0037523B" w:rsidP="000115B5">
      <w:pPr>
        <w:pStyle w:val="BodyText2"/>
        <w:jc w:val="both"/>
        <w:rPr>
          <w:rFonts w:asciiTheme="minorHAnsi" w:hAnsiTheme="minorHAnsi"/>
          <w:color w:val="000000"/>
          <w:sz w:val="24"/>
          <w:lang w:val="fr-FR"/>
        </w:rPr>
      </w:pPr>
    </w:p>
    <w:p w14:paraId="484EE896" w14:textId="77777777" w:rsidR="0037523B" w:rsidRPr="003E7099" w:rsidRDefault="0037523B" w:rsidP="00975566">
      <w:pPr>
        <w:pStyle w:val="BodyText2"/>
        <w:jc w:val="center"/>
        <w:rPr>
          <w:rFonts w:ascii="Times New Roman" w:hAnsi="Times New Roman"/>
          <w:b/>
          <w:sz w:val="24"/>
          <w:lang w:val="fr-FR"/>
        </w:rPr>
      </w:pPr>
    </w:p>
    <w:p w14:paraId="163D9597" w14:textId="77777777" w:rsidR="0037523B" w:rsidRPr="003E7099" w:rsidRDefault="0037523B" w:rsidP="00975566">
      <w:pPr>
        <w:pStyle w:val="BodyText2"/>
        <w:jc w:val="center"/>
        <w:rPr>
          <w:rFonts w:ascii="Times New Roman" w:hAnsi="Times New Roman"/>
          <w:b/>
          <w:sz w:val="24"/>
          <w:lang w:val="fr-FR"/>
        </w:rPr>
        <w:sectPr w:rsidR="0037523B" w:rsidRPr="003E7099" w:rsidSect="00FB4BD9">
          <w:headerReference w:type="default" r:id="rId13"/>
          <w:footerReference w:type="default" r:id="rId14"/>
          <w:endnotePr>
            <w:numFmt w:val="decimal"/>
          </w:endnotePr>
          <w:pgSz w:w="12240" w:h="15840" w:code="1"/>
          <w:pgMar w:top="1440" w:right="1440" w:bottom="1440" w:left="1440" w:header="720" w:footer="720" w:gutter="0"/>
          <w:cols w:space="720"/>
          <w:docGrid w:linePitch="299"/>
        </w:sectPr>
      </w:pPr>
    </w:p>
    <w:p w14:paraId="53A08630" w14:textId="77777777" w:rsidR="00975566" w:rsidRPr="00517955" w:rsidRDefault="006900FE" w:rsidP="008440D9">
      <w:pPr>
        <w:pStyle w:val="Heading3"/>
        <w:jc w:val="left"/>
        <w:rPr>
          <w:rFonts w:asciiTheme="minorHAnsi" w:hAnsiTheme="minorHAnsi"/>
          <w:b/>
        </w:rPr>
      </w:pPr>
      <w:r>
        <w:rPr>
          <w:rFonts w:asciiTheme="minorHAnsi" w:hAnsiTheme="minorHAnsi"/>
          <w:b/>
        </w:rPr>
        <w:lastRenderedPageBreak/>
        <w:t>II</w:t>
      </w:r>
      <w:r w:rsidR="0081403B" w:rsidRPr="00517955">
        <w:rPr>
          <w:rFonts w:asciiTheme="minorHAnsi" w:hAnsiTheme="minorHAnsi"/>
          <w:b/>
        </w:rPr>
        <w:t xml:space="preserve">: </w:t>
      </w:r>
      <w:r w:rsidR="000C09B4" w:rsidRPr="00517955">
        <w:rPr>
          <w:rFonts w:asciiTheme="minorHAnsi" w:hAnsiTheme="minorHAnsi"/>
          <w:b/>
        </w:rPr>
        <w:t xml:space="preserve">Country Programme Performance </w:t>
      </w:r>
      <w:r w:rsidR="00975566" w:rsidRPr="00517955">
        <w:rPr>
          <w:rFonts w:asciiTheme="minorHAnsi" w:hAnsiTheme="minorHAnsi"/>
          <w:b/>
        </w:rPr>
        <w:t>Summary</w:t>
      </w:r>
    </w:p>
    <w:p w14:paraId="5048D274" w14:textId="77777777" w:rsidR="00DC7354" w:rsidRDefault="00DC7354" w:rsidP="00975566">
      <w:pPr>
        <w:pStyle w:val="BodyText2"/>
        <w:jc w:val="center"/>
        <w:rPr>
          <w:rFonts w:ascii="Times New Roman" w:hAnsi="Times New Roman"/>
          <w:b/>
          <w:sz w:val="24"/>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6"/>
        <w:gridCol w:w="520"/>
        <w:gridCol w:w="1645"/>
        <w:gridCol w:w="431"/>
        <w:gridCol w:w="3110"/>
        <w:gridCol w:w="258"/>
        <w:gridCol w:w="5520"/>
      </w:tblGrid>
      <w:tr w:rsidR="004B00F2" w:rsidRPr="00650A1C" w14:paraId="1606961F" w14:textId="77777777" w:rsidTr="00ED3E89">
        <w:trPr>
          <w:jc w:val="center"/>
        </w:trPr>
        <w:tc>
          <w:tcPr>
            <w:tcW w:w="3037" w:type="dxa"/>
            <w:tcBorders>
              <w:right w:val="nil"/>
            </w:tcBorders>
            <w:shd w:val="clear" w:color="auto" w:fill="FFC000"/>
          </w:tcPr>
          <w:p w14:paraId="14BE7F04" w14:textId="77777777" w:rsidR="004B00F2" w:rsidRPr="00650A1C" w:rsidRDefault="004B00F2" w:rsidP="00AC5DF7">
            <w:pPr>
              <w:pStyle w:val="BodyText2"/>
              <w:rPr>
                <w:rFonts w:ascii="Times New Roman" w:hAnsi="Times New Roman" w:cs="Times New Roman"/>
                <w:b/>
                <w:sz w:val="22"/>
              </w:rPr>
            </w:pPr>
            <w:r w:rsidRPr="00650A1C">
              <w:rPr>
                <w:rFonts w:ascii="Times New Roman" w:hAnsi="Times New Roman" w:cs="Times New Roman"/>
                <w:b/>
                <w:sz w:val="22"/>
              </w:rPr>
              <w:t>Country information</w:t>
            </w:r>
          </w:p>
        </w:tc>
        <w:tc>
          <w:tcPr>
            <w:tcW w:w="11970" w:type="dxa"/>
            <w:gridSpan w:val="6"/>
            <w:tcBorders>
              <w:left w:val="nil"/>
            </w:tcBorders>
            <w:shd w:val="clear" w:color="auto" w:fill="FFC000"/>
          </w:tcPr>
          <w:p w14:paraId="6B1B6BE1" w14:textId="77777777" w:rsidR="004B00F2" w:rsidRPr="00650A1C" w:rsidRDefault="004B00F2" w:rsidP="00AC5DF7">
            <w:pPr>
              <w:pStyle w:val="BodyText2"/>
              <w:rPr>
                <w:rFonts w:ascii="Times New Roman" w:hAnsi="Times New Roman" w:cs="Times New Roman"/>
                <w:b/>
                <w:sz w:val="22"/>
              </w:rPr>
            </w:pPr>
          </w:p>
        </w:tc>
      </w:tr>
      <w:tr w:rsidR="004B00F2" w:rsidRPr="00650A1C" w14:paraId="1439704D" w14:textId="77777777" w:rsidTr="00ED3E89">
        <w:trPr>
          <w:jc w:val="center"/>
        </w:trPr>
        <w:tc>
          <w:tcPr>
            <w:tcW w:w="15007" w:type="dxa"/>
            <w:gridSpan w:val="7"/>
          </w:tcPr>
          <w:p w14:paraId="15B9CEA6" w14:textId="77777777" w:rsidR="004B00F2" w:rsidRPr="00650A1C" w:rsidRDefault="004B00F2" w:rsidP="00AC5DF7">
            <w:pPr>
              <w:pStyle w:val="BodyText2"/>
              <w:rPr>
                <w:rFonts w:ascii="Times New Roman" w:hAnsi="Times New Roman" w:cs="Times New Roman"/>
                <w:b/>
                <w:sz w:val="22"/>
              </w:rPr>
            </w:pPr>
            <w:r w:rsidRPr="00650A1C">
              <w:rPr>
                <w:rFonts w:ascii="Times New Roman" w:hAnsi="Times New Roman" w:cs="Times New Roman"/>
                <w:b/>
                <w:sz w:val="22"/>
              </w:rPr>
              <w:t>Country name: Haiti</w:t>
            </w:r>
          </w:p>
        </w:tc>
      </w:tr>
      <w:tr w:rsidR="004B00F2" w:rsidRPr="00650A1C" w14:paraId="68273F64" w14:textId="77777777" w:rsidTr="00ED3E89">
        <w:trPr>
          <w:jc w:val="center"/>
        </w:trPr>
        <w:tc>
          <w:tcPr>
            <w:tcW w:w="15007" w:type="dxa"/>
            <w:gridSpan w:val="7"/>
          </w:tcPr>
          <w:p w14:paraId="7A960413" w14:textId="77777777" w:rsidR="004B00F2" w:rsidRPr="00650A1C" w:rsidRDefault="004B00F2" w:rsidP="00AC5DF7">
            <w:pPr>
              <w:pStyle w:val="BodyText2"/>
              <w:rPr>
                <w:rFonts w:ascii="Times New Roman" w:hAnsi="Times New Roman" w:cs="Times New Roman"/>
                <w:b/>
                <w:sz w:val="22"/>
              </w:rPr>
            </w:pPr>
            <w:r w:rsidRPr="00650A1C">
              <w:rPr>
                <w:rFonts w:ascii="Times New Roman" w:hAnsi="Times New Roman" w:cs="Times New Roman"/>
                <w:b/>
                <w:sz w:val="22"/>
              </w:rPr>
              <w:t>Current country programme period: 2013-2016</w:t>
            </w:r>
          </w:p>
        </w:tc>
      </w:tr>
      <w:tr w:rsidR="004B00F2" w:rsidRPr="00650A1C" w14:paraId="289E5720" w14:textId="77777777" w:rsidTr="00ED3E89">
        <w:trPr>
          <w:jc w:val="center"/>
        </w:trPr>
        <w:tc>
          <w:tcPr>
            <w:tcW w:w="3037" w:type="dxa"/>
          </w:tcPr>
          <w:p w14:paraId="44B7CE26" w14:textId="77777777" w:rsidR="004B00F2" w:rsidRPr="00650A1C" w:rsidRDefault="004B00F2" w:rsidP="00AC5DF7">
            <w:pPr>
              <w:pStyle w:val="BodyText2"/>
              <w:rPr>
                <w:rFonts w:ascii="Times New Roman" w:hAnsi="Times New Roman" w:cs="Times New Roman"/>
                <w:b/>
                <w:sz w:val="22"/>
              </w:rPr>
            </w:pPr>
            <w:r w:rsidRPr="00650A1C">
              <w:rPr>
                <w:rFonts w:ascii="Times New Roman" w:hAnsi="Times New Roman" w:cs="Times New Roman"/>
                <w:b/>
                <w:sz w:val="22"/>
              </w:rPr>
              <w:t>Outcomes</w:t>
            </w:r>
          </w:p>
        </w:tc>
        <w:tc>
          <w:tcPr>
            <w:tcW w:w="2250" w:type="dxa"/>
            <w:gridSpan w:val="2"/>
            <w:shd w:val="clear" w:color="auto" w:fill="auto"/>
          </w:tcPr>
          <w:p w14:paraId="5A6C5415" w14:textId="07C1B046" w:rsidR="004B00F2" w:rsidRPr="00650A1C" w:rsidRDefault="004B00F2" w:rsidP="00AC5DF7">
            <w:pPr>
              <w:pStyle w:val="BodyText2"/>
              <w:rPr>
                <w:rFonts w:ascii="Times New Roman" w:hAnsi="Times New Roman" w:cs="Times New Roman"/>
                <w:b/>
                <w:sz w:val="22"/>
              </w:rPr>
            </w:pPr>
            <w:r w:rsidRPr="00650A1C">
              <w:rPr>
                <w:rFonts w:ascii="Times New Roman" w:hAnsi="Times New Roman" w:cs="Times New Roman"/>
                <w:b/>
                <w:sz w:val="22"/>
              </w:rPr>
              <w:t>Total Expenditure</w:t>
            </w:r>
            <w:r w:rsidR="00F93511">
              <w:rPr>
                <w:rFonts w:ascii="Times New Roman" w:hAnsi="Times New Roman" w:cs="Times New Roman"/>
                <w:b/>
                <w:sz w:val="22"/>
              </w:rPr>
              <w:t xml:space="preserve"> </w:t>
            </w:r>
            <w:r w:rsidR="00F93511" w:rsidRPr="00F93511">
              <w:rPr>
                <w:rFonts w:ascii="Times New Roman" w:hAnsi="Times New Roman" w:cs="Times New Roman"/>
                <w:sz w:val="22"/>
              </w:rPr>
              <w:t>(millions USD)</w:t>
            </w:r>
          </w:p>
        </w:tc>
        <w:tc>
          <w:tcPr>
            <w:tcW w:w="3960" w:type="dxa"/>
            <w:gridSpan w:val="3"/>
            <w:tcBorders>
              <w:left w:val="single" w:sz="4" w:space="0" w:color="auto"/>
            </w:tcBorders>
          </w:tcPr>
          <w:p w14:paraId="08E28006" w14:textId="77777777" w:rsidR="004B00F2" w:rsidRPr="00650A1C" w:rsidRDefault="004B00F2" w:rsidP="00AC5DF7">
            <w:pPr>
              <w:pStyle w:val="BodyText2"/>
              <w:rPr>
                <w:rFonts w:ascii="Times New Roman" w:hAnsi="Times New Roman" w:cs="Times New Roman"/>
                <w:b/>
                <w:sz w:val="22"/>
              </w:rPr>
            </w:pPr>
            <w:r w:rsidRPr="00650A1C">
              <w:rPr>
                <w:rFonts w:ascii="Times New Roman" w:hAnsi="Times New Roman" w:cs="Times New Roman"/>
                <w:b/>
                <w:sz w:val="22"/>
              </w:rPr>
              <w:t xml:space="preserve">Key Indicators of outcome </w:t>
            </w:r>
          </w:p>
        </w:tc>
        <w:tc>
          <w:tcPr>
            <w:tcW w:w="5760" w:type="dxa"/>
          </w:tcPr>
          <w:p w14:paraId="74562A36" w14:textId="77777777" w:rsidR="004B00F2" w:rsidRPr="00650A1C" w:rsidRDefault="004B00F2" w:rsidP="00AC5DF7">
            <w:pPr>
              <w:pStyle w:val="BodyText2"/>
              <w:rPr>
                <w:rFonts w:ascii="Times New Roman" w:hAnsi="Times New Roman" w:cs="Times New Roman"/>
                <w:b/>
                <w:sz w:val="22"/>
              </w:rPr>
            </w:pPr>
            <w:r w:rsidRPr="00650A1C">
              <w:rPr>
                <w:rFonts w:ascii="Times New Roman" w:hAnsi="Times New Roman" w:cs="Times New Roman"/>
                <w:b/>
                <w:sz w:val="22"/>
              </w:rPr>
              <w:t>Progress made against key indicators</w:t>
            </w:r>
          </w:p>
        </w:tc>
      </w:tr>
      <w:tr w:rsidR="004B00F2" w:rsidRPr="009F39AA" w14:paraId="1B718D71" w14:textId="77777777" w:rsidTr="00ED3E89">
        <w:trPr>
          <w:jc w:val="center"/>
        </w:trPr>
        <w:tc>
          <w:tcPr>
            <w:tcW w:w="3037" w:type="dxa"/>
            <w:tcBorders>
              <w:bottom w:val="single" w:sz="4" w:space="0" w:color="auto"/>
            </w:tcBorders>
            <w:shd w:val="clear" w:color="auto" w:fill="95B3D7" w:themeFill="accent1" w:themeFillTint="99"/>
          </w:tcPr>
          <w:p w14:paraId="5D8123B1" w14:textId="77777777" w:rsidR="004B00F2" w:rsidRPr="00650A1C" w:rsidRDefault="004B00F2" w:rsidP="00AC5DF7">
            <w:pPr>
              <w:pStyle w:val="BodyText2"/>
              <w:rPr>
                <w:rFonts w:ascii="Times New Roman" w:hAnsi="Times New Roman" w:cs="Times New Roman"/>
                <w:b/>
                <w:sz w:val="22"/>
                <w:lang w:val="fr-FR"/>
              </w:rPr>
            </w:pPr>
            <w:r w:rsidRPr="00650A1C">
              <w:rPr>
                <w:rFonts w:ascii="Times New Roman" w:hAnsi="Times New Roman" w:cs="Times New Roman"/>
                <w:b/>
                <w:sz w:val="22"/>
                <w:lang w:val="fr-FR"/>
              </w:rPr>
              <w:t>1. Des mécanismes d'aménagement favorisant la production d'un habitat décent et sûr pour tous sont en place et mis en œuvre.</w:t>
            </w:r>
          </w:p>
        </w:tc>
        <w:tc>
          <w:tcPr>
            <w:tcW w:w="2250" w:type="dxa"/>
            <w:gridSpan w:val="2"/>
            <w:tcBorders>
              <w:bottom w:val="single" w:sz="4" w:space="0" w:color="auto"/>
            </w:tcBorders>
            <w:shd w:val="clear" w:color="auto" w:fill="auto"/>
          </w:tcPr>
          <w:p w14:paraId="3E431890" w14:textId="19B2D948" w:rsidR="004B00F2" w:rsidRPr="00650A1C" w:rsidRDefault="004B00F2" w:rsidP="00AC5DF7">
            <w:pPr>
              <w:pStyle w:val="BodyText2"/>
              <w:rPr>
                <w:rFonts w:ascii="Times New Roman" w:hAnsi="Times New Roman" w:cs="Times New Roman"/>
                <w:sz w:val="22"/>
              </w:rPr>
            </w:pPr>
            <w:r w:rsidRPr="00650A1C">
              <w:rPr>
                <w:rFonts w:ascii="Times New Roman" w:hAnsi="Times New Roman" w:cs="Times New Roman"/>
                <w:sz w:val="22"/>
              </w:rPr>
              <w:t>Regular: $ 6</w:t>
            </w:r>
            <w:r w:rsidR="00F93511">
              <w:rPr>
                <w:rFonts w:ascii="Times New Roman" w:hAnsi="Times New Roman" w:cs="Times New Roman"/>
                <w:sz w:val="22"/>
              </w:rPr>
              <w:t xml:space="preserve">.95 </w:t>
            </w:r>
          </w:p>
          <w:p w14:paraId="2F122F4B" w14:textId="2E574B48" w:rsidR="004B00F2" w:rsidRPr="00650A1C" w:rsidRDefault="004B00F2" w:rsidP="00F93511">
            <w:pPr>
              <w:pStyle w:val="BodyText2"/>
              <w:rPr>
                <w:rFonts w:ascii="Times New Roman" w:hAnsi="Times New Roman" w:cs="Times New Roman"/>
                <w:sz w:val="22"/>
              </w:rPr>
            </w:pPr>
            <w:r w:rsidRPr="00650A1C">
              <w:rPr>
                <w:rFonts w:ascii="Times New Roman" w:hAnsi="Times New Roman" w:cs="Times New Roman"/>
                <w:sz w:val="22"/>
              </w:rPr>
              <w:t>Other  : $</w:t>
            </w:r>
            <w:r w:rsidR="00F93511">
              <w:rPr>
                <w:rFonts w:ascii="Times New Roman" w:hAnsi="Times New Roman" w:cs="Times New Roman"/>
                <w:sz w:val="22"/>
              </w:rPr>
              <w:t>26.29</w:t>
            </w:r>
          </w:p>
        </w:tc>
        <w:tc>
          <w:tcPr>
            <w:tcW w:w="3960" w:type="dxa"/>
            <w:gridSpan w:val="3"/>
            <w:tcBorders>
              <w:left w:val="single" w:sz="4" w:space="0" w:color="auto"/>
              <w:bottom w:val="single" w:sz="4" w:space="0" w:color="auto"/>
            </w:tcBorders>
          </w:tcPr>
          <w:p w14:paraId="67AD280F" w14:textId="77777777" w:rsidR="004B00F2" w:rsidRPr="00650A1C" w:rsidRDefault="004B00F2" w:rsidP="00AC5DF7">
            <w:pPr>
              <w:pStyle w:val="BodyText2"/>
              <w:numPr>
                <w:ilvl w:val="0"/>
                <w:numId w:val="13"/>
              </w:numPr>
              <w:rPr>
                <w:rFonts w:ascii="Times New Roman" w:hAnsi="Times New Roman" w:cs="Times New Roman"/>
                <w:i/>
                <w:sz w:val="22"/>
                <w:lang w:val="fr-FR"/>
              </w:rPr>
            </w:pPr>
            <w:r w:rsidRPr="00650A1C">
              <w:rPr>
                <w:rFonts w:ascii="Times New Roman" w:hAnsi="Times New Roman" w:cs="Times New Roman"/>
                <w:sz w:val="22"/>
                <w:lang w:val="fr-FR"/>
              </w:rPr>
              <w:t>Déficits de logement (en nombre d’unité).</w:t>
            </w:r>
          </w:p>
          <w:p w14:paraId="78E6C327" w14:textId="77777777" w:rsidR="004B00F2" w:rsidRPr="00650A1C" w:rsidRDefault="004B00F2" w:rsidP="00AC5DF7">
            <w:pPr>
              <w:pStyle w:val="BodyText2"/>
              <w:numPr>
                <w:ilvl w:val="0"/>
                <w:numId w:val="13"/>
              </w:numPr>
              <w:rPr>
                <w:rFonts w:ascii="Times New Roman" w:hAnsi="Times New Roman" w:cs="Times New Roman"/>
                <w:i/>
                <w:sz w:val="22"/>
                <w:lang w:val="fr-FR"/>
              </w:rPr>
            </w:pPr>
            <w:r w:rsidRPr="00650A1C">
              <w:rPr>
                <w:rFonts w:ascii="Times New Roman" w:hAnsi="Times New Roman" w:cs="Times New Roman"/>
                <w:sz w:val="22"/>
                <w:lang w:val="fr-FR"/>
              </w:rPr>
              <w:t>Directives et mandats pour l’application des politiques de logement, de relèvement et de développement urbain</w:t>
            </w:r>
          </w:p>
        </w:tc>
        <w:tc>
          <w:tcPr>
            <w:tcW w:w="5760" w:type="dxa"/>
            <w:tcBorders>
              <w:bottom w:val="single" w:sz="4" w:space="0" w:color="auto"/>
            </w:tcBorders>
            <w:shd w:val="clear" w:color="auto" w:fill="auto"/>
          </w:tcPr>
          <w:p w14:paraId="47D9AB19" w14:textId="77777777" w:rsidR="004B00F2" w:rsidRPr="00650A1C" w:rsidRDefault="004B00F2" w:rsidP="004B00F2">
            <w:pPr>
              <w:pStyle w:val="BodyText2"/>
              <w:numPr>
                <w:ilvl w:val="0"/>
                <w:numId w:val="25"/>
              </w:numPr>
              <w:rPr>
                <w:rFonts w:ascii="Times New Roman" w:hAnsi="Times New Roman" w:cs="Times New Roman"/>
                <w:i/>
                <w:sz w:val="22"/>
                <w:lang w:val="fr-FR"/>
              </w:rPr>
            </w:pPr>
            <w:r w:rsidRPr="00650A1C">
              <w:rPr>
                <w:rFonts w:ascii="Times New Roman" w:hAnsi="Times New Roman" w:cs="Times New Roman"/>
                <w:i/>
                <w:sz w:val="22"/>
                <w:lang w:val="fr-FR"/>
              </w:rPr>
              <w:t>670,000 avec le déficit national de logement réduit de 30,000 unités.</w:t>
            </w:r>
          </w:p>
          <w:p w14:paraId="0485C8B5" w14:textId="77777777" w:rsidR="004B00F2" w:rsidRPr="00650A1C" w:rsidRDefault="004B00F2" w:rsidP="004B00F2">
            <w:pPr>
              <w:pStyle w:val="BodyText2"/>
              <w:numPr>
                <w:ilvl w:val="0"/>
                <w:numId w:val="25"/>
              </w:numPr>
              <w:rPr>
                <w:rFonts w:ascii="Times New Roman" w:hAnsi="Times New Roman" w:cs="Times New Roman"/>
                <w:i/>
                <w:sz w:val="22"/>
                <w:lang w:val="fr-FR"/>
              </w:rPr>
            </w:pPr>
            <w:r w:rsidRPr="00650A1C">
              <w:rPr>
                <w:rFonts w:ascii="Times New Roman" w:hAnsi="Times New Roman" w:cs="Times New Roman"/>
                <w:i/>
                <w:sz w:val="22"/>
                <w:lang w:val="fr-FR"/>
              </w:rPr>
              <w:t>30 cahiers des charges/directives sont préparés en appui à l’Unité de Construction, de Logements et de Bâtiments Publics (UCLBP), validés et diffuées auprès des ministères sectoriels et des acteurs de la reconstruction.</w:t>
            </w:r>
          </w:p>
        </w:tc>
      </w:tr>
      <w:tr w:rsidR="004B00F2" w:rsidRPr="009F39AA" w14:paraId="2925BA49" w14:textId="77777777" w:rsidTr="00ED3E89">
        <w:trPr>
          <w:jc w:val="center"/>
        </w:trPr>
        <w:tc>
          <w:tcPr>
            <w:tcW w:w="15007" w:type="dxa"/>
            <w:gridSpan w:val="7"/>
          </w:tcPr>
          <w:p w14:paraId="6E4BD8AD" w14:textId="77777777" w:rsidR="004B00F2" w:rsidRPr="00650A1C" w:rsidRDefault="004B00F2" w:rsidP="00AC5DF7">
            <w:pPr>
              <w:pStyle w:val="BodyText2"/>
              <w:spacing w:before="120" w:after="120"/>
              <w:jc w:val="both"/>
              <w:rPr>
                <w:rFonts w:ascii="Times New Roman" w:hAnsi="Times New Roman" w:cs="Times New Roman"/>
                <w:b/>
                <w:sz w:val="22"/>
              </w:rPr>
            </w:pPr>
            <w:r w:rsidRPr="00650A1C">
              <w:rPr>
                <w:rFonts w:ascii="Times New Roman" w:hAnsi="Times New Roman" w:cs="Times New Roman"/>
                <w:b/>
                <w:sz w:val="22"/>
              </w:rPr>
              <w:t>UNDP Contribution</w:t>
            </w:r>
          </w:p>
          <w:p w14:paraId="6EC460A0" w14:textId="77777777" w:rsidR="004B00F2" w:rsidRPr="00650A1C" w:rsidRDefault="004B00F2" w:rsidP="00AC5DF7">
            <w:pPr>
              <w:pStyle w:val="BodyText2"/>
              <w:spacing w:before="120" w:after="120"/>
              <w:jc w:val="both"/>
              <w:rPr>
                <w:rFonts w:ascii="Times New Roman" w:hAnsi="Times New Roman" w:cs="Times New Roman"/>
                <w:sz w:val="22"/>
              </w:rPr>
            </w:pPr>
            <w:r w:rsidRPr="00650A1C">
              <w:rPr>
                <w:rFonts w:ascii="Times New Roman" w:hAnsi="Times New Roman" w:cs="Times New Roman"/>
                <w:sz w:val="22"/>
                <w:u w:val="single"/>
              </w:rPr>
              <w:t>CP Outputs</w:t>
            </w:r>
            <w:r w:rsidRPr="00650A1C">
              <w:rPr>
                <w:rFonts w:ascii="Times New Roman" w:hAnsi="Times New Roman" w:cs="Times New Roman"/>
                <w:sz w:val="22"/>
              </w:rPr>
              <w:t xml:space="preserve">: </w:t>
            </w:r>
          </w:p>
          <w:p w14:paraId="7EBBDD05" w14:textId="77777777" w:rsidR="004B00F2" w:rsidRPr="00650A1C" w:rsidRDefault="004B00F2" w:rsidP="004B00F2">
            <w:pPr>
              <w:pStyle w:val="ListParagraph"/>
              <w:numPr>
                <w:ilvl w:val="0"/>
                <w:numId w:val="24"/>
              </w:numPr>
              <w:contextualSpacing w:val="0"/>
              <w:rPr>
                <w:rFonts w:ascii="Times New Roman" w:hAnsi="Times New Roman" w:cs="Times New Roman"/>
                <w:lang w:val="fr-FR"/>
              </w:rPr>
            </w:pPr>
            <w:r w:rsidRPr="00650A1C">
              <w:rPr>
                <w:rFonts w:ascii="Times New Roman" w:hAnsi="Times New Roman" w:cs="Times New Roman"/>
                <w:lang w:val="fr-FR"/>
              </w:rPr>
              <w:t xml:space="preserve">Les capacités du Gouvernement de définir et mettre en œuvre des stratégies sensibles au genre pour le logement et la réhabilitation des quartiers sont renforcées.   </w:t>
            </w:r>
          </w:p>
          <w:p w14:paraId="081B159C" w14:textId="77777777" w:rsidR="004B00F2" w:rsidRPr="00650A1C" w:rsidRDefault="004B00F2" w:rsidP="004B00F2">
            <w:pPr>
              <w:pStyle w:val="ListParagraph"/>
              <w:numPr>
                <w:ilvl w:val="0"/>
                <w:numId w:val="24"/>
              </w:numPr>
              <w:contextualSpacing w:val="0"/>
              <w:rPr>
                <w:rFonts w:ascii="Times New Roman" w:hAnsi="Times New Roman" w:cs="Times New Roman"/>
                <w:lang w:val="fr-FR"/>
              </w:rPr>
            </w:pPr>
            <w:r w:rsidRPr="00650A1C">
              <w:rPr>
                <w:rFonts w:ascii="Times New Roman" w:hAnsi="Times New Roman" w:cs="Times New Roman"/>
                <w:lang w:val="fr-FR"/>
              </w:rPr>
              <w:t xml:space="preserve">Outils d’analyse pour la réduction de la pauvreté développés.   </w:t>
            </w:r>
          </w:p>
          <w:p w14:paraId="1218C0D7" w14:textId="77777777" w:rsidR="004B00F2" w:rsidRPr="00650A1C" w:rsidRDefault="004B00F2" w:rsidP="004B00F2">
            <w:pPr>
              <w:pStyle w:val="ListParagraph"/>
              <w:numPr>
                <w:ilvl w:val="0"/>
                <w:numId w:val="24"/>
              </w:numPr>
              <w:contextualSpacing w:val="0"/>
              <w:rPr>
                <w:rFonts w:ascii="Times New Roman" w:hAnsi="Times New Roman" w:cs="Times New Roman"/>
                <w:lang w:val="fr-FR"/>
              </w:rPr>
            </w:pPr>
            <w:r w:rsidRPr="00650A1C">
              <w:rPr>
                <w:rFonts w:ascii="Times New Roman" w:hAnsi="Times New Roman" w:cs="Times New Roman"/>
                <w:lang w:val="fr-FR"/>
              </w:rPr>
              <w:t>Les capacités du gouvernement de définir et mettre en œuvre des stratégies favorisant l’emploi durable sensible au genre sont renforcées.</w:t>
            </w:r>
            <w:r w:rsidRPr="00650A1C">
              <w:rPr>
                <w:rFonts w:ascii="Times New Roman" w:hAnsi="Times New Roman" w:cs="Times New Roman"/>
                <w:u w:val="single"/>
                <w:lang w:val="fr-FR"/>
              </w:rPr>
              <w:t xml:space="preserve"> </w:t>
            </w:r>
          </w:p>
          <w:p w14:paraId="6B75AE19" w14:textId="77777777" w:rsidR="007D7006" w:rsidRPr="00650A1C" w:rsidRDefault="007D7006" w:rsidP="007D7006">
            <w:pPr>
              <w:pStyle w:val="BodyText2"/>
              <w:spacing w:before="120" w:after="120"/>
              <w:jc w:val="both"/>
              <w:rPr>
                <w:rFonts w:ascii="Times New Roman" w:hAnsi="Times New Roman" w:cs="Times New Roman"/>
                <w:sz w:val="22"/>
                <w:u w:val="single"/>
                <w:lang w:val="fr-FR"/>
              </w:rPr>
            </w:pPr>
            <w:r>
              <w:rPr>
                <w:rFonts w:ascii="Times New Roman" w:hAnsi="Times New Roman" w:cs="Times New Roman"/>
                <w:sz w:val="22"/>
                <w:u w:val="single"/>
                <w:lang w:val="fr-FR"/>
              </w:rPr>
              <w:t xml:space="preserve">Progrès et résultats </w:t>
            </w:r>
            <w:r w:rsidRPr="00650A1C">
              <w:rPr>
                <w:rFonts w:ascii="Times New Roman" w:hAnsi="Times New Roman" w:cs="Times New Roman"/>
                <w:sz w:val="22"/>
                <w:u w:val="single"/>
                <w:lang w:val="fr-FR"/>
              </w:rPr>
              <w:t xml:space="preserve">: </w:t>
            </w:r>
          </w:p>
          <w:p w14:paraId="613A5CA7" w14:textId="0BFAEF19" w:rsidR="004B00F2" w:rsidRDefault="004B00F2" w:rsidP="00AC5DF7">
            <w:pPr>
              <w:spacing w:after="120"/>
              <w:jc w:val="both"/>
              <w:rPr>
                <w:rFonts w:ascii="Times New Roman" w:hAnsi="Times New Roman" w:cs="Times New Roman"/>
                <w:lang w:val="fr-HT"/>
              </w:rPr>
            </w:pPr>
            <w:r w:rsidRPr="00650A1C">
              <w:rPr>
                <w:rFonts w:ascii="Times New Roman" w:hAnsi="Times New Roman" w:cs="Times New Roman"/>
                <w:lang w:val="fr-FR"/>
              </w:rPr>
              <w:t>S</w:t>
            </w:r>
            <w:r w:rsidRPr="00650A1C">
              <w:rPr>
                <w:rFonts w:ascii="Times New Roman" w:hAnsi="Times New Roman" w:cs="Times New Roman"/>
                <w:lang w:val="fr-HT"/>
              </w:rPr>
              <w:t xml:space="preserve">uite au tremblement de terre de 2010, le gouvernement s’est doté de sa première Politique nationale du logement et de l'habitat (PNLH), élaborée par l’Unité de Construction de Logement et de Bâtiments Publics (UCLBP) avec l’accompagnement technique spécialisé du PNUD. Cet accompagnement a aussi permis l'élaboration des méthodologies pour la création d’espaces publics et pour l'aménagement des quartiers précaires dans la zone métropolitaine de Port au Prince, permettant une réponse à des causes structurelles qui limitent l’accès à un logement digne. Cette politique nationale du logement est d’autant plus importante que selon les rapports de l'UCLBP environ 70% de la population de Port-au-Prince vit dans des quartiers précaires, que le déficit est de l’ordre de 700,000 logements et que 3,5MM de personnes (1/3 de la population) n'ont pas un logement approprié. Pendant la période du Programme pays, le PNUD a continué à appuyer les différentes initiatives de reconstruction coordonnées par le Gouvernement permettant ainsi à plus de 13,000 familles de recevoir une solution de logement décent et de fournir des espaces publics à la population urbaine, </w:t>
            </w:r>
            <w:r w:rsidR="00076472" w:rsidRPr="00650A1C">
              <w:rPr>
                <w:rFonts w:ascii="Times New Roman" w:hAnsi="Times New Roman" w:cs="Times New Roman"/>
                <w:lang w:val="fr-HT"/>
              </w:rPr>
              <w:t>l’UCBP a continué à appliquer la méthodologie qu’elle avait développée avec l’appui du PNUD.</w:t>
            </w:r>
            <w:r w:rsidRPr="00650A1C">
              <w:rPr>
                <w:rFonts w:ascii="Times New Roman" w:hAnsi="Times New Roman" w:cs="Times New Roman"/>
                <w:lang w:val="fr-HT"/>
              </w:rPr>
              <w:t xml:space="preserve"> </w:t>
            </w:r>
          </w:p>
          <w:p w14:paraId="170154FA" w14:textId="5E885C2F" w:rsidR="00FC45FD" w:rsidRPr="00FC45FD" w:rsidRDefault="004B00F2" w:rsidP="00FC45FD">
            <w:pPr>
              <w:rPr>
                <w:rFonts w:ascii="Times New Roman" w:hAnsi="Times New Roman" w:cs="Times New Roman"/>
                <w:lang w:val="fr-HT"/>
              </w:rPr>
            </w:pPr>
            <w:r w:rsidRPr="00650A1C">
              <w:rPr>
                <w:rFonts w:ascii="Times New Roman" w:hAnsi="Times New Roman" w:cs="Times New Roman"/>
                <w:lang w:val="fr-HT"/>
              </w:rPr>
              <w:t>De plus, le PNUD a œuvré en faveur d’une croissance économique inclusive et la compétitivité du secteur productif national, avec un accent sur le renforcement des microentreprises et les chaines de valeurs</w:t>
            </w:r>
            <w:r w:rsidR="00FC45FD">
              <w:rPr>
                <w:rFonts w:ascii="Times New Roman" w:hAnsi="Times New Roman" w:cs="Times New Roman"/>
                <w:lang w:val="fr-HT"/>
              </w:rPr>
              <w:t>. En particulier, le PNUD a appuyé l’</w:t>
            </w:r>
            <w:r w:rsidR="008C3258">
              <w:rPr>
                <w:rFonts w:ascii="Times New Roman" w:hAnsi="Times New Roman" w:cs="Times New Roman"/>
                <w:lang w:val="fr-FR"/>
              </w:rPr>
              <w:t>élaboration</w:t>
            </w:r>
            <w:r w:rsidR="00FC45FD">
              <w:rPr>
                <w:rFonts w:ascii="Times New Roman" w:hAnsi="Times New Roman" w:cs="Times New Roman"/>
                <w:lang w:val="fr-FR"/>
              </w:rPr>
              <w:t xml:space="preserve"> de la Politique de PMEs, le Plan Stratégique du Ministère du Commerce et le </w:t>
            </w:r>
            <w:r w:rsidR="008C3258">
              <w:rPr>
                <w:rFonts w:ascii="Times New Roman" w:hAnsi="Times New Roman" w:cs="Times New Roman"/>
                <w:lang w:val="fr-FR"/>
              </w:rPr>
              <w:t>développement</w:t>
            </w:r>
            <w:r w:rsidR="00FC45FD">
              <w:rPr>
                <w:rFonts w:ascii="Times New Roman" w:hAnsi="Times New Roman" w:cs="Times New Roman"/>
                <w:lang w:val="fr-FR"/>
              </w:rPr>
              <w:t xml:space="preserve"> du Catalogue des Produits Typiques. </w:t>
            </w:r>
            <w:r w:rsidRPr="00650A1C">
              <w:rPr>
                <w:rFonts w:ascii="Times New Roman" w:hAnsi="Times New Roman" w:cs="Times New Roman"/>
                <w:lang w:val="fr-HT"/>
              </w:rPr>
              <w:t xml:space="preserve">Ainsi, </w:t>
            </w:r>
            <w:r w:rsidR="00931A3E">
              <w:rPr>
                <w:rFonts w:ascii="Times New Roman" w:hAnsi="Times New Roman" w:cs="Times New Roman"/>
                <w:lang w:val="fr-HT"/>
              </w:rPr>
              <w:t>900</w:t>
            </w:r>
            <w:r w:rsidR="00931A3E" w:rsidRPr="00650A1C">
              <w:rPr>
                <w:rFonts w:ascii="Times New Roman" w:hAnsi="Times New Roman" w:cs="Times New Roman"/>
                <w:lang w:val="fr-HT"/>
              </w:rPr>
              <w:t xml:space="preserve"> </w:t>
            </w:r>
            <w:r w:rsidRPr="00650A1C">
              <w:rPr>
                <w:rFonts w:ascii="Times New Roman" w:hAnsi="Times New Roman" w:cs="Times New Roman"/>
                <w:lang w:val="fr-HT"/>
              </w:rPr>
              <w:t xml:space="preserve">microentreprises ont été renforcées à travers la formation, la facilitation de l’accès au crédit et la concrétisation de projets économiques mettant l’emphase sur les femmes et les jeunes des quartiers les plus vulnérables. Le Ministère du </w:t>
            </w:r>
            <w:r w:rsidRPr="00650A1C">
              <w:rPr>
                <w:rFonts w:ascii="Times New Roman" w:hAnsi="Times New Roman" w:cs="Times New Roman"/>
                <w:lang w:val="fr-HT"/>
              </w:rPr>
              <w:lastRenderedPageBreak/>
              <w:t>Commerce et de l’Industrie a pu renforcer 5 chaines de valeur et 20 entreprises avec l’accompagnement technique et financier du PNUD. Par ailleurs, le Gouvernement est maintenant doté d’un rapport sur les Objectifs du millénaire publié en 2014 avec l’appui du PNUD, permettant une meilleure planification des programmes de développement</w:t>
            </w:r>
            <w:r w:rsidR="00FC45FD">
              <w:rPr>
                <w:rFonts w:ascii="Times New Roman" w:hAnsi="Times New Roman" w:cs="Times New Roman"/>
                <w:lang w:val="fr-HT"/>
              </w:rPr>
              <w:t>.</w:t>
            </w:r>
          </w:p>
        </w:tc>
      </w:tr>
      <w:tr w:rsidR="004B00F2" w:rsidRPr="00650A1C" w14:paraId="24CFF266" w14:textId="77777777" w:rsidTr="00ED3E89">
        <w:trPr>
          <w:jc w:val="center"/>
        </w:trPr>
        <w:tc>
          <w:tcPr>
            <w:tcW w:w="3577" w:type="dxa"/>
            <w:gridSpan w:val="2"/>
          </w:tcPr>
          <w:p w14:paraId="27685697" w14:textId="77777777" w:rsidR="004B00F2" w:rsidRPr="00650A1C" w:rsidRDefault="004B00F2" w:rsidP="00AC5DF7">
            <w:pPr>
              <w:pStyle w:val="BodyText2"/>
              <w:rPr>
                <w:rFonts w:ascii="Times New Roman" w:hAnsi="Times New Roman" w:cs="Times New Roman"/>
                <w:b/>
                <w:sz w:val="22"/>
              </w:rPr>
            </w:pPr>
            <w:r w:rsidRPr="00650A1C">
              <w:rPr>
                <w:rFonts w:ascii="Times New Roman" w:hAnsi="Times New Roman" w:cs="Times New Roman"/>
                <w:b/>
                <w:sz w:val="22"/>
              </w:rPr>
              <w:lastRenderedPageBreak/>
              <w:t>Outcomes</w:t>
            </w:r>
          </w:p>
        </w:tc>
        <w:tc>
          <w:tcPr>
            <w:tcW w:w="2160" w:type="dxa"/>
            <w:gridSpan w:val="2"/>
            <w:shd w:val="clear" w:color="auto" w:fill="auto"/>
          </w:tcPr>
          <w:p w14:paraId="7703FCB1" w14:textId="77777777" w:rsidR="004B00F2" w:rsidRDefault="004B00F2" w:rsidP="00AC5DF7">
            <w:pPr>
              <w:pStyle w:val="BodyText2"/>
              <w:rPr>
                <w:rFonts w:ascii="Times New Roman" w:hAnsi="Times New Roman" w:cs="Times New Roman"/>
                <w:b/>
                <w:sz w:val="22"/>
              </w:rPr>
            </w:pPr>
            <w:r w:rsidRPr="00650A1C">
              <w:rPr>
                <w:rFonts w:ascii="Times New Roman" w:hAnsi="Times New Roman" w:cs="Times New Roman"/>
                <w:b/>
                <w:sz w:val="22"/>
              </w:rPr>
              <w:t>Total Expenditure</w:t>
            </w:r>
          </w:p>
          <w:p w14:paraId="68CEB10D" w14:textId="0ADACAF1" w:rsidR="00F93511" w:rsidRPr="00650A1C" w:rsidRDefault="00F93511" w:rsidP="00AC5DF7">
            <w:pPr>
              <w:pStyle w:val="BodyText2"/>
              <w:rPr>
                <w:rFonts w:ascii="Times New Roman" w:hAnsi="Times New Roman" w:cs="Times New Roman"/>
                <w:sz w:val="22"/>
              </w:rPr>
            </w:pPr>
            <w:r w:rsidRPr="00F93511">
              <w:rPr>
                <w:rFonts w:ascii="Times New Roman" w:hAnsi="Times New Roman" w:cs="Times New Roman"/>
                <w:sz w:val="22"/>
              </w:rPr>
              <w:t>(millions USD)</w:t>
            </w:r>
          </w:p>
        </w:tc>
        <w:tc>
          <w:tcPr>
            <w:tcW w:w="3240" w:type="dxa"/>
            <w:tcBorders>
              <w:left w:val="single" w:sz="4" w:space="0" w:color="auto"/>
            </w:tcBorders>
          </w:tcPr>
          <w:p w14:paraId="5C6B2387" w14:textId="77777777" w:rsidR="004B00F2" w:rsidRPr="00650A1C" w:rsidRDefault="004B00F2" w:rsidP="00AC5DF7">
            <w:pPr>
              <w:pStyle w:val="BodyText2"/>
              <w:ind w:left="360"/>
              <w:rPr>
                <w:rFonts w:ascii="Times New Roman" w:hAnsi="Times New Roman" w:cs="Times New Roman"/>
                <w:sz w:val="22"/>
              </w:rPr>
            </w:pPr>
            <w:r w:rsidRPr="00650A1C">
              <w:rPr>
                <w:rFonts w:ascii="Times New Roman" w:hAnsi="Times New Roman" w:cs="Times New Roman"/>
                <w:b/>
                <w:sz w:val="22"/>
              </w:rPr>
              <w:t>Key Indicators of outcome</w:t>
            </w:r>
          </w:p>
        </w:tc>
        <w:tc>
          <w:tcPr>
            <w:tcW w:w="6030" w:type="dxa"/>
            <w:gridSpan w:val="2"/>
          </w:tcPr>
          <w:p w14:paraId="153EC9C9" w14:textId="77777777" w:rsidR="004B00F2" w:rsidRPr="00650A1C" w:rsidRDefault="004B00F2" w:rsidP="00AC5DF7">
            <w:pPr>
              <w:pStyle w:val="BodyText2"/>
              <w:ind w:left="360"/>
              <w:rPr>
                <w:rFonts w:ascii="Times New Roman" w:hAnsi="Times New Roman" w:cs="Times New Roman"/>
                <w:i/>
                <w:sz w:val="22"/>
              </w:rPr>
            </w:pPr>
            <w:r w:rsidRPr="00650A1C">
              <w:rPr>
                <w:rFonts w:ascii="Times New Roman" w:hAnsi="Times New Roman" w:cs="Times New Roman"/>
                <w:b/>
                <w:sz w:val="22"/>
              </w:rPr>
              <w:t>Progress made against key indicators</w:t>
            </w:r>
          </w:p>
        </w:tc>
      </w:tr>
      <w:tr w:rsidR="004B00F2" w:rsidRPr="009F39AA" w14:paraId="74DA0C21" w14:textId="77777777" w:rsidTr="00ED3E89">
        <w:trPr>
          <w:jc w:val="center"/>
        </w:trPr>
        <w:tc>
          <w:tcPr>
            <w:tcW w:w="3577" w:type="dxa"/>
            <w:gridSpan w:val="2"/>
            <w:shd w:val="clear" w:color="auto" w:fill="95B3D7" w:themeFill="accent1" w:themeFillTint="99"/>
          </w:tcPr>
          <w:p w14:paraId="5892E661" w14:textId="77777777" w:rsidR="004B00F2" w:rsidRPr="00650A1C" w:rsidRDefault="004B00F2" w:rsidP="00AC5DF7">
            <w:pPr>
              <w:rPr>
                <w:rFonts w:ascii="Times New Roman" w:hAnsi="Times New Roman" w:cs="Times New Roman"/>
                <w:color w:val="444444"/>
                <w:lang w:val="fr-FR"/>
              </w:rPr>
            </w:pPr>
            <w:r w:rsidRPr="00650A1C">
              <w:rPr>
                <w:rFonts w:ascii="Times New Roman" w:hAnsi="Times New Roman" w:cs="Times New Roman"/>
                <w:b/>
                <w:lang w:val="fr-FR"/>
              </w:rPr>
              <w:t>2. Les institutions nationales y compris celles responsables de l'état de droit, sont davantage renforcées afin de remplir les fonctions d'administration publique et de fournir les services de base.</w:t>
            </w:r>
          </w:p>
          <w:p w14:paraId="169D0157" w14:textId="77777777" w:rsidR="004B00F2" w:rsidRPr="00650A1C" w:rsidRDefault="004B00F2" w:rsidP="00AC5DF7">
            <w:pPr>
              <w:pStyle w:val="BodyText2"/>
              <w:rPr>
                <w:rFonts w:ascii="Times New Roman" w:hAnsi="Times New Roman" w:cs="Times New Roman"/>
                <w:b/>
                <w:sz w:val="22"/>
                <w:lang w:val="fr-FR"/>
              </w:rPr>
            </w:pPr>
          </w:p>
        </w:tc>
        <w:tc>
          <w:tcPr>
            <w:tcW w:w="2160" w:type="dxa"/>
            <w:gridSpan w:val="2"/>
            <w:shd w:val="clear" w:color="auto" w:fill="auto"/>
          </w:tcPr>
          <w:p w14:paraId="204921E0" w14:textId="5119A0CB" w:rsidR="004B00F2" w:rsidRPr="00650A1C" w:rsidRDefault="00F93511" w:rsidP="00AC5DF7">
            <w:pPr>
              <w:pStyle w:val="BodyText2"/>
              <w:rPr>
                <w:rFonts w:ascii="Times New Roman" w:hAnsi="Times New Roman" w:cs="Times New Roman"/>
                <w:sz w:val="22"/>
              </w:rPr>
            </w:pPr>
            <w:r>
              <w:rPr>
                <w:rFonts w:ascii="Times New Roman" w:hAnsi="Times New Roman" w:cs="Times New Roman"/>
                <w:sz w:val="22"/>
              </w:rPr>
              <w:t>Regular: $ 4.34</w:t>
            </w:r>
          </w:p>
          <w:p w14:paraId="30A55BDA" w14:textId="6EF8032C" w:rsidR="004B00F2" w:rsidRPr="00650A1C" w:rsidRDefault="004B00F2" w:rsidP="00AC5DF7">
            <w:pPr>
              <w:pStyle w:val="BodyText2"/>
              <w:rPr>
                <w:rFonts w:ascii="Times New Roman" w:hAnsi="Times New Roman" w:cs="Times New Roman"/>
                <w:sz w:val="22"/>
              </w:rPr>
            </w:pPr>
            <w:r w:rsidRPr="00650A1C">
              <w:rPr>
                <w:rFonts w:ascii="Times New Roman" w:hAnsi="Times New Roman" w:cs="Times New Roman"/>
                <w:sz w:val="22"/>
              </w:rPr>
              <w:t>Other  : $</w:t>
            </w:r>
            <w:r w:rsidR="00F93511">
              <w:rPr>
                <w:rFonts w:ascii="Times New Roman" w:hAnsi="Times New Roman" w:cs="Times New Roman"/>
                <w:sz w:val="22"/>
              </w:rPr>
              <w:t xml:space="preserve"> 75.93</w:t>
            </w:r>
          </w:p>
          <w:p w14:paraId="52C18CFE" w14:textId="77777777" w:rsidR="004B00F2" w:rsidRPr="00650A1C" w:rsidRDefault="004B00F2" w:rsidP="00AC5DF7">
            <w:pPr>
              <w:pStyle w:val="BodyText2"/>
              <w:rPr>
                <w:rFonts w:ascii="Times New Roman" w:hAnsi="Times New Roman" w:cs="Times New Roman"/>
                <w:sz w:val="22"/>
              </w:rPr>
            </w:pPr>
          </w:p>
        </w:tc>
        <w:tc>
          <w:tcPr>
            <w:tcW w:w="3240" w:type="dxa"/>
            <w:tcBorders>
              <w:left w:val="single" w:sz="4" w:space="0" w:color="auto"/>
            </w:tcBorders>
          </w:tcPr>
          <w:p w14:paraId="664ABB19" w14:textId="1B07202E" w:rsidR="004B00F2" w:rsidRPr="00E8144D" w:rsidRDefault="004B00F2" w:rsidP="00AC5DF7">
            <w:pPr>
              <w:pStyle w:val="BodyText2"/>
              <w:numPr>
                <w:ilvl w:val="0"/>
                <w:numId w:val="15"/>
              </w:numPr>
              <w:rPr>
                <w:rFonts w:ascii="Times New Roman" w:hAnsi="Times New Roman" w:cs="Times New Roman"/>
                <w:i/>
                <w:sz w:val="22"/>
                <w:lang w:val="fr-FR"/>
              </w:rPr>
            </w:pPr>
            <w:r w:rsidRPr="00E8144D">
              <w:rPr>
                <w:rFonts w:ascii="Times New Roman" w:hAnsi="Times New Roman" w:cs="Times New Roman"/>
                <w:i/>
                <w:sz w:val="22"/>
                <w:lang w:val="fr-FR"/>
              </w:rPr>
              <w:t>Pourcentage des résultats contestés effectivement jugés par le Conseil électoral provisoire (CEP)</w:t>
            </w:r>
          </w:p>
          <w:p w14:paraId="7B6A321D" w14:textId="0539DE21" w:rsidR="00E8144D" w:rsidRPr="00E8144D" w:rsidRDefault="00E8144D" w:rsidP="00E8144D">
            <w:pPr>
              <w:pStyle w:val="BodyText2"/>
              <w:rPr>
                <w:rFonts w:ascii="Times New Roman" w:hAnsi="Times New Roman" w:cs="Times New Roman"/>
                <w:i/>
                <w:sz w:val="22"/>
                <w:lang w:val="fr-FR"/>
              </w:rPr>
            </w:pPr>
          </w:p>
          <w:p w14:paraId="180B5150" w14:textId="1B66D3F9" w:rsidR="00E8144D" w:rsidRPr="00E8144D" w:rsidRDefault="00E8144D" w:rsidP="00E8144D">
            <w:pPr>
              <w:pStyle w:val="BodyText2"/>
              <w:rPr>
                <w:rFonts w:ascii="Times New Roman" w:hAnsi="Times New Roman" w:cs="Times New Roman"/>
                <w:i/>
                <w:sz w:val="22"/>
                <w:lang w:val="fr-FR"/>
              </w:rPr>
            </w:pPr>
          </w:p>
          <w:p w14:paraId="52DEC1DC" w14:textId="7F5D02B7" w:rsidR="00E8144D" w:rsidRPr="00E8144D" w:rsidRDefault="00E8144D" w:rsidP="00E8144D">
            <w:pPr>
              <w:pStyle w:val="BodyText2"/>
              <w:rPr>
                <w:rFonts w:ascii="Times New Roman" w:hAnsi="Times New Roman" w:cs="Times New Roman"/>
                <w:i/>
                <w:sz w:val="22"/>
                <w:lang w:val="fr-FR"/>
              </w:rPr>
            </w:pPr>
          </w:p>
          <w:p w14:paraId="2E3E2DF4" w14:textId="21263C2D" w:rsidR="00E8144D" w:rsidRPr="00E8144D" w:rsidRDefault="00E8144D" w:rsidP="00E8144D">
            <w:pPr>
              <w:pStyle w:val="BodyText2"/>
              <w:rPr>
                <w:rFonts w:ascii="Times New Roman" w:hAnsi="Times New Roman" w:cs="Times New Roman"/>
                <w:i/>
                <w:sz w:val="22"/>
                <w:lang w:val="fr-FR"/>
              </w:rPr>
            </w:pPr>
          </w:p>
          <w:p w14:paraId="52DF5786" w14:textId="59C91051" w:rsidR="00E8144D" w:rsidRPr="00E8144D" w:rsidRDefault="00E8144D" w:rsidP="00E8144D">
            <w:pPr>
              <w:pStyle w:val="BodyText2"/>
              <w:rPr>
                <w:rFonts w:ascii="Times New Roman" w:hAnsi="Times New Roman" w:cs="Times New Roman"/>
                <w:i/>
                <w:sz w:val="22"/>
                <w:lang w:val="fr-FR"/>
              </w:rPr>
            </w:pPr>
          </w:p>
          <w:p w14:paraId="1183DA3B" w14:textId="293ECE45" w:rsidR="00E8144D" w:rsidRPr="00E8144D" w:rsidRDefault="00E8144D" w:rsidP="00E8144D">
            <w:pPr>
              <w:pStyle w:val="BodyText2"/>
              <w:rPr>
                <w:rFonts w:ascii="Times New Roman" w:hAnsi="Times New Roman" w:cs="Times New Roman"/>
                <w:i/>
                <w:sz w:val="22"/>
                <w:lang w:val="fr-FR"/>
              </w:rPr>
            </w:pPr>
          </w:p>
          <w:p w14:paraId="697C01A9" w14:textId="44393027" w:rsidR="00E8144D" w:rsidRPr="00E8144D" w:rsidRDefault="00E8144D" w:rsidP="00E8144D">
            <w:pPr>
              <w:pStyle w:val="BodyText2"/>
              <w:rPr>
                <w:rFonts w:ascii="Times New Roman" w:hAnsi="Times New Roman" w:cs="Times New Roman"/>
                <w:i/>
                <w:sz w:val="22"/>
                <w:lang w:val="fr-FR"/>
              </w:rPr>
            </w:pPr>
          </w:p>
          <w:p w14:paraId="60F9315E" w14:textId="14508933" w:rsidR="00E8144D" w:rsidRPr="00E8144D" w:rsidRDefault="00E8144D" w:rsidP="00E8144D">
            <w:pPr>
              <w:pStyle w:val="BodyText2"/>
              <w:rPr>
                <w:rFonts w:ascii="Times New Roman" w:hAnsi="Times New Roman" w:cs="Times New Roman"/>
                <w:i/>
                <w:sz w:val="22"/>
                <w:lang w:val="fr-FR"/>
              </w:rPr>
            </w:pPr>
          </w:p>
          <w:p w14:paraId="70AC34E7" w14:textId="77777777" w:rsidR="00E8144D" w:rsidRPr="00E8144D" w:rsidRDefault="00E8144D" w:rsidP="00E8144D">
            <w:pPr>
              <w:pStyle w:val="BodyText2"/>
              <w:rPr>
                <w:rFonts w:ascii="Times New Roman" w:hAnsi="Times New Roman" w:cs="Times New Roman"/>
                <w:i/>
                <w:sz w:val="22"/>
                <w:lang w:val="fr-FR"/>
              </w:rPr>
            </w:pPr>
          </w:p>
          <w:p w14:paraId="5BF88B37" w14:textId="77777777" w:rsidR="004B00F2" w:rsidRPr="00E8144D" w:rsidRDefault="004B00F2" w:rsidP="00AC5DF7">
            <w:pPr>
              <w:pStyle w:val="BodyText2"/>
              <w:numPr>
                <w:ilvl w:val="0"/>
                <w:numId w:val="15"/>
              </w:numPr>
              <w:rPr>
                <w:rFonts w:ascii="Times New Roman" w:hAnsi="Times New Roman" w:cs="Times New Roman"/>
                <w:i/>
                <w:sz w:val="22"/>
                <w:lang w:val="fr-FR"/>
              </w:rPr>
            </w:pPr>
            <w:r w:rsidRPr="00E8144D">
              <w:rPr>
                <w:rFonts w:ascii="Times New Roman" w:hAnsi="Times New Roman" w:cs="Times New Roman"/>
                <w:i/>
                <w:sz w:val="22"/>
                <w:lang w:val="fr-FR"/>
              </w:rPr>
              <w:t>Le plan d’action relatif à la réforme du secteur public est élaboré et mis en œuvre.</w:t>
            </w:r>
          </w:p>
        </w:tc>
        <w:tc>
          <w:tcPr>
            <w:tcW w:w="6030" w:type="dxa"/>
            <w:gridSpan w:val="2"/>
            <w:shd w:val="clear" w:color="auto" w:fill="auto"/>
          </w:tcPr>
          <w:p w14:paraId="6901B4B7" w14:textId="3FCA81C2" w:rsidR="004B00F2" w:rsidRPr="00650A1C" w:rsidRDefault="004B00F2" w:rsidP="004B00F2">
            <w:pPr>
              <w:pStyle w:val="BodyText2"/>
              <w:numPr>
                <w:ilvl w:val="0"/>
                <w:numId w:val="31"/>
              </w:numPr>
              <w:rPr>
                <w:rFonts w:ascii="Times New Roman" w:hAnsi="Times New Roman" w:cs="Times New Roman"/>
                <w:i/>
                <w:sz w:val="22"/>
                <w:lang w:val="fr-FR"/>
              </w:rPr>
            </w:pPr>
            <w:r w:rsidRPr="00650A1C">
              <w:rPr>
                <w:rFonts w:ascii="Times New Roman" w:hAnsi="Times New Roman" w:cs="Times New Roman"/>
                <w:i/>
                <w:sz w:val="22"/>
                <w:lang w:val="fr-FR"/>
              </w:rPr>
              <w:t>Les organes contentieux du CEP ont accusé un peu de retard dans le traitement des contestations liées aux résultats préliminaires des élections législatives des 1</w:t>
            </w:r>
            <w:r w:rsidRPr="00650A1C">
              <w:rPr>
                <w:rFonts w:ascii="Times New Roman" w:hAnsi="Times New Roman" w:cs="Times New Roman"/>
                <w:i/>
                <w:sz w:val="22"/>
                <w:vertAlign w:val="superscript"/>
                <w:lang w:val="fr-FR"/>
              </w:rPr>
              <w:t>er</w:t>
            </w:r>
            <w:r w:rsidRPr="00650A1C">
              <w:rPr>
                <w:rFonts w:ascii="Times New Roman" w:hAnsi="Times New Roman" w:cs="Times New Roman"/>
                <w:i/>
                <w:sz w:val="22"/>
                <w:lang w:val="fr-FR"/>
              </w:rPr>
              <w:t xml:space="preserve"> et 2</w:t>
            </w:r>
            <w:r w:rsidRPr="00650A1C">
              <w:rPr>
                <w:rFonts w:ascii="Times New Roman" w:hAnsi="Times New Roman" w:cs="Times New Roman"/>
                <w:i/>
                <w:sz w:val="22"/>
                <w:vertAlign w:val="superscript"/>
                <w:lang w:val="fr-FR"/>
              </w:rPr>
              <w:t>ième</w:t>
            </w:r>
            <w:r w:rsidRPr="00650A1C">
              <w:rPr>
                <w:rFonts w:ascii="Times New Roman" w:hAnsi="Times New Roman" w:cs="Times New Roman"/>
                <w:i/>
                <w:sz w:val="22"/>
                <w:lang w:val="fr-FR"/>
              </w:rPr>
              <w:t xml:space="preserve"> tours à cause du nombre important et des recours enregistrés aux BCED (316 contestations : 203 au 1</w:t>
            </w:r>
            <w:r w:rsidRPr="00650A1C">
              <w:rPr>
                <w:rFonts w:ascii="Times New Roman" w:hAnsi="Times New Roman" w:cs="Times New Roman"/>
                <w:i/>
                <w:sz w:val="22"/>
                <w:vertAlign w:val="superscript"/>
                <w:lang w:val="fr-FR"/>
              </w:rPr>
              <w:t>er</w:t>
            </w:r>
            <w:r w:rsidRPr="00650A1C">
              <w:rPr>
                <w:rFonts w:ascii="Times New Roman" w:hAnsi="Times New Roman" w:cs="Times New Roman"/>
                <w:i/>
                <w:sz w:val="22"/>
                <w:lang w:val="fr-FR"/>
              </w:rPr>
              <w:t xml:space="preserve"> tour ; 113 au 2</w:t>
            </w:r>
            <w:r w:rsidRPr="00650A1C">
              <w:rPr>
                <w:rFonts w:ascii="Times New Roman" w:hAnsi="Times New Roman" w:cs="Times New Roman"/>
                <w:i/>
                <w:sz w:val="22"/>
                <w:vertAlign w:val="superscript"/>
                <w:lang w:val="fr-FR"/>
              </w:rPr>
              <w:t>ième</w:t>
            </w:r>
            <w:r w:rsidRPr="00650A1C">
              <w:rPr>
                <w:rFonts w:ascii="Times New Roman" w:hAnsi="Times New Roman" w:cs="Times New Roman"/>
                <w:i/>
                <w:sz w:val="22"/>
                <w:lang w:val="fr-FR"/>
              </w:rPr>
              <w:t xml:space="preserve"> tour) et au BCEN (208 recours en appel : 113 au 1</w:t>
            </w:r>
            <w:r w:rsidRPr="00650A1C">
              <w:rPr>
                <w:rFonts w:ascii="Times New Roman" w:hAnsi="Times New Roman" w:cs="Times New Roman"/>
                <w:i/>
                <w:sz w:val="22"/>
                <w:vertAlign w:val="superscript"/>
                <w:lang w:val="fr-FR"/>
              </w:rPr>
              <w:t>e</w:t>
            </w:r>
            <w:r w:rsidRPr="00650A1C">
              <w:rPr>
                <w:rFonts w:ascii="Times New Roman" w:hAnsi="Times New Roman" w:cs="Times New Roman"/>
                <w:i/>
                <w:sz w:val="22"/>
                <w:lang w:val="fr-FR"/>
              </w:rPr>
              <w:t xml:space="preserve"> tour ; 95 au 2</w:t>
            </w:r>
            <w:r w:rsidRPr="00650A1C">
              <w:rPr>
                <w:rFonts w:ascii="Times New Roman" w:hAnsi="Times New Roman" w:cs="Times New Roman"/>
                <w:i/>
                <w:sz w:val="22"/>
                <w:vertAlign w:val="superscript"/>
                <w:lang w:val="fr-FR"/>
              </w:rPr>
              <w:t>ième</w:t>
            </w:r>
            <w:r w:rsidRPr="00650A1C">
              <w:rPr>
                <w:rFonts w:ascii="Times New Roman" w:hAnsi="Times New Roman" w:cs="Times New Roman"/>
                <w:i/>
                <w:sz w:val="22"/>
                <w:lang w:val="fr-FR"/>
              </w:rPr>
              <w:t xml:space="preserve"> tour). Le PNUD a aidé le CEP afin de mettre en place des textes juridiques adéquats pour traiter le contentieux électoral convenablement. Ainsi, le règlement relatif au mode de calcul de la majorité requise par le décret électoral a été adopté par le CEP le 20 octobre 2015. Un projet de manuel des procédures contentieuses a été aussi soumis au CEP pour validation.</w:t>
            </w:r>
          </w:p>
          <w:p w14:paraId="017EB45D" w14:textId="2654C340" w:rsidR="004B00F2" w:rsidRPr="00650A1C" w:rsidRDefault="004B00F2" w:rsidP="008C3258">
            <w:pPr>
              <w:pStyle w:val="BodyText2"/>
              <w:numPr>
                <w:ilvl w:val="0"/>
                <w:numId w:val="31"/>
              </w:numPr>
              <w:rPr>
                <w:rFonts w:ascii="Times New Roman" w:hAnsi="Times New Roman" w:cs="Times New Roman"/>
                <w:i/>
                <w:sz w:val="22"/>
                <w:lang w:val="fr-FR"/>
              </w:rPr>
            </w:pPr>
            <w:r w:rsidRPr="00650A1C">
              <w:rPr>
                <w:rFonts w:ascii="Times New Roman" w:hAnsi="Times New Roman" w:cs="Times New Roman"/>
                <w:i/>
                <w:sz w:val="22"/>
                <w:lang w:val="fr-FR"/>
              </w:rPr>
              <w:t>La mise en œuvre de la réforme a été engagée : 1) de nouvelles dispositions légales et réglementaires (arrêtés, circulaires, règlements</w:t>
            </w:r>
            <w:r w:rsidR="008C3258">
              <w:rPr>
                <w:rFonts w:ascii="Times New Roman" w:hAnsi="Times New Roman" w:cs="Times New Roman"/>
                <w:i/>
                <w:sz w:val="22"/>
                <w:lang w:val="fr-FR"/>
              </w:rPr>
              <w:t>)</w:t>
            </w:r>
            <w:r w:rsidRPr="00650A1C">
              <w:rPr>
                <w:rFonts w:ascii="Times New Roman" w:hAnsi="Times New Roman" w:cs="Times New Roman"/>
                <w:i/>
                <w:sz w:val="22"/>
                <w:lang w:val="fr-FR"/>
              </w:rPr>
              <w:t xml:space="preserve"> ont été prises et sont en cours d’application ; 2) Des audits institutionnels de 10 ministères ont été réalisés et des avant-projets de lois organiques ont été déposés au parlement ; 3) Un bilan à mi-parcours de la mise en œuvre du Programme Cadre de Réforme de l’Etat a été </w:t>
            </w:r>
            <w:r w:rsidR="00E112F7" w:rsidRPr="00650A1C">
              <w:rPr>
                <w:rFonts w:ascii="Times New Roman" w:hAnsi="Times New Roman" w:cs="Times New Roman"/>
                <w:i/>
                <w:sz w:val="22"/>
                <w:lang w:val="fr-FR"/>
              </w:rPr>
              <w:t>réalisé</w:t>
            </w:r>
            <w:r w:rsidRPr="00650A1C">
              <w:rPr>
                <w:rFonts w:ascii="Times New Roman" w:hAnsi="Times New Roman" w:cs="Times New Roman"/>
                <w:i/>
                <w:sz w:val="22"/>
                <w:lang w:val="fr-FR"/>
              </w:rPr>
              <w:t>.</w:t>
            </w:r>
          </w:p>
        </w:tc>
      </w:tr>
      <w:tr w:rsidR="004B00F2" w:rsidRPr="009F39AA" w14:paraId="731554F5" w14:textId="77777777" w:rsidTr="00ED3E89">
        <w:trPr>
          <w:jc w:val="center"/>
        </w:trPr>
        <w:tc>
          <w:tcPr>
            <w:tcW w:w="15007" w:type="dxa"/>
            <w:gridSpan w:val="7"/>
          </w:tcPr>
          <w:p w14:paraId="6C103E9B" w14:textId="77777777" w:rsidR="004B00F2" w:rsidRPr="00650A1C" w:rsidRDefault="004B00F2" w:rsidP="00AC5DF7">
            <w:pPr>
              <w:pStyle w:val="BodyText2"/>
              <w:spacing w:before="120" w:after="120"/>
              <w:jc w:val="both"/>
              <w:rPr>
                <w:rFonts w:ascii="Times New Roman" w:hAnsi="Times New Roman" w:cs="Times New Roman"/>
                <w:b/>
                <w:sz w:val="22"/>
              </w:rPr>
            </w:pPr>
            <w:r w:rsidRPr="00650A1C">
              <w:rPr>
                <w:rFonts w:ascii="Times New Roman" w:hAnsi="Times New Roman" w:cs="Times New Roman"/>
                <w:b/>
                <w:sz w:val="22"/>
              </w:rPr>
              <w:t>UNDP Contribution</w:t>
            </w:r>
          </w:p>
          <w:p w14:paraId="463EA5FC" w14:textId="77777777" w:rsidR="004B00F2" w:rsidRPr="00650A1C" w:rsidRDefault="004B00F2" w:rsidP="00AC5DF7">
            <w:pPr>
              <w:pStyle w:val="BodyText2"/>
              <w:spacing w:before="120" w:after="120"/>
              <w:jc w:val="both"/>
              <w:rPr>
                <w:rFonts w:ascii="Times New Roman" w:hAnsi="Times New Roman" w:cs="Times New Roman"/>
                <w:sz w:val="22"/>
              </w:rPr>
            </w:pPr>
            <w:r w:rsidRPr="00650A1C">
              <w:rPr>
                <w:rFonts w:ascii="Times New Roman" w:hAnsi="Times New Roman" w:cs="Times New Roman"/>
                <w:sz w:val="22"/>
                <w:u w:val="single"/>
              </w:rPr>
              <w:t>CP Outputs</w:t>
            </w:r>
            <w:r w:rsidRPr="00650A1C">
              <w:rPr>
                <w:rFonts w:ascii="Times New Roman" w:hAnsi="Times New Roman" w:cs="Times New Roman"/>
                <w:sz w:val="22"/>
              </w:rPr>
              <w:t xml:space="preserve">: </w:t>
            </w:r>
          </w:p>
          <w:p w14:paraId="6C72A11E" w14:textId="77777777" w:rsidR="004B00F2" w:rsidRPr="00650A1C" w:rsidRDefault="004B00F2" w:rsidP="004B00F2">
            <w:pPr>
              <w:pStyle w:val="BodyText2"/>
              <w:numPr>
                <w:ilvl w:val="0"/>
                <w:numId w:val="24"/>
              </w:numPr>
              <w:spacing w:before="120" w:after="120"/>
              <w:jc w:val="both"/>
              <w:rPr>
                <w:rFonts w:ascii="Times New Roman" w:hAnsi="Times New Roman" w:cs="Times New Roman"/>
                <w:sz w:val="22"/>
                <w:shd w:val="clear" w:color="auto" w:fill="FFFFFF"/>
                <w:lang w:val="fr-FR"/>
              </w:rPr>
            </w:pPr>
            <w:r w:rsidRPr="00650A1C">
              <w:rPr>
                <w:rFonts w:ascii="Times New Roman" w:hAnsi="Times New Roman" w:cs="Times New Roman"/>
                <w:sz w:val="22"/>
                <w:lang w:val="fr-FR"/>
              </w:rPr>
              <w:t>Le Conseil Electoral dispose de procédures opérationnelles efficaces et fiables pour une meilleure gestion de l’organisation des élections.</w:t>
            </w:r>
          </w:p>
          <w:p w14:paraId="5F5533DF" w14:textId="5D31237F" w:rsidR="008C3258" w:rsidRPr="008C3258" w:rsidRDefault="004B00F2" w:rsidP="008C3258">
            <w:pPr>
              <w:pStyle w:val="BodyText2"/>
              <w:numPr>
                <w:ilvl w:val="0"/>
                <w:numId w:val="24"/>
              </w:numPr>
              <w:spacing w:before="120" w:after="120"/>
              <w:jc w:val="both"/>
              <w:rPr>
                <w:rFonts w:ascii="Times New Roman" w:hAnsi="Times New Roman" w:cs="Times New Roman"/>
                <w:sz w:val="22"/>
                <w:shd w:val="clear" w:color="auto" w:fill="FFFFFF"/>
                <w:lang w:val="fr-FR"/>
              </w:rPr>
            </w:pPr>
            <w:r w:rsidRPr="00650A1C">
              <w:rPr>
                <w:rFonts w:ascii="Times New Roman" w:hAnsi="Times New Roman" w:cs="Times New Roman"/>
                <w:sz w:val="22"/>
                <w:lang w:val="fr-FR"/>
              </w:rPr>
              <w:t>Les institutions d’Etat de Droit (Ministère de la Justice et de la Sécurité Publique ; le Conseil Supérieur du Pouvoir Judiciaire ; La cour de Cassation) sont renforcées afin de remplir efficacement les fonctions de gestion et d’administration de la justice y compris l’amélioration de l’accès à la justice et la détention préventive.</w:t>
            </w:r>
          </w:p>
          <w:p w14:paraId="42FF41C8" w14:textId="77777777" w:rsidR="007D7006" w:rsidRPr="00650A1C" w:rsidRDefault="007D7006" w:rsidP="007D7006">
            <w:pPr>
              <w:pStyle w:val="BodyText2"/>
              <w:spacing w:before="120" w:after="120"/>
              <w:jc w:val="both"/>
              <w:rPr>
                <w:rFonts w:ascii="Times New Roman" w:hAnsi="Times New Roman" w:cs="Times New Roman"/>
                <w:sz w:val="22"/>
                <w:u w:val="single"/>
                <w:lang w:val="fr-FR"/>
              </w:rPr>
            </w:pPr>
            <w:r>
              <w:rPr>
                <w:rFonts w:ascii="Times New Roman" w:hAnsi="Times New Roman" w:cs="Times New Roman"/>
                <w:sz w:val="22"/>
                <w:u w:val="single"/>
                <w:lang w:val="fr-FR"/>
              </w:rPr>
              <w:t xml:space="preserve">Progrès et résultats </w:t>
            </w:r>
            <w:r w:rsidRPr="00650A1C">
              <w:rPr>
                <w:rFonts w:ascii="Times New Roman" w:hAnsi="Times New Roman" w:cs="Times New Roman"/>
                <w:sz w:val="22"/>
                <w:u w:val="single"/>
                <w:lang w:val="fr-FR"/>
              </w:rPr>
              <w:t xml:space="preserve">: </w:t>
            </w:r>
          </w:p>
          <w:p w14:paraId="0016B4C6" w14:textId="6A929A71" w:rsidR="004B00F2" w:rsidRPr="00650A1C" w:rsidRDefault="004B00F2" w:rsidP="00BC2B86">
            <w:pPr>
              <w:spacing w:after="120"/>
              <w:jc w:val="both"/>
              <w:rPr>
                <w:rFonts w:ascii="Times New Roman" w:hAnsi="Times New Roman" w:cs="Times New Roman"/>
                <w:lang w:val="fr-HT"/>
              </w:rPr>
            </w:pPr>
            <w:r w:rsidRPr="00650A1C">
              <w:rPr>
                <w:rFonts w:ascii="Times New Roman" w:hAnsi="Times New Roman" w:cs="Times New Roman"/>
                <w:lang w:val="fr-HT"/>
              </w:rPr>
              <w:lastRenderedPageBreak/>
              <w:t xml:space="preserve">Le PNUD de concert avec les partenaires a soutenu la tenue des élections en Haïti après deux ans de retard pour certains postes. Afin de faciliter la gestion des opérations électorales, le PNUD a géré </w:t>
            </w:r>
            <w:r w:rsidR="008C3258">
              <w:rPr>
                <w:rFonts w:ascii="Times New Roman" w:hAnsi="Times New Roman" w:cs="Times New Roman"/>
                <w:lang w:val="fr-HT"/>
              </w:rPr>
              <w:t>un Basket Fund de plus de USD $68</w:t>
            </w:r>
            <w:r w:rsidRPr="00650A1C">
              <w:rPr>
                <w:rFonts w:ascii="Times New Roman" w:hAnsi="Times New Roman" w:cs="Times New Roman"/>
                <w:lang w:val="fr-HT"/>
              </w:rPr>
              <w:t xml:space="preserve"> millions. Le PNUD a aussi fourni un appui technique au Conseil Electoral en appuyant l’élaboration du projet de loi électorale, le dialogue, la formation, l’éducation civique, l’assistance juridique, et les technologies électorales pour la disponibilité d’une liste d’électeurs dans le délai prescrit par la loi. Ceci en plus d’assurer l’acquisition du matériel électoral, permettant la tenue de 2 journées électorales et la préparation de 2 autres prévues e</w:t>
            </w:r>
            <w:r w:rsidR="00C9679D">
              <w:rPr>
                <w:rFonts w:ascii="Times New Roman" w:hAnsi="Times New Roman" w:cs="Times New Roman"/>
                <w:lang w:val="fr-HT"/>
              </w:rPr>
              <w:t>n octobre 2016 et janvier 2017.</w:t>
            </w:r>
          </w:p>
          <w:p w14:paraId="18DCF1F1" w14:textId="4651D06E" w:rsidR="003F03B5" w:rsidRDefault="003F03B5" w:rsidP="00BC2B86">
            <w:pPr>
              <w:spacing w:after="120"/>
              <w:jc w:val="both"/>
              <w:rPr>
                <w:rFonts w:ascii="Times New Roman" w:hAnsi="Times New Roman" w:cs="Times New Roman"/>
                <w:lang w:val="fr-FR"/>
              </w:rPr>
            </w:pPr>
            <w:r w:rsidRPr="00650A1C">
              <w:rPr>
                <w:rFonts w:ascii="Times New Roman" w:hAnsi="Times New Roman" w:cs="Times New Roman"/>
                <w:lang w:val="fr-FR"/>
              </w:rPr>
              <w:t xml:space="preserve">Haïti </w:t>
            </w:r>
            <w:r w:rsidR="00BC2B86">
              <w:rPr>
                <w:rFonts w:ascii="Times New Roman" w:hAnsi="Times New Roman" w:cs="Times New Roman"/>
                <w:lang w:val="fr-FR"/>
              </w:rPr>
              <w:t xml:space="preserve">a </w:t>
            </w:r>
            <w:r w:rsidRPr="00650A1C">
              <w:rPr>
                <w:rFonts w:ascii="Times New Roman" w:hAnsi="Times New Roman" w:cs="Times New Roman"/>
                <w:lang w:val="fr-FR"/>
              </w:rPr>
              <w:t xml:space="preserve">fait des progrès dans le domaine de l’Etat de Droit. A la demande du Président de la Cour Supérieure des Comptes et du Contentieux Administratif, le PNUD a </w:t>
            </w:r>
            <w:r w:rsidRPr="00435CA4">
              <w:rPr>
                <w:rFonts w:ascii="Times New Roman" w:hAnsi="Times New Roman" w:cs="Times New Roman"/>
                <w:lang w:val="fr-FR"/>
              </w:rPr>
              <w:t xml:space="preserve">lancé un diagnostic institutionnel qui constitue maintenant la feuille de route de l’institution pour les </w:t>
            </w:r>
            <w:r w:rsidR="00F32E3D" w:rsidRPr="00435CA4">
              <w:rPr>
                <w:rFonts w:ascii="Times New Roman" w:hAnsi="Times New Roman" w:cs="Times New Roman"/>
                <w:lang w:val="fr-FR"/>
              </w:rPr>
              <w:t>9 prochaines années à travers un plan stratégique et opérationnel.</w:t>
            </w:r>
            <w:r w:rsidRPr="00435CA4">
              <w:rPr>
                <w:rFonts w:ascii="Times New Roman" w:hAnsi="Times New Roman" w:cs="Times New Roman"/>
                <w:lang w:val="fr-FR"/>
              </w:rPr>
              <w:t xml:space="preserve">  </w:t>
            </w:r>
            <w:r w:rsidR="00F32E3D" w:rsidRPr="00435CA4">
              <w:rPr>
                <w:rFonts w:ascii="Times New Roman" w:hAnsi="Times New Roman" w:cs="Times New Roman"/>
                <w:lang w:val="fr-FR"/>
              </w:rPr>
              <w:t>D’une part, l</w:t>
            </w:r>
            <w:r w:rsidRPr="00435CA4">
              <w:rPr>
                <w:rFonts w:ascii="Times New Roman" w:hAnsi="Times New Roman" w:cs="Times New Roman"/>
                <w:lang w:val="fr-FR"/>
              </w:rPr>
              <w:t>e PNUD a renforcé les capacités opérationnelles et stratégiques du Conseil Supérieur du Pouvoir Judicaire ainsi que les mécanismes de contrôle, ce qui a permis la dynamisation du contrôle des juridictions nationales</w:t>
            </w:r>
            <w:r w:rsidRPr="00F009E0">
              <w:rPr>
                <w:rFonts w:ascii="Times New Roman" w:hAnsi="Times New Roman" w:cs="Times New Roman"/>
                <w:lang w:val="fr-FR"/>
              </w:rPr>
              <w:t>,</w:t>
            </w:r>
            <w:r w:rsidR="00F32E3D" w:rsidRPr="00F009E0">
              <w:rPr>
                <w:rFonts w:ascii="Times New Roman" w:hAnsi="Times New Roman" w:cs="Times New Roman"/>
                <w:lang w:val="fr-FR"/>
              </w:rPr>
              <w:t xml:space="preserve"> D’autre part, </w:t>
            </w:r>
            <w:r w:rsidR="00F32E3D" w:rsidRPr="00435CA4">
              <w:rPr>
                <w:rFonts w:ascii="Times New Roman" w:hAnsi="Times New Roman" w:cs="Times New Roman"/>
                <w:lang w:val="fr-FR"/>
              </w:rPr>
              <w:t>le PNUD a appuyé le Ministère de la Justice et de la Sécurité Publique dans sa mission d’inspection judiciaire des Parquets des tribunaux et des cours d’appel de la République, de l’élaboration de l’avant-projet de loi sur l’assistance juridique et la loi organique dudit Ministère.</w:t>
            </w:r>
          </w:p>
          <w:p w14:paraId="678171D9" w14:textId="77777777" w:rsidR="008C3258" w:rsidRDefault="004B00F2" w:rsidP="00BC2B86">
            <w:pPr>
              <w:jc w:val="both"/>
              <w:rPr>
                <w:rFonts w:ascii="Times New Roman" w:hAnsi="Times New Roman" w:cs="Times New Roman"/>
                <w:lang w:val="fr-FR"/>
              </w:rPr>
            </w:pPr>
            <w:r w:rsidRPr="00650A1C">
              <w:rPr>
                <w:rFonts w:ascii="Times New Roman" w:hAnsi="Times New Roman" w:cs="Times New Roman"/>
                <w:lang w:val="fr-FR"/>
              </w:rPr>
              <w:t>Afin de donner au gouvernement la possibilité de rendre plus optimale l’allocation de ses propres ressources et toujours avec l’appui du PNUD, les données sur le financement extérieur sont maintenant recueillies par le Module de Gestion de l’Aide Externe (MGAE), dont les données ont été intégrés dans le Programme d’Investissement Public.  Selon le Gouvernement, Le MGAE est son outil principal pour mettre en œuvre son cadre de coordination dans le but d’améliorer la gestion de l’aide extérieure, ainsi que son intégration dans le processus budgéta</w:t>
            </w:r>
            <w:r w:rsidRPr="00BC2B86">
              <w:rPr>
                <w:rFonts w:ascii="Times New Roman" w:hAnsi="Times New Roman" w:cs="Times New Roman"/>
                <w:lang w:val="fr-FR"/>
              </w:rPr>
              <w:t>ire.</w:t>
            </w:r>
            <w:r w:rsidR="00D207E0" w:rsidRPr="00BC2B86">
              <w:rPr>
                <w:rFonts w:ascii="Times New Roman" w:hAnsi="Times New Roman" w:cs="Times New Roman"/>
                <w:lang w:val="fr-FR"/>
              </w:rPr>
              <w:t xml:space="preserve"> </w:t>
            </w:r>
          </w:p>
          <w:p w14:paraId="05D1BCB5" w14:textId="77777777" w:rsidR="008C3258" w:rsidRDefault="008C3258" w:rsidP="00BC2B86">
            <w:pPr>
              <w:jc w:val="both"/>
              <w:rPr>
                <w:rFonts w:ascii="Times New Roman" w:hAnsi="Times New Roman" w:cs="Times New Roman"/>
                <w:lang w:val="fr-FR"/>
              </w:rPr>
            </w:pPr>
          </w:p>
          <w:p w14:paraId="331FFA42" w14:textId="66D7F4A8" w:rsidR="00A92013" w:rsidRDefault="00D207E0" w:rsidP="00BC2B86">
            <w:pPr>
              <w:jc w:val="both"/>
              <w:rPr>
                <w:rFonts w:ascii="Times New Roman" w:eastAsia="Times New Roman" w:hAnsi="Times New Roman" w:cs="Times New Roman"/>
                <w:lang w:val="fr-FR"/>
              </w:rPr>
            </w:pPr>
            <w:r w:rsidRPr="00BC2B86">
              <w:rPr>
                <w:rFonts w:ascii="Times New Roman" w:hAnsi="Times New Roman" w:cs="Times New Roman"/>
                <w:lang w:val="fr-FR"/>
              </w:rPr>
              <w:t>Dans l’objectif de d’appuyer r</w:t>
            </w:r>
            <w:r w:rsidRPr="00BC2B86">
              <w:rPr>
                <w:rFonts w:ascii="Times New Roman" w:eastAsia="Times New Roman" w:hAnsi="Times New Roman" w:cs="Times New Roman"/>
                <w:lang w:val="fr-FR"/>
              </w:rPr>
              <w:t xml:space="preserve">éforme administrative et la décentralisation un nouveau Programme-Cadre de Réforme de l’État couvrant la période 2013-2017 élaboré. Les mécanismes institutionnels de coordination et d’accompagnement du processus de mise œuvre de la réforme sont activés et opérationnels tels : le Forum des Directeurs Généraux de l’Administration Publique, les comités ministériels de réforme administrative (CMRA) et la Table thématique des bailleurs. </w:t>
            </w:r>
            <w:r w:rsidR="00C9679D">
              <w:rPr>
                <w:rFonts w:ascii="Times New Roman" w:eastAsia="Times New Roman" w:hAnsi="Times New Roman" w:cs="Times New Roman"/>
                <w:lang w:val="fr-FR"/>
              </w:rPr>
              <w:t>Les capacités de l’</w:t>
            </w:r>
            <w:r w:rsidR="00C9679D" w:rsidRPr="00C9679D">
              <w:rPr>
                <w:rFonts w:ascii="Times New Roman" w:eastAsia="Times New Roman" w:hAnsi="Times New Roman" w:cs="Times New Roman"/>
                <w:lang w:val="fr-FR"/>
              </w:rPr>
              <w:t>Office de Management et des Ressources Humaines (</w:t>
            </w:r>
            <w:r w:rsidR="00C9679D" w:rsidRPr="00C9679D">
              <w:rPr>
                <w:rFonts w:ascii="Times New Roman" w:eastAsia="Times New Roman" w:hAnsi="Times New Roman" w:cs="Times New Roman"/>
                <w:i/>
                <w:iCs/>
                <w:lang w:val="fr-FR"/>
              </w:rPr>
              <w:t>OMRH</w:t>
            </w:r>
            <w:r w:rsidR="00C9679D" w:rsidRPr="00C9679D">
              <w:rPr>
                <w:rFonts w:ascii="Times New Roman" w:eastAsia="Times New Roman" w:hAnsi="Times New Roman" w:cs="Times New Roman"/>
                <w:lang w:val="fr-FR"/>
              </w:rPr>
              <w:t>)</w:t>
            </w:r>
            <w:r w:rsidR="00C9679D">
              <w:rPr>
                <w:rFonts w:ascii="Times New Roman" w:eastAsia="Times New Roman" w:hAnsi="Times New Roman" w:cs="Times New Roman"/>
                <w:lang w:val="fr-FR"/>
              </w:rPr>
              <w:t xml:space="preserve"> ont été renforcées. </w:t>
            </w:r>
            <w:r w:rsidRPr="00BC2B86">
              <w:rPr>
                <w:rFonts w:ascii="Times New Roman" w:eastAsia="Times New Roman" w:hAnsi="Times New Roman" w:cs="Times New Roman"/>
                <w:lang w:val="fr-FR"/>
              </w:rPr>
              <w:t xml:space="preserve">Divers textes règlementaires portant notamment sur le processus de recrutement des agents de la Fonction Publique et de simplification de procédures sont élaborés, publiés et mis en application. </w:t>
            </w:r>
          </w:p>
          <w:p w14:paraId="66660687" w14:textId="50219362" w:rsidR="00A92013" w:rsidRPr="00435CA4" w:rsidRDefault="00A92013" w:rsidP="00BC2B86">
            <w:pPr>
              <w:jc w:val="both"/>
              <w:rPr>
                <w:rFonts w:ascii="Times New Roman" w:eastAsia="Times New Roman" w:hAnsi="Times New Roman" w:cs="Times New Roman"/>
                <w:sz w:val="24"/>
                <w:szCs w:val="24"/>
                <w:lang w:val="fr-FR"/>
              </w:rPr>
            </w:pPr>
          </w:p>
        </w:tc>
      </w:tr>
      <w:tr w:rsidR="004B00F2" w:rsidRPr="00650A1C" w14:paraId="1C13CFFA" w14:textId="77777777" w:rsidTr="00ED3E89">
        <w:trPr>
          <w:jc w:val="center"/>
        </w:trPr>
        <w:tc>
          <w:tcPr>
            <w:tcW w:w="3577" w:type="dxa"/>
            <w:gridSpan w:val="2"/>
          </w:tcPr>
          <w:p w14:paraId="1469228F" w14:textId="77777777" w:rsidR="004B00F2" w:rsidRPr="00650A1C" w:rsidRDefault="004B00F2" w:rsidP="00AC5DF7">
            <w:pPr>
              <w:pStyle w:val="BodyText2"/>
              <w:rPr>
                <w:rFonts w:ascii="Times New Roman" w:hAnsi="Times New Roman" w:cs="Times New Roman"/>
                <w:b/>
                <w:sz w:val="22"/>
              </w:rPr>
            </w:pPr>
            <w:r w:rsidRPr="00650A1C">
              <w:rPr>
                <w:rFonts w:ascii="Times New Roman" w:hAnsi="Times New Roman" w:cs="Times New Roman"/>
                <w:b/>
                <w:sz w:val="22"/>
              </w:rPr>
              <w:lastRenderedPageBreak/>
              <w:t>Outcomes</w:t>
            </w:r>
          </w:p>
        </w:tc>
        <w:tc>
          <w:tcPr>
            <w:tcW w:w="2160" w:type="dxa"/>
            <w:gridSpan w:val="2"/>
            <w:shd w:val="clear" w:color="auto" w:fill="auto"/>
          </w:tcPr>
          <w:p w14:paraId="36D449E9" w14:textId="77777777" w:rsidR="004B00F2" w:rsidRDefault="004B00F2" w:rsidP="00AC5DF7">
            <w:pPr>
              <w:pStyle w:val="BodyText2"/>
              <w:rPr>
                <w:rFonts w:ascii="Times New Roman" w:hAnsi="Times New Roman" w:cs="Times New Roman"/>
                <w:b/>
                <w:sz w:val="22"/>
              </w:rPr>
            </w:pPr>
            <w:r w:rsidRPr="00650A1C">
              <w:rPr>
                <w:rFonts w:ascii="Times New Roman" w:hAnsi="Times New Roman" w:cs="Times New Roman"/>
                <w:b/>
                <w:sz w:val="22"/>
              </w:rPr>
              <w:t>Total Expenditure</w:t>
            </w:r>
          </w:p>
          <w:p w14:paraId="205F7CA0" w14:textId="012EC4A0" w:rsidR="00F93511" w:rsidRPr="00650A1C" w:rsidRDefault="00F93511" w:rsidP="00AC5DF7">
            <w:pPr>
              <w:pStyle w:val="BodyText2"/>
              <w:rPr>
                <w:rFonts w:ascii="Times New Roman" w:hAnsi="Times New Roman" w:cs="Times New Roman"/>
                <w:sz w:val="22"/>
              </w:rPr>
            </w:pPr>
            <w:r w:rsidRPr="00F93511">
              <w:rPr>
                <w:rFonts w:ascii="Times New Roman" w:hAnsi="Times New Roman" w:cs="Times New Roman"/>
                <w:sz w:val="22"/>
              </w:rPr>
              <w:t>(millions USD)</w:t>
            </w:r>
          </w:p>
        </w:tc>
        <w:tc>
          <w:tcPr>
            <w:tcW w:w="3240" w:type="dxa"/>
            <w:tcBorders>
              <w:left w:val="single" w:sz="4" w:space="0" w:color="auto"/>
            </w:tcBorders>
          </w:tcPr>
          <w:p w14:paraId="0A3CD434" w14:textId="77777777" w:rsidR="004B00F2" w:rsidRPr="00650A1C" w:rsidRDefault="004B00F2" w:rsidP="00AC5DF7">
            <w:pPr>
              <w:pStyle w:val="BodyText2"/>
              <w:ind w:left="360"/>
              <w:rPr>
                <w:rFonts w:ascii="Times New Roman" w:hAnsi="Times New Roman" w:cs="Times New Roman"/>
                <w:sz w:val="22"/>
              </w:rPr>
            </w:pPr>
            <w:r w:rsidRPr="00650A1C">
              <w:rPr>
                <w:rFonts w:ascii="Times New Roman" w:hAnsi="Times New Roman" w:cs="Times New Roman"/>
                <w:b/>
                <w:sz w:val="22"/>
              </w:rPr>
              <w:t xml:space="preserve">Key Indicators of outcome </w:t>
            </w:r>
          </w:p>
        </w:tc>
        <w:tc>
          <w:tcPr>
            <w:tcW w:w="6030" w:type="dxa"/>
            <w:gridSpan w:val="2"/>
          </w:tcPr>
          <w:p w14:paraId="5AA58CB5" w14:textId="77777777" w:rsidR="004B00F2" w:rsidRPr="00650A1C" w:rsidRDefault="004B00F2" w:rsidP="00AC5DF7">
            <w:pPr>
              <w:pStyle w:val="BodyText2"/>
              <w:ind w:left="360"/>
              <w:rPr>
                <w:rFonts w:ascii="Times New Roman" w:hAnsi="Times New Roman" w:cs="Times New Roman"/>
                <w:i/>
                <w:sz w:val="22"/>
              </w:rPr>
            </w:pPr>
            <w:r w:rsidRPr="00650A1C">
              <w:rPr>
                <w:rFonts w:ascii="Times New Roman" w:hAnsi="Times New Roman" w:cs="Times New Roman"/>
                <w:b/>
                <w:sz w:val="22"/>
              </w:rPr>
              <w:t>Progress made against key indicators</w:t>
            </w:r>
          </w:p>
        </w:tc>
      </w:tr>
      <w:tr w:rsidR="004B00F2" w:rsidRPr="009F39AA" w14:paraId="126E6A0C" w14:textId="77777777" w:rsidTr="00ED3E89">
        <w:trPr>
          <w:jc w:val="center"/>
        </w:trPr>
        <w:tc>
          <w:tcPr>
            <w:tcW w:w="3577" w:type="dxa"/>
            <w:gridSpan w:val="2"/>
            <w:shd w:val="clear" w:color="auto" w:fill="95B3D7" w:themeFill="accent1" w:themeFillTint="99"/>
          </w:tcPr>
          <w:p w14:paraId="3F1E6397" w14:textId="77777777" w:rsidR="004B00F2" w:rsidRPr="00650A1C" w:rsidRDefault="004B00F2" w:rsidP="00AC5DF7">
            <w:pPr>
              <w:pStyle w:val="BodyText2"/>
              <w:rPr>
                <w:rFonts w:ascii="Times New Roman" w:hAnsi="Times New Roman" w:cs="Times New Roman"/>
                <w:b/>
                <w:sz w:val="22"/>
                <w:lang w:val="fr-FR"/>
              </w:rPr>
            </w:pPr>
            <w:r w:rsidRPr="00650A1C">
              <w:rPr>
                <w:rFonts w:ascii="Times New Roman" w:hAnsi="Times New Roman" w:cs="Times New Roman"/>
                <w:b/>
                <w:sz w:val="22"/>
                <w:lang w:val="fr-FR"/>
              </w:rPr>
              <w:t>3. Les vulnérabilités environnementales sont réduites et les potentialités écologiques développées par une gestion durable des ressources naturelles et énergétiques axée sur une approche territoriale décentralisée.</w:t>
            </w:r>
          </w:p>
        </w:tc>
        <w:tc>
          <w:tcPr>
            <w:tcW w:w="2160" w:type="dxa"/>
            <w:gridSpan w:val="2"/>
            <w:shd w:val="clear" w:color="auto" w:fill="auto"/>
          </w:tcPr>
          <w:p w14:paraId="0BDF736C" w14:textId="54D33DB0" w:rsidR="004B00F2" w:rsidRPr="00650A1C" w:rsidRDefault="004B00F2" w:rsidP="00AC5DF7">
            <w:pPr>
              <w:pStyle w:val="BodyText2"/>
              <w:rPr>
                <w:rFonts w:ascii="Times New Roman" w:hAnsi="Times New Roman" w:cs="Times New Roman"/>
                <w:sz w:val="22"/>
              </w:rPr>
            </w:pPr>
            <w:r w:rsidRPr="00650A1C">
              <w:rPr>
                <w:rFonts w:ascii="Times New Roman" w:hAnsi="Times New Roman" w:cs="Times New Roman"/>
                <w:sz w:val="22"/>
              </w:rPr>
              <w:t xml:space="preserve">Regular: $ </w:t>
            </w:r>
            <w:r w:rsidR="00F93511">
              <w:rPr>
                <w:rFonts w:ascii="Times New Roman" w:hAnsi="Times New Roman" w:cs="Times New Roman"/>
                <w:sz w:val="22"/>
              </w:rPr>
              <w:t>2.57</w:t>
            </w:r>
          </w:p>
          <w:p w14:paraId="165BA85D" w14:textId="0F99BD8A" w:rsidR="004B00F2" w:rsidRPr="00650A1C" w:rsidRDefault="004B00F2" w:rsidP="00F93511">
            <w:pPr>
              <w:pStyle w:val="BodyText2"/>
              <w:rPr>
                <w:rFonts w:ascii="Times New Roman" w:hAnsi="Times New Roman" w:cs="Times New Roman"/>
                <w:sz w:val="22"/>
              </w:rPr>
            </w:pPr>
            <w:r w:rsidRPr="00650A1C">
              <w:rPr>
                <w:rFonts w:ascii="Times New Roman" w:hAnsi="Times New Roman" w:cs="Times New Roman"/>
                <w:sz w:val="22"/>
              </w:rPr>
              <w:t>Other  : $</w:t>
            </w:r>
            <w:r w:rsidR="00F93511">
              <w:rPr>
                <w:rFonts w:ascii="Times New Roman" w:hAnsi="Times New Roman" w:cs="Times New Roman"/>
                <w:sz w:val="22"/>
              </w:rPr>
              <w:t xml:space="preserve"> 16.87</w:t>
            </w:r>
          </w:p>
        </w:tc>
        <w:tc>
          <w:tcPr>
            <w:tcW w:w="3240" w:type="dxa"/>
            <w:tcBorders>
              <w:left w:val="single" w:sz="4" w:space="0" w:color="auto"/>
            </w:tcBorders>
          </w:tcPr>
          <w:p w14:paraId="5556BF1E" w14:textId="77777777" w:rsidR="004B00F2" w:rsidRPr="00650A1C" w:rsidRDefault="004B00F2" w:rsidP="007934B5">
            <w:pPr>
              <w:pStyle w:val="BodyText2"/>
              <w:numPr>
                <w:ilvl w:val="0"/>
                <w:numId w:val="30"/>
              </w:numPr>
              <w:ind w:left="318"/>
              <w:rPr>
                <w:rFonts w:ascii="Times New Roman" w:hAnsi="Times New Roman" w:cs="Times New Roman"/>
                <w:i/>
                <w:sz w:val="22"/>
                <w:lang w:val="fr-FR"/>
              </w:rPr>
            </w:pPr>
            <w:r w:rsidRPr="007934B5">
              <w:rPr>
                <w:rFonts w:ascii="Times New Roman" w:hAnsi="Times New Roman" w:cs="Times New Roman"/>
                <w:i/>
                <w:sz w:val="22"/>
                <w:lang w:val="fr-FR"/>
              </w:rPr>
              <w:t xml:space="preserve">Pourcentage des politiques nationales et des plans nationaux de gestion des ressources naturelles qui comporte un plan d’action chiffré. </w:t>
            </w:r>
          </w:p>
          <w:p w14:paraId="7BEEB8BD" w14:textId="123D7F8B" w:rsidR="004B00F2" w:rsidRDefault="004B00F2" w:rsidP="007934B5">
            <w:pPr>
              <w:pStyle w:val="BodyText2"/>
              <w:ind w:left="318"/>
              <w:rPr>
                <w:rFonts w:ascii="Times New Roman" w:hAnsi="Times New Roman" w:cs="Times New Roman"/>
                <w:i/>
                <w:sz w:val="22"/>
                <w:lang w:val="fr-FR"/>
              </w:rPr>
            </w:pPr>
          </w:p>
          <w:p w14:paraId="5C52A08E" w14:textId="15167138" w:rsidR="007934B5" w:rsidRDefault="007934B5" w:rsidP="007934B5">
            <w:pPr>
              <w:pStyle w:val="BodyText2"/>
              <w:ind w:left="318"/>
              <w:rPr>
                <w:rFonts w:ascii="Times New Roman" w:hAnsi="Times New Roman" w:cs="Times New Roman"/>
                <w:i/>
                <w:sz w:val="22"/>
                <w:lang w:val="fr-FR"/>
              </w:rPr>
            </w:pPr>
          </w:p>
          <w:p w14:paraId="3390A791" w14:textId="6198F97A" w:rsidR="008C3258" w:rsidRPr="00650A1C" w:rsidRDefault="008C3258" w:rsidP="008C3258">
            <w:pPr>
              <w:pStyle w:val="BodyText2"/>
              <w:rPr>
                <w:rFonts w:ascii="Times New Roman" w:hAnsi="Times New Roman" w:cs="Times New Roman"/>
                <w:i/>
                <w:sz w:val="22"/>
                <w:lang w:val="fr-FR"/>
              </w:rPr>
            </w:pPr>
          </w:p>
          <w:p w14:paraId="10321882" w14:textId="77777777" w:rsidR="004B00F2" w:rsidRPr="00650A1C" w:rsidRDefault="004B00F2" w:rsidP="007934B5">
            <w:pPr>
              <w:pStyle w:val="BodyText2"/>
              <w:ind w:left="318"/>
              <w:rPr>
                <w:rFonts w:ascii="Times New Roman" w:hAnsi="Times New Roman" w:cs="Times New Roman"/>
                <w:i/>
                <w:sz w:val="22"/>
                <w:lang w:val="fr-FR"/>
              </w:rPr>
            </w:pPr>
          </w:p>
          <w:p w14:paraId="6CE2F1CA" w14:textId="1C1B9A1E" w:rsidR="004B00F2" w:rsidRPr="00650A1C" w:rsidRDefault="004B00F2" w:rsidP="007934B5">
            <w:pPr>
              <w:pStyle w:val="BodyText2"/>
              <w:numPr>
                <w:ilvl w:val="0"/>
                <w:numId w:val="30"/>
              </w:numPr>
              <w:ind w:left="318"/>
              <w:rPr>
                <w:rFonts w:ascii="Times New Roman" w:hAnsi="Times New Roman" w:cs="Times New Roman"/>
                <w:i/>
                <w:sz w:val="22"/>
                <w:lang w:val="fr-FR"/>
              </w:rPr>
            </w:pPr>
            <w:r w:rsidRPr="00650A1C">
              <w:rPr>
                <w:rFonts w:ascii="Times New Roman" w:hAnsi="Times New Roman" w:cs="Times New Roman"/>
                <w:i/>
                <w:sz w:val="22"/>
                <w:lang w:val="fr-FR"/>
              </w:rPr>
              <w:lastRenderedPageBreak/>
              <w:t>Existence de cadres de gouvernance nationaux concernant les changements climatiques, la biodiversité, la gestion durable des terres et des zones côtières et l’énergie renouvelable</w:t>
            </w:r>
          </w:p>
          <w:p w14:paraId="5962C5EC" w14:textId="77777777" w:rsidR="004B00F2" w:rsidRPr="00650A1C" w:rsidRDefault="004B00F2" w:rsidP="00AC5DF7">
            <w:pPr>
              <w:pStyle w:val="BodyText2"/>
              <w:rPr>
                <w:rFonts w:ascii="Times New Roman" w:hAnsi="Times New Roman" w:cs="Times New Roman"/>
                <w:i/>
                <w:sz w:val="22"/>
                <w:lang w:val="fr-FR"/>
              </w:rPr>
            </w:pPr>
          </w:p>
        </w:tc>
        <w:tc>
          <w:tcPr>
            <w:tcW w:w="6030" w:type="dxa"/>
            <w:gridSpan w:val="2"/>
            <w:shd w:val="clear" w:color="auto" w:fill="auto"/>
          </w:tcPr>
          <w:p w14:paraId="4A211050" w14:textId="03303327" w:rsidR="00907C12" w:rsidRDefault="008C3258" w:rsidP="008C3258">
            <w:pPr>
              <w:pStyle w:val="BodyText2"/>
              <w:rPr>
                <w:rFonts w:ascii="Times New Roman" w:hAnsi="Times New Roman" w:cs="Times New Roman"/>
                <w:i/>
                <w:iCs/>
                <w:sz w:val="22"/>
                <w:lang w:val="fr-FR"/>
              </w:rPr>
            </w:pPr>
            <w:r w:rsidRPr="008C3258">
              <w:rPr>
                <w:rFonts w:ascii="Times New Roman" w:hAnsi="Times New Roman" w:cs="Times New Roman"/>
                <w:i/>
                <w:iCs/>
                <w:sz w:val="22"/>
                <w:lang w:val="fr-FR"/>
              </w:rPr>
              <w:lastRenderedPageBreak/>
              <w:t>a.</w:t>
            </w:r>
            <w:r>
              <w:rPr>
                <w:rFonts w:ascii="Times New Roman" w:hAnsi="Times New Roman" w:cs="Times New Roman"/>
                <w:i/>
                <w:iCs/>
                <w:sz w:val="22"/>
                <w:lang w:val="fr-FR"/>
              </w:rPr>
              <w:t xml:space="preserve">  </w:t>
            </w:r>
            <w:r w:rsidR="00907C12">
              <w:rPr>
                <w:rFonts w:ascii="Times New Roman" w:hAnsi="Times New Roman" w:cs="Times New Roman"/>
                <w:i/>
                <w:iCs/>
                <w:sz w:val="22"/>
                <w:lang w:val="fr-FR"/>
              </w:rPr>
              <w:t>Le PNUD a contribué à la création du Bureau National pour l’Evaluation Environnementale, un organe dédié à l'analyse et à la prise en compte du facteur environnemental dans les politiques publiques de l'Etat haïtien, de manière transversale. Le BNEE aura à veiller à l’intégration des normes et bonnes pratiques environnementales et sociales dans la planification et la réalisation de tous les projets, programmes, initiatives de développement, qui se déploient dans le pays.</w:t>
            </w:r>
          </w:p>
          <w:p w14:paraId="030C3EFE" w14:textId="77777777" w:rsidR="008C3258" w:rsidRDefault="008C3258" w:rsidP="008C3258">
            <w:pPr>
              <w:pStyle w:val="BodyText2"/>
              <w:rPr>
                <w:rFonts w:ascii="Times New Roman" w:hAnsi="Times New Roman" w:cs="Times New Roman"/>
                <w:i/>
                <w:iCs/>
                <w:sz w:val="22"/>
                <w:lang w:val="fr-FR"/>
              </w:rPr>
            </w:pPr>
          </w:p>
          <w:p w14:paraId="39587ADE" w14:textId="334E822F" w:rsidR="004B00F2" w:rsidRPr="00435CA4" w:rsidRDefault="00907C12" w:rsidP="00435CA4">
            <w:pPr>
              <w:rPr>
                <w:rFonts w:ascii="Times New Roman" w:hAnsi="Times New Roman" w:cs="Times New Roman"/>
                <w:color w:val="444444"/>
                <w:lang w:val="fr-FR"/>
              </w:rPr>
            </w:pPr>
            <w:r w:rsidRPr="00435CA4">
              <w:rPr>
                <w:rFonts w:ascii="Times New Roman" w:hAnsi="Times New Roman"/>
                <w:i/>
                <w:color w:val="333333"/>
                <w:lang w:val="fr-FR"/>
              </w:rPr>
              <w:lastRenderedPageBreak/>
              <w:t>b.</w:t>
            </w:r>
            <w:r>
              <w:rPr>
                <w:rFonts w:ascii="Times New Roman" w:hAnsi="Times New Roman"/>
                <w:color w:val="333333"/>
                <w:lang w:val="fr-FR"/>
              </w:rPr>
              <w:t xml:space="preserve"> </w:t>
            </w:r>
            <w:r w:rsidR="007934B5">
              <w:rPr>
                <w:rFonts w:ascii="Times New Roman" w:hAnsi="Times New Roman"/>
                <w:i/>
                <w:iCs/>
                <w:lang w:val="fr-FR"/>
              </w:rPr>
              <w:t xml:space="preserve">L'appui du PNUD a permis :  </w:t>
            </w:r>
            <w:r>
              <w:rPr>
                <w:rFonts w:ascii="Times New Roman" w:hAnsi="Times New Roman"/>
                <w:i/>
                <w:iCs/>
                <w:lang w:val="fr-FR"/>
              </w:rPr>
              <w:t>l’élaboration du document d'engagement de l'Etat haitien à la COP 21 sur les changements climatiques et les études sectiorielles en support;</w:t>
            </w:r>
            <w:r w:rsidR="008C3258">
              <w:rPr>
                <w:rFonts w:ascii="Times New Roman" w:hAnsi="Times New Roman"/>
                <w:i/>
                <w:iCs/>
                <w:lang w:val="fr-FR"/>
              </w:rPr>
              <w:t xml:space="preserve"> </w:t>
            </w:r>
            <w:r>
              <w:rPr>
                <w:rFonts w:ascii="Times New Roman" w:hAnsi="Times New Roman"/>
                <w:i/>
                <w:iCs/>
                <w:lang w:val="fr-FR"/>
              </w:rPr>
              <w:t>la mise en place des procédures d'évaluation d'impact environnemental, la structuration et le fonctionnement de la table sectorielle sur l'environnement ;  le développement d'une politique nationale sur les changements climatiques ;une référence légale pour la réforme de la législation relative à la génération, distribution et commercialisation d'énergie électrique en général et un avant-projet de loi spécifique au secteur de l'hydro-électricité à petite échelle  et, enfin, le développement d'une méthodologie</w:t>
            </w:r>
            <w:r w:rsidR="00435CA4">
              <w:rPr>
                <w:rFonts w:ascii="Times New Roman" w:hAnsi="Times New Roman"/>
                <w:i/>
                <w:iCs/>
                <w:lang w:val="fr-FR"/>
              </w:rPr>
              <w:t xml:space="preserve"> </w:t>
            </w:r>
            <w:r>
              <w:rPr>
                <w:rFonts w:ascii="Times New Roman" w:hAnsi="Times New Roman"/>
                <w:i/>
                <w:iCs/>
                <w:lang w:val="fr-FR"/>
              </w:rPr>
              <w:t>officielle pour l'élaboration de plans de cogestion des bassins versants qui fut endossé par le ministre de l'environnement de l'époque.</w:t>
            </w:r>
            <w:r>
              <w:rPr>
                <w:rFonts w:ascii="Times New Roman" w:hAnsi="Times New Roman"/>
                <w:color w:val="333333"/>
                <w:lang w:val="fr-FR"/>
              </w:rPr>
              <w:t xml:space="preserve"> </w:t>
            </w:r>
            <w:r>
              <w:rPr>
                <w:rFonts w:ascii="Times New Roman" w:hAnsi="Times New Roman"/>
                <w:color w:val="444444"/>
                <w:lang w:val="fr-FR"/>
              </w:rPr>
              <w:t> </w:t>
            </w:r>
          </w:p>
        </w:tc>
      </w:tr>
      <w:tr w:rsidR="004B00F2" w:rsidRPr="00717CE1" w14:paraId="031A313B" w14:textId="77777777" w:rsidTr="00ED3E89">
        <w:trPr>
          <w:jc w:val="center"/>
        </w:trPr>
        <w:tc>
          <w:tcPr>
            <w:tcW w:w="15007" w:type="dxa"/>
            <w:gridSpan w:val="7"/>
          </w:tcPr>
          <w:p w14:paraId="30E70835" w14:textId="77777777" w:rsidR="004B00F2" w:rsidRPr="00650A1C" w:rsidRDefault="004B00F2" w:rsidP="00AC5DF7">
            <w:pPr>
              <w:pStyle w:val="BodyText2"/>
              <w:spacing w:before="120" w:after="120"/>
              <w:jc w:val="both"/>
              <w:rPr>
                <w:rFonts w:ascii="Times New Roman" w:hAnsi="Times New Roman" w:cs="Times New Roman"/>
                <w:b/>
                <w:sz w:val="22"/>
                <w:lang w:val="fr-FR"/>
              </w:rPr>
            </w:pPr>
            <w:r w:rsidRPr="00650A1C">
              <w:rPr>
                <w:rFonts w:ascii="Times New Roman" w:hAnsi="Times New Roman" w:cs="Times New Roman"/>
                <w:b/>
                <w:sz w:val="22"/>
                <w:lang w:val="fr-FR"/>
              </w:rPr>
              <w:lastRenderedPageBreak/>
              <w:t xml:space="preserve">UNDP Contribution : </w:t>
            </w:r>
          </w:p>
          <w:p w14:paraId="2A32956C" w14:textId="77777777" w:rsidR="004B00F2" w:rsidRPr="00650A1C" w:rsidRDefault="004B00F2" w:rsidP="00AC5DF7">
            <w:pPr>
              <w:pStyle w:val="BodyText2"/>
              <w:spacing w:before="120" w:after="120"/>
              <w:jc w:val="both"/>
              <w:rPr>
                <w:rFonts w:ascii="Times New Roman" w:hAnsi="Times New Roman" w:cs="Times New Roman"/>
                <w:sz w:val="22"/>
                <w:u w:val="single"/>
                <w:lang w:val="fr-FR"/>
              </w:rPr>
            </w:pPr>
            <w:r w:rsidRPr="00650A1C">
              <w:rPr>
                <w:rFonts w:ascii="Times New Roman" w:hAnsi="Times New Roman" w:cs="Times New Roman"/>
                <w:sz w:val="22"/>
                <w:u w:val="single"/>
                <w:lang w:val="fr-FR"/>
              </w:rPr>
              <w:t xml:space="preserve">CP Outputs : </w:t>
            </w:r>
          </w:p>
          <w:p w14:paraId="719B249A" w14:textId="77777777" w:rsidR="004B00F2" w:rsidRPr="00650A1C" w:rsidRDefault="004B00F2" w:rsidP="005C05CA">
            <w:pPr>
              <w:pStyle w:val="BodyText2"/>
              <w:numPr>
                <w:ilvl w:val="0"/>
                <w:numId w:val="24"/>
              </w:numPr>
              <w:spacing w:before="120" w:after="120"/>
              <w:jc w:val="both"/>
              <w:rPr>
                <w:rFonts w:ascii="Times New Roman" w:hAnsi="Times New Roman" w:cs="Times New Roman"/>
                <w:sz w:val="22"/>
                <w:lang w:val="fr-FR"/>
              </w:rPr>
            </w:pPr>
            <w:r w:rsidRPr="00650A1C">
              <w:rPr>
                <w:rFonts w:ascii="Times New Roman" w:hAnsi="Times New Roman" w:cs="Times New Roman"/>
                <w:sz w:val="22"/>
                <w:lang w:val="fr-FR"/>
              </w:rPr>
              <w:t>Les bassins versants prioritaires ont une couverture forestière accrue</w:t>
            </w:r>
          </w:p>
          <w:p w14:paraId="67D81603" w14:textId="77777777" w:rsidR="004B00F2" w:rsidRPr="00650A1C" w:rsidRDefault="004B00F2" w:rsidP="005C05CA">
            <w:pPr>
              <w:pStyle w:val="BodyText2"/>
              <w:numPr>
                <w:ilvl w:val="0"/>
                <w:numId w:val="24"/>
              </w:numPr>
              <w:spacing w:before="120" w:after="120"/>
              <w:jc w:val="both"/>
              <w:rPr>
                <w:rFonts w:ascii="Times New Roman" w:hAnsi="Times New Roman" w:cs="Times New Roman"/>
                <w:sz w:val="22"/>
                <w:lang w:val="fr-FR"/>
              </w:rPr>
            </w:pPr>
            <w:r w:rsidRPr="00650A1C">
              <w:rPr>
                <w:rFonts w:ascii="Times New Roman" w:hAnsi="Times New Roman" w:cs="Times New Roman"/>
                <w:sz w:val="22"/>
                <w:lang w:val="fr-FR"/>
              </w:rPr>
              <w:t>Des politiques nationales et des plans de gestion de l’environnement et des ressources naturelles intégrant un plan d’action budgétisé sont validés</w:t>
            </w:r>
          </w:p>
          <w:p w14:paraId="67D16AD9" w14:textId="77777777" w:rsidR="004B00F2" w:rsidRPr="00650A1C" w:rsidRDefault="004B00F2" w:rsidP="005C05CA">
            <w:pPr>
              <w:pStyle w:val="BodyText2"/>
              <w:numPr>
                <w:ilvl w:val="0"/>
                <w:numId w:val="24"/>
              </w:numPr>
              <w:spacing w:before="120" w:after="120"/>
              <w:jc w:val="both"/>
              <w:rPr>
                <w:rFonts w:ascii="Times New Roman" w:hAnsi="Times New Roman" w:cs="Times New Roman"/>
                <w:sz w:val="22"/>
                <w:lang w:val="fr-FR"/>
              </w:rPr>
            </w:pPr>
            <w:r w:rsidRPr="00650A1C">
              <w:rPr>
                <w:rFonts w:ascii="Times New Roman" w:hAnsi="Times New Roman" w:cs="Times New Roman"/>
                <w:sz w:val="22"/>
                <w:lang w:val="fr-FR"/>
              </w:rPr>
              <w:t>Des mécanismes d’adaptation au changement climatique sont mis en place</w:t>
            </w:r>
          </w:p>
          <w:p w14:paraId="0C03043C" w14:textId="77777777" w:rsidR="007D7006" w:rsidRPr="00650A1C" w:rsidRDefault="007D7006" w:rsidP="007D7006">
            <w:pPr>
              <w:pStyle w:val="BodyText2"/>
              <w:spacing w:before="120" w:after="120"/>
              <w:jc w:val="both"/>
              <w:rPr>
                <w:rFonts w:ascii="Times New Roman" w:hAnsi="Times New Roman" w:cs="Times New Roman"/>
                <w:sz w:val="22"/>
                <w:u w:val="single"/>
                <w:lang w:val="fr-FR"/>
              </w:rPr>
            </w:pPr>
            <w:r>
              <w:rPr>
                <w:rFonts w:ascii="Times New Roman" w:hAnsi="Times New Roman" w:cs="Times New Roman"/>
                <w:sz w:val="22"/>
                <w:u w:val="single"/>
                <w:lang w:val="fr-FR"/>
              </w:rPr>
              <w:t xml:space="preserve">Progrès et résultats </w:t>
            </w:r>
            <w:r w:rsidRPr="00650A1C">
              <w:rPr>
                <w:rFonts w:ascii="Times New Roman" w:hAnsi="Times New Roman" w:cs="Times New Roman"/>
                <w:sz w:val="22"/>
                <w:u w:val="single"/>
                <w:lang w:val="fr-FR"/>
              </w:rPr>
              <w:t xml:space="preserve">: </w:t>
            </w:r>
          </w:p>
          <w:p w14:paraId="43BEA058" w14:textId="5903E9AB" w:rsidR="004B00F2" w:rsidRPr="007A213B" w:rsidRDefault="00907C12" w:rsidP="005A6E85">
            <w:pPr>
              <w:jc w:val="both"/>
              <w:rPr>
                <w:rFonts w:ascii="Times New Roman" w:hAnsi="Times New Roman" w:cs="Times New Roman"/>
                <w:sz w:val="24"/>
                <w:szCs w:val="24"/>
                <w:lang w:val="fr-FR"/>
              </w:rPr>
            </w:pPr>
            <w:r>
              <w:rPr>
                <w:rFonts w:ascii="Times New Roman" w:hAnsi="Times New Roman"/>
                <w:color w:val="000000"/>
                <w:lang w:val="fr-FR"/>
              </w:rPr>
              <w:t xml:space="preserve">Il y a eu des avancées dans l’élaboration des cadres de gouvernance nationaux concernant les Changements Climatiques (CC), la biodiversité, la gestion durable des terres et des zones côtières et les énergies renouvelables. Le PNUD a soutenu le </w:t>
            </w:r>
            <w:r w:rsidR="008C3258">
              <w:rPr>
                <w:rFonts w:ascii="Times New Roman" w:hAnsi="Times New Roman"/>
                <w:color w:val="000000"/>
                <w:lang w:val="fr-FR"/>
              </w:rPr>
              <w:t>Ministère de l’Environnement (</w:t>
            </w:r>
            <w:r>
              <w:rPr>
                <w:rFonts w:ascii="Times New Roman" w:hAnsi="Times New Roman"/>
                <w:color w:val="000000"/>
                <w:lang w:val="fr-FR"/>
              </w:rPr>
              <w:t>MdE</w:t>
            </w:r>
            <w:r w:rsidR="008C3258">
              <w:rPr>
                <w:rFonts w:ascii="Times New Roman" w:hAnsi="Times New Roman"/>
                <w:color w:val="000000"/>
                <w:lang w:val="fr-FR"/>
              </w:rPr>
              <w:t>)</w:t>
            </w:r>
            <w:r>
              <w:rPr>
                <w:rFonts w:ascii="Times New Roman" w:hAnsi="Times New Roman"/>
                <w:color w:val="000000"/>
                <w:lang w:val="fr-FR"/>
              </w:rPr>
              <w:t xml:space="preserve"> dans la création du Bureau national pour l'évaluation d'impact environnemental, dans le cadre d’un </w:t>
            </w:r>
            <w:r w:rsidR="008C3258">
              <w:rPr>
                <w:rFonts w:ascii="Times New Roman" w:hAnsi="Times New Roman"/>
                <w:color w:val="000000"/>
                <w:lang w:val="fr-FR"/>
              </w:rPr>
              <w:t xml:space="preserve">partenariat </w:t>
            </w:r>
            <w:r>
              <w:rPr>
                <w:rFonts w:ascii="Times New Roman" w:hAnsi="Times New Roman"/>
                <w:color w:val="000000"/>
                <w:lang w:val="fr-FR"/>
              </w:rPr>
              <w:t xml:space="preserve">entre le PNUD, le MdE et l’Institut de la Francophonie pour le Développement Durable. Concernant l'adaptation au Changement Climatique, un guide méthodologique pour estimer et intégrer les coûts du CC a été élaboré. Le PNUD a également soutenu le Ministère des Finances pour estimer efficacement les coûts liés au CC, en particulier dans le secteur agricole, afin de les intégrer au budget </w:t>
            </w:r>
            <w:r w:rsidR="007A213B">
              <w:rPr>
                <w:rFonts w:ascii="Times New Roman" w:hAnsi="Times New Roman"/>
                <w:color w:val="000000"/>
                <w:lang w:val="fr-FR"/>
              </w:rPr>
              <w:t>national.</w:t>
            </w:r>
            <w:r>
              <w:rPr>
                <w:rFonts w:ascii="Times New Roman" w:hAnsi="Times New Roman"/>
                <w:color w:val="000000"/>
                <w:lang w:val="fr-FR"/>
              </w:rPr>
              <w:t xml:space="preserve"> Un </w:t>
            </w:r>
            <w:r w:rsidR="007A213B">
              <w:rPr>
                <w:rFonts w:ascii="Times New Roman" w:hAnsi="Times New Roman"/>
                <w:color w:val="000000"/>
                <w:lang w:val="fr-FR"/>
              </w:rPr>
              <w:t>avant-projet</w:t>
            </w:r>
            <w:r>
              <w:rPr>
                <w:rFonts w:ascii="Times New Roman" w:hAnsi="Times New Roman"/>
                <w:color w:val="000000"/>
                <w:lang w:val="fr-FR"/>
              </w:rPr>
              <w:t xml:space="preserve"> de réglementation du secteur de la micro-hydroélectricité communautaire ou commerciale est rendu disponible. Des progrès sont à noter dans la planification de la gestion locale des bassins versants. Pour le bassin versant binational de l'Artibonite, le plus grand en Haïti, avec l'appui du PNUD, une analyse diagnostique transfrontalière complète a été réalisée et permis l'élaboration d'un programme binational d'action straté</w:t>
            </w:r>
            <w:r w:rsidR="00925F67">
              <w:rPr>
                <w:rFonts w:ascii="Times New Roman" w:hAnsi="Times New Roman"/>
                <w:color w:val="000000"/>
                <w:lang w:val="fr-FR"/>
              </w:rPr>
              <w:t xml:space="preserve">gique pour son développement. </w:t>
            </w:r>
            <w:r>
              <w:rPr>
                <w:rFonts w:ascii="Times New Roman" w:hAnsi="Times New Roman"/>
                <w:color w:val="000000"/>
                <w:lang w:val="fr-FR"/>
              </w:rPr>
              <w:t xml:space="preserve">Une méthodologie pour l'élaboration de plans de cogestion des bassins versants a été également produit et validée par le Ministre de l'Environnement en fonction.  Deux plans de gestion des bassins versants ont été développés dans le Sud. Dans le </w:t>
            </w:r>
            <w:r w:rsidR="005A6E85">
              <w:rPr>
                <w:rFonts w:ascii="Times New Roman" w:hAnsi="Times New Roman"/>
                <w:color w:val="000000"/>
                <w:lang w:val="fr-FR"/>
              </w:rPr>
              <w:t>premier</w:t>
            </w:r>
            <w:r>
              <w:rPr>
                <w:rFonts w:ascii="Times New Roman" w:hAnsi="Times New Roman"/>
                <w:color w:val="000000"/>
                <w:lang w:val="fr-FR"/>
              </w:rPr>
              <w:t>, les activités de renforcement des capacités ont été mises en œuvre pour soutenir les comités de gestion, y compris l’inclusion de l'adaptation au CC dans la gestion. Pour le second, huit 8 comités de gestion ont été établis et logistiquement soutenus pour leur fonctionnement.</w:t>
            </w:r>
            <w:r>
              <w:rPr>
                <w:rFonts w:ascii="Times New Roman" w:hAnsi="Times New Roman"/>
                <w:sz w:val="24"/>
                <w:szCs w:val="24"/>
                <w:lang w:val="fr-FR"/>
              </w:rPr>
              <w:t xml:space="preserve"> </w:t>
            </w:r>
          </w:p>
        </w:tc>
      </w:tr>
      <w:tr w:rsidR="004B00F2" w:rsidRPr="00650A1C" w14:paraId="2AFD498E" w14:textId="77777777" w:rsidTr="00ED3E89">
        <w:trPr>
          <w:jc w:val="center"/>
        </w:trPr>
        <w:tc>
          <w:tcPr>
            <w:tcW w:w="3577" w:type="dxa"/>
            <w:gridSpan w:val="2"/>
          </w:tcPr>
          <w:p w14:paraId="1EDF4F12" w14:textId="77777777" w:rsidR="004B00F2" w:rsidRPr="00650A1C" w:rsidRDefault="004B00F2" w:rsidP="00AC5DF7">
            <w:pPr>
              <w:pStyle w:val="BodyText2"/>
              <w:rPr>
                <w:rFonts w:ascii="Times New Roman" w:hAnsi="Times New Roman" w:cs="Times New Roman"/>
                <w:b/>
                <w:sz w:val="22"/>
              </w:rPr>
            </w:pPr>
            <w:r w:rsidRPr="00650A1C">
              <w:rPr>
                <w:rFonts w:ascii="Times New Roman" w:hAnsi="Times New Roman" w:cs="Times New Roman"/>
                <w:b/>
                <w:sz w:val="22"/>
              </w:rPr>
              <w:t>Outcomes</w:t>
            </w:r>
          </w:p>
        </w:tc>
        <w:tc>
          <w:tcPr>
            <w:tcW w:w="2160" w:type="dxa"/>
            <w:gridSpan w:val="2"/>
            <w:shd w:val="clear" w:color="auto" w:fill="auto"/>
          </w:tcPr>
          <w:p w14:paraId="7A3C7EED" w14:textId="77777777" w:rsidR="004B00F2" w:rsidRDefault="004B00F2" w:rsidP="00AC5DF7">
            <w:pPr>
              <w:pStyle w:val="BodyText2"/>
              <w:rPr>
                <w:rFonts w:ascii="Times New Roman" w:hAnsi="Times New Roman" w:cs="Times New Roman"/>
                <w:b/>
                <w:sz w:val="22"/>
              </w:rPr>
            </w:pPr>
            <w:r w:rsidRPr="00650A1C">
              <w:rPr>
                <w:rFonts w:ascii="Times New Roman" w:hAnsi="Times New Roman" w:cs="Times New Roman"/>
                <w:b/>
                <w:sz w:val="22"/>
              </w:rPr>
              <w:t>Total Expenditure</w:t>
            </w:r>
          </w:p>
          <w:p w14:paraId="77E92693" w14:textId="6038B2AD" w:rsidR="00F93511" w:rsidRPr="00650A1C" w:rsidRDefault="00F93511" w:rsidP="00AC5DF7">
            <w:pPr>
              <w:pStyle w:val="BodyText2"/>
              <w:rPr>
                <w:rFonts w:ascii="Times New Roman" w:hAnsi="Times New Roman" w:cs="Times New Roman"/>
                <w:sz w:val="22"/>
              </w:rPr>
            </w:pPr>
            <w:r w:rsidRPr="00F93511">
              <w:rPr>
                <w:rFonts w:ascii="Times New Roman" w:hAnsi="Times New Roman" w:cs="Times New Roman"/>
                <w:sz w:val="22"/>
              </w:rPr>
              <w:lastRenderedPageBreak/>
              <w:t>(millions USD)</w:t>
            </w:r>
          </w:p>
        </w:tc>
        <w:tc>
          <w:tcPr>
            <w:tcW w:w="3240" w:type="dxa"/>
            <w:tcBorders>
              <w:left w:val="single" w:sz="4" w:space="0" w:color="auto"/>
            </w:tcBorders>
          </w:tcPr>
          <w:p w14:paraId="4679DFB8" w14:textId="77777777" w:rsidR="004B00F2" w:rsidRPr="00650A1C" w:rsidRDefault="004B00F2" w:rsidP="00AC5DF7">
            <w:pPr>
              <w:pStyle w:val="BodyText2"/>
              <w:ind w:left="360"/>
              <w:rPr>
                <w:rFonts w:ascii="Times New Roman" w:hAnsi="Times New Roman" w:cs="Times New Roman"/>
                <w:sz w:val="22"/>
              </w:rPr>
            </w:pPr>
            <w:r w:rsidRPr="00650A1C">
              <w:rPr>
                <w:rFonts w:ascii="Times New Roman" w:hAnsi="Times New Roman" w:cs="Times New Roman"/>
                <w:b/>
                <w:sz w:val="22"/>
              </w:rPr>
              <w:lastRenderedPageBreak/>
              <w:t>Key Indicators of outcome</w:t>
            </w:r>
          </w:p>
        </w:tc>
        <w:tc>
          <w:tcPr>
            <w:tcW w:w="6030" w:type="dxa"/>
            <w:gridSpan w:val="2"/>
          </w:tcPr>
          <w:p w14:paraId="4C887BAC" w14:textId="77777777" w:rsidR="004B00F2" w:rsidRPr="00650A1C" w:rsidRDefault="004B00F2" w:rsidP="00AC5DF7">
            <w:pPr>
              <w:pStyle w:val="BodyText2"/>
              <w:ind w:left="360"/>
              <w:rPr>
                <w:rFonts w:ascii="Times New Roman" w:hAnsi="Times New Roman" w:cs="Times New Roman"/>
                <w:i/>
                <w:sz w:val="22"/>
              </w:rPr>
            </w:pPr>
            <w:r w:rsidRPr="00650A1C">
              <w:rPr>
                <w:rFonts w:ascii="Times New Roman" w:hAnsi="Times New Roman" w:cs="Times New Roman"/>
                <w:b/>
                <w:sz w:val="22"/>
              </w:rPr>
              <w:t>Progress made against key indicators</w:t>
            </w:r>
          </w:p>
        </w:tc>
      </w:tr>
      <w:tr w:rsidR="004B00F2" w:rsidRPr="009F39AA" w14:paraId="469D4810" w14:textId="77777777" w:rsidTr="00ED3E89">
        <w:trPr>
          <w:jc w:val="center"/>
        </w:trPr>
        <w:tc>
          <w:tcPr>
            <w:tcW w:w="3577" w:type="dxa"/>
            <w:gridSpan w:val="2"/>
            <w:shd w:val="clear" w:color="auto" w:fill="95B3D7" w:themeFill="accent1" w:themeFillTint="99"/>
          </w:tcPr>
          <w:p w14:paraId="51FB9EC8" w14:textId="77777777" w:rsidR="004B00F2" w:rsidRPr="00650A1C" w:rsidRDefault="004B00F2" w:rsidP="00AC5DF7">
            <w:pPr>
              <w:pStyle w:val="BodyText2"/>
              <w:rPr>
                <w:rFonts w:ascii="Times New Roman" w:hAnsi="Times New Roman" w:cs="Times New Roman"/>
                <w:b/>
                <w:sz w:val="22"/>
                <w:lang w:val="fr-FR"/>
              </w:rPr>
            </w:pPr>
            <w:r w:rsidRPr="00650A1C">
              <w:rPr>
                <w:rFonts w:ascii="Times New Roman" w:hAnsi="Times New Roman" w:cs="Times New Roman"/>
                <w:b/>
                <w:sz w:val="22"/>
                <w:lang w:val="fr-FR"/>
              </w:rPr>
              <w:t>4. Les capacités des institutions (nationales et territoriales décentralisées) et de la société civile sont renforcées pour la prévention, la gestion et la réponse aux risques et désastres naturels.</w:t>
            </w:r>
          </w:p>
        </w:tc>
        <w:tc>
          <w:tcPr>
            <w:tcW w:w="2160" w:type="dxa"/>
            <w:gridSpan w:val="2"/>
            <w:shd w:val="clear" w:color="auto" w:fill="auto"/>
          </w:tcPr>
          <w:p w14:paraId="3D074276" w14:textId="14539751" w:rsidR="004B00F2" w:rsidRPr="00650A1C" w:rsidRDefault="004B00F2" w:rsidP="00AC5DF7">
            <w:pPr>
              <w:pStyle w:val="BodyText2"/>
              <w:rPr>
                <w:rFonts w:ascii="Times New Roman" w:hAnsi="Times New Roman" w:cs="Times New Roman"/>
                <w:sz w:val="22"/>
              </w:rPr>
            </w:pPr>
            <w:r w:rsidRPr="00650A1C">
              <w:rPr>
                <w:rFonts w:ascii="Times New Roman" w:hAnsi="Times New Roman" w:cs="Times New Roman"/>
                <w:sz w:val="22"/>
              </w:rPr>
              <w:t xml:space="preserve">Regular: $ </w:t>
            </w:r>
            <w:r w:rsidR="00F93511">
              <w:rPr>
                <w:rFonts w:ascii="Times New Roman" w:hAnsi="Times New Roman" w:cs="Times New Roman"/>
                <w:sz w:val="22"/>
              </w:rPr>
              <w:t>4.00</w:t>
            </w:r>
          </w:p>
          <w:p w14:paraId="5A8D809B" w14:textId="16818792" w:rsidR="004B00F2" w:rsidRPr="00650A1C" w:rsidRDefault="004B00F2" w:rsidP="00F93511">
            <w:pPr>
              <w:pStyle w:val="BodyText2"/>
              <w:rPr>
                <w:rFonts w:ascii="Times New Roman" w:hAnsi="Times New Roman" w:cs="Times New Roman"/>
                <w:sz w:val="22"/>
              </w:rPr>
            </w:pPr>
            <w:r w:rsidRPr="00650A1C">
              <w:rPr>
                <w:rFonts w:ascii="Times New Roman" w:hAnsi="Times New Roman" w:cs="Times New Roman"/>
                <w:sz w:val="22"/>
              </w:rPr>
              <w:t>Other  : $</w:t>
            </w:r>
            <w:r w:rsidR="00F93511">
              <w:rPr>
                <w:rFonts w:ascii="Times New Roman" w:hAnsi="Times New Roman" w:cs="Times New Roman"/>
                <w:sz w:val="22"/>
              </w:rPr>
              <w:t xml:space="preserve"> 22.00</w:t>
            </w:r>
          </w:p>
        </w:tc>
        <w:tc>
          <w:tcPr>
            <w:tcW w:w="3240" w:type="dxa"/>
            <w:tcBorders>
              <w:left w:val="single" w:sz="4" w:space="0" w:color="auto"/>
            </w:tcBorders>
          </w:tcPr>
          <w:p w14:paraId="018BAF0D" w14:textId="77777777" w:rsidR="004B00F2" w:rsidRPr="00650A1C" w:rsidRDefault="004B00F2" w:rsidP="005A6E85">
            <w:pPr>
              <w:pStyle w:val="BodyText2"/>
              <w:numPr>
                <w:ilvl w:val="0"/>
                <w:numId w:val="26"/>
              </w:numPr>
              <w:ind w:left="408"/>
              <w:rPr>
                <w:rFonts w:ascii="Times New Roman" w:hAnsi="Times New Roman" w:cs="Times New Roman"/>
                <w:i/>
                <w:sz w:val="22"/>
                <w:lang w:val="fr-FR"/>
              </w:rPr>
            </w:pPr>
            <w:r w:rsidRPr="00650A1C">
              <w:rPr>
                <w:rFonts w:ascii="Times New Roman" w:hAnsi="Times New Roman" w:cs="Times New Roman"/>
                <w:i/>
                <w:sz w:val="22"/>
                <w:lang w:val="fr-FR"/>
              </w:rPr>
              <w:t>Existence d’un plan national mis à jour et tenant compte de l’égalité des sexes pour la gestion des risques liés aux catastrophes.</w:t>
            </w:r>
          </w:p>
          <w:p w14:paraId="66C7390C" w14:textId="77777777" w:rsidR="004B00F2" w:rsidRPr="00650A1C" w:rsidRDefault="004B00F2" w:rsidP="005A6E85">
            <w:pPr>
              <w:pStyle w:val="BodyText2"/>
              <w:ind w:left="408"/>
              <w:rPr>
                <w:rFonts w:ascii="Times New Roman" w:hAnsi="Times New Roman" w:cs="Times New Roman"/>
                <w:i/>
                <w:sz w:val="22"/>
                <w:lang w:val="fr-FR"/>
              </w:rPr>
            </w:pPr>
          </w:p>
          <w:p w14:paraId="03E46B77" w14:textId="77777777" w:rsidR="004B00F2" w:rsidRPr="00650A1C" w:rsidRDefault="004B00F2" w:rsidP="005A6E85">
            <w:pPr>
              <w:pStyle w:val="BodyText2"/>
              <w:ind w:left="408"/>
              <w:rPr>
                <w:rFonts w:ascii="Times New Roman" w:hAnsi="Times New Roman" w:cs="Times New Roman"/>
                <w:i/>
                <w:sz w:val="22"/>
                <w:lang w:val="fr-FR"/>
              </w:rPr>
            </w:pPr>
          </w:p>
          <w:p w14:paraId="6CFB5499" w14:textId="77777777" w:rsidR="004B00F2" w:rsidRPr="00650A1C" w:rsidRDefault="004B00F2" w:rsidP="005A6E85">
            <w:pPr>
              <w:pStyle w:val="BodyText2"/>
              <w:ind w:left="408"/>
              <w:rPr>
                <w:rFonts w:ascii="Times New Roman" w:hAnsi="Times New Roman" w:cs="Times New Roman"/>
                <w:i/>
                <w:sz w:val="22"/>
                <w:lang w:val="fr-FR"/>
              </w:rPr>
            </w:pPr>
          </w:p>
          <w:p w14:paraId="00E95D68" w14:textId="77777777" w:rsidR="004B00F2" w:rsidRPr="00650A1C" w:rsidRDefault="004B00F2" w:rsidP="005A6E85">
            <w:pPr>
              <w:pStyle w:val="BodyText2"/>
              <w:ind w:left="408"/>
              <w:rPr>
                <w:rFonts w:ascii="Times New Roman" w:hAnsi="Times New Roman" w:cs="Times New Roman"/>
                <w:i/>
                <w:sz w:val="22"/>
                <w:lang w:val="fr-FR"/>
              </w:rPr>
            </w:pPr>
          </w:p>
          <w:p w14:paraId="13B120F2" w14:textId="77777777" w:rsidR="004B00F2" w:rsidRDefault="004B00F2" w:rsidP="005A6E85">
            <w:pPr>
              <w:pStyle w:val="BodyText2"/>
              <w:ind w:left="408"/>
              <w:rPr>
                <w:rFonts w:ascii="Times New Roman" w:hAnsi="Times New Roman" w:cs="Times New Roman"/>
                <w:i/>
                <w:sz w:val="22"/>
                <w:lang w:val="fr-FR"/>
              </w:rPr>
            </w:pPr>
          </w:p>
          <w:p w14:paraId="0D49A64E" w14:textId="77777777" w:rsidR="007F77AF" w:rsidRDefault="007F77AF" w:rsidP="005A6E85">
            <w:pPr>
              <w:pStyle w:val="BodyText2"/>
              <w:ind w:left="408"/>
              <w:rPr>
                <w:rFonts w:ascii="Times New Roman" w:hAnsi="Times New Roman" w:cs="Times New Roman"/>
                <w:i/>
                <w:sz w:val="22"/>
                <w:lang w:val="fr-FR"/>
              </w:rPr>
            </w:pPr>
          </w:p>
          <w:p w14:paraId="5D7DBAC4" w14:textId="77777777" w:rsidR="007F77AF" w:rsidRDefault="007F77AF" w:rsidP="005A6E85">
            <w:pPr>
              <w:pStyle w:val="BodyText2"/>
              <w:ind w:left="408"/>
              <w:rPr>
                <w:rFonts w:ascii="Times New Roman" w:hAnsi="Times New Roman" w:cs="Times New Roman"/>
                <w:i/>
                <w:sz w:val="22"/>
                <w:lang w:val="fr-FR"/>
              </w:rPr>
            </w:pPr>
          </w:p>
          <w:p w14:paraId="3B72CAC8" w14:textId="77777777" w:rsidR="007F77AF" w:rsidRDefault="007F77AF" w:rsidP="005A6E85">
            <w:pPr>
              <w:pStyle w:val="BodyText2"/>
              <w:ind w:left="408"/>
              <w:rPr>
                <w:rFonts w:ascii="Times New Roman" w:hAnsi="Times New Roman" w:cs="Times New Roman"/>
                <w:i/>
                <w:sz w:val="22"/>
                <w:lang w:val="fr-FR"/>
              </w:rPr>
            </w:pPr>
          </w:p>
          <w:p w14:paraId="3DDA2715" w14:textId="77777777" w:rsidR="007F77AF" w:rsidRDefault="007F77AF" w:rsidP="005A6E85">
            <w:pPr>
              <w:pStyle w:val="BodyText2"/>
              <w:ind w:left="408"/>
              <w:rPr>
                <w:rFonts w:ascii="Times New Roman" w:hAnsi="Times New Roman" w:cs="Times New Roman"/>
                <w:i/>
                <w:sz w:val="22"/>
                <w:lang w:val="fr-FR"/>
              </w:rPr>
            </w:pPr>
          </w:p>
          <w:p w14:paraId="751A34F4" w14:textId="6D1AB9D6" w:rsidR="007F77AF" w:rsidRDefault="007F77AF" w:rsidP="005A6E85">
            <w:pPr>
              <w:pStyle w:val="BodyText2"/>
              <w:ind w:left="408"/>
              <w:rPr>
                <w:rFonts w:ascii="Times New Roman" w:hAnsi="Times New Roman" w:cs="Times New Roman"/>
                <w:i/>
                <w:sz w:val="22"/>
                <w:lang w:val="fr-FR"/>
              </w:rPr>
            </w:pPr>
          </w:p>
          <w:p w14:paraId="355835C9" w14:textId="1BEBE87A" w:rsidR="005A6E85" w:rsidRDefault="005A6E85" w:rsidP="005A6E85">
            <w:pPr>
              <w:pStyle w:val="BodyText2"/>
              <w:ind w:left="408"/>
              <w:rPr>
                <w:rFonts w:ascii="Times New Roman" w:hAnsi="Times New Roman" w:cs="Times New Roman"/>
                <w:i/>
                <w:sz w:val="22"/>
                <w:lang w:val="fr-FR"/>
              </w:rPr>
            </w:pPr>
          </w:p>
          <w:p w14:paraId="444251A8" w14:textId="77777777" w:rsidR="00FE4225" w:rsidRDefault="00FE4225" w:rsidP="005A6E85">
            <w:pPr>
              <w:pStyle w:val="BodyText2"/>
              <w:ind w:left="408"/>
              <w:rPr>
                <w:rFonts w:ascii="Times New Roman" w:hAnsi="Times New Roman" w:cs="Times New Roman"/>
                <w:i/>
                <w:sz w:val="22"/>
                <w:lang w:val="fr-FR"/>
              </w:rPr>
            </w:pPr>
          </w:p>
          <w:p w14:paraId="7F876C12" w14:textId="05967B89" w:rsidR="004B00F2" w:rsidRPr="005A6E85" w:rsidRDefault="004B00F2" w:rsidP="005A6E85">
            <w:pPr>
              <w:pStyle w:val="BodyText2"/>
              <w:numPr>
                <w:ilvl w:val="0"/>
                <w:numId w:val="26"/>
              </w:numPr>
              <w:ind w:left="408"/>
              <w:rPr>
                <w:rFonts w:ascii="Times New Roman" w:hAnsi="Times New Roman" w:cs="Times New Roman"/>
                <w:i/>
                <w:sz w:val="22"/>
                <w:lang w:val="fr-FR"/>
              </w:rPr>
            </w:pPr>
            <w:r w:rsidRPr="005A6E85">
              <w:rPr>
                <w:rFonts w:ascii="Times New Roman" w:hAnsi="Times New Roman" w:cs="Times New Roman"/>
                <w:i/>
                <w:sz w:val="22"/>
                <w:lang w:val="fr-FR"/>
              </w:rPr>
              <w:t>La réduction des risques liés aux catastrophes est prise en compte dans plusieurs plans et stratégies sectorielles et dans leur mise en œuvre.</w:t>
            </w:r>
          </w:p>
          <w:p w14:paraId="0949DE43" w14:textId="77777777" w:rsidR="004B00F2" w:rsidRPr="00650A1C" w:rsidRDefault="004B00F2" w:rsidP="005A6E85">
            <w:pPr>
              <w:pStyle w:val="BodyText2"/>
              <w:ind w:left="408"/>
              <w:rPr>
                <w:rFonts w:ascii="Times New Roman" w:hAnsi="Times New Roman" w:cs="Times New Roman"/>
                <w:i/>
                <w:sz w:val="22"/>
                <w:lang w:val="fr-FR"/>
              </w:rPr>
            </w:pPr>
            <w:r w:rsidRPr="00650A1C">
              <w:rPr>
                <w:rFonts w:ascii="Times New Roman" w:hAnsi="Times New Roman" w:cs="Times New Roman"/>
                <w:sz w:val="22"/>
                <w:lang w:val="fr-FR"/>
              </w:rPr>
              <w:t xml:space="preserve"> </w:t>
            </w:r>
          </w:p>
        </w:tc>
        <w:tc>
          <w:tcPr>
            <w:tcW w:w="6030" w:type="dxa"/>
            <w:gridSpan w:val="2"/>
            <w:shd w:val="clear" w:color="auto" w:fill="auto"/>
          </w:tcPr>
          <w:p w14:paraId="476525FA" w14:textId="0D22F46F" w:rsidR="007F77AF" w:rsidRPr="00BC2B86" w:rsidRDefault="007A213B" w:rsidP="004A7BED">
            <w:pPr>
              <w:pStyle w:val="BodyText2"/>
              <w:numPr>
                <w:ilvl w:val="0"/>
                <w:numId w:val="29"/>
              </w:numPr>
              <w:ind w:left="90"/>
              <w:jc w:val="both"/>
              <w:rPr>
                <w:rFonts w:ascii="Times New Roman" w:hAnsi="Times New Roman" w:cs="Times New Roman"/>
                <w:i/>
                <w:sz w:val="22"/>
                <w:lang w:val="fr-FR"/>
              </w:rPr>
            </w:pPr>
            <w:r>
              <w:rPr>
                <w:rFonts w:ascii="Times New Roman" w:hAnsi="Times New Roman" w:cs="Times New Roman"/>
                <w:i/>
                <w:sz w:val="22"/>
                <w:lang w:val="fr-FR"/>
              </w:rPr>
              <w:t xml:space="preserve">a. </w:t>
            </w:r>
            <w:r w:rsidR="004B00F2" w:rsidRPr="007A213B">
              <w:rPr>
                <w:rFonts w:ascii="Times New Roman" w:hAnsi="Times New Roman" w:cs="Times New Roman"/>
                <w:i/>
                <w:sz w:val="22"/>
                <w:lang w:val="fr-FR"/>
              </w:rPr>
              <w:t>Les termes de références de la révision du plan national de gestion des risques et désastres ont été validés par l’ensemble des acteurs du secteur. Le premier Ministre a souligné que cette révision devait être une priorité pour le Système national de gestion des risques et désastres. L’ensemble des acteurs est prêt à participer à cette révision. Le recrutement de l’équipe qui va réaliser cette révision est en cours. Un accord a eu lieu avec ONU FEMMES et la DPC afin de mobiliser une expertise sur l’intégrat</w:t>
            </w:r>
            <w:r w:rsidR="004B00F2" w:rsidRPr="00F009E0">
              <w:rPr>
                <w:rFonts w:ascii="Times New Roman" w:hAnsi="Times New Roman" w:cs="Times New Roman"/>
                <w:i/>
                <w:sz w:val="22"/>
                <w:lang w:val="fr-FR"/>
              </w:rPr>
              <w:t xml:space="preserve">ion de la question relative au genre dans le nouveau plan national. Une redynamisation de la table sectorielle et thématique </w:t>
            </w:r>
            <w:r w:rsidRPr="00F009E0">
              <w:rPr>
                <w:rFonts w:ascii="Times New Roman" w:hAnsi="Times New Roman" w:cs="Times New Roman"/>
                <w:i/>
                <w:sz w:val="22"/>
                <w:lang w:val="fr-FR"/>
              </w:rPr>
              <w:t>GRD</w:t>
            </w:r>
            <w:r w:rsidR="004B00F2" w:rsidRPr="00F009E0">
              <w:rPr>
                <w:rFonts w:ascii="Times New Roman" w:hAnsi="Times New Roman" w:cs="Times New Roman"/>
                <w:i/>
                <w:sz w:val="22"/>
                <w:lang w:val="fr-FR"/>
              </w:rPr>
              <w:t xml:space="preserve"> a eu lieu en 2015. </w:t>
            </w:r>
            <w:r w:rsidR="004B00F2" w:rsidRPr="00BC2B86">
              <w:rPr>
                <w:rFonts w:ascii="Times New Roman" w:hAnsi="Times New Roman" w:cs="Times New Roman"/>
                <w:i/>
                <w:sz w:val="22"/>
                <w:lang w:val="fr-FR"/>
              </w:rPr>
              <w:t xml:space="preserve">Une unité d’exercice de simulations (SIMEX) </w:t>
            </w:r>
            <w:r w:rsidRPr="00BC2B86">
              <w:rPr>
                <w:rFonts w:ascii="Times New Roman" w:hAnsi="Times New Roman" w:cs="Times New Roman"/>
                <w:i/>
                <w:sz w:val="22"/>
                <w:lang w:val="fr-FR"/>
              </w:rPr>
              <w:t xml:space="preserve">est </w:t>
            </w:r>
            <w:r w:rsidR="004B00F2" w:rsidRPr="00BC2B86">
              <w:rPr>
                <w:rFonts w:ascii="Times New Roman" w:hAnsi="Times New Roman" w:cs="Times New Roman"/>
                <w:i/>
                <w:sz w:val="22"/>
                <w:lang w:val="fr-FR"/>
              </w:rPr>
              <w:t xml:space="preserve">en phase de création.  Onze fora GRD centraux </w:t>
            </w:r>
            <w:r w:rsidRPr="00BC2B86">
              <w:rPr>
                <w:rFonts w:ascii="Times New Roman" w:hAnsi="Times New Roman" w:cs="Times New Roman"/>
                <w:i/>
                <w:sz w:val="22"/>
                <w:lang w:val="fr-FR"/>
              </w:rPr>
              <w:t xml:space="preserve">ont été </w:t>
            </w:r>
            <w:r w:rsidR="004B00F2" w:rsidRPr="00BC2B86">
              <w:rPr>
                <w:rFonts w:ascii="Times New Roman" w:hAnsi="Times New Roman" w:cs="Times New Roman"/>
                <w:i/>
                <w:sz w:val="22"/>
                <w:lang w:val="fr-FR"/>
              </w:rPr>
              <w:t xml:space="preserve">réalisés au cours de l’année 2015 avec la participation de plus de 90 </w:t>
            </w:r>
            <w:r>
              <w:rPr>
                <w:rFonts w:ascii="Times New Roman" w:hAnsi="Times New Roman" w:cs="Times New Roman"/>
                <w:i/>
                <w:sz w:val="22"/>
                <w:lang w:val="fr-FR"/>
              </w:rPr>
              <w:t xml:space="preserve">partenaires. </w:t>
            </w:r>
            <w:r w:rsidRPr="007A213B">
              <w:rPr>
                <w:rFonts w:ascii="Times New Roman" w:hAnsi="Times New Roman" w:cs="Times New Roman"/>
                <w:i/>
                <w:sz w:val="22"/>
                <w:lang w:val="fr-FR"/>
              </w:rPr>
              <w:t>Une</w:t>
            </w:r>
            <w:r w:rsidRPr="00BC2B86">
              <w:rPr>
                <w:rFonts w:ascii="Times New Roman" w:hAnsi="Times New Roman" w:cs="Times New Roman"/>
                <w:i/>
                <w:sz w:val="22"/>
                <w:lang w:val="fr-FR"/>
              </w:rPr>
              <w:t xml:space="preserve"> c</w:t>
            </w:r>
            <w:r w:rsidR="004B00F2" w:rsidRPr="00BC2B86">
              <w:rPr>
                <w:rFonts w:ascii="Times New Roman" w:hAnsi="Times New Roman" w:cs="Times New Roman"/>
                <w:i/>
                <w:sz w:val="22"/>
                <w:lang w:val="fr-FR"/>
              </w:rPr>
              <w:t xml:space="preserve">entralisation des campagnes de sensibilisation au sein du Comité Thématique Education et Sensibilisation du Public en cours.  </w:t>
            </w:r>
          </w:p>
          <w:p w14:paraId="6CC4B83A" w14:textId="77777777" w:rsidR="007A213B" w:rsidRPr="00BC2B86" w:rsidRDefault="007A213B" w:rsidP="004A7BED">
            <w:pPr>
              <w:pStyle w:val="BodyText2"/>
              <w:ind w:left="76"/>
              <w:jc w:val="both"/>
              <w:rPr>
                <w:rFonts w:ascii="Times New Roman" w:hAnsi="Times New Roman" w:cs="Times New Roman"/>
                <w:i/>
                <w:sz w:val="22"/>
                <w:lang w:val="fr-FR"/>
              </w:rPr>
            </w:pPr>
          </w:p>
          <w:p w14:paraId="02E281E1" w14:textId="1389A15E" w:rsidR="00043581" w:rsidRPr="007A213B" w:rsidRDefault="005A6E85" w:rsidP="005A6E85">
            <w:pPr>
              <w:pStyle w:val="BodyText2"/>
              <w:jc w:val="both"/>
              <w:rPr>
                <w:rFonts w:ascii="Times New Roman" w:hAnsi="Times New Roman" w:cs="Times New Roman"/>
                <w:i/>
                <w:sz w:val="22"/>
                <w:lang w:val="fr-FR"/>
              </w:rPr>
            </w:pPr>
            <w:r w:rsidRPr="005A6E85">
              <w:rPr>
                <w:rFonts w:ascii="Times New Roman" w:hAnsi="Times New Roman" w:cs="Times New Roman"/>
                <w:i/>
                <w:sz w:val="22"/>
                <w:lang w:val="fr-FR"/>
              </w:rPr>
              <w:t>b.</w:t>
            </w:r>
            <w:r>
              <w:rPr>
                <w:rFonts w:ascii="Times New Roman" w:hAnsi="Times New Roman" w:cs="Times New Roman"/>
                <w:i/>
                <w:sz w:val="22"/>
                <w:lang w:val="fr-FR"/>
              </w:rPr>
              <w:t xml:space="preserve"> Le PNUD a appuyé l’é</w:t>
            </w:r>
            <w:r w:rsidR="002532AF" w:rsidRPr="00BC2B86">
              <w:rPr>
                <w:rFonts w:ascii="Times New Roman" w:hAnsi="Times New Roman" w:cs="Times New Roman"/>
                <w:i/>
                <w:sz w:val="22"/>
                <w:lang w:val="fr-FR"/>
              </w:rPr>
              <w:t xml:space="preserve">laboration </w:t>
            </w:r>
            <w:r w:rsidR="00043581" w:rsidRPr="00BC2B86">
              <w:rPr>
                <w:rFonts w:ascii="Times New Roman" w:hAnsi="Times New Roman" w:cs="Times New Roman"/>
                <w:i/>
                <w:sz w:val="22"/>
                <w:lang w:val="fr-FR"/>
              </w:rPr>
              <w:t>un Guide méthodologique servant de standard nationale pour l’intégration de la réduction des risques naturels dans la planification et les investissements urbaines en Haiti.</w:t>
            </w:r>
            <w:r>
              <w:rPr>
                <w:rFonts w:ascii="Times New Roman" w:hAnsi="Times New Roman" w:cs="Times New Roman"/>
                <w:i/>
                <w:sz w:val="22"/>
                <w:lang w:val="fr-FR"/>
              </w:rPr>
              <w:t xml:space="preserve"> Ce Guide </w:t>
            </w:r>
            <w:r w:rsidR="00037634" w:rsidRPr="00BC2B86">
              <w:rPr>
                <w:rFonts w:ascii="Times New Roman" w:hAnsi="Times New Roman" w:cs="Times New Roman"/>
                <w:i/>
                <w:sz w:val="22"/>
                <w:lang w:val="fr-FR"/>
              </w:rPr>
              <w:t xml:space="preserve">a été endossé par l’Etat </w:t>
            </w:r>
            <w:r w:rsidR="007A213B" w:rsidRPr="007A213B">
              <w:rPr>
                <w:rFonts w:ascii="Times New Roman" w:hAnsi="Times New Roman" w:cs="Times New Roman"/>
                <w:i/>
                <w:sz w:val="22"/>
                <w:lang w:val="fr-FR"/>
              </w:rPr>
              <w:t>Haïtien</w:t>
            </w:r>
            <w:r w:rsidR="00037634" w:rsidRPr="00BC2B86">
              <w:rPr>
                <w:rFonts w:ascii="Times New Roman" w:hAnsi="Times New Roman" w:cs="Times New Roman"/>
                <w:i/>
                <w:sz w:val="22"/>
                <w:lang w:val="fr-FR"/>
              </w:rPr>
              <w:t xml:space="preserve"> et </w:t>
            </w:r>
            <w:r>
              <w:rPr>
                <w:rFonts w:ascii="Times New Roman" w:hAnsi="Times New Roman" w:cs="Times New Roman"/>
                <w:i/>
                <w:sz w:val="22"/>
                <w:lang w:val="fr-FR"/>
              </w:rPr>
              <w:t xml:space="preserve">plus que 100 </w:t>
            </w:r>
            <w:r w:rsidRPr="00BC2B86">
              <w:rPr>
                <w:rFonts w:ascii="Times New Roman" w:hAnsi="Times New Roman" w:cs="Times New Roman"/>
                <w:i/>
                <w:sz w:val="22"/>
                <w:lang w:val="fr-FR"/>
              </w:rPr>
              <w:t xml:space="preserve">cadres ont </w:t>
            </w:r>
            <w:r w:rsidRPr="007A213B">
              <w:rPr>
                <w:rFonts w:ascii="Times New Roman" w:hAnsi="Times New Roman" w:cs="Times New Roman"/>
                <w:i/>
                <w:sz w:val="22"/>
                <w:lang w:val="fr-FR"/>
              </w:rPr>
              <w:t>reçu</w:t>
            </w:r>
            <w:r w:rsidRPr="00BC2B86">
              <w:rPr>
                <w:rFonts w:ascii="Times New Roman" w:hAnsi="Times New Roman" w:cs="Times New Roman"/>
                <w:i/>
                <w:sz w:val="22"/>
                <w:lang w:val="fr-FR"/>
              </w:rPr>
              <w:t xml:space="preserve"> une formation l’utilisation de la </w:t>
            </w:r>
            <w:r w:rsidRPr="007A213B">
              <w:rPr>
                <w:rFonts w:ascii="Times New Roman" w:hAnsi="Times New Roman" w:cs="Times New Roman"/>
                <w:i/>
                <w:sz w:val="22"/>
                <w:lang w:val="fr-FR"/>
              </w:rPr>
              <w:t>méthodologie</w:t>
            </w:r>
            <w:r w:rsidRPr="00BC2B86">
              <w:rPr>
                <w:rFonts w:ascii="Times New Roman" w:hAnsi="Times New Roman" w:cs="Times New Roman"/>
                <w:i/>
                <w:sz w:val="22"/>
                <w:lang w:val="fr-FR"/>
              </w:rPr>
              <w:t xml:space="preserve"> standard pour l’intégration de la réduction des risques naturels dans la </w:t>
            </w:r>
            <w:r w:rsidRPr="007A213B">
              <w:rPr>
                <w:rFonts w:ascii="Times New Roman" w:hAnsi="Times New Roman" w:cs="Times New Roman"/>
                <w:i/>
                <w:sz w:val="22"/>
                <w:lang w:val="fr-FR"/>
              </w:rPr>
              <w:t>planification et</w:t>
            </w:r>
            <w:r w:rsidRPr="00BC2B86">
              <w:rPr>
                <w:rFonts w:ascii="Times New Roman" w:hAnsi="Times New Roman" w:cs="Times New Roman"/>
                <w:i/>
                <w:sz w:val="22"/>
                <w:lang w:val="fr-FR"/>
              </w:rPr>
              <w:t xml:space="preserve"> les investissments urbains.</w:t>
            </w:r>
            <w:r>
              <w:rPr>
                <w:rFonts w:ascii="Times New Roman" w:hAnsi="Times New Roman" w:cs="Times New Roman"/>
                <w:i/>
                <w:sz w:val="22"/>
                <w:lang w:val="fr-FR"/>
              </w:rPr>
              <w:t xml:space="preserve"> Une a</w:t>
            </w:r>
            <w:r w:rsidR="002532AF" w:rsidRPr="00BC2B86">
              <w:rPr>
                <w:rFonts w:ascii="Times New Roman" w:hAnsi="Times New Roman" w:cs="Times New Roman"/>
                <w:i/>
                <w:sz w:val="22"/>
                <w:lang w:val="fr-FR"/>
              </w:rPr>
              <w:t>pplication p</w:t>
            </w:r>
            <w:r w:rsidR="00B4430C" w:rsidRPr="00BC2B86">
              <w:rPr>
                <w:rFonts w:ascii="Times New Roman" w:hAnsi="Times New Roman" w:cs="Times New Roman"/>
                <w:i/>
                <w:sz w:val="22"/>
                <w:lang w:val="fr-FR"/>
              </w:rPr>
              <w:t>ilote</w:t>
            </w:r>
            <w:r w:rsidR="002532AF" w:rsidRPr="00BC2B86">
              <w:rPr>
                <w:rFonts w:ascii="Times New Roman" w:hAnsi="Times New Roman" w:cs="Times New Roman"/>
                <w:i/>
                <w:sz w:val="22"/>
                <w:lang w:val="fr-FR"/>
              </w:rPr>
              <w:t xml:space="preserve"> de cette méthodologie a été faite sur le département de la Grand’Anse</w:t>
            </w:r>
            <w:r>
              <w:rPr>
                <w:rFonts w:ascii="Times New Roman" w:hAnsi="Times New Roman" w:cs="Times New Roman"/>
                <w:i/>
                <w:sz w:val="22"/>
                <w:lang w:val="fr-FR"/>
              </w:rPr>
              <w:t xml:space="preserve">. </w:t>
            </w:r>
            <w:r w:rsidR="00037634" w:rsidRPr="00BC2B86">
              <w:rPr>
                <w:rFonts w:ascii="Times New Roman" w:hAnsi="Times New Roman" w:cs="Times New Roman"/>
                <w:i/>
                <w:sz w:val="22"/>
                <w:lang w:val="fr-FR"/>
              </w:rPr>
              <w:t>L</w:t>
            </w:r>
            <w:r w:rsidR="00043581" w:rsidRPr="00400743">
              <w:rPr>
                <w:rFonts w:ascii="Times New Roman" w:hAnsi="Times New Roman" w:cs="Times New Roman"/>
                <w:i/>
                <w:sz w:val="22"/>
                <w:lang w:val="fr-FR"/>
              </w:rPr>
              <w:t>es capacités des autorités et acteurs locaux sont renforcées afin de pouvoir mettre en application les conclusions et recommandations des plans de réduction des risques</w:t>
            </w:r>
          </w:p>
        </w:tc>
      </w:tr>
      <w:tr w:rsidR="004B00F2" w:rsidRPr="009F39AA" w14:paraId="586F458D" w14:textId="77777777" w:rsidTr="00ED3E89">
        <w:trPr>
          <w:jc w:val="center"/>
        </w:trPr>
        <w:tc>
          <w:tcPr>
            <w:tcW w:w="15007" w:type="dxa"/>
            <w:gridSpan w:val="7"/>
          </w:tcPr>
          <w:p w14:paraId="1AE277EA" w14:textId="77777777" w:rsidR="004B00F2" w:rsidRPr="00650A1C" w:rsidRDefault="004B00F2" w:rsidP="00AC5DF7">
            <w:pPr>
              <w:pStyle w:val="BodyText2"/>
              <w:spacing w:before="120" w:after="120"/>
              <w:jc w:val="both"/>
              <w:rPr>
                <w:rFonts w:ascii="Times New Roman" w:hAnsi="Times New Roman" w:cs="Times New Roman"/>
                <w:b/>
                <w:sz w:val="22"/>
              </w:rPr>
            </w:pPr>
            <w:r w:rsidRPr="00650A1C">
              <w:rPr>
                <w:rFonts w:ascii="Times New Roman" w:hAnsi="Times New Roman" w:cs="Times New Roman"/>
                <w:b/>
                <w:sz w:val="22"/>
              </w:rPr>
              <w:t xml:space="preserve">UNDP Contribution: </w:t>
            </w:r>
          </w:p>
          <w:p w14:paraId="7D1F1E47" w14:textId="77777777" w:rsidR="004B00F2" w:rsidRPr="00650A1C" w:rsidRDefault="004B00F2" w:rsidP="00AC5DF7">
            <w:pPr>
              <w:pStyle w:val="BodyText2"/>
              <w:spacing w:before="120" w:after="120"/>
              <w:jc w:val="both"/>
              <w:rPr>
                <w:rFonts w:ascii="Times New Roman" w:hAnsi="Times New Roman" w:cs="Times New Roman"/>
                <w:sz w:val="22"/>
                <w:u w:val="single"/>
              </w:rPr>
            </w:pPr>
            <w:r w:rsidRPr="00650A1C">
              <w:rPr>
                <w:rFonts w:ascii="Times New Roman" w:hAnsi="Times New Roman" w:cs="Times New Roman"/>
                <w:sz w:val="22"/>
                <w:u w:val="single"/>
              </w:rPr>
              <w:t xml:space="preserve">CP Outputs: </w:t>
            </w:r>
          </w:p>
          <w:p w14:paraId="7A9E08D2" w14:textId="1EB8C27B" w:rsidR="00FE4225" w:rsidRPr="00FE4225" w:rsidRDefault="00FE4225" w:rsidP="00FE4225">
            <w:pPr>
              <w:pStyle w:val="BodyText2"/>
              <w:numPr>
                <w:ilvl w:val="0"/>
                <w:numId w:val="24"/>
              </w:numPr>
              <w:spacing w:before="120" w:after="120"/>
              <w:jc w:val="both"/>
              <w:rPr>
                <w:rFonts w:ascii="Times New Roman" w:hAnsi="Times New Roman" w:cs="Times New Roman"/>
                <w:sz w:val="22"/>
                <w:lang w:val="fr-FR"/>
              </w:rPr>
            </w:pPr>
            <w:r w:rsidRPr="00FE4225">
              <w:rPr>
                <w:rFonts w:ascii="Times New Roman" w:hAnsi="Times New Roman" w:cs="Times New Roman"/>
                <w:sz w:val="22"/>
                <w:lang w:val="fr-FR"/>
              </w:rPr>
              <w:t xml:space="preserve">Appui au renforcement des capacités du SNGRD pour la réduction et la gestion des risques au niveau national et sous national. </w:t>
            </w:r>
          </w:p>
          <w:p w14:paraId="3109A4ED" w14:textId="6DEF963B" w:rsidR="00FE4225" w:rsidRPr="00FE4225" w:rsidRDefault="00FE4225" w:rsidP="00FE4225">
            <w:pPr>
              <w:pStyle w:val="BodyText2"/>
              <w:numPr>
                <w:ilvl w:val="0"/>
                <w:numId w:val="24"/>
              </w:numPr>
              <w:spacing w:before="120" w:after="120"/>
              <w:jc w:val="both"/>
              <w:rPr>
                <w:rFonts w:ascii="Times New Roman" w:hAnsi="Times New Roman" w:cs="Times New Roman"/>
                <w:sz w:val="22"/>
                <w:lang w:val="fr-FR"/>
              </w:rPr>
            </w:pPr>
            <w:r w:rsidRPr="00FE4225">
              <w:rPr>
                <w:rFonts w:ascii="Times New Roman" w:hAnsi="Times New Roman" w:cs="Times New Roman"/>
                <w:sz w:val="22"/>
                <w:lang w:val="fr-FR"/>
              </w:rPr>
              <w:lastRenderedPageBreak/>
              <w:t>La réduction des risques urbains, incluant à travers la mise en œuvre d’un plan d’action pour la réduction des risques sismiques dans le Grand Nord d’Haïti</w:t>
            </w:r>
          </w:p>
          <w:p w14:paraId="3FE7D6A0" w14:textId="77777777" w:rsidR="00FE4225" w:rsidRDefault="00FE4225" w:rsidP="00AC5DF7">
            <w:pPr>
              <w:pStyle w:val="BodyText2"/>
              <w:spacing w:before="120" w:after="120"/>
              <w:jc w:val="both"/>
              <w:rPr>
                <w:rFonts w:ascii="Times New Roman" w:hAnsi="Times New Roman" w:cs="Times New Roman"/>
                <w:sz w:val="22"/>
                <w:u w:val="single"/>
                <w:lang w:val="fr-FR"/>
              </w:rPr>
            </w:pPr>
          </w:p>
          <w:p w14:paraId="0A59B260" w14:textId="1BE6F09F" w:rsidR="004B00F2" w:rsidRPr="00650A1C" w:rsidRDefault="007D7006" w:rsidP="00AC5DF7">
            <w:pPr>
              <w:pStyle w:val="BodyText2"/>
              <w:spacing w:before="120" w:after="120"/>
              <w:jc w:val="both"/>
              <w:rPr>
                <w:rFonts w:ascii="Times New Roman" w:hAnsi="Times New Roman" w:cs="Times New Roman"/>
                <w:sz w:val="22"/>
                <w:u w:val="single"/>
                <w:lang w:val="fr-FR"/>
              </w:rPr>
            </w:pPr>
            <w:r>
              <w:rPr>
                <w:rFonts w:ascii="Times New Roman" w:hAnsi="Times New Roman" w:cs="Times New Roman"/>
                <w:sz w:val="22"/>
                <w:u w:val="single"/>
                <w:lang w:val="fr-FR"/>
              </w:rPr>
              <w:t>Progrès et résultats</w:t>
            </w:r>
            <w:r w:rsidR="004B00F2" w:rsidRPr="00650A1C">
              <w:rPr>
                <w:rFonts w:ascii="Times New Roman" w:hAnsi="Times New Roman" w:cs="Times New Roman"/>
                <w:sz w:val="22"/>
                <w:u w:val="single"/>
                <w:lang w:val="fr-FR"/>
              </w:rPr>
              <w:t xml:space="preserve"> : </w:t>
            </w:r>
          </w:p>
          <w:p w14:paraId="596117C1" w14:textId="77777777" w:rsidR="00F847E8" w:rsidRDefault="00B43132" w:rsidP="00F847E8">
            <w:pPr>
              <w:pStyle w:val="BodyText2"/>
              <w:jc w:val="both"/>
              <w:rPr>
                <w:rFonts w:ascii="Times New Roman" w:hAnsi="Times New Roman" w:cs="Times New Roman"/>
                <w:sz w:val="22"/>
                <w:lang w:val="fr-FR"/>
              </w:rPr>
            </w:pPr>
            <w:r w:rsidRPr="00650A1C">
              <w:rPr>
                <w:rFonts w:ascii="Times New Roman" w:hAnsi="Times New Roman" w:cs="Times New Roman"/>
                <w:sz w:val="22"/>
                <w:lang w:val="fr-FR"/>
              </w:rPr>
              <w:t xml:space="preserve">La révision du </w:t>
            </w:r>
            <w:r w:rsidR="001630E5">
              <w:rPr>
                <w:rFonts w:ascii="Times New Roman" w:hAnsi="Times New Roman" w:cs="Times New Roman"/>
                <w:sz w:val="22"/>
                <w:lang w:val="fr-FR"/>
              </w:rPr>
              <w:t>P</w:t>
            </w:r>
            <w:r w:rsidRPr="00650A1C">
              <w:rPr>
                <w:rFonts w:ascii="Times New Roman" w:hAnsi="Times New Roman" w:cs="Times New Roman"/>
                <w:sz w:val="22"/>
                <w:lang w:val="fr-FR"/>
              </w:rPr>
              <w:t>lan national de gestion des ri</w:t>
            </w:r>
            <w:r>
              <w:rPr>
                <w:rFonts w:ascii="Times New Roman" w:hAnsi="Times New Roman" w:cs="Times New Roman"/>
                <w:sz w:val="22"/>
                <w:lang w:val="fr-FR"/>
              </w:rPr>
              <w:t>sques et désastres a été initié</w:t>
            </w:r>
            <w:r w:rsidRPr="00650A1C">
              <w:rPr>
                <w:rFonts w:ascii="Times New Roman" w:hAnsi="Times New Roman" w:cs="Times New Roman"/>
                <w:sz w:val="22"/>
                <w:lang w:val="fr-FR"/>
              </w:rPr>
              <w:t xml:space="preserve"> avec la validation de l</w:t>
            </w:r>
            <w:r>
              <w:rPr>
                <w:rFonts w:ascii="Times New Roman" w:hAnsi="Times New Roman" w:cs="Times New Roman"/>
                <w:sz w:val="22"/>
                <w:lang w:val="fr-FR"/>
              </w:rPr>
              <w:t>a méthodologie d’intervention,</w:t>
            </w:r>
            <w:r w:rsidRPr="00650A1C">
              <w:rPr>
                <w:rFonts w:ascii="Times New Roman" w:hAnsi="Times New Roman" w:cs="Times New Roman"/>
                <w:sz w:val="22"/>
                <w:lang w:val="fr-FR"/>
              </w:rPr>
              <w:t xml:space="preserve"> la mise en place des groupes de travail sur les piliers stratégiques ainsi que sur des thématiques transversales notamment le genre, les changements climatiques et le volontariat</w:t>
            </w:r>
            <w:r w:rsidR="001630E5">
              <w:rPr>
                <w:rFonts w:ascii="Times New Roman" w:hAnsi="Times New Roman" w:cs="Times New Roman"/>
                <w:sz w:val="22"/>
                <w:lang w:val="fr-FR"/>
              </w:rPr>
              <w:t xml:space="preserve">, une </w:t>
            </w:r>
            <w:r>
              <w:rPr>
                <w:rFonts w:ascii="Times New Roman" w:hAnsi="Times New Roman" w:cs="Times New Roman"/>
                <w:sz w:val="22"/>
                <w:lang w:val="fr-FR"/>
              </w:rPr>
              <w:t>consult</w:t>
            </w:r>
            <w:r w:rsidR="001630E5">
              <w:rPr>
                <w:rFonts w:ascii="Times New Roman" w:hAnsi="Times New Roman" w:cs="Times New Roman"/>
                <w:sz w:val="22"/>
                <w:lang w:val="fr-FR"/>
              </w:rPr>
              <w:t>ation d’acteurs gouvernementaux</w:t>
            </w:r>
            <w:r>
              <w:rPr>
                <w:rFonts w:ascii="Times New Roman" w:hAnsi="Times New Roman" w:cs="Times New Roman"/>
                <w:sz w:val="22"/>
                <w:lang w:val="fr-FR"/>
              </w:rPr>
              <w:t>,</w:t>
            </w:r>
            <w:r w:rsidR="001630E5">
              <w:rPr>
                <w:rFonts w:ascii="Times New Roman" w:hAnsi="Times New Roman" w:cs="Times New Roman"/>
                <w:sz w:val="22"/>
                <w:lang w:val="fr-FR"/>
              </w:rPr>
              <w:t xml:space="preserve"> société civile</w:t>
            </w:r>
            <w:r>
              <w:rPr>
                <w:rFonts w:ascii="Times New Roman" w:hAnsi="Times New Roman" w:cs="Times New Roman"/>
                <w:sz w:val="22"/>
                <w:lang w:val="fr-FR"/>
              </w:rPr>
              <w:t>,</w:t>
            </w:r>
            <w:r w:rsidR="001630E5">
              <w:rPr>
                <w:rFonts w:ascii="Times New Roman" w:hAnsi="Times New Roman" w:cs="Times New Roman"/>
                <w:sz w:val="22"/>
                <w:lang w:val="fr-FR"/>
              </w:rPr>
              <w:t xml:space="preserve"> </w:t>
            </w:r>
            <w:r>
              <w:rPr>
                <w:rFonts w:ascii="Times New Roman" w:hAnsi="Times New Roman" w:cs="Times New Roman"/>
                <w:sz w:val="22"/>
                <w:lang w:val="fr-FR"/>
              </w:rPr>
              <w:t xml:space="preserve">organisations internationales au niveau central et dans les départements du Nord et du </w:t>
            </w:r>
            <w:r w:rsidR="001630E5">
              <w:rPr>
                <w:rFonts w:ascii="Times New Roman" w:hAnsi="Times New Roman" w:cs="Times New Roman"/>
                <w:sz w:val="22"/>
                <w:lang w:val="fr-FR"/>
              </w:rPr>
              <w:t>N</w:t>
            </w:r>
            <w:r>
              <w:rPr>
                <w:rFonts w:ascii="Times New Roman" w:hAnsi="Times New Roman" w:cs="Times New Roman"/>
                <w:sz w:val="22"/>
                <w:lang w:val="fr-FR"/>
              </w:rPr>
              <w:t>ord</w:t>
            </w:r>
            <w:r w:rsidR="001630E5">
              <w:rPr>
                <w:rFonts w:ascii="Times New Roman" w:hAnsi="Times New Roman" w:cs="Times New Roman"/>
                <w:sz w:val="22"/>
                <w:lang w:val="fr-FR"/>
              </w:rPr>
              <w:t>-est</w:t>
            </w:r>
            <w:r>
              <w:rPr>
                <w:rFonts w:ascii="Times New Roman" w:hAnsi="Times New Roman" w:cs="Times New Roman"/>
                <w:sz w:val="22"/>
                <w:lang w:val="fr-FR"/>
              </w:rPr>
              <w:t xml:space="preserve">. </w:t>
            </w:r>
            <w:r w:rsidR="004B00F2" w:rsidRPr="00650A1C">
              <w:rPr>
                <w:rFonts w:ascii="Times New Roman" w:hAnsi="Times New Roman" w:cs="Times New Roman"/>
                <w:sz w:val="22"/>
                <w:lang w:val="fr-FR"/>
              </w:rPr>
              <w:t xml:space="preserve">L’appui du PNUD au système national de gestion des risques de désastres </w:t>
            </w:r>
            <w:r w:rsidR="00F847E8">
              <w:rPr>
                <w:rFonts w:ascii="Times New Roman" w:hAnsi="Times New Roman" w:cs="Times New Roman"/>
                <w:sz w:val="22"/>
                <w:lang w:val="fr-FR"/>
              </w:rPr>
              <w:t>a</w:t>
            </w:r>
            <w:r w:rsidR="004B00F2" w:rsidRPr="00650A1C">
              <w:rPr>
                <w:rFonts w:ascii="Times New Roman" w:hAnsi="Times New Roman" w:cs="Times New Roman"/>
                <w:sz w:val="22"/>
                <w:lang w:val="fr-FR"/>
              </w:rPr>
              <w:t xml:space="preserve"> aussi permis de consolider les capacités opérationnelles de la direction de la protection civile (DPC), au niveau central et départemental. Les expertises techniques nationales mises à disposition ont permis aux centres d’opérations de secours d’assurer un meilleur suivi des interventions. La DPC s’est alors mieux positionnée dans son rôle technique de coordination et suivi des interventions. </w:t>
            </w:r>
          </w:p>
          <w:p w14:paraId="600CD0DE" w14:textId="77777777" w:rsidR="00F847E8" w:rsidRDefault="00F847E8" w:rsidP="00F847E8">
            <w:pPr>
              <w:pStyle w:val="BodyText2"/>
              <w:jc w:val="both"/>
              <w:rPr>
                <w:rFonts w:ascii="Times New Roman" w:hAnsi="Times New Roman" w:cs="Times New Roman"/>
                <w:sz w:val="22"/>
                <w:lang w:val="fr-FR"/>
              </w:rPr>
            </w:pPr>
          </w:p>
          <w:p w14:paraId="64ED725C" w14:textId="77777777" w:rsidR="00F847E8" w:rsidRDefault="004B00F2" w:rsidP="00F847E8">
            <w:pPr>
              <w:pStyle w:val="BodyText2"/>
              <w:jc w:val="both"/>
              <w:rPr>
                <w:rFonts w:ascii="Times New Roman" w:hAnsi="Times New Roman" w:cs="Times New Roman"/>
                <w:bCs/>
                <w:i/>
                <w:lang w:val="fr-FR"/>
              </w:rPr>
            </w:pPr>
            <w:r w:rsidRPr="00650A1C">
              <w:rPr>
                <w:rFonts w:ascii="Times New Roman" w:hAnsi="Times New Roman" w:cs="Times New Roman"/>
                <w:sz w:val="22"/>
                <w:lang w:val="fr-FR"/>
              </w:rPr>
              <w:t>Le guide méthodologique de réduction des risques urbains a été validé et diffusé et constitue un référentiel national pour l’intégration des risques naturels dans la planification urbaine.  Le PNUD a appuyé la réalisation d’études de microzonage sismique dans l’agglomération de Port-au-Prince et cinq villes du nord d’Haïti. Dans 3 départements du Nord, la menace sismique a été quantifiée et été intégrée aux plans de contingence aux désastres avec des exercices de simulation (SIMEX), et 3  villes principales (Cap Haïtien, Fort Liberté et Ouanaminthe) ont été objet d’une cartographie du risque sismique urbain et d’une évaluation de la vulnérabilité (50% des bâtis et 40% des infrastructures stratégiques ), suivies par la vulgarisation des normes de construction parasismiques, avec 220 maçons (2 femmes) et 32 ingénieurs recevoir une formation, touchant ainsi près de 1.5 millions de personnes à risque. Un guide méthodologique de réduction des risques urbains a été validé et diffusé et constitue un référentiel national pour l’intégration des risques naturels dans la planification urbaine.</w:t>
            </w:r>
            <w:r w:rsidR="007F77AF">
              <w:rPr>
                <w:rFonts w:ascii="Times New Roman" w:hAnsi="Times New Roman" w:cs="Times New Roman"/>
                <w:sz w:val="22"/>
                <w:lang w:val="fr-FR"/>
              </w:rPr>
              <w:t xml:space="preserve"> </w:t>
            </w:r>
            <w:r w:rsidR="00824B4F">
              <w:rPr>
                <w:rFonts w:ascii="Times New Roman" w:hAnsi="Times New Roman" w:cs="Times New Roman"/>
                <w:bCs/>
                <w:i/>
                <w:lang w:val="fr-FR"/>
              </w:rPr>
              <w:t xml:space="preserve"> </w:t>
            </w:r>
          </w:p>
          <w:p w14:paraId="41D0875C" w14:textId="77777777" w:rsidR="00F847E8" w:rsidRDefault="00F847E8" w:rsidP="00F847E8">
            <w:pPr>
              <w:pStyle w:val="BodyText2"/>
              <w:jc w:val="both"/>
              <w:rPr>
                <w:rFonts w:ascii="Times New Roman" w:hAnsi="Times New Roman" w:cs="Times New Roman"/>
                <w:bCs/>
                <w:i/>
                <w:lang w:val="fr-FR"/>
              </w:rPr>
            </w:pPr>
          </w:p>
          <w:p w14:paraId="00CADC35" w14:textId="19D227B8" w:rsidR="00F847E8" w:rsidRDefault="00824B4F" w:rsidP="00F847E8">
            <w:pPr>
              <w:pStyle w:val="BodyText2"/>
              <w:jc w:val="both"/>
              <w:rPr>
                <w:rFonts w:ascii="Times New Roman" w:hAnsi="Times New Roman" w:cs="Times New Roman"/>
                <w:sz w:val="22"/>
                <w:lang w:val="fr-FR"/>
              </w:rPr>
            </w:pPr>
            <w:r w:rsidRPr="00400743">
              <w:rPr>
                <w:rFonts w:ascii="Times New Roman" w:hAnsi="Times New Roman" w:cs="Times New Roman"/>
                <w:sz w:val="22"/>
                <w:lang w:val="fr-FR"/>
              </w:rPr>
              <w:t xml:space="preserve">Plus de 80 cadres issus des principales institutions clés de l’Etat </w:t>
            </w:r>
            <w:r w:rsidR="003A16B1" w:rsidRPr="00400743">
              <w:rPr>
                <w:rFonts w:ascii="Times New Roman" w:hAnsi="Times New Roman" w:cs="Times New Roman"/>
                <w:sz w:val="22"/>
                <w:lang w:val="fr-FR"/>
              </w:rPr>
              <w:t>Haïtien</w:t>
            </w:r>
            <w:r w:rsidRPr="00400743">
              <w:rPr>
                <w:rFonts w:ascii="Times New Roman" w:hAnsi="Times New Roman" w:cs="Times New Roman"/>
                <w:sz w:val="22"/>
                <w:lang w:val="fr-FR"/>
              </w:rPr>
              <w:t xml:space="preserve"> ont </w:t>
            </w:r>
            <w:r w:rsidR="00B43132" w:rsidRPr="00400743">
              <w:rPr>
                <w:rFonts w:ascii="Times New Roman" w:hAnsi="Times New Roman" w:cs="Times New Roman"/>
                <w:sz w:val="22"/>
                <w:lang w:val="fr-FR"/>
              </w:rPr>
              <w:t>reçu</w:t>
            </w:r>
            <w:r w:rsidRPr="00400743">
              <w:rPr>
                <w:rFonts w:ascii="Times New Roman" w:hAnsi="Times New Roman" w:cs="Times New Roman"/>
                <w:sz w:val="22"/>
                <w:lang w:val="fr-FR"/>
              </w:rPr>
              <w:t xml:space="preserve"> une formation générale et approfondie sur l’utilisation de la méthodologie standard pour l’intégration de la réduction des risques naturels dans la planification</w:t>
            </w:r>
            <w:r w:rsidR="003A16B1" w:rsidRPr="00400743">
              <w:rPr>
                <w:rFonts w:ascii="Times New Roman" w:hAnsi="Times New Roman" w:cs="Times New Roman"/>
                <w:sz w:val="22"/>
                <w:lang w:val="fr-FR"/>
              </w:rPr>
              <w:t xml:space="preserve"> </w:t>
            </w:r>
            <w:r w:rsidRPr="00400743">
              <w:rPr>
                <w:rFonts w:ascii="Times New Roman" w:hAnsi="Times New Roman" w:cs="Times New Roman"/>
                <w:sz w:val="22"/>
                <w:lang w:val="fr-FR"/>
              </w:rPr>
              <w:t xml:space="preserve">et les </w:t>
            </w:r>
            <w:r w:rsidR="006B2707" w:rsidRPr="00400743">
              <w:rPr>
                <w:rFonts w:ascii="Times New Roman" w:hAnsi="Times New Roman" w:cs="Times New Roman"/>
                <w:sz w:val="22"/>
                <w:lang w:val="fr-FR"/>
              </w:rPr>
              <w:t>investissements</w:t>
            </w:r>
            <w:r w:rsidRPr="00400743">
              <w:rPr>
                <w:rFonts w:ascii="Times New Roman" w:hAnsi="Times New Roman" w:cs="Times New Roman"/>
                <w:sz w:val="22"/>
                <w:lang w:val="fr-FR"/>
              </w:rPr>
              <w:t xml:space="preserve"> urbains. Par application concrète de la méthodologie sur le département de la Grand’Anse, Un jeu de cartes des différents phénomènes naturels a risques pour le département de la Grande Anse a été élaboré, Six (6) plans de réduction des risques Naturels dans les zones urbaines des 6 communes prioritaires de la Grande Anse (Dame-Marie, Jérémie, Beaumont, Abricots, Roseaux et Moron), plusieurs ateliers de restitution des résultats des cartographies multirisques ont été réalisés pour les autorités départementales et communales en </w:t>
            </w:r>
            <w:r w:rsidR="003A16B1" w:rsidRPr="00400743">
              <w:rPr>
                <w:rFonts w:ascii="Times New Roman" w:hAnsi="Times New Roman" w:cs="Times New Roman"/>
                <w:sz w:val="22"/>
                <w:lang w:val="fr-FR"/>
              </w:rPr>
              <w:t>vue</w:t>
            </w:r>
            <w:r w:rsidRPr="00400743">
              <w:rPr>
                <w:rFonts w:ascii="Times New Roman" w:hAnsi="Times New Roman" w:cs="Times New Roman"/>
                <w:sz w:val="22"/>
                <w:lang w:val="fr-FR"/>
              </w:rPr>
              <w:t xml:space="preserve"> de leur permettre d’avoir  une bonne connaissance des différents risques affectant leurs territoires; des sessions de formations ont été réalisées pour autorités et acteurs locaux dans le but de renforcer leurs capacités</w:t>
            </w:r>
            <w:r w:rsidR="00141B05" w:rsidRPr="00400743">
              <w:rPr>
                <w:rFonts w:ascii="Times New Roman" w:hAnsi="Times New Roman" w:cs="Times New Roman"/>
                <w:sz w:val="22"/>
                <w:lang w:val="fr-FR"/>
              </w:rPr>
              <w:t xml:space="preserve"> pour</w:t>
            </w:r>
            <w:r w:rsidRPr="00400743">
              <w:rPr>
                <w:rFonts w:ascii="Times New Roman" w:hAnsi="Times New Roman" w:cs="Times New Roman"/>
                <w:sz w:val="22"/>
                <w:lang w:val="fr-FR"/>
              </w:rPr>
              <w:t xml:space="preserve"> pouvoir mettre en application les conclusions et recommandations des</w:t>
            </w:r>
            <w:r w:rsidR="00141B05" w:rsidRPr="00400743">
              <w:rPr>
                <w:rFonts w:ascii="Times New Roman" w:hAnsi="Times New Roman" w:cs="Times New Roman"/>
                <w:sz w:val="22"/>
                <w:lang w:val="fr-FR"/>
              </w:rPr>
              <w:t xml:space="preserve"> plans de réduction des risques. </w:t>
            </w:r>
          </w:p>
          <w:p w14:paraId="2C257016" w14:textId="77777777" w:rsidR="00F847E8" w:rsidRDefault="00F847E8" w:rsidP="00F847E8">
            <w:pPr>
              <w:pStyle w:val="BodyText2"/>
              <w:jc w:val="both"/>
              <w:rPr>
                <w:rFonts w:ascii="Times New Roman" w:hAnsi="Times New Roman" w:cs="Times New Roman"/>
                <w:sz w:val="22"/>
                <w:lang w:val="fr-FR"/>
              </w:rPr>
            </w:pPr>
          </w:p>
          <w:p w14:paraId="1F6DF57B" w14:textId="40843D03" w:rsidR="004B00F2" w:rsidRPr="00400743" w:rsidRDefault="00141B05" w:rsidP="00F847E8">
            <w:pPr>
              <w:pStyle w:val="BodyText2"/>
              <w:jc w:val="both"/>
              <w:rPr>
                <w:rFonts w:ascii="Times New Roman" w:hAnsi="Times New Roman" w:cs="Times New Roman"/>
                <w:sz w:val="22"/>
                <w:lang w:val="fr-FR"/>
              </w:rPr>
            </w:pPr>
            <w:r w:rsidRPr="00400743">
              <w:rPr>
                <w:rFonts w:ascii="Times New Roman" w:hAnsi="Times New Roman" w:cs="Times New Roman"/>
                <w:sz w:val="22"/>
                <w:lang w:val="fr-FR"/>
              </w:rPr>
              <w:t xml:space="preserve">Pour promouvoir la bonne construction dans le département de la Grand’Anse, en collaboration avec le Ministère des Travaux </w:t>
            </w:r>
            <w:r w:rsidR="003A16B1" w:rsidRPr="00400743">
              <w:rPr>
                <w:rFonts w:ascii="Times New Roman" w:hAnsi="Times New Roman" w:cs="Times New Roman"/>
                <w:sz w:val="22"/>
                <w:lang w:val="fr-FR"/>
              </w:rPr>
              <w:t>Publics,</w:t>
            </w:r>
            <w:r w:rsidRPr="00400743">
              <w:rPr>
                <w:rFonts w:ascii="Times New Roman" w:hAnsi="Times New Roman" w:cs="Times New Roman"/>
                <w:sz w:val="22"/>
                <w:lang w:val="fr-FR"/>
              </w:rPr>
              <w:t xml:space="preserve"> Transports et communication (MTPTC) ; 356 professionnels de la construction dont 15 femmes ont été dans le département de la Grand’Anse et 2215 personnes ont été sensibilisées sur les risques naturels notamment le séisme et les cyclones et la nécessité de bien construire les maisons. Les capacités des autorités départementales et communales ont été renforcées afin de</w:t>
            </w:r>
            <w:r w:rsidR="003A16B1" w:rsidRPr="00400743">
              <w:rPr>
                <w:rFonts w:ascii="Times New Roman" w:hAnsi="Times New Roman" w:cs="Times New Roman"/>
                <w:sz w:val="22"/>
                <w:lang w:val="fr-FR"/>
              </w:rPr>
              <w:t xml:space="preserve"> </w:t>
            </w:r>
            <w:r w:rsidRPr="00400743">
              <w:rPr>
                <w:rFonts w:ascii="Times New Roman" w:hAnsi="Times New Roman" w:cs="Times New Roman"/>
                <w:sz w:val="22"/>
                <w:lang w:val="fr-FR"/>
              </w:rPr>
              <w:t>leur permettre de pouvoir mettre en application les conclusions et recommandations des plans de réduction des risques.</w:t>
            </w:r>
          </w:p>
        </w:tc>
      </w:tr>
      <w:tr w:rsidR="004B00F2" w:rsidRPr="00650A1C" w14:paraId="78499404" w14:textId="77777777" w:rsidTr="00ED3E89">
        <w:trPr>
          <w:jc w:val="center"/>
        </w:trPr>
        <w:tc>
          <w:tcPr>
            <w:tcW w:w="3577" w:type="dxa"/>
            <w:gridSpan w:val="2"/>
          </w:tcPr>
          <w:p w14:paraId="3FCC1235" w14:textId="77777777" w:rsidR="004B00F2" w:rsidRPr="00650A1C" w:rsidRDefault="004B00F2" w:rsidP="00AC5DF7">
            <w:pPr>
              <w:pStyle w:val="BodyText2"/>
              <w:rPr>
                <w:rFonts w:ascii="Times New Roman" w:hAnsi="Times New Roman" w:cs="Times New Roman"/>
                <w:b/>
                <w:sz w:val="22"/>
              </w:rPr>
            </w:pPr>
            <w:r w:rsidRPr="00650A1C">
              <w:rPr>
                <w:rFonts w:ascii="Times New Roman" w:hAnsi="Times New Roman" w:cs="Times New Roman"/>
                <w:b/>
                <w:sz w:val="22"/>
              </w:rPr>
              <w:lastRenderedPageBreak/>
              <w:t>Outcomes</w:t>
            </w:r>
          </w:p>
        </w:tc>
        <w:tc>
          <w:tcPr>
            <w:tcW w:w="2160" w:type="dxa"/>
            <w:gridSpan w:val="2"/>
            <w:shd w:val="clear" w:color="auto" w:fill="auto"/>
          </w:tcPr>
          <w:p w14:paraId="1E90EA98" w14:textId="77777777" w:rsidR="004B00F2" w:rsidRDefault="004B00F2" w:rsidP="00AC5DF7">
            <w:pPr>
              <w:pStyle w:val="BodyText2"/>
              <w:rPr>
                <w:rFonts w:ascii="Times New Roman" w:hAnsi="Times New Roman" w:cs="Times New Roman"/>
                <w:b/>
                <w:sz w:val="22"/>
              </w:rPr>
            </w:pPr>
            <w:r w:rsidRPr="00650A1C">
              <w:rPr>
                <w:rFonts w:ascii="Times New Roman" w:hAnsi="Times New Roman" w:cs="Times New Roman"/>
                <w:b/>
                <w:sz w:val="22"/>
              </w:rPr>
              <w:t>Total Expenditure</w:t>
            </w:r>
          </w:p>
          <w:p w14:paraId="12E348E2" w14:textId="36D29FAB" w:rsidR="00F93511" w:rsidRPr="00650A1C" w:rsidRDefault="00F93511" w:rsidP="00AC5DF7">
            <w:pPr>
              <w:pStyle w:val="BodyText2"/>
              <w:rPr>
                <w:rFonts w:ascii="Times New Roman" w:hAnsi="Times New Roman" w:cs="Times New Roman"/>
                <w:sz w:val="22"/>
              </w:rPr>
            </w:pPr>
            <w:r w:rsidRPr="00F93511">
              <w:rPr>
                <w:rFonts w:ascii="Times New Roman" w:hAnsi="Times New Roman" w:cs="Times New Roman"/>
                <w:sz w:val="22"/>
              </w:rPr>
              <w:t>(millions USD)</w:t>
            </w:r>
          </w:p>
        </w:tc>
        <w:tc>
          <w:tcPr>
            <w:tcW w:w="3240" w:type="dxa"/>
            <w:tcBorders>
              <w:left w:val="single" w:sz="4" w:space="0" w:color="auto"/>
            </w:tcBorders>
          </w:tcPr>
          <w:p w14:paraId="346FC079" w14:textId="77777777" w:rsidR="004B00F2" w:rsidRPr="00650A1C" w:rsidRDefault="004B00F2" w:rsidP="00AC5DF7">
            <w:pPr>
              <w:pStyle w:val="BodyText2"/>
              <w:ind w:left="360"/>
              <w:rPr>
                <w:rFonts w:ascii="Times New Roman" w:hAnsi="Times New Roman" w:cs="Times New Roman"/>
                <w:sz w:val="22"/>
              </w:rPr>
            </w:pPr>
            <w:r w:rsidRPr="00650A1C">
              <w:rPr>
                <w:rFonts w:ascii="Times New Roman" w:hAnsi="Times New Roman" w:cs="Times New Roman"/>
                <w:b/>
                <w:sz w:val="22"/>
              </w:rPr>
              <w:t xml:space="preserve">Key Indicators of outcome </w:t>
            </w:r>
          </w:p>
        </w:tc>
        <w:tc>
          <w:tcPr>
            <w:tcW w:w="6030" w:type="dxa"/>
            <w:gridSpan w:val="2"/>
          </w:tcPr>
          <w:p w14:paraId="3E37A88A" w14:textId="77777777" w:rsidR="004B00F2" w:rsidRPr="00650A1C" w:rsidRDefault="004B00F2" w:rsidP="00AC5DF7">
            <w:pPr>
              <w:pStyle w:val="BodyText2"/>
              <w:ind w:left="360"/>
              <w:rPr>
                <w:rFonts w:ascii="Times New Roman" w:hAnsi="Times New Roman" w:cs="Times New Roman"/>
                <w:i/>
                <w:sz w:val="22"/>
              </w:rPr>
            </w:pPr>
            <w:r w:rsidRPr="00650A1C">
              <w:rPr>
                <w:rFonts w:ascii="Times New Roman" w:hAnsi="Times New Roman" w:cs="Times New Roman"/>
                <w:b/>
                <w:sz w:val="22"/>
              </w:rPr>
              <w:t>Progress made against key indicators</w:t>
            </w:r>
          </w:p>
        </w:tc>
      </w:tr>
      <w:tr w:rsidR="004B00F2" w:rsidRPr="00717CE1" w14:paraId="7DF1E11A" w14:textId="77777777" w:rsidTr="00ED3E89">
        <w:trPr>
          <w:jc w:val="center"/>
        </w:trPr>
        <w:tc>
          <w:tcPr>
            <w:tcW w:w="3577" w:type="dxa"/>
            <w:gridSpan w:val="2"/>
            <w:shd w:val="clear" w:color="auto" w:fill="95B3D7" w:themeFill="accent1" w:themeFillTint="99"/>
          </w:tcPr>
          <w:p w14:paraId="39C04E25" w14:textId="77777777" w:rsidR="004B00F2" w:rsidRPr="00650A1C" w:rsidRDefault="004B00F2" w:rsidP="00AC5DF7">
            <w:pPr>
              <w:pStyle w:val="BodyText2"/>
              <w:rPr>
                <w:rFonts w:ascii="Times New Roman" w:hAnsi="Times New Roman" w:cs="Times New Roman"/>
                <w:b/>
                <w:sz w:val="22"/>
                <w:lang w:val="fr-FR"/>
              </w:rPr>
            </w:pPr>
            <w:r w:rsidRPr="00650A1C">
              <w:rPr>
                <w:rFonts w:ascii="Times New Roman" w:hAnsi="Times New Roman" w:cs="Times New Roman"/>
                <w:b/>
                <w:sz w:val="22"/>
                <w:lang w:val="fr-FR"/>
              </w:rPr>
              <w:t xml:space="preserve">5. Les capacités des institutions et autres acteurs clés sont renforcées afin d'assurer l'accès universel et </w:t>
            </w:r>
            <w:r w:rsidRPr="00650A1C">
              <w:rPr>
                <w:rFonts w:ascii="Times New Roman" w:hAnsi="Times New Roman" w:cs="Times New Roman"/>
                <w:b/>
                <w:sz w:val="22"/>
                <w:lang w:val="fr-FR"/>
              </w:rPr>
              <w:lastRenderedPageBreak/>
              <w:t>équitable aux services multisectoriels (à la prévention, au traitement, à la prise en charge et à l'appui) en matière de VIH et SIDA.</w:t>
            </w:r>
          </w:p>
        </w:tc>
        <w:tc>
          <w:tcPr>
            <w:tcW w:w="2160" w:type="dxa"/>
            <w:gridSpan w:val="2"/>
            <w:shd w:val="clear" w:color="auto" w:fill="auto"/>
          </w:tcPr>
          <w:p w14:paraId="2182C27A" w14:textId="77777777" w:rsidR="004B00F2" w:rsidRPr="00650A1C" w:rsidRDefault="004B00F2" w:rsidP="00AC5DF7">
            <w:pPr>
              <w:pStyle w:val="BodyText2"/>
              <w:rPr>
                <w:rFonts w:ascii="Times New Roman" w:hAnsi="Times New Roman" w:cs="Times New Roman"/>
                <w:sz w:val="22"/>
              </w:rPr>
            </w:pPr>
            <w:r w:rsidRPr="00650A1C">
              <w:rPr>
                <w:rFonts w:ascii="Times New Roman" w:hAnsi="Times New Roman" w:cs="Times New Roman"/>
                <w:sz w:val="22"/>
              </w:rPr>
              <w:lastRenderedPageBreak/>
              <w:t>Regular: 0</w:t>
            </w:r>
          </w:p>
          <w:p w14:paraId="306B7E6A" w14:textId="651C7F44" w:rsidR="004B00F2" w:rsidRPr="00650A1C" w:rsidRDefault="004B00F2" w:rsidP="00F93511">
            <w:pPr>
              <w:pStyle w:val="BodyText2"/>
              <w:rPr>
                <w:rFonts w:ascii="Times New Roman" w:hAnsi="Times New Roman" w:cs="Times New Roman"/>
                <w:sz w:val="22"/>
              </w:rPr>
            </w:pPr>
            <w:r w:rsidRPr="00650A1C">
              <w:rPr>
                <w:rFonts w:ascii="Times New Roman" w:hAnsi="Times New Roman" w:cs="Times New Roman"/>
                <w:sz w:val="22"/>
              </w:rPr>
              <w:t>Other  : $</w:t>
            </w:r>
            <w:r w:rsidR="00F93511">
              <w:rPr>
                <w:rFonts w:ascii="Times New Roman" w:hAnsi="Times New Roman" w:cs="Times New Roman"/>
                <w:sz w:val="22"/>
              </w:rPr>
              <w:t xml:space="preserve"> 57.59</w:t>
            </w:r>
          </w:p>
        </w:tc>
        <w:tc>
          <w:tcPr>
            <w:tcW w:w="3240" w:type="dxa"/>
            <w:tcBorders>
              <w:left w:val="single" w:sz="4" w:space="0" w:color="auto"/>
            </w:tcBorders>
          </w:tcPr>
          <w:p w14:paraId="26DD75E9" w14:textId="77777777" w:rsidR="004B00F2" w:rsidRPr="00650A1C" w:rsidRDefault="004B00F2" w:rsidP="004B00F2">
            <w:pPr>
              <w:pStyle w:val="BodyText2"/>
              <w:numPr>
                <w:ilvl w:val="0"/>
                <w:numId w:val="27"/>
              </w:numPr>
              <w:rPr>
                <w:rFonts w:ascii="Times New Roman" w:hAnsi="Times New Roman" w:cs="Times New Roman"/>
                <w:i/>
                <w:sz w:val="22"/>
                <w:lang w:val="fr-FR"/>
              </w:rPr>
            </w:pPr>
            <w:r w:rsidRPr="00650A1C">
              <w:rPr>
                <w:rFonts w:ascii="Times New Roman" w:hAnsi="Times New Roman" w:cs="Times New Roman"/>
                <w:i/>
                <w:sz w:val="22"/>
                <w:lang w:val="fr-FR"/>
              </w:rPr>
              <w:t>Taux de succès du traitement de la tuberculose</w:t>
            </w:r>
          </w:p>
          <w:p w14:paraId="1901377A" w14:textId="77777777" w:rsidR="004B00F2" w:rsidRPr="00650A1C" w:rsidRDefault="004B00F2" w:rsidP="004B00F2">
            <w:pPr>
              <w:pStyle w:val="BodyText2"/>
              <w:numPr>
                <w:ilvl w:val="0"/>
                <w:numId w:val="27"/>
              </w:numPr>
              <w:rPr>
                <w:rFonts w:ascii="Times New Roman" w:hAnsi="Times New Roman" w:cs="Times New Roman"/>
                <w:i/>
                <w:sz w:val="22"/>
                <w:lang w:val="fr-FR"/>
              </w:rPr>
            </w:pPr>
            <w:r w:rsidRPr="00650A1C">
              <w:rPr>
                <w:rFonts w:ascii="Times New Roman" w:hAnsi="Times New Roman" w:cs="Times New Roman"/>
                <w:sz w:val="22"/>
                <w:lang w:val="fr-FR"/>
              </w:rPr>
              <w:lastRenderedPageBreak/>
              <w:t>Pourcentage de femmes enceintes et d’enfants contaminés par le VIH/SIDA qui ont reçu un traitement antirétroviral (ARV)</w:t>
            </w:r>
          </w:p>
        </w:tc>
        <w:tc>
          <w:tcPr>
            <w:tcW w:w="6030" w:type="dxa"/>
            <w:gridSpan w:val="2"/>
            <w:shd w:val="clear" w:color="auto" w:fill="auto"/>
          </w:tcPr>
          <w:p w14:paraId="5EB9EFE7" w14:textId="77777777" w:rsidR="004B00F2" w:rsidRPr="00650A1C" w:rsidRDefault="004B00F2" w:rsidP="004B00F2">
            <w:pPr>
              <w:pStyle w:val="BodyText2"/>
              <w:numPr>
                <w:ilvl w:val="0"/>
                <w:numId w:val="28"/>
              </w:numPr>
              <w:rPr>
                <w:rFonts w:ascii="Times New Roman" w:hAnsi="Times New Roman" w:cs="Times New Roman"/>
                <w:i/>
                <w:sz w:val="22"/>
                <w:lang w:val="fr-FR"/>
              </w:rPr>
            </w:pPr>
            <w:r w:rsidRPr="00650A1C">
              <w:rPr>
                <w:rFonts w:ascii="Times New Roman" w:hAnsi="Times New Roman" w:cs="Times New Roman"/>
                <w:i/>
                <w:sz w:val="22"/>
                <w:lang w:val="fr-FR"/>
              </w:rPr>
              <w:lastRenderedPageBreak/>
              <w:t xml:space="preserve">Maintien du taux de succès du traitement de la tuberculose à 85% par rapport au 84% en 2011. </w:t>
            </w:r>
          </w:p>
          <w:p w14:paraId="1E354DAE" w14:textId="77777777" w:rsidR="004B00F2" w:rsidRPr="00650A1C" w:rsidRDefault="004B00F2" w:rsidP="004B00F2">
            <w:pPr>
              <w:pStyle w:val="BodyText2"/>
              <w:numPr>
                <w:ilvl w:val="0"/>
                <w:numId w:val="28"/>
              </w:numPr>
              <w:rPr>
                <w:rFonts w:ascii="Times New Roman" w:hAnsi="Times New Roman" w:cs="Times New Roman"/>
                <w:i/>
                <w:sz w:val="22"/>
                <w:lang w:val="fr-FR"/>
              </w:rPr>
            </w:pPr>
            <w:r w:rsidRPr="00650A1C">
              <w:rPr>
                <w:rFonts w:ascii="Times New Roman" w:hAnsi="Times New Roman" w:cs="Times New Roman"/>
                <w:i/>
                <w:sz w:val="22"/>
                <w:lang w:val="fr-FR"/>
              </w:rPr>
              <w:lastRenderedPageBreak/>
              <w:t>85% des personnes présentant une infection à VIH de stade avancé reçoivent un traitement ARV par rapport au 51% observés en 2011.</w:t>
            </w:r>
          </w:p>
        </w:tc>
      </w:tr>
      <w:tr w:rsidR="004B00F2" w:rsidRPr="009F39AA" w14:paraId="1D7C47F7" w14:textId="77777777" w:rsidTr="00ED3E89">
        <w:trPr>
          <w:jc w:val="center"/>
        </w:trPr>
        <w:tc>
          <w:tcPr>
            <w:tcW w:w="15007" w:type="dxa"/>
            <w:gridSpan w:val="7"/>
          </w:tcPr>
          <w:p w14:paraId="43559AEE" w14:textId="77777777" w:rsidR="004B00F2" w:rsidRPr="00650A1C" w:rsidRDefault="004B00F2" w:rsidP="00AC5DF7">
            <w:pPr>
              <w:pStyle w:val="BodyText2"/>
              <w:spacing w:before="120" w:after="120"/>
              <w:jc w:val="both"/>
              <w:rPr>
                <w:rFonts w:ascii="Times New Roman" w:hAnsi="Times New Roman" w:cs="Times New Roman"/>
                <w:noProof/>
                <w:sz w:val="22"/>
              </w:rPr>
            </w:pPr>
            <w:r w:rsidRPr="00650A1C">
              <w:rPr>
                <w:rFonts w:ascii="Times New Roman" w:hAnsi="Times New Roman" w:cs="Times New Roman"/>
                <w:b/>
                <w:sz w:val="22"/>
              </w:rPr>
              <w:lastRenderedPageBreak/>
              <w:t>UNDP Contribution:</w:t>
            </w:r>
            <w:r w:rsidRPr="00650A1C">
              <w:rPr>
                <w:rFonts w:ascii="Times New Roman" w:hAnsi="Times New Roman" w:cs="Times New Roman"/>
                <w:noProof/>
                <w:sz w:val="22"/>
              </w:rPr>
              <w:t xml:space="preserve"> </w:t>
            </w:r>
          </w:p>
          <w:p w14:paraId="4625794C" w14:textId="77777777" w:rsidR="004B00F2" w:rsidRPr="00650A1C" w:rsidRDefault="004B00F2" w:rsidP="00AC5DF7">
            <w:pPr>
              <w:pStyle w:val="BodyText2"/>
              <w:spacing w:before="120" w:after="120"/>
              <w:jc w:val="both"/>
              <w:rPr>
                <w:rFonts w:ascii="Times New Roman" w:hAnsi="Times New Roman" w:cs="Times New Roman"/>
                <w:sz w:val="22"/>
                <w:u w:val="single"/>
              </w:rPr>
            </w:pPr>
            <w:r w:rsidRPr="00650A1C">
              <w:rPr>
                <w:rFonts w:ascii="Times New Roman" w:hAnsi="Times New Roman" w:cs="Times New Roman"/>
                <w:sz w:val="22"/>
                <w:u w:val="single"/>
              </w:rPr>
              <w:t>CP Outputs:</w:t>
            </w:r>
          </w:p>
          <w:p w14:paraId="26AB3479" w14:textId="77777777" w:rsidR="004B00F2" w:rsidRPr="00650A1C" w:rsidRDefault="004B00F2" w:rsidP="004B00F2">
            <w:pPr>
              <w:pStyle w:val="ListParagraph"/>
              <w:numPr>
                <w:ilvl w:val="0"/>
                <w:numId w:val="24"/>
              </w:numPr>
              <w:contextualSpacing w:val="0"/>
              <w:rPr>
                <w:rFonts w:ascii="Times New Roman" w:hAnsi="Times New Roman" w:cs="Times New Roman"/>
                <w:lang w:val="fr-FR"/>
              </w:rPr>
            </w:pPr>
            <w:r w:rsidRPr="00650A1C">
              <w:rPr>
                <w:rFonts w:ascii="Times New Roman" w:hAnsi="Times New Roman" w:cs="Times New Roman"/>
                <w:lang w:val="fr-FR"/>
              </w:rPr>
              <w:t xml:space="preserve">Les capacités de traitement des sites </w:t>
            </w:r>
            <w:r w:rsidR="00076472" w:rsidRPr="00650A1C">
              <w:rPr>
                <w:rFonts w:ascii="Times New Roman" w:hAnsi="Times New Roman" w:cs="Times New Roman"/>
                <w:lang w:val="fr-FR"/>
              </w:rPr>
              <w:t>Antirétroviraux (</w:t>
            </w:r>
            <w:r w:rsidRPr="00650A1C">
              <w:rPr>
                <w:rFonts w:ascii="Times New Roman" w:hAnsi="Times New Roman" w:cs="Times New Roman"/>
                <w:lang w:val="fr-FR"/>
              </w:rPr>
              <w:t>ARV</w:t>
            </w:r>
            <w:r w:rsidR="00076472" w:rsidRPr="00650A1C">
              <w:rPr>
                <w:rFonts w:ascii="Times New Roman" w:hAnsi="Times New Roman" w:cs="Times New Roman"/>
                <w:lang w:val="fr-FR"/>
              </w:rPr>
              <w:t>)</w:t>
            </w:r>
            <w:r w:rsidRPr="00650A1C">
              <w:rPr>
                <w:rFonts w:ascii="Times New Roman" w:hAnsi="Times New Roman" w:cs="Times New Roman"/>
                <w:lang w:val="fr-FR"/>
              </w:rPr>
              <w:t xml:space="preserve"> sont renforcées à travers la formation du personnel de santé et la disponibilité d’intrants de prise en charge DOTS est améliorée et élargie augmentant le nombre d’institutions offrant des soins antituberculeux.</w:t>
            </w:r>
          </w:p>
          <w:p w14:paraId="28C48553" w14:textId="207056EE" w:rsidR="004B00F2" w:rsidRPr="00650A1C" w:rsidRDefault="007D7006" w:rsidP="00AC5DF7">
            <w:pPr>
              <w:pStyle w:val="BodyText2"/>
              <w:spacing w:before="120" w:after="120"/>
              <w:jc w:val="both"/>
              <w:rPr>
                <w:rFonts w:ascii="Times New Roman" w:hAnsi="Times New Roman" w:cs="Times New Roman"/>
                <w:sz w:val="22"/>
                <w:u w:val="single"/>
                <w:lang w:val="fr-FR"/>
              </w:rPr>
            </w:pPr>
            <w:r>
              <w:rPr>
                <w:rFonts w:ascii="Times New Roman" w:hAnsi="Times New Roman" w:cs="Times New Roman"/>
                <w:sz w:val="22"/>
                <w:u w:val="single"/>
                <w:lang w:val="fr-FR"/>
              </w:rPr>
              <w:t xml:space="preserve">Progrès et résultats </w:t>
            </w:r>
            <w:r w:rsidR="004B00F2" w:rsidRPr="00650A1C">
              <w:rPr>
                <w:rFonts w:ascii="Times New Roman" w:hAnsi="Times New Roman" w:cs="Times New Roman"/>
                <w:sz w:val="22"/>
                <w:u w:val="single"/>
                <w:lang w:val="fr-FR"/>
              </w:rPr>
              <w:t xml:space="preserve">: </w:t>
            </w:r>
          </w:p>
          <w:p w14:paraId="163B7A8D" w14:textId="38FDFD50" w:rsidR="004B00F2" w:rsidRPr="00650A1C" w:rsidRDefault="004B00F2" w:rsidP="00AC5DF7">
            <w:pPr>
              <w:pStyle w:val="BodyText2"/>
              <w:spacing w:before="120" w:after="120"/>
              <w:jc w:val="both"/>
              <w:rPr>
                <w:rFonts w:ascii="Times New Roman" w:hAnsi="Times New Roman" w:cs="Times New Roman"/>
                <w:sz w:val="22"/>
                <w:lang w:val="fr-FR"/>
              </w:rPr>
            </w:pPr>
            <w:r w:rsidRPr="00650A1C">
              <w:rPr>
                <w:rFonts w:ascii="Times New Roman" w:hAnsi="Times New Roman" w:cs="Times New Roman"/>
                <w:sz w:val="22"/>
                <w:lang w:val="fr-FR"/>
              </w:rPr>
              <w:t xml:space="preserve">En termes d’appui au niveau du Ministère de la Santé Publique et de la Population (MSPP) et des prestataires de service dans le domaine, le PNUD a renforcé particulièrement les capacités du MSPP en accompagnant la révision des normes de prise en charge, de plan stratégique de lutte contre le SIDA et de Plan de Suivi-Evaluation. Le Programme National de Lutte contre le SIDA a été accompagné afin de jouer pleinement son rôle de régulateur dans la lutte contre le VIH. Des logiciels de gestion financière-comptable ont été installés pour les structures du MSPP intervenant dans la lutte contre le VIH. Les cadres du MSPP ont bénéficiés de formations : Gestion de projet, VIH dans le Milieu du travail, Gestion des médicaments et Intrants, Stratégie communautaires de prévention du VIH et Prévention-Traitement des IS, Dépistage du VIH, Appui conseil et Prise en charge des personnes sous traitement ARV. Diverses études ont été réalisées avec le MSPP sur les Infections Sexuellement Transmissibles (IST) en milieu hospitalier, l’adhérence des patients sous Antirétroviraux, la nutrition et la mise en place de stratégies pour atteindre les populations les plus vulnérables. Par rapport aux bénéficiaires de soins, il faut noter les résultats suivants qui ont été </w:t>
            </w:r>
            <w:r w:rsidR="006B2707" w:rsidRPr="00650A1C">
              <w:rPr>
                <w:rFonts w:ascii="Times New Roman" w:hAnsi="Times New Roman" w:cs="Times New Roman"/>
                <w:sz w:val="22"/>
                <w:lang w:val="fr-FR"/>
              </w:rPr>
              <w:t>atteints :</w:t>
            </w:r>
            <w:r w:rsidRPr="00650A1C">
              <w:rPr>
                <w:rFonts w:ascii="Times New Roman" w:hAnsi="Times New Roman" w:cs="Times New Roman"/>
                <w:sz w:val="22"/>
                <w:lang w:val="fr-FR"/>
              </w:rPr>
              <w:t xml:space="preserve"> </w:t>
            </w:r>
          </w:p>
          <w:p w14:paraId="02D92BF3" w14:textId="7F2924AF" w:rsidR="004B00F2" w:rsidRPr="006B2707" w:rsidRDefault="004B00F2" w:rsidP="006B2707">
            <w:pPr>
              <w:pStyle w:val="ListParagraph"/>
              <w:numPr>
                <w:ilvl w:val="0"/>
                <w:numId w:val="24"/>
              </w:numPr>
              <w:rPr>
                <w:rFonts w:ascii="Times New Roman" w:hAnsi="Times New Roman" w:cs="Times New Roman"/>
                <w:lang w:val="fr-FR"/>
              </w:rPr>
            </w:pPr>
            <w:r w:rsidRPr="006B2707">
              <w:rPr>
                <w:rFonts w:ascii="Times New Roman" w:hAnsi="Times New Roman" w:cs="Times New Roman"/>
                <w:lang w:val="fr-FR"/>
              </w:rPr>
              <w:t>Plus de 68,349 personnes vivant avec le VIH ont été placées sous ARV</w:t>
            </w:r>
          </w:p>
          <w:p w14:paraId="6077A9A5" w14:textId="4011C3B1" w:rsidR="004B00F2" w:rsidRPr="006B2707" w:rsidRDefault="004B00F2" w:rsidP="006B2707">
            <w:pPr>
              <w:pStyle w:val="ListParagraph"/>
              <w:numPr>
                <w:ilvl w:val="0"/>
                <w:numId w:val="24"/>
              </w:numPr>
              <w:rPr>
                <w:rFonts w:ascii="Times New Roman" w:hAnsi="Times New Roman" w:cs="Times New Roman"/>
                <w:lang w:val="fr-FR"/>
              </w:rPr>
            </w:pPr>
            <w:r w:rsidRPr="006B2707">
              <w:rPr>
                <w:rFonts w:ascii="Times New Roman" w:hAnsi="Times New Roman" w:cs="Times New Roman"/>
                <w:lang w:val="fr-FR"/>
              </w:rPr>
              <w:t xml:space="preserve">Plus de 389,000 personnes ont été testées pour le VIH dépassant ainsi la cible prévue pour la période de plus de 100,000 tests. Ceci représente une excellente performance en considérant que le dernier EMMUS V estimait à moins de 35% la proportion de personnes qui connaissaient leur statut sérologique. </w:t>
            </w:r>
          </w:p>
          <w:p w14:paraId="69B40AC3" w14:textId="364D0301" w:rsidR="004B00F2" w:rsidRPr="006B2707" w:rsidRDefault="004B00F2" w:rsidP="006B2707">
            <w:pPr>
              <w:pStyle w:val="ListParagraph"/>
              <w:numPr>
                <w:ilvl w:val="0"/>
                <w:numId w:val="24"/>
              </w:numPr>
              <w:rPr>
                <w:rFonts w:ascii="Times New Roman" w:hAnsi="Times New Roman" w:cs="Times New Roman"/>
                <w:lang w:val="fr-FR"/>
              </w:rPr>
            </w:pPr>
            <w:r w:rsidRPr="006B2707">
              <w:rPr>
                <w:rFonts w:ascii="Times New Roman" w:hAnsi="Times New Roman" w:cs="Times New Roman"/>
                <w:lang w:val="fr-FR"/>
              </w:rPr>
              <w:t xml:space="preserve">Plus de 7311 nouveaux cas de Tuberculose ont été notifiés au programme national (101% de la cible) et 76 % ont été traites et guéris. Ceci représente une performance de 113% par rapport aux cibles établies et aussi une amélioration de 6% par rapport à l’année 2014. Ces résultats sont dus notamment à la recherche active de cas contact mais aussi à l’accompagnement des personnes sous traitement pour compléter leur traitement. </w:t>
            </w:r>
          </w:p>
          <w:p w14:paraId="3B0DDA4B" w14:textId="77777777" w:rsidR="004B00F2" w:rsidRPr="006B2707" w:rsidRDefault="004B00F2" w:rsidP="006B2707">
            <w:pPr>
              <w:pStyle w:val="ListParagraph"/>
              <w:numPr>
                <w:ilvl w:val="0"/>
                <w:numId w:val="24"/>
              </w:numPr>
              <w:rPr>
                <w:rFonts w:ascii="Times New Roman" w:hAnsi="Times New Roman" w:cs="Times New Roman"/>
                <w:lang w:val="fr-FR"/>
              </w:rPr>
            </w:pPr>
            <w:r w:rsidRPr="006B2707">
              <w:rPr>
                <w:rFonts w:ascii="Times New Roman" w:hAnsi="Times New Roman" w:cs="Times New Roman"/>
                <w:lang w:val="fr-FR"/>
              </w:rPr>
              <w:t>4) La stratégie d’intégration de la Tuberculose et du VIH a été renforcée, avec 93% des patients TB ayant reçu un test de dépistage VIH. Ces données s’améliorent encore par rapport à l’année 2014 (91%). Toutefois, l’objectif visé était de 100%.</w:t>
            </w:r>
          </w:p>
        </w:tc>
      </w:tr>
    </w:tbl>
    <w:p w14:paraId="43E1849B" w14:textId="77777777" w:rsidR="00D9192E" w:rsidRPr="00650A1C" w:rsidRDefault="00D9192E">
      <w:pPr>
        <w:rPr>
          <w:rFonts w:ascii="Times New Roman" w:hAnsi="Times New Roman" w:cs="Times New Roman"/>
          <w:lang w:val="fr-FR"/>
        </w:rPr>
      </w:pPr>
      <w:r w:rsidRPr="00650A1C">
        <w:rPr>
          <w:rFonts w:ascii="Times New Roman" w:hAnsi="Times New Roman" w:cs="Times New Roman"/>
          <w:lang w:val="fr-FR"/>
        </w:rPr>
        <w:br w:type="page"/>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0"/>
      </w:tblGrid>
      <w:tr w:rsidR="009E7526" w:rsidRPr="00717CE1" w14:paraId="286054C6" w14:textId="77777777" w:rsidTr="00650A1C">
        <w:trPr>
          <w:jc w:val="center"/>
        </w:trPr>
        <w:tc>
          <w:tcPr>
            <w:tcW w:w="15007" w:type="dxa"/>
          </w:tcPr>
          <w:p w14:paraId="3DA8F8CA" w14:textId="77777777" w:rsidR="009E7526" w:rsidRPr="00650A1C" w:rsidRDefault="009E7526" w:rsidP="009E7526">
            <w:pPr>
              <w:rPr>
                <w:rFonts w:ascii="Times New Roman" w:hAnsi="Times New Roman" w:cs="Times New Roman"/>
                <w:b/>
                <w:u w:val="single"/>
              </w:rPr>
            </w:pPr>
            <w:r w:rsidRPr="00650A1C">
              <w:rPr>
                <w:rFonts w:ascii="Times New Roman" w:hAnsi="Times New Roman" w:cs="Times New Roman"/>
                <w:b/>
                <w:u w:val="single"/>
              </w:rPr>
              <w:lastRenderedPageBreak/>
              <w:t>Summary of evaluation</w:t>
            </w:r>
            <w:r w:rsidR="00674B1A" w:rsidRPr="00650A1C">
              <w:rPr>
                <w:rFonts w:ascii="Times New Roman" w:hAnsi="Times New Roman" w:cs="Times New Roman"/>
                <w:b/>
                <w:u w:val="single"/>
              </w:rPr>
              <w:t xml:space="preserve"> finding</w:t>
            </w:r>
            <w:r w:rsidRPr="00650A1C">
              <w:rPr>
                <w:rFonts w:ascii="Times New Roman" w:hAnsi="Times New Roman" w:cs="Times New Roman"/>
                <w:b/>
                <w:u w:val="single"/>
              </w:rPr>
              <w:t>s (</w:t>
            </w:r>
            <w:r w:rsidR="008F0A97" w:rsidRPr="00650A1C">
              <w:rPr>
                <w:rFonts w:ascii="Times New Roman" w:hAnsi="Times New Roman" w:cs="Times New Roman"/>
                <w:b/>
                <w:u w:val="single"/>
              </w:rPr>
              <w:t xml:space="preserve">e.g. from outcome and project evaluations, UNDAF </w:t>
            </w:r>
            <w:r w:rsidRPr="00650A1C">
              <w:rPr>
                <w:rFonts w:ascii="Times New Roman" w:hAnsi="Times New Roman" w:cs="Times New Roman"/>
                <w:b/>
                <w:u w:val="single"/>
              </w:rPr>
              <w:t xml:space="preserve">reviews, </w:t>
            </w:r>
            <w:r w:rsidR="008F0A97" w:rsidRPr="00650A1C">
              <w:rPr>
                <w:rFonts w:ascii="Times New Roman" w:hAnsi="Times New Roman" w:cs="Times New Roman"/>
                <w:b/>
                <w:u w:val="single"/>
              </w:rPr>
              <w:t xml:space="preserve">and other </w:t>
            </w:r>
            <w:r w:rsidRPr="00650A1C">
              <w:rPr>
                <w:rFonts w:ascii="Times New Roman" w:hAnsi="Times New Roman" w:cs="Times New Roman"/>
                <w:b/>
                <w:u w:val="single"/>
              </w:rPr>
              <w:t>assessments)</w:t>
            </w:r>
          </w:p>
          <w:p w14:paraId="165D25FE" w14:textId="77777777" w:rsidR="00D9390D" w:rsidRPr="00650A1C" w:rsidRDefault="00D9390D" w:rsidP="004A02F3">
            <w:pPr>
              <w:spacing w:after="120"/>
              <w:jc w:val="both"/>
              <w:rPr>
                <w:rFonts w:ascii="Times New Roman" w:hAnsi="Times New Roman" w:cs="Times New Roman"/>
                <w:b/>
                <w:u w:val="single"/>
              </w:rPr>
            </w:pPr>
          </w:p>
          <w:p w14:paraId="0E873521" w14:textId="77777777" w:rsidR="009E7526" w:rsidRPr="00650A1C" w:rsidRDefault="00D9390D" w:rsidP="004A02F3">
            <w:pPr>
              <w:spacing w:after="120"/>
              <w:jc w:val="both"/>
              <w:rPr>
                <w:rFonts w:ascii="Times New Roman" w:hAnsi="Times New Roman" w:cs="Times New Roman"/>
                <w:lang w:val="fr-FR"/>
              </w:rPr>
            </w:pPr>
            <w:r w:rsidRPr="00650A1C">
              <w:rPr>
                <w:rFonts w:ascii="Times New Roman" w:hAnsi="Times New Roman" w:cs="Times New Roman"/>
                <w:u w:val="single"/>
                <w:lang w:val="fr-FR"/>
              </w:rPr>
              <w:t xml:space="preserve">Résultats Clés du Programme : </w:t>
            </w:r>
          </w:p>
          <w:p w14:paraId="740DDAC6" w14:textId="77777777" w:rsidR="003C43D0" w:rsidRPr="00650A1C" w:rsidRDefault="003C43D0" w:rsidP="00FE4FC3">
            <w:pPr>
              <w:spacing w:after="120"/>
              <w:jc w:val="both"/>
              <w:rPr>
                <w:rFonts w:ascii="Times New Roman" w:hAnsi="Times New Roman" w:cs="Times New Roman"/>
                <w:lang w:val="fr-FR"/>
              </w:rPr>
            </w:pPr>
            <w:r w:rsidRPr="00650A1C">
              <w:rPr>
                <w:rFonts w:ascii="Times New Roman" w:hAnsi="Times New Roman" w:cs="Times New Roman"/>
                <w:lang w:val="fr-FR"/>
              </w:rPr>
              <w:t xml:space="preserve">L’appui du PNUD a jouté un </w:t>
            </w:r>
            <w:r w:rsidR="001A204C" w:rsidRPr="00650A1C">
              <w:rPr>
                <w:rFonts w:ascii="Times New Roman" w:hAnsi="Times New Roman" w:cs="Times New Roman"/>
                <w:lang w:val="fr-FR"/>
              </w:rPr>
              <w:t>rôle</w:t>
            </w:r>
            <w:r w:rsidRPr="00650A1C">
              <w:rPr>
                <w:rFonts w:ascii="Times New Roman" w:hAnsi="Times New Roman" w:cs="Times New Roman"/>
                <w:lang w:val="fr-FR"/>
              </w:rPr>
              <w:t xml:space="preserve"> essentiel notamment dans :</w:t>
            </w:r>
          </w:p>
          <w:p w14:paraId="528EC914" w14:textId="07985CAE" w:rsidR="00571AA5" w:rsidRPr="00650A1C" w:rsidRDefault="003C43D0" w:rsidP="00FE4FC3">
            <w:pPr>
              <w:pStyle w:val="ListParagraph"/>
              <w:numPr>
                <w:ilvl w:val="0"/>
                <w:numId w:val="22"/>
              </w:numPr>
              <w:spacing w:after="120"/>
              <w:contextualSpacing w:val="0"/>
              <w:jc w:val="both"/>
              <w:rPr>
                <w:rFonts w:ascii="Times New Roman" w:hAnsi="Times New Roman" w:cs="Times New Roman"/>
                <w:lang w:val="fr-FR"/>
              </w:rPr>
            </w:pPr>
            <w:r w:rsidRPr="00650A1C">
              <w:rPr>
                <w:rFonts w:ascii="Times New Roman" w:hAnsi="Times New Roman" w:cs="Times New Roman"/>
                <w:lang w:val="fr-FR"/>
              </w:rPr>
              <w:t xml:space="preserve">L’élaboration par l’Unité de Construction de Logements et des </w:t>
            </w:r>
            <w:r w:rsidR="001A204C" w:rsidRPr="00650A1C">
              <w:rPr>
                <w:rFonts w:ascii="Times New Roman" w:hAnsi="Times New Roman" w:cs="Times New Roman"/>
                <w:lang w:val="fr-FR"/>
              </w:rPr>
              <w:t>Bâtiments</w:t>
            </w:r>
            <w:r w:rsidRPr="00650A1C">
              <w:rPr>
                <w:rFonts w:ascii="Times New Roman" w:hAnsi="Times New Roman" w:cs="Times New Roman"/>
                <w:lang w:val="fr-FR"/>
              </w:rPr>
              <w:t xml:space="preserve"> Publics (UCLBP) de la Première Politique Nationale du Logement et de l’</w:t>
            </w:r>
            <w:r w:rsidR="00571AA5" w:rsidRPr="00650A1C">
              <w:rPr>
                <w:rFonts w:ascii="Times New Roman" w:hAnsi="Times New Roman" w:cs="Times New Roman"/>
                <w:lang w:val="fr-FR"/>
              </w:rPr>
              <w:t>Habitat ains</w:t>
            </w:r>
            <w:r w:rsidR="00B43715">
              <w:rPr>
                <w:rFonts w:ascii="Times New Roman" w:hAnsi="Times New Roman" w:cs="Times New Roman"/>
                <w:lang w:val="fr-FR"/>
              </w:rPr>
              <w:t>i que le relogement de plus de 45</w:t>
            </w:r>
            <w:r w:rsidR="00571AA5" w:rsidRPr="00650A1C">
              <w:rPr>
                <w:rFonts w:ascii="Times New Roman" w:hAnsi="Times New Roman" w:cs="Times New Roman"/>
                <w:lang w:val="fr-FR"/>
              </w:rPr>
              <w:t>,000 familles affectées par le tremblement de terre grâce à différentes initiatives.</w:t>
            </w:r>
          </w:p>
          <w:p w14:paraId="4AC4D483" w14:textId="40128752" w:rsidR="00BE70F7" w:rsidRPr="00650A1C" w:rsidRDefault="00571AA5" w:rsidP="00BE70F7">
            <w:pPr>
              <w:pStyle w:val="ListParagraph"/>
              <w:numPr>
                <w:ilvl w:val="0"/>
                <w:numId w:val="22"/>
              </w:numPr>
              <w:spacing w:after="120"/>
              <w:contextualSpacing w:val="0"/>
              <w:jc w:val="both"/>
              <w:rPr>
                <w:rFonts w:ascii="Times New Roman" w:hAnsi="Times New Roman" w:cs="Times New Roman"/>
                <w:lang w:val="fr-FR"/>
              </w:rPr>
            </w:pPr>
            <w:r w:rsidRPr="00650A1C">
              <w:rPr>
                <w:rFonts w:ascii="Times New Roman" w:hAnsi="Times New Roman" w:cs="Times New Roman"/>
                <w:lang w:val="fr-FR"/>
              </w:rPr>
              <w:t xml:space="preserve">La tenue des élections présidentielle, législatives et locales à travers le soutien au Conseil Electoral </w:t>
            </w:r>
            <w:r w:rsidR="00B478C3" w:rsidRPr="00650A1C">
              <w:rPr>
                <w:rFonts w:ascii="Times New Roman" w:hAnsi="Times New Roman" w:cs="Times New Roman"/>
                <w:lang w:val="fr-FR"/>
              </w:rPr>
              <w:t xml:space="preserve">(projet de loi électorale, dialogue, formation, éducation civique, assistance juridique, disponibilité de liste d’électeurs, acquisition de matériel électoral) </w:t>
            </w:r>
            <w:r w:rsidRPr="00650A1C">
              <w:rPr>
                <w:rFonts w:ascii="Times New Roman" w:hAnsi="Times New Roman" w:cs="Times New Roman"/>
                <w:lang w:val="fr-FR"/>
              </w:rPr>
              <w:t>et la gestion d’un « basket fund »de plus de $</w:t>
            </w:r>
            <w:r w:rsidR="00B15C45">
              <w:rPr>
                <w:rFonts w:ascii="Times New Roman" w:hAnsi="Times New Roman" w:cs="Times New Roman"/>
                <w:lang w:val="fr-FR"/>
              </w:rPr>
              <w:t xml:space="preserve">60 millions </w:t>
            </w:r>
            <w:r w:rsidRPr="00650A1C">
              <w:rPr>
                <w:rFonts w:ascii="Times New Roman" w:hAnsi="Times New Roman" w:cs="Times New Roman"/>
                <w:lang w:val="fr-FR"/>
              </w:rPr>
              <w:t xml:space="preserve">USD mis </w:t>
            </w:r>
            <w:r w:rsidR="001A204C" w:rsidRPr="00650A1C">
              <w:rPr>
                <w:rFonts w:ascii="Times New Roman" w:hAnsi="Times New Roman" w:cs="Times New Roman"/>
                <w:lang w:val="fr-FR"/>
              </w:rPr>
              <w:t xml:space="preserve">à disposition par </w:t>
            </w:r>
            <w:r w:rsidRPr="00650A1C">
              <w:rPr>
                <w:rFonts w:ascii="Times New Roman" w:hAnsi="Times New Roman" w:cs="Times New Roman"/>
                <w:lang w:val="fr-FR"/>
              </w:rPr>
              <w:t xml:space="preserve">le </w:t>
            </w:r>
            <w:r w:rsidR="001A204C" w:rsidRPr="00650A1C">
              <w:rPr>
                <w:rFonts w:ascii="Times New Roman" w:hAnsi="Times New Roman" w:cs="Times New Roman"/>
                <w:lang w:val="fr-FR"/>
              </w:rPr>
              <w:t>Gouvernement</w:t>
            </w:r>
            <w:r w:rsidRPr="00650A1C">
              <w:rPr>
                <w:rFonts w:ascii="Times New Roman" w:hAnsi="Times New Roman" w:cs="Times New Roman"/>
                <w:lang w:val="fr-FR"/>
              </w:rPr>
              <w:t xml:space="preserve"> </w:t>
            </w:r>
            <w:r w:rsidR="001A204C" w:rsidRPr="00650A1C">
              <w:rPr>
                <w:rFonts w:ascii="Times New Roman" w:hAnsi="Times New Roman" w:cs="Times New Roman"/>
                <w:lang w:val="fr-FR"/>
              </w:rPr>
              <w:t>Haïtien</w:t>
            </w:r>
            <w:r w:rsidRPr="00650A1C">
              <w:rPr>
                <w:rFonts w:ascii="Times New Roman" w:hAnsi="Times New Roman" w:cs="Times New Roman"/>
                <w:lang w:val="fr-FR"/>
              </w:rPr>
              <w:t xml:space="preserve"> et l’ensemble de la communauté internationale</w:t>
            </w:r>
            <w:r w:rsidR="00BE70F7" w:rsidRPr="00650A1C">
              <w:rPr>
                <w:rFonts w:ascii="Times New Roman" w:hAnsi="Times New Roman" w:cs="Times New Roman"/>
                <w:lang w:val="fr-FR"/>
              </w:rPr>
              <w:t xml:space="preserve"> pour la réalisation des élections.</w:t>
            </w:r>
          </w:p>
          <w:p w14:paraId="7C199408" w14:textId="77777777" w:rsidR="00571AA5" w:rsidRPr="00650A1C" w:rsidRDefault="00571AA5" w:rsidP="00FE4FC3">
            <w:pPr>
              <w:pStyle w:val="ListParagraph"/>
              <w:numPr>
                <w:ilvl w:val="0"/>
                <w:numId w:val="22"/>
              </w:numPr>
              <w:spacing w:after="120"/>
              <w:contextualSpacing w:val="0"/>
              <w:jc w:val="both"/>
              <w:rPr>
                <w:rFonts w:ascii="Times New Roman" w:hAnsi="Times New Roman" w:cs="Times New Roman"/>
                <w:lang w:val="fr-FR"/>
              </w:rPr>
            </w:pPr>
            <w:r w:rsidRPr="00650A1C">
              <w:rPr>
                <w:rFonts w:ascii="Times New Roman" w:hAnsi="Times New Roman" w:cs="Times New Roman"/>
                <w:lang w:val="fr-FR"/>
              </w:rPr>
              <w:t>La consolidation des capacités opérationnelles de la Direction de la Protection Civile</w:t>
            </w:r>
            <w:r w:rsidR="00B478C3" w:rsidRPr="00650A1C">
              <w:rPr>
                <w:rFonts w:ascii="Times New Roman" w:hAnsi="Times New Roman" w:cs="Times New Roman"/>
                <w:lang w:val="fr-FR"/>
              </w:rPr>
              <w:t xml:space="preserve"> chargée de la Gestion des Risques et des Catastrophes</w:t>
            </w:r>
            <w:r w:rsidRPr="00650A1C">
              <w:rPr>
                <w:rFonts w:ascii="Times New Roman" w:hAnsi="Times New Roman" w:cs="Times New Roman"/>
                <w:lang w:val="fr-FR"/>
              </w:rPr>
              <w:t xml:space="preserve">, l’élaboration d’un guide </w:t>
            </w:r>
            <w:r w:rsidR="00B478C3" w:rsidRPr="00650A1C">
              <w:rPr>
                <w:rFonts w:ascii="Times New Roman" w:hAnsi="Times New Roman" w:cs="Times New Roman"/>
                <w:lang w:val="fr-FR"/>
              </w:rPr>
              <w:t>méthodologique</w:t>
            </w:r>
            <w:r w:rsidRPr="00650A1C">
              <w:rPr>
                <w:rFonts w:ascii="Times New Roman" w:hAnsi="Times New Roman" w:cs="Times New Roman"/>
                <w:lang w:val="fr-FR"/>
              </w:rPr>
              <w:t xml:space="preserve"> de réduction des </w:t>
            </w:r>
            <w:r w:rsidR="00B478C3" w:rsidRPr="00650A1C">
              <w:rPr>
                <w:rFonts w:ascii="Times New Roman" w:hAnsi="Times New Roman" w:cs="Times New Roman"/>
                <w:lang w:val="fr-FR"/>
              </w:rPr>
              <w:t>risques</w:t>
            </w:r>
            <w:r w:rsidRPr="00650A1C">
              <w:rPr>
                <w:rFonts w:ascii="Times New Roman" w:hAnsi="Times New Roman" w:cs="Times New Roman"/>
                <w:lang w:val="fr-FR"/>
              </w:rPr>
              <w:t xml:space="preserve"> urbains, ainsi que la réalisation d’études sur les risques sismiques.</w:t>
            </w:r>
          </w:p>
          <w:p w14:paraId="7C50ED11" w14:textId="77777777" w:rsidR="00571AA5" w:rsidRPr="00650A1C" w:rsidRDefault="002C1C3E" w:rsidP="00FE4FC3">
            <w:pPr>
              <w:pStyle w:val="ListParagraph"/>
              <w:numPr>
                <w:ilvl w:val="0"/>
                <w:numId w:val="22"/>
              </w:numPr>
              <w:spacing w:after="120"/>
              <w:contextualSpacing w:val="0"/>
              <w:jc w:val="both"/>
              <w:rPr>
                <w:rFonts w:ascii="Times New Roman" w:hAnsi="Times New Roman" w:cs="Times New Roman"/>
                <w:lang w:val="fr-FR"/>
              </w:rPr>
            </w:pPr>
            <w:r w:rsidRPr="00650A1C">
              <w:rPr>
                <w:rFonts w:ascii="Times New Roman" w:hAnsi="Times New Roman" w:cs="Times New Roman"/>
                <w:lang w:val="fr-FR"/>
              </w:rPr>
              <w:t xml:space="preserve">La stabilisation du niveau de </w:t>
            </w:r>
            <w:r w:rsidR="00FE4FC3" w:rsidRPr="00650A1C">
              <w:rPr>
                <w:rFonts w:ascii="Times New Roman" w:hAnsi="Times New Roman" w:cs="Times New Roman"/>
                <w:lang w:val="fr-FR"/>
              </w:rPr>
              <w:t>prévalence</w:t>
            </w:r>
            <w:r w:rsidRPr="00650A1C">
              <w:rPr>
                <w:rFonts w:ascii="Times New Roman" w:hAnsi="Times New Roman" w:cs="Times New Roman"/>
                <w:lang w:val="fr-FR"/>
              </w:rPr>
              <w:t xml:space="preserve"> du VIH-SIDA et une amélioration de la situ</w:t>
            </w:r>
            <w:r w:rsidR="00FE4FC3" w:rsidRPr="00650A1C">
              <w:rPr>
                <w:rFonts w:ascii="Times New Roman" w:hAnsi="Times New Roman" w:cs="Times New Roman"/>
                <w:lang w:val="fr-FR"/>
              </w:rPr>
              <w:t>ation concernant la tuberculose dans le cadre d’un renforcement du Ministère de la Santé Publique et de la Population (MSPP) grâce à un financement du Fonds Mondial</w:t>
            </w:r>
            <w:r w:rsidR="00136E4F" w:rsidRPr="00650A1C">
              <w:rPr>
                <w:rFonts w:ascii="Times New Roman" w:hAnsi="Times New Roman" w:cs="Times New Roman"/>
                <w:lang w:val="fr-FR"/>
              </w:rPr>
              <w:t xml:space="preserve"> de lutte contre le SIDA, la tuberculose et le paludisme.</w:t>
            </w:r>
          </w:p>
          <w:p w14:paraId="47A39040" w14:textId="77777777" w:rsidR="002C1C3E" w:rsidRPr="00650A1C" w:rsidRDefault="002C1C3E" w:rsidP="00FE4FC3">
            <w:pPr>
              <w:pStyle w:val="ListParagraph"/>
              <w:numPr>
                <w:ilvl w:val="0"/>
                <w:numId w:val="22"/>
              </w:numPr>
              <w:spacing w:after="120"/>
              <w:contextualSpacing w:val="0"/>
              <w:jc w:val="both"/>
              <w:rPr>
                <w:rFonts w:ascii="Times New Roman" w:hAnsi="Times New Roman" w:cs="Times New Roman"/>
                <w:lang w:val="fr-FR"/>
              </w:rPr>
            </w:pPr>
            <w:r w:rsidRPr="00650A1C">
              <w:rPr>
                <w:rFonts w:ascii="Times New Roman" w:hAnsi="Times New Roman" w:cs="Times New Roman"/>
                <w:lang w:val="fr-FR"/>
              </w:rPr>
              <w:t>L</w:t>
            </w:r>
            <w:r w:rsidR="004A02F3" w:rsidRPr="00650A1C">
              <w:rPr>
                <w:rFonts w:ascii="Times New Roman" w:hAnsi="Times New Roman" w:cs="Times New Roman"/>
                <w:lang w:val="fr-FR"/>
              </w:rPr>
              <w:t xml:space="preserve">a </w:t>
            </w:r>
            <w:r w:rsidR="00FE4FC3" w:rsidRPr="00650A1C">
              <w:rPr>
                <w:rFonts w:ascii="Times New Roman" w:hAnsi="Times New Roman" w:cs="Times New Roman"/>
                <w:lang w:val="fr-FR"/>
              </w:rPr>
              <w:t>préparation d’un</w:t>
            </w:r>
            <w:r w:rsidRPr="00650A1C">
              <w:rPr>
                <w:rFonts w:ascii="Times New Roman" w:hAnsi="Times New Roman" w:cs="Times New Roman"/>
                <w:lang w:val="fr-FR"/>
              </w:rPr>
              <w:t xml:space="preserve"> rapport sur </w:t>
            </w:r>
            <w:r w:rsidR="00FE4FC3" w:rsidRPr="00650A1C">
              <w:rPr>
                <w:rFonts w:ascii="Times New Roman" w:hAnsi="Times New Roman" w:cs="Times New Roman"/>
                <w:lang w:val="fr-FR"/>
              </w:rPr>
              <w:t>la réalisation des Objectifs de Développement du Millénaire en Haïti</w:t>
            </w:r>
            <w:r w:rsidRPr="00650A1C">
              <w:rPr>
                <w:rFonts w:ascii="Times New Roman" w:hAnsi="Times New Roman" w:cs="Times New Roman"/>
                <w:lang w:val="fr-FR"/>
              </w:rPr>
              <w:t xml:space="preserve"> permettant</w:t>
            </w:r>
            <w:r w:rsidR="00FE4FC3" w:rsidRPr="00650A1C">
              <w:rPr>
                <w:rFonts w:ascii="Times New Roman" w:hAnsi="Times New Roman" w:cs="Times New Roman"/>
                <w:lang w:val="fr-FR"/>
              </w:rPr>
              <w:t xml:space="preserve"> de disposer d’informations nécessaires à l’orientation des politiques publiques et à une m</w:t>
            </w:r>
            <w:r w:rsidRPr="00650A1C">
              <w:rPr>
                <w:rFonts w:ascii="Times New Roman" w:hAnsi="Times New Roman" w:cs="Times New Roman"/>
                <w:lang w:val="fr-FR"/>
              </w:rPr>
              <w:t>eilleure planification des programmes de développement</w:t>
            </w:r>
            <w:r w:rsidR="00FE4FC3" w:rsidRPr="00650A1C">
              <w:rPr>
                <w:rFonts w:ascii="Times New Roman" w:hAnsi="Times New Roman" w:cs="Times New Roman"/>
                <w:lang w:val="fr-FR"/>
              </w:rPr>
              <w:t xml:space="preserve"> ainsi que l</w:t>
            </w:r>
            <w:r w:rsidRPr="00650A1C">
              <w:rPr>
                <w:rFonts w:ascii="Times New Roman" w:hAnsi="Times New Roman" w:cs="Times New Roman"/>
                <w:lang w:val="fr-FR"/>
              </w:rPr>
              <w:t>a mise en place par le Ministère de la Planification et de la Coopération Externe (MPCE) du Module de Gestion de l’</w:t>
            </w:r>
            <w:r w:rsidR="00FE4FC3" w:rsidRPr="00650A1C">
              <w:rPr>
                <w:rFonts w:ascii="Times New Roman" w:hAnsi="Times New Roman" w:cs="Times New Roman"/>
                <w:lang w:val="fr-FR"/>
              </w:rPr>
              <w:t>Aide Externe qui constitu</w:t>
            </w:r>
            <w:r w:rsidRPr="00650A1C">
              <w:rPr>
                <w:rFonts w:ascii="Times New Roman" w:hAnsi="Times New Roman" w:cs="Times New Roman"/>
                <w:lang w:val="fr-FR"/>
              </w:rPr>
              <w:t>e l’outil principal du Gouvernement pour l’amélioration de la gestion de l’aide externe et son intégration dans les processus budgétaires.</w:t>
            </w:r>
          </w:p>
          <w:p w14:paraId="68E1B074" w14:textId="77777777" w:rsidR="00697212" w:rsidRPr="00650A1C" w:rsidRDefault="00697212" w:rsidP="00697212">
            <w:pPr>
              <w:pStyle w:val="BodyText2"/>
              <w:numPr>
                <w:ilvl w:val="0"/>
                <w:numId w:val="22"/>
              </w:numPr>
              <w:rPr>
                <w:rFonts w:ascii="Times New Roman" w:hAnsi="Times New Roman" w:cs="Times New Roman"/>
                <w:sz w:val="22"/>
                <w:lang w:val="fr-FR"/>
              </w:rPr>
            </w:pPr>
            <w:r w:rsidRPr="00650A1C">
              <w:rPr>
                <w:rFonts w:ascii="Times New Roman" w:hAnsi="Times New Roman" w:cs="Times New Roman"/>
                <w:sz w:val="22"/>
                <w:lang w:val="fr-FR"/>
              </w:rPr>
              <w:t>La création du Bureau National pour l’Evaluation Environnementale, un organe dédié à l'analyse et à la prise en compte du facteur environnemental dans les politiques publiques de l'Etat haïtien, l’</w:t>
            </w:r>
            <w:r w:rsidR="004E416A" w:rsidRPr="00650A1C">
              <w:rPr>
                <w:rFonts w:ascii="Times New Roman" w:hAnsi="Times New Roman" w:cs="Times New Roman"/>
                <w:sz w:val="22"/>
                <w:lang w:val="fr-FR"/>
              </w:rPr>
              <w:t>élaboration</w:t>
            </w:r>
            <w:r w:rsidRPr="00650A1C">
              <w:rPr>
                <w:rFonts w:ascii="Times New Roman" w:hAnsi="Times New Roman" w:cs="Times New Roman"/>
                <w:sz w:val="22"/>
                <w:lang w:val="fr-FR"/>
              </w:rPr>
              <w:t xml:space="preserve"> des procédures et la formation des cadres du MDE et de certaines collectivités territoriales à l’utilisation de ces procédures et la création du </w:t>
            </w:r>
            <w:r w:rsidR="004E416A" w:rsidRPr="00650A1C">
              <w:rPr>
                <w:rFonts w:ascii="Times New Roman" w:hAnsi="Times New Roman" w:cs="Times New Roman"/>
                <w:sz w:val="22"/>
                <w:lang w:val="fr-FR"/>
              </w:rPr>
              <w:t>bureau</w:t>
            </w:r>
            <w:r w:rsidRPr="00650A1C">
              <w:rPr>
                <w:rFonts w:ascii="Times New Roman" w:hAnsi="Times New Roman" w:cs="Times New Roman"/>
                <w:sz w:val="22"/>
                <w:lang w:val="fr-FR"/>
              </w:rPr>
              <w:t xml:space="preserve"> des changements climatiques.</w:t>
            </w:r>
          </w:p>
          <w:p w14:paraId="353B3DBD" w14:textId="3904522B" w:rsidR="003C43D0" w:rsidRPr="00650A1C" w:rsidRDefault="003C43D0" w:rsidP="004A02F3">
            <w:pPr>
              <w:spacing w:after="120"/>
              <w:jc w:val="both"/>
              <w:rPr>
                <w:rFonts w:ascii="Times New Roman" w:hAnsi="Times New Roman" w:cs="Times New Roman"/>
                <w:lang w:val="fr-FR"/>
              </w:rPr>
            </w:pPr>
          </w:p>
          <w:p w14:paraId="3CBC4F35" w14:textId="77777777" w:rsidR="00D9390D" w:rsidRPr="00650A1C" w:rsidRDefault="004A02F3" w:rsidP="004A02F3">
            <w:pPr>
              <w:pStyle w:val="BodyText2"/>
              <w:spacing w:after="120"/>
              <w:rPr>
                <w:rFonts w:ascii="Times New Roman" w:hAnsi="Times New Roman" w:cs="Times New Roman"/>
                <w:sz w:val="22"/>
                <w:u w:val="single"/>
                <w:lang w:val="fr-FR"/>
              </w:rPr>
            </w:pPr>
            <w:r w:rsidRPr="00650A1C">
              <w:rPr>
                <w:rFonts w:ascii="Times New Roman" w:hAnsi="Times New Roman" w:cs="Times New Roman"/>
                <w:sz w:val="22"/>
                <w:u w:val="single"/>
                <w:lang w:val="fr-FR"/>
              </w:rPr>
              <w:t xml:space="preserve">Principaux Enseignements </w:t>
            </w:r>
            <w:r w:rsidR="001A204C" w:rsidRPr="00650A1C">
              <w:rPr>
                <w:rFonts w:ascii="Times New Roman" w:hAnsi="Times New Roman" w:cs="Times New Roman"/>
                <w:sz w:val="22"/>
                <w:u w:val="single"/>
                <w:lang w:val="fr-FR"/>
              </w:rPr>
              <w:t xml:space="preserve">tirés </w:t>
            </w:r>
            <w:r w:rsidR="004D2931" w:rsidRPr="00650A1C">
              <w:rPr>
                <w:rFonts w:ascii="Times New Roman" w:hAnsi="Times New Roman" w:cs="Times New Roman"/>
                <w:sz w:val="22"/>
                <w:u w:val="single"/>
                <w:lang w:val="fr-FR"/>
              </w:rPr>
              <w:t xml:space="preserve">de la </w:t>
            </w:r>
            <w:r w:rsidR="00D9390D" w:rsidRPr="00650A1C">
              <w:rPr>
                <w:rFonts w:ascii="Times New Roman" w:hAnsi="Times New Roman" w:cs="Times New Roman"/>
                <w:sz w:val="22"/>
                <w:u w:val="single"/>
                <w:lang w:val="fr-FR"/>
              </w:rPr>
              <w:t xml:space="preserve">mise en œuvre du programme </w:t>
            </w:r>
          </w:p>
          <w:p w14:paraId="23694CB6" w14:textId="4CC69F85" w:rsidR="005A0E0E" w:rsidRDefault="005A0E0E" w:rsidP="005A0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lang w:val="fr-FR"/>
              </w:rPr>
            </w:pPr>
            <w:r>
              <w:rPr>
                <w:rFonts w:ascii="Times New Roman" w:hAnsi="Times New Roman" w:cs="Times New Roman"/>
                <w:color w:val="000000"/>
                <w:lang w:val="fr-FR"/>
              </w:rPr>
              <w:t xml:space="preserve">Le cycle programmatique a été marqué par une transition de la réponse humanitaire vers une approche de développement à long-terme. Ainsi, les évaluations des projets et les exercices de leçons apprises ont permis au PNUD Haiti de tirer des enseignements sur sa programmation. En particulier, dans le domaine de la gestion des risques et des désastres, il sort que le PNUD a </w:t>
            </w:r>
            <w:r w:rsidRPr="005A0E0E">
              <w:rPr>
                <w:rFonts w:ascii="Times New Roman" w:hAnsi="Times New Roman" w:cs="Times New Roman"/>
                <w:color w:val="000000"/>
                <w:lang w:val="fr-FR"/>
              </w:rPr>
              <w:t xml:space="preserve">plus de valeur ajoutée quand il agit dans le cadre d’un partenariat solide avec le </w:t>
            </w:r>
            <w:r>
              <w:rPr>
                <w:rFonts w:ascii="Times New Roman" w:hAnsi="Times New Roman" w:cs="Times New Roman"/>
                <w:color w:val="000000"/>
                <w:lang w:val="fr-FR"/>
              </w:rPr>
              <w:t>G</w:t>
            </w:r>
            <w:r w:rsidRPr="005A0E0E">
              <w:rPr>
                <w:rFonts w:ascii="Times New Roman" w:hAnsi="Times New Roman" w:cs="Times New Roman"/>
                <w:color w:val="000000"/>
                <w:lang w:val="fr-FR"/>
              </w:rPr>
              <w:t>ouvernement</w:t>
            </w:r>
            <w:r>
              <w:rPr>
                <w:rFonts w:ascii="Times New Roman" w:hAnsi="Times New Roman" w:cs="Times New Roman"/>
                <w:color w:val="000000"/>
                <w:lang w:val="fr-FR"/>
              </w:rPr>
              <w:t xml:space="preserve"> dans l’optique d’un appui </w:t>
            </w:r>
            <w:r w:rsidRPr="005A0E0E">
              <w:rPr>
                <w:rFonts w:ascii="Times New Roman" w:hAnsi="Times New Roman" w:cs="Times New Roman"/>
                <w:color w:val="000000"/>
                <w:lang w:val="fr-FR"/>
              </w:rPr>
              <w:t xml:space="preserve">fiable et continu </w:t>
            </w:r>
            <w:r>
              <w:rPr>
                <w:rFonts w:ascii="Times New Roman" w:hAnsi="Times New Roman" w:cs="Times New Roman"/>
                <w:color w:val="000000"/>
                <w:lang w:val="fr-FR"/>
              </w:rPr>
              <w:t xml:space="preserve">au renforcement des </w:t>
            </w:r>
            <w:r w:rsidRPr="005A0E0E">
              <w:rPr>
                <w:rFonts w:ascii="Times New Roman" w:hAnsi="Times New Roman" w:cs="Times New Roman"/>
                <w:color w:val="000000"/>
                <w:lang w:val="fr-FR"/>
              </w:rPr>
              <w:t>capacité</w:t>
            </w:r>
            <w:r>
              <w:rPr>
                <w:rFonts w:ascii="Times New Roman" w:hAnsi="Times New Roman" w:cs="Times New Roman"/>
                <w:color w:val="000000"/>
                <w:lang w:val="fr-FR"/>
              </w:rPr>
              <w:t>s</w:t>
            </w:r>
            <w:r w:rsidRPr="005A0E0E">
              <w:rPr>
                <w:rFonts w:ascii="Times New Roman" w:hAnsi="Times New Roman" w:cs="Times New Roman"/>
                <w:color w:val="000000"/>
                <w:lang w:val="fr-FR"/>
              </w:rPr>
              <w:t xml:space="preserve"> à long terme. Cela contribue à assurer la légitimité de la participation du PNUD et signifie une relation ouverte et transparente que les problèmes potentiels peuvent être rapidement identifiés et traités.</w:t>
            </w:r>
            <w:r>
              <w:rPr>
                <w:rFonts w:ascii="Times New Roman" w:hAnsi="Times New Roman" w:cs="Times New Roman"/>
                <w:color w:val="000000"/>
                <w:lang w:val="fr-FR"/>
              </w:rPr>
              <w:t xml:space="preserve"> </w:t>
            </w:r>
            <w:r w:rsidRPr="005A0E0E">
              <w:rPr>
                <w:rFonts w:ascii="Times New Roman" w:hAnsi="Times New Roman" w:cs="Times New Roman"/>
                <w:color w:val="000000"/>
                <w:lang w:val="fr-FR"/>
              </w:rPr>
              <w:t xml:space="preserve">Dans </w:t>
            </w:r>
            <w:r>
              <w:rPr>
                <w:rFonts w:ascii="Times New Roman" w:hAnsi="Times New Roman" w:cs="Times New Roman"/>
                <w:color w:val="000000"/>
                <w:lang w:val="fr-FR"/>
              </w:rPr>
              <w:t xml:space="preserve">son approche de relèvement immédiat, </w:t>
            </w:r>
            <w:r w:rsidRPr="005A0E0E">
              <w:rPr>
                <w:rFonts w:ascii="Times New Roman" w:hAnsi="Times New Roman" w:cs="Times New Roman"/>
                <w:color w:val="000000"/>
                <w:lang w:val="fr-FR"/>
              </w:rPr>
              <w:t xml:space="preserve">le PNUD peut jouer un rôle essentiel dans le soutien </w:t>
            </w:r>
            <w:r>
              <w:rPr>
                <w:rFonts w:ascii="Times New Roman" w:hAnsi="Times New Roman" w:cs="Times New Roman"/>
                <w:color w:val="000000"/>
                <w:lang w:val="fr-FR"/>
              </w:rPr>
              <w:t xml:space="preserve">à la </w:t>
            </w:r>
            <w:r w:rsidRPr="005A0E0E">
              <w:rPr>
                <w:rFonts w:ascii="Times New Roman" w:hAnsi="Times New Roman" w:cs="Times New Roman"/>
                <w:color w:val="000000"/>
                <w:lang w:val="fr-FR"/>
              </w:rPr>
              <w:t>résilience face aux catastrophes. Cela nécessite une approche proact</w:t>
            </w:r>
            <w:r>
              <w:rPr>
                <w:rFonts w:ascii="Times New Roman" w:hAnsi="Times New Roman" w:cs="Times New Roman"/>
                <w:color w:val="000000"/>
                <w:lang w:val="fr-FR"/>
              </w:rPr>
              <w:t xml:space="preserve">ive, stratégique et programmatique </w:t>
            </w:r>
            <w:r w:rsidRPr="005A0E0E">
              <w:rPr>
                <w:rFonts w:ascii="Times New Roman" w:hAnsi="Times New Roman" w:cs="Times New Roman"/>
                <w:color w:val="000000"/>
                <w:lang w:val="fr-FR"/>
              </w:rPr>
              <w:t xml:space="preserve">dès le début </w:t>
            </w:r>
            <w:r>
              <w:rPr>
                <w:rFonts w:ascii="Times New Roman" w:hAnsi="Times New Roman" w:cs="Times New Roman"/>
                <w:color w:val="000000"/>
                <w:lang w:val="fr-FR"/>
              </w:rPr>
              <w:t xml:space="preserve">en </w:t>
            </w:r>
            <w:r w:rsidRPr="005A0E0E">
              <w:rPr>
                <w:rFonts w:ascii="Times New Roman" w:hAnsi="Times New Roman" w:cs="Times New Roman"/>
                <w:color w:val="000000"/>
                <w:lang w:val="fr-FR"/>
              </w:rPr>
              <w:t xml:space="preserve">ciblant les décideurs </w:t>
            </w:r>
            <w:r>
              <w:rPr>
                <w:rFonts w:ascii="Times New Roman" w:hAnsi="Times New Roman" w:cs="Times New Roman"/>
                <w:color w:val="000000"/>
                <w:lang w:val="fr-FR"/>
              </w:rPr>
              <w:t xml:space="preserve">et en </w:t>
            </w:r>
            <w:r w:rsidRPr="005A0E0E">
              <w:rPr>
                <w:rFonts w:ascii="Times New Roman" w:hAnsi="Times New Roman" w:cs="Times New Roman"/>
                <w:color w:val="000000"/>
                <w:lang w:val="fr-FR"/>
              </w:rPr>
              <w:t xml:space="preserve">ciblant les plus vulnérables. Dans </w:t>
            </w:r>
            <w:r>
              <w:rPr>
                <w:rFonts w:ascii="Times New Roman" w:hAnsi="Times New Roman" w:cs="Times New Roman"/>
                <w:color w:val="000000"/>
                <w:lang w:val="fr-FR"/>
              </w:rPr>
              <w:t xml:space="preserve">un contexte de relèvement </w:t>
            </w:r>
            <w:r w:rsidRPr="005A0E0E">
              <w:rPr>
                <w:rFonts w:ascii="Times New Roman" w:hAnsi="Times New Roman" w:cs="Times New Roman"/>
                <w:color w:val="000000"/>
                <w:lang w:val="fr-FR"/>
              </w:rPr>
              <w:t xml:space="preserve">où les capacités </w:t>
            </w:r>
            <w:r>
              <w:rPr>
                <w:rFonts w:ascii="Times New Roman" w:hAnsi="Times New Roman" w:cs="Times New Roman"/>
                <w:color w:val="000000"/>
                <w:lang w:val="fr-FR"/>
              </w:rPr>
              <w:t>de l’E</w:t>
            </w:r>
            <w:r w:rsidRPr="005A0E0E">
              <w:rPr>
                <w:rFonts w:ascii="Times New Roman" w:hAnsi="Times New Roman" w:cs="Times New Roman"/>
                <w:color w:val="000000"/>
                <w:lang w:val="fr-FR"/>
              </w:rPr>
              <w:t xml:space="preserve">tat </w:t>
            </w:r>
            <w:r>
              <w:rPr>
                <w:rFonts w:ascii="Times New Roman" w:hAnsi="Times New Roman" w:cs="Times New Roman"/>
                <w:color w:val="000000"/>
                <w:lang w:val="fr-FR"/>
              </w:rPr>
              <w:t xml:space="preserve">sont limitées ou réduites, des partenariats directs avec les communautés affectées et le </w:t>
            </w:r>
            <w:r w:rsidRPr="005A0E0E">
              <w:rPr>
                <w:rFonts w:ascii="Times New Roman" w:hAnsi="Times New Roman" w:cs="Times New Roman"/>
                <w:color w:val="000000"/>
                <w:lang w:val="fr-FR"/>
              </w:rPr>
              <w:t xml:space="preserve">secteur privé </w:t>
            </w:r>
            <w:r>
              <w:rPr>
                <w:rFonts w:ascii="Times New Roman" w:hAnsi="Times New Roman" w:cs="Times New Roman"/>
                <w:color w:val="000000"/>
                <w:lang w:val="fr-FR"/>
              </w:rPr>
              <w:t xml:space="preserve">peuvent </w:t>
            </w:r>
            <w:r w:rsidRPr="005A0E0E">
              <w:rPr>
                <w:rFonts w:ascii="Times New Roman" w:hAnsi="Times New Roman" w:cs="Times New Roman"/>
                <w:color w:val="000000"/>
                <w:lang w:val="fr-FR"/>
              </w:rPr>
              <w:t>aider à accroître la résilience aux catastrophes futures</w:t>
            </w:r>
            <w:r>
              <w:rPr>
                <w:rFonts w:ascii="Times New Roman" w:hAnsi="Times New Roman" w:cs="Times New Roman"/>
                <w:color w:val="000000"/>
                <w:lang w:val="fr-FR"/>
              </w:rPr>
              <w:t>.</w:t>
            </w:r>
            <w:r w:rsidRPr="005A0E0E">
              <w:rPr>
                <w:rFonts w:ascii="Times New Roman" w:hAnsi="Times New Roman" w:cs="Times New Roman"/>
                <w:color w:val="000000"/>
                <w:lang w:val="fr-FR"/>
              </w:rPr>
              <w:t xml:space="preserve"> Par exemple, </w:t>
            </w:r>
            <w:r>
              <w:rPr>
                <w:rFonts w:ascii="Times New Roman" w:hAnsi="Times New Roman" w:cs="Times New Roman"/>
                <w:color w:val="000000"/>
                <w:lang w:val="fr-FR"/>
              </w:rPr>
              <w:t xml:space="preserve">à travers </w:t>
            </w:r>
            <w:r w:rsidRPr="005A0E0E">
              <w:rPr>
                <w:rFonts w:ascii="Times New Roman" w:hAnsi="Times New Roman" w:cs="Times New Roman"/>
                <w:color w:val="000000"/>
                <w:lang w:val="fr-FR"/>
              </w:rPr>
              <w:t xml:space="preserve">la formation des maçons et la fourniture d'informations et des conseils techniques pratiques qui appuieront directement les efforts de </w:t>
            </w:r>
            <w:r>
              <w:rPr>
                <w:rFonts w:ascii="Times New Roman" w:hAnsi="Times New Roman" w:cs="Times New Roman"/>
                <w:color w:val="000000"/>
                <w:lang w:val="fr-FR"/>
              </w:rPr>
              <w:t xml:space="preserve">la </w:t>
            </w:r>
            <w:r w:rsidRPr="005A0E0E">
              <w:rPr>
                <w:rFonts w:ascii="Times New Roman" w:hAnsi="Times New Roman" w:cs="Times New Roman"/>
                <w:color w:val="000000"/>
                <w:lang w:val="fr-FR"/>
              </w:rPr>
              <w:t>reconstruction.</w:t>
            </w:r>
          </w:p>
          <w:p w14:paraId="1B64CE3C" w14:textId="1E5B1E2F" w:rsidR="009F75BB" w:rsidRDefault="009F75BB" w:rsidP="005A0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lang w:val="fr-FR"/>
              </w:rPr>
            </w:pPr>
          </w:p>
          <w:p w14:paraId="09A4FC47" w14:textId="2B0A933E" w:rsidR="00E41CB5" w:rsidRDefault="009F75BB" w:rsidP="00E41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lang w:val="fr-FR"/>
              </w:rPr>
            </w:pPr>
            <w:r>
              <w:rPr>
                <w:rFonts w:ascii="Times New Roman" w:hAnsi="Times New Roman" w:cs="Times New Roman"/>
                <w:color w:val="000000"/>
                <w:lang w:val="fr-FR"/>
              </w:rPr>
              <w:t xml:space="preserve">D’une manière transversale, le PNUD a constaté la pertinence </w:t>
            </w:r>
            <w:r w:rsidR="00E41CB5">
              <w:rPr>
                <w:rFonts w:ascii="Times New Roman" w:hAnsi="Times New Roman" w:cs="Times New Roman"/>
                <w:color w:val="000000"/>
                <w:lang w:val="fr-FR"/>
              </w:rPr>
              <w:t>des mesures suiva</w:t>
            </w:r>
            <w:r w:rsidR="00F248B6">
              <w:rPr>
                <w:rFonts w:ascii="Times New Roman" w:hAnsi="Times New Roman" w:cs="Times New Roman"/>
                <w:color w:val="000000"/>
                <w:lang w:val="fr-FR"/>
              </w:rPr>
              <w:t>n</w:t>
            </w:r>
            <w:r w:rsidR="00E41CB5">
              <w:rPr>
                <w:rFonts w:ascii="Times New Roman" w:hAnsi="Times New Roman" w:cs="Times New Roman"/>
                <w:color w:val="000000"/>
                <w:lang w:val="fr-FR"/>
              </w:rPr>
              <w:t>tes :</w:t>
            </w:r>
          </w:p>
          <w:p w14:paraId="16A7A4D5" w14:textId="77777777" w:rsidR="00E41CB5" w:rsidRDefault="00E41CB5" w:rsidP="00E41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lang w:val="fr-FR"/>
              </w:rPr>
            </w:pPr>
          </w:p>
          <w:p w14:paraId="1F376C0A" w14:textId="28E27CFC" w:rsidR="003C43D0" w:rsidRDefault="004A5634" w:rsidP="00E41CB5">
            <w:pPr>
              <w:pStyle w:val="NormalWeb"/>
              <w:numPr>
                <w:ilvl w:val="0"/>
                <w:numId w:val="23"/>
              </w:numPr>
              <w:spacing w:after="120"/>
              <w:rPr>
                <w:rFonts w:ascii="Times New Roman" w:hAnsi="Times New Roman" w:cs="Times New Roman"/>
                <w:color w:val="000000"/>
                <w:lang w:val="fr-FR"/>
              </w:rPr>
            </w:pPr>
            <w:r>
              <w:rPr>
                <w:rFonts w:ascii="Times New Roman" w:hAnsi="Times New Roman" w:cs="Times New Roman"/>
                <w:color w:val="000000"/>
                <w:lang w:val="fr-FR"/>
              </w:rPr>
              <w:t>L’introduction</w:t>
            </w:r>
            <w:r w:rsidR="003C43D0" w:rsidRPr="00650A1C">
              <w:rPr>
                <w:rFonts w:ascii="Times New Roman" w:hAnsi="Times New Roman" w:cs="Times New Roman"/>
                <w:color w:val="000000"/>
                <w:szCs w:val="22"/>
                <w:lang w:val="fr-FR"/>
              </w:rPr>
              <w:t xml:space="preserve"> systématique de </w:t>
            </w:r>
            <w:r w:rsidR="003C43D0" w:rsidRPr="00650A1C">
              <w:rPr>
                <w:rFonts w:ascii="Times New Roman" w:hAnsi="Times New Roman" w:cs="Times New Roman"/>
                <w:bCs/>
                <w:color w:val="000000"/>
                <w:szCs w:val="22"/>
                <w:lang w:val="fr-FR"/>
              </w:rPr>
              <w:t xml:space="preserve">quotas </w:t>
            </w:r>
            <w:r w:rsidR="003C43D0" w:rsidRPr="00650A1C">
              <w:rPr>
                <w:rFonts w:ascii="Times New Roman" w:hAnsi="Times New Roman" w:cs="Times New Roman"/>
                <w:color w:val="000000"/>
                <w:szCs w:val="22"/>
                <w:lang w:val="fr-FR"/>
              </w:rPr>
              <w:t>pour la participation des femmes dans les interventions a permis de générer un changement d’attitude par rapport aux femmes au sein des communautés</w:t>
            </w:r>
            <w:r w:rsidR="00F248B6">
              <w:rPr>
                <w:rFonts w:ascii="Times New Roman" w:hAnsi="Times New Roman" w:cs="Times New Roman"/>
                <w:color w:val="000000"/>
                <w:szCs w:val="22"/>
                <w:lang w:val="fr-FR"/>
              </w:rPr>
              <w:t>. Ceci est surtout appréciable dans les interventions GRD, les activités de reconstruction, et dans l’appui fourni au processus électoral</w:t>
            </w:r>
            <w:r w:rsidR="003C43D0" w:rsidRPr="00650A1C">
              <w:rPr>
                <w:rFonts w:ascii="Times New Roman" w:hAnsi="Times New Roman" w:cs="Times New Roman"/>
                <w:color w:val="000000"/>
                <w:szCs w:val="22"/>
                <w:lang w:val="fr-FR"/>
              </w:rPr>
              <w:t>.</w:t>
            </w:r>
            <w:r w:rsidR="00E41CB5">
              <w:rPr>
                <w:rFonts w:ascii="Times New Roman" w:hAnsi="Times New Roman" w:cs="Times New Roman"/>
                <w:color w:val="000000"/>
                <w:lang w:val="fr-FR"/>
              </w:rPr>
              <w:t xml:space="preserve"> </w:t>
            </w:r>
          </w:p>
          <w:p w14:paraId="0C1C9612" w14:textId="5255944C" w:rsidR="003C43D0" w:rsidRPr="00650A1C" w:rsidRDefault="003C43D0" w:rsidP="004A02F3">
            <w:pPr>
              <w:pStyle w:val="NormalWeb"/>
              <w:numPr>
                <w:ilvl w:val="0"/>
                <w:numId w:val="23"/>
              </w:numPr>
              <w:spacing w:after="120"/>
              <w:rPr>
                <w:rFonts w:ascii="Times New Roman" w:hAnsi="Times New Roman" w:cs="Times New Roman"/>
                <w:color w:val="000000"/>
                <w:szCs w:val="22"/>
                <w:lang w:val="fr-FR"/>
              </w:rPr>
            </w:pPr>
            <w:r w:rsidRPr="00650A1C">
              <w:rPr>
                <w:rFonts w:ascii="Times New Roman" w:hAnsi="Times New Roman" w:cs="Times New Roman"/>
                <w:color w:val="000000"/>
                <w:szCs w:val="22"/>
                <w:lang w:val="fr-FR"/>
              </w:rPr>
              <w:t>L'</w:t>
            </w:r>
            <w:r w:rsidR="001A204C" w:rsidRPr="00650A1C">
              <w:rPr>
                <w:rFonts w:ascii="Times New Roman" w:hAnsi="Times New Roman" w:cs="Times New Roman"/>
                <w:color w:val="000000"/>
                <w:szCs w:val="22"/>
                <w:lang w:val="fr-FR"/>
              </w:rPr>
              <w:t>intégration</w:t>
            </w:r>
            <w:r w:rsidRPr="00650A1C">
              <w:rPr>
                <w:rFonts w:ascii="Times New Roman" w:hAnsi="Times New Roman" w:cs="Times New Roman"/>
                <w:color w:val="000000"/>
                <w:szCs w:val="22"/>
                <w:lang w:val="fr-FR"/>
              </w:rPr>
              <w:t xml:space="preserve"> </w:t>
            </w:r>
            <w:r w:rsidR="00F248B6">
              <w:rPr>
                <w:rFonts w:ascii="Times New Roman" w:hAnsi="Times New Roman" w:cs="Times New Roman"/>
                <w:color w:val="000000"/>
                <w:szCs w:val="22"/>
                <w:lang w:val="fr-FR"/>
              </w:rPr>
              <w:t xml:space="preserve">d’une approche sensible à la </w:t>
            </w:r>
            <w:r w:rsidRPr="00650A1C">
              <w:rPr>
                <w:rFonts w:ascii="Times New Roman" w:hAnsi="Times New Roman" w:cs="Times New Roman"/>
                <w:color w:val="000000"/>
                <w:szCs w:val="22"/>
                <w:lang w:val="fr-FR"/>
              </w:rPr>
              <w:t>vulnérabilité environnementale et de la prévention des catastrophes dans les programmes et projets est une nécessité</w:t>
            </w:r>
            <w:r w:rsidR="00F248B6">
              <w:rPr>
                <w:rFonts w:ascii="Times New Roman" w:hAnsi="Times New Roman" w:cs="Times New Roman"/>
                <w:color w:val="000000"/>
                <w:szCs w:val="22"/>
                <w:lang w:val="fr-FR"/>
              </w:rPr>
              <w:t>. Les projets de reconstruction et d’aménagement territorial ont surtout pris en compte une approche de planification sensible à la vulnérabilité environnementale et au besoin d’assurer la résilience urbaine et communautaire en cas de catastrophe (planification multirisques).</w:t>
            </w:r>
          </w:p>
          <w:p w14:paraId="3FB5F134" w14:textId="42F2462D" w:rsidR="003C43D0" w:rsidRPr="00650A1C" w:rsidRDefault="003C43D0" w:rsidP="004A02F3">
            <w:pPr>
              <w:pStyle w:val="NormalWeb"/>
              <w:numPr>
                <w:ilvl w:val="0"/>
                <w:numId w:val="23"/>
              </w:numPr>
              <w:spacing w:after="120"/>
              <w:rPr>
                <w:rFonts w:ascii="Times New Roman" w:hAnsi="Times New Roman" w:cs="Times New Roman"/>
                <w:color w:val="000000"/>
                <w:szCs w:val="22"/>
                <w:lang w:val="fr-FR"/>
              </w:rPr>
            </w:pPr>
            <w:r w:rsidRPr="00650A1C">
              <w:rPr>
                <w:rFonts w:ascii="Times New Roman" w:hAnsi="Times New Roman" w:cs="Times New Roman"/>
                <w:color w:val="000000"/>
                <w:szCs w:val="22"/>
                <w:lang w:val="fr-FR"/>
              </w:rPr>
              <w:t>Investir dans les capacités de gestion et de coordination du gouvernement est aussi nécessaire</w:t>
            </w:r>
            <w:r w:rsidR="00EB28E1">
              <w:rPr>
                <w:rFonts w:ascii="Times New Roman" w:hAnsi="Times New Roman" w:cs="Times New Roman"/>
                <w:color w:val="000000"/>
                <w:szCs w:val="22"/>
                <w:lang w:val="fr-FR"/>
              </w:rPr>
              <w:t xml:space="preserve">. Les interventions du PNUD en appui à la Coordination de l’Aide, la </w:t>
            </w:r>
            <w:r w:rsidR="00717CE1">
              <w:rPr>
                <w:rFonts w:ascii="Times New Roman" w:hAnsi="Times New Roman" w:cs="Times New Roman"/>
                <w:color w:val="000000"/>
                <w:szCs w:val="22"/>
                <w:lang w:val="fr-FR"/>
              </w:rPr>
              <w:t>réforme</w:t>
            </w:r>
            <w:r w:rsidR="00EB28E1">
              <w:rPr>
                <w:rFonts w:ascii="Times New Roman" w:hAnsi="Times New Roman" w:cs="Times New Roman"/>
                <w:color w:val="000000"/>
                <w:szCs w:val="22"/>
                <w:lang w:val="fr-FR"/>
              </w:rPr>
              <w:t xml:space="preserve"> administrative et la gouvernance territoriale ont démontré combien le leadership et la coordination du Gouvernement est essentiel dans la planification, suivi et reddition des comptes pour une meilleur transparence.  </w:t>
            </w:r>
          </w:p>
          <w:p w14:paraId="508D93BD" w14:textId="3BDF3311" w:rsidR="00A52555" w:rsidRDefault="008D4D58" w:rsidP="004A02F3">
            <w:pPr>
              <w:pStyle w:val="NormalWeb"/>
              <w:numPr>
                <w:ilvl w:val="0"/>
                <w:numId w:val="23"/>
              </w:numPr>
              <w:spacing w:after="120"/>
              <w:rPr>
                <w:rFonts w:ascii="Times New Roman" w:hAnsi="Times New Roman" w:cs="Times New Roman"/>
                <w:color w:val="000000"/>
                <w:szCs w:val="22"/>
                <w:lang w:val="fr-FR"/>
              </w:rPr>
            </w:pPr>
            <w:r>
              <w:rPr>
                <w:rFonts w:ascii="Times New Roman" w:hAnsi="Times New Roman" w:cs="Times New Roman"/>
                <w:color w:val="000000"/>
                <w:szCs w:val="22"/>
                <w:lang w:val="fr-FR"/>
              </w:rPr>
              <w:t>Pareillement, l</w:t>
            </w:r>
            <w:r w:rsidR="003C43D0" w:rsidRPr="00650A1C">
              <w:rPr>
                <w:rFonts w:ascii="Times New Roman" w:hAnsi="Times New Roman" w:cs="Times New Roman"/>
                <w:color w:val="000000"/>
                <w:szCs w:val="22"/>
                <w:lang w:val="fr-FR"/>
              </w:rPr>
              <w:t xml:space="preserve">’implication directe des </w:t>
            </w:r>
            <w:r w:rsidR="003C43D0" w:rsidRPr="00650A1C">
              <w:rPr>
                <w:rFonts w:ascii="Times New Roman" w:hAnsi="Times New Roman" w:cs="Times New Roman"/>
                <w:bCs/>
                <w:color w:val="000000"/>
                <w:szCs w:val="22"/>
                <w:lang w:val="fr-FR"/>
              </w:rPr>
              <w:t>autorités locales</w:t>
            </w:r>
            <w:r w:rsidR="003C43D0" w:rsidRPr="00650A1C">
              <w:rPr>
                <w:rFonts w:ascii="Times New Roman" w:hAnsi="Times New Roman" w:cs="Times New Roman"/>
                <w:color w:val="000000"/>
                <w:szCs w:val="22"/>
                <w:lang w:val="fr-FR"/>
              </w:rPr>
              <w:t xml:space="preserve"> dans la prise de décisions, l’orientation et l’exécution permet une meilleure appropriation des projets ainsi qu'une meilleure prise en compte des besoins réels de la population.</w:t>
            </w:r>
            <w:r>
              <w:rPr>
                <w:rFonts w:ascii="Times New Roman" w:hAnsi="Times New Roman" w:cs="Times New Roman"/>
                <w:color w:val="000000"/>
                <w:szCs w:val="22"/>
                <w:lang w:val="fr-FR"/>
              </w:rPr>
              <w:t xml:space="preserve"> Ceci est aussi applicable </w:t>
            </w:r>
            <w:r w:rsidR="007614FC">
              <w:rPr>
                <w:rFonts w:ascii="Times New Roman" w:hAnsi="Times New Roman" w:cs="Times New Roman"/>
                <w:color w:val="000000"/>
                <w:szCs w:val="22"/>
                <w:lang w:val="fr-FR"/>
              </w:rPr>
              <w:t xml:space="preserve">à la reconstruction communautaire, les initiatives en appui au développement du secteur agricole, les projets de protection environnementale et dans la sensibilisation aux changements climatiques. </w:t>
            </w:r>
          </w:p>
          <w:p w14:paraId="41F3285D" w14:textId="42746EB5" w:rsidR="005A0E0E" w:rsidRPr="00650A1C" w:rsidRDefault="008D4D58" w:rsidP="00D51491">
            <w:pPr>
              <w:pStyle w:val="NormalWeb"/>
              <w:numPr>
                <w:ilvl w:val="0"/>
                <w:numId w:val="23"/>
              </w:numPr>
              <w:spacing w:after="120"/>
              <w:rPr>
                <w:rFonts w:ascii="Times New Roman" w:hAnsi="Times New Roman" w:cs="Times New Roman"/>
                <w:color w:val="000000"/>
                <w:szCs w:val="22"/>
                <w:lang w:val="fr-FR"/>
              </w:rPr>
            </w:pPr>
            <w:r w:rsidRPr="00650A1C">
              <w:rPr>
                <w:rFonts w:ascii="Times New Roman" w:hAnsi="Times New Roman" w:cs="Times New Roman"/>
                <w:color w:val="000000"/>
                <w:szCs w:val="22"/>
                <w:lang w:val="fr-FR"/>
              </w:rPr>
              <w:t xml:space="preserve">Dans le cadre </w:t>
            </w:r>
            <w:r w:rsidR="007614FC">
              <w:rPr>
                <w:rFonts w:ascii="Times New Roman" w:hAnsi="Times New Roman" w:cs="Times New Roman"/>
                <w:color w:val="000000"/>
                <w:szCs w:val="22"/>
                <w:lang w:val="fr-FR"/>
              </w:rPr>
              <w:t xml:space="preserve">de son rôle d’appui à la coordination dans l’Equipe Pays des Nations Unies (UNCT) et étant une agence lead dans plusieurs projets conjoints, il est ressorti que </w:t>
            </w:r>
            <w:r w:rsidRPr="00650A1C">
              <w:rPr>
                <w:rFonts w:ascii="Times New Roman" w:hAnsi="Times New Roman" w:cs="Times New Roman"/>
                <w:color w:val="000000"/>
                <w:szCs w:val="22"/>
                <w:lang w:val="fr-FR"/>
              </w:rPr>
              <w:t>le rôle du Bureau du Coordonnateur Résident des NU est essentiel pour une meilleure définition des rôles et responsabilités des acteurs et</w:t>
            </w:r>
            <w:r w:rsidR="007614FC">
              <w:rPr>
                <w:rFonts w:ascii="Times New Roman" w:hAnsi="Times New Roman" w:cs="Times New Roman"/>
                <w:color w:val="000000"/>
                <w:szCs w:val="22"/>
                <w:lang w:val="fr-FR"/>
              </w:rPr>
              <w:t xml:space="preserve"> partenaires des agences des NU.</w:t>
            </w:r>
            <w:r w:rsidR="00AD3E4C">
              <w:rPr>
                <w:rFonts w:ascii="Times New Roman" w:hAnsi="Times New Roman" w:cs="Times New Roman"/>
                <w:color w:val="000000"/>
                <w:szCs w:val="22"/>
                <w:lang w:val="fr-FR"/>
              </w:rPr>
              <w:t xml:space="preserve"> Sans le leadership une Bureau </w:t>
            </w:r>
            <w:r w:rsidR="00AD3E4C" w:rsidRPr="00650A1C">
              <w:rPr>
                <w:rFonts w:ascii="Times New Roman" w:hAnsi="Times New Roman" w:cs="Times New Roman"/>
                <w:color w:val="000000"/>
                <w:szCs w:val="22"/>
                <w:lang w:val="fr-FR"/>
              </w:rPr>
              <w:t>du Coordonnateur Résident</w:t>
            </w:r>
            <w:r w:rsidR="00AD3E4C">
              <w:rPr>
                <w:rFonts w:ascii="Times New Roman" w:hAnsi="Times New Roman" w:cs="Times New Roman"/>
                <w:color w:val="000000"/>
                <w:szCs w:val="22"/>
                <w:lang w:val="fr-FR"/>
              </w:rPr>
              <w:t xml:space="preserve">, il devient difficile de tirer profit des avantages comparatives des partenaires afin d’arriver à </w:t>
            </w:r>
            <w:r w:rsidR="00063813">
              <w:rPr>
                <w:rFonts w:ascii="Times New Roman" w:hAnsi="Times New Roman" w:cs="Times New Roman"/>
                <w:color w:val="000000"/>
                <w:szCs w:val="22"/>
                <w:lang w:val="fr-FR"/>
              </w:rPr>
              <w:t>un résultat de développement.</w:t>
            </w:r>
          </w:p>
        </w:tc>
      </w:tr>
    </w:tbl>
    <w:p w14:paraId="12A0F35E" w14:textId="77777777" w:rsidR="004B3911" w:rsidRPr="00650A1C" w:rsidRDefault="004B3911">
      <w:pPr>
        <w:pStyle w:val="BodyText2"/>
        <w:rPr>
          <w:rFonts w:ascii="Times New Roman" w:hAnsi="Times New Roman" w:cs="Times New Roman"/>
          <w:sz w:val="22"/>
          <w:lang w:val="fr-FR"/>
        </w:rPr>
      </w:pPr>
    </w:p>
    <w:p w14:paraId="43A522E8" w14:textId="77777777" w:rsidR="00E37E7A" w:rsidRPr="004C5951" w:rsidRDefault="00EA7740" w:rsidP="00E37E7A">
      <w:pPr>
        <w:pStyle w:val="BodyText2"/>
        <w:jc w:val="center"/>
        <w:rPr>
          <w:rFonts w:ascii="Times New Roman" w:hAnsi="Times New Roman" w:cs="Times New Roman"/>
          <w:b/>
          <w:sz w:val="22"/>
        </w:rPr>
      </w:pPr>
      <w:r w:rsidRPr="004C5951">
        <w:rPr>
          <w:rFonts w:ascii="Times New Roman" w:hAnsi="Times New Roman" w:cs="Times New Roman"/>
          <w:b/>
          <w:sz w:val="22"/>
        </w:rPr>
        <w:t xml:space="preserve">III. </w:t>
      </w:r>
      <w:r w:rsidR="00673710" w:rsidRPr="004C5951">
        <w:rPr>
          <w:rFonts w:ascii="Times New Roman" w:hAnsi="Times New Roman" w:cs="Times New Roman"/>
          <w:b/>
          <w:sz w:val="22"/>
        </w:rPr>
        <w:t xml:space="preserve">Country Programme </w:t>
      </w:r>
      <w:r w:rsidR="00E37E7A" w:rsidRPr="004C5951">
        <w:rPr>
          <w:rFonts w:ascii="Times New Roman" w:hAnsi="Times New Roman" w:cs="Times New Roman"/>
          <w:b/>
          <w:sz w:val="22"/>
        </w:rPr>
        <w:t>Resources</w:t>
      </w:r>
    </w:p>
    <w:p w14:paraId="7E7194A2" w14:textId="0F1820CF" w:rsidR="00635929" w:rsidRDefault="00635929" w:rsidP="002315A5">
      <w:pPr>
        <w:pStyle w:val="BodyText2"/>
        <w:rPr>
          <w:rFonts w:ascii="Times New Roman" w:hAnsi="Times New Roman" w:cs="Times New Roman"/>
          <w:sz w:val="22"/>
        </w:rPr>
      </w:pPr>
    </w:p>
    <w:tbl>
      <w:tblPr>
        <w:tblW w:w="12060" w:type="dxa"/>
        <w:tblInd w:w="-10" w:type="dxa"/>
        <w:tblCellMar>
          <w:left w:w="0" w:type="dxa"/>
          <w:right w:w="0" w:type="dxa"/>
        </w:tblCellMar>
        <w:tblLook w:val="04A0" w:firstRow="1" w:lastRow="0" w:firstColumn="1" w:lastColumn="0" w:noHBand="0" w:noVBand="1"/>
      </w:tblPr>
      <w:tblGrid>
        <w:gridCol w:w="4500"/>
        <w:gridCol w:w="2100"/>
        <w:gridCol w:w="2100"/>
        <w:gridCol w:w="2100"/>
        <w:gridCol w:w="1260"/>
      </w:tblGrid>
      <w:tr w:rsidR="00F64586" w:rsidRPr="00F67630" w14:paraId="5AB87B50" w14:textId="77777777" w:rsidTr="00F64586">
        <w:trPr>
          <w:trHeight w:val="288"/>
        </w:trPr>
        <w:tc>
          <w:tcPr>
            <w:tcW w:w="4500" w:type="dxa"/>
            <w:tcBorders>
              <w:top w:val="single" w:sz="8" w:space="0" w:color="auto"/>
              <w:left w:val="single" w:sz="8" w:space="0" w:color="auto"/>
              <w:bottom w:val="nil"/>
              <w:right w:val="single" w:sz="8" w:space="0" w:color="auto"/>
            </w:tcBorders>
            <w:shd w:val="clear" w:color="auto" w:fill="000000"/>
            <w:tcMar>
              <w:top w:w="0" w:type="dxa"/>
              <w:left w:w="108" w:type="dxa"/>
              <w:bottom w:w="0" w:type="dxa"/>
              <w:right w:w="108" w:type="dxa"/>
            </w:tcMar>
            <w:vAlign w:val="center"/>
            <w:hideMark/>
          </w:tcPr>
          <w:p w14:paraId="012DBA29" w14:textId="77777777" w:rsidR="00F64586" w:rsidRPr="00F67630" w:rsidRDefault="00F64586">
            <w:pPr>
              <w:jc w:val="center"/>
              <w:rPr>
                <w:rFonts w:ascii="Times New Roman" w:hAnsi="Times New Roman"/>
                <w:b/>
                <w:bCs/>
                <w:color w:val="FFFFFF"/>
                <w:lang w:val="fr-FR"/>
              </w:rPr>
            </w:pPr>
            <w:r w:rsidRPr="00F67630">
              <w:rPr>
                <w:rFonts w:ascii="Times New Roman" w:hAnsi="Times New Roman"/>
                <w:b/>
                <w:bCs/>
                <w:color w:val="FFFFFF"/>
                <w:lang w:val="fr-FR"/>
              </w:rPr>
              <w:t>Focus Area</w:t>
            </w:r>
          </w:p>
        </w:tc>
        <w:tc>
          <w:tcPr>
            <w:tcW w:w="6300" w:type="dxa"/>
            <w:gridSpan w:val="3"/>
            <w:tcBorders>
              <w:top w:val="single" w:sz="8" w:space="0" w:color="auto"/>
              <w:left w:val="nil"/>
              <w:bottom w:val="nil"/>
              <w:right w:val="single" w:sz="8" w:space="0" w:color="000000"/>
            </w:tcBorders>
            <w:shd w:val="clear" w:color="auto" w:fill="000000"/>
            <w:tcMar>
              <w:top w:w="0" w:type="dxa"/>
              <w:left w:w="108" w:type="dxa"/>
              <w:bottom w:w="0" w:type="dxa"/>
              <w:right w:w="108" w:type="dxa"/>
            </w:tcMar>
            <w:vAlign w:val="center"/>
            <w:hideMark/>
          </w:tcPr>
          <w:p w14:paraId="524B5E75" w14:textId="77777777" w:rsidR="00F64586" w:rsidRPr="00F67630" w:rsidRDefault="00F64586">
            <w:pPr>
              <w:jc w:val="center"/>
              <w:rPr>
                <w:rFonts w:ascii="Times New Roman" w:hAnsi="Times New Roman"/>
                <w:b/>
                <w:bCs/>
                <w:color w:val="FFFFFF"/>
                <w:lang w:val="fr-FR"/>
              </w:rPr>
            </w:pPr>
            <w:r w:rsidRPr="00F67630">
              <w:rPr>
                <w:rFonts w:ascii="Times New Roman" w:hAnsi="Times New Roman"/>
                <w:b/>
                <w:bCs/>
                <w:color w:val="FFFFFF"/>
                <w:lang w:val="fr-FR"/>
              </w:rPr>
              <w:t xml:space="preserve">Programme Expenditure ($) </w:t>
            </w:r>
          </w:p>
        </w:tc>
        <w:tc>
          <w:tcPr>
            <w:tcW w:w="1260" w:type="dxa"/>
            <w:tcBorders>
              <w:top w:val="single" w:sz="8" w:space="0" w:color="auto"/>
              <w:left w:val="nil"/>
              <w:bottom w:val="nil"/>
              <w:right w:val="single" w:sz="8" w:space="0" w:color="auto"/>
            </w:tcBorders>
            <w:shd w:val="clear" w:color="auto" w:fill="000000"/>
            <w:tcMar>
              <w:top w:w="0" w:type="dxa"/>
              <w:left w:w="108" w:type="dxa"/>
              <w:bottom w:w="0" w:type="dxa"/>
              <w:right w:w="108" w:type="dxa"/>
            </w:tcMar>
            <w:vAlign w:val="center"/>
            <w:hideMark/>
          </w:tcPr>
          <w:p w14:paraId="307384C0" w14:textId="77777777" w:rsidR="00F64586" w:rsidRPr="00F67630" w:rsidRDefault="00F64586">
            <w:pPr>
              <w:jc w:val="center"/>
              <w:rPr>
                <w:rFonts w:ascii="Times New Roman" w:hAnsi="Times New Roman"/>
                <w:b/>
                <w:bCs/>
                <w:color w:val="FFFFFF"/>
                <w:lang w:val="fr-FR"/>
              </w:rPr>
            </w:pPr>
            <w:r w:rsidRPr="00F67630">
              <w:rPr>
                <w:rFonts w:ascii="Times New Roman" w:hAnsi="Times New Roman"/>
                <w:b/>
                <w:bCs/>
                <w:color w:val="FFFFFF"/>
                <w:lang w:val="fr-FR"/>
              </w:rPr>
              <w:t>% of Total</w:t>
            </w:r>
          </w:p>
        </w:tc>
      </w:tr>
      <w:tr w:rsidR="00F64586" w:rsidRPr="00F67630" w14:paraId="3E40403A" w14:textId="77777777" w:rsidTr="00F64586">
        <w:trPr>
          <w:trHeight w:val="288"/>
        </w:trPr>
        <w:tc>
          <w:tcPr>
            <w:tcW w:w="4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5F836D" w14:textId="77777777" w:rsidR="00F64586" w:rsidRPr="00F67630" w:rsidRDefault="00F64586">
            <w:pPr>
              <w:rPr>
                <w:rFonts w:ascii="Times New Roman" w:hAnsi="Times New Roman"/>
                <w:color w:val="000000"/>
                <w:lang w:val="fr-FR"/>
              </w:rPr>
            </w:pPr>
            <w:r w:rsidRPr="00F67630">
              <w:rPr>
                <w:rFonts w:ascii="Times New Roman" w:hAnsi="Times New Roman"/>
                <w:color w:val="000000"/>
                <w:lang w:val="fr-FR"/>
              </w:rPr>
              <w:t> </w:t>
            </w:r>
          </w:p>
        </w:tc>
        <w:tc>
          <w:tcPr>
            <w:tcW w:w="21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541E4DB" w14:textId="77777777" w:rsidR="00F64586" w:rsidRPr="00F67630" w:rsidRDefault="00F64586">
            <w:pPr>
              <w:jc w:val="center"/>
              <w:rPr>
                <w:rFonts w:ascii="Times New Roman" w:hAnsi="Times New Roman"/>
                <w:color w:val="000000"/>
                <w:lang w:val="fr-FR"/>
              </w:rPr>
            </w:pPr>
            <w:r w:rsidRPr="00F67630">
              <w:rPr>
                <w:rFonts w:ascii="Times New Roman" w:hAnsi="Times New Roman"/>
                <w:color w:val="000000"/>
                <w:lang w:val="fr-FR"/>
              </w:rPr>
              <w:t xml:space="preserve">Regular (TRAC) </w:t>
            </w:r>
          </w:p>
        </w:tc>
        <w:tc>
          <w:tcPr>
            <w:tcW w:w="21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BF593ED" w14:textId="77777777" w:rsidR="00F64586" w:rsidRPr="00F67630" w:rsidRDefault="00F64586">
            <w:pPr>
              <w:jc w:val="center"/>
              <w:rPr>
                <w:rFonts w:ascii="Times New Roman" w:hAnsi="Times New Roman"/>
                <w:color w:val="000000"/>
                <w:lang w:val="fr-FR"/>
              </w:rPr>
            </w:pPr>
            <w:r w:rsidRPr="00F67630">
              <w:rPr>
                <w:rFonts w:ascii="Times New Roman" w:hAnsi="Times New Roman"/>
                <w:color w:val="000000"/>
                <w:lang w:val="fr-FR"/>
              </w:rPr>
              <w:t xml:space="preserve"> Other </w:t>
            </w:r>
          </w:p>
        </w:tc>
        <w:tc>
          <w:tcPr>
            <w:tcW w:w="21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38DA4A" w14:textId="77777777" w:rsidR="00F64586" w:rsidRPr="00F67630" w:rsidRDefault="00F64586">
            <w:pPr>
              <w:jc w:val="center"/>
              <w:rPr>
                <w:rFonts w:ascii="Times New Roman" w:hAnsi="Times New Roman"/>
                <w:color w:val="000000"/>
                <w:lang w:val="fr-FR"/>
              </w:rPr>
            </w:pPr>
            <w:r w:rsidRPr="00F67630">
              <w:rPr>
                <w:rFonts w:ascii="Times New Roman" w:hAnsi="Times New Roman"/>
                <w:color w:val="000000"/>
                <w:lang w:val="fr-FR"/>
              </w:rPr>
              <w:t xml:space="preserve"> Total </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B1B3800" w14:textId="77777777" w:rsidR="00F64586" w:rsidRPr="00F67630" w:rsidRDefault="00F64586">
            <w:pPr>
              <w:jc w:val="right"/>
              <w:rPr>
                <w:rFonts w:ascii="Times New Roman" w:hAnsi="Times New Roman"/>
                <w:color w:val="000000"/>
                <w:lang w:val="fr-FR"/>
              </w:rPr>
            </w:pPr>
            <w:r w:rsidRPr="00F67630">
              <w:rPr>
                <w:rFonts w:ascii="Times New Roman" w:hAnsi="Times New Roman"/>
                <w:color w:val="000000"/>
                <w:lang w:val="fr-FR"/>
              </w:rPr>
              <w:t> </w:t>
            </w:r>
          </w:p>
        </w:tc>
      </w:tr>
      <w:tr w:rsidR="00F64586" w:rsidRPr="009A6D77" w14:paraId="70D9B3E5" w14:textId="77777777" w:rsidTr="00F64586">
        <w:trPr>
          <w:trHeight w:val="315"/>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ECBDF2" w14:textId="013DAAC3" w:rsidR="00F64586" w:rsidRPr="00F67630" w:rsidRDefault="00F67630" w:rsidP="00F67630">
            <w:pPr>
              <w:rPr>
                <w:rFonts w:ascii="Times New Roman" w:hAnsi="Times New Roman"/>
                <w:color w:val="000000"/>
                <w:lang w:val="fr-FR"/>
              </w:rPr>
            </w:pPr>
            <w:r w:rsidRPr="00F67630">
              <w:rPr>
                <w:rFonts w:ascii="Times New Roman" w:hAnsi="Times New Roman"/>
                <w:color w:val="000000"/>
                <w:lang w:val="fr-FR"/>
              </w:rPr>
              <w:t>Relèvement et réduction de la pauvreté</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3FD4B1" w14:textId="6C9BCD4F" w:rsidR="00F64586" w:rsidRPr="00F67630" w:rsidRDefault="00F64586" w:rsidP="009A6D77">
            <w:pPr>
              <w:jc w:val="center"/>
              <w:rPr>
                <w:rFonts w:ascii="Times New Roman" w:hAnsi="Times New Roman"/>
                <w:color w:val="000000"/>
                <w:lang w:val="fr-FR"/>
              </w:rPr>
            </w:pPr>
            <w:r w:rsidRPr="00F67630">
              <w:rPr>
                <w:rFonts w:ascii="Times New Roman" w:hAnsi="Times New Roman"/>
                <w:color w:val="000000"/>
                <w:lang w:val="fr-FR"/>
              </w:rPr>
              <w:t xml:space="preserve">$            </w:t>
            </w:r>
            <w:r w:rsidR="009A6D77">
              <w:rPr>
                <w:rFonts w:ascii="Times New Roman" w:hAnsi="Times New Roman"/>
                <w:color w:val="000000"/>
                <w:lang w:val="fr-FR"/>
              </w:rPr>
              <w:t>7.41</w:t>
            </w:r>
            <w:r w:rsidRPr="00F67630">
              <w:rPr>
                <w:rFonts w:ascii="Times New Roman" w:hAnsi="Times New Roman"/>
                <w:color w:val="000000"/>
                <w:lang w:val="fr-FR"/>
              </w:rPr>
              <w:t xml:space="preserve"> </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CF53BB" w14:textId="77777777" w:rsidR="00F64586" w:rsidRPr="00F67630" w:rsidRDefault="00F64586">
            <w:pPr>
              <w:jc w:val="center"/>
              <w:rPr>
                <w:rFonts w:ascii="Times New Roman" w:hAnsi="Times New Roman"/>
                <w:color w:val="000000"/>
                <w:lang w:val="fr-FR"/>
              </w:rPr>
            </w:pPr>
            <w:r w:rsidRPr="00F67630">
              <w:rPr>
                <w:rFonts w:ascii="Times New Roman" w:hAnsi="Times New Roman"/>
                <w:color w:val="000000"/>
                <w:lang w:val="fr-FR"/>
              </w:rPr>
              <w:t xml:space="preserve"> $            26.29 </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CC0713" w14:textId="65365268" w:rsidR="00F64586" w:rsidRPr="00F67630" w:rsidRDefault="00F64586" w:rsidP="009A6D77">
            <w:pPr>
              <w:jc w:val="center"/>
              <w:rPr>
                <w:rFonts w:ascii="Times New Roman" w:hAnsi="Times New Roman"/>
                <w:color w:val="000000"/>
                <w:lang w:val="fr-FR"/>
              </w:rPr>
            </w:pPr>
            <w:r w:rsidRPr="00F67630">
              <w:rPr>
                <w:rFonts w:ascii="Times New Roman" w:hAnsi="Times New Roman"/>
                <w:color w:val="000000"/>
                <w:lang w:val="fr-FR"/>
              </w:rPr>
              <w:t> $          33.</w:t>
            </w:r>
            <w:r w:rsidR="009A6D77">
              <w:rPr>
                <w:rFonts w:ascii="Times New Roman" w:hAnsi="Times New Roman"/>
                <w:color w:val="000000"/>
                <w:lang w:val="fr-FR"/>
              </w:rPr>
              <w:t>7</w:t>
            </w:r>
            <w:r w:rsidRPr="00F67630">
              <w:rPr>
                <w:rFonts w:ascii="Times New Roman" w:hAnsi="Times New Roman"/>
                <w:color w:val="000000"/>
                <w:lang w:val="fr-FR"/>
              </w:rPr>
              <w:t xml:space="preserve">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382B15" w14:textId="77777777" w:rsidR="00F64586" w:rsidRPr="00F67630" w:rsidRDefault="00F64586">
            <w:pPr>
              <w:jc w:val="right"/>
              <w:rPr>
                <w:rFonts w:ascii="Times New Roman" w:hAnsi="Times New Roman"/>
                <w:color w:val="000000"/>
                <w:lang w:val="fr-FR"/>
              </w:rPr>
            </w:pPr>
            <w:r w:rsidRPr="00F67630">
              <w:rPr>
                <w:rFonts w:ascii="Times New Roman" w:hAnsi="Times New Roman"/>
                <w:color w:val="000000"/>
                <w:lang w:val="fr-FR"/>
              </w:rPr>
              <w:t>15%</w:t>
            </w:r>
          </w:p>
        </w:tc>
      </w:tr>
      <w:tr w:rsidR="00F64586" w:rsidRPr="00F67630" w14:paraId="7AADBE14" w14:textId="77777777" w:rsidTr="00F64586">
        <w:trPr>
          <w:trHeight w:val="315"/>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D74E47" w14:textId="6B882B6A" w:rsidR="00F64586" w:rsidRPr="00F67630" w:rsidRDefault="00F67630" w:rsidP="00F67630">
            <w:pPr>
              <w:rPr>
                <w:rFonts w:ascii="Times New Roman" w:hAnsi="Times New Roman"/>
                <w:color w:val="000000"/>
                <w:lang w:val="fr-FR"/>
              </w:rPr>
            </w:pPr>
            <w:r>
              <w:rPr>
                <w:rFonts w:ascii="Times New Roman" w:hAnsi="Times New Roman"/>
                <w:color w:val="000000"/>
                <w:lang w:val="fr-FR"/>
              </w:rPr>
              <w:t xml:space="preserve">Gouvernance et </w:t>
            </w:r>
            <w:r w:rsidR="00370A73">
              <w:rPr>
                <w:rFonts w:ascii="Times New Roman" w:hAnsi="Times New Roman"/>
                <w:color w:val="000000"/>
                <w:lang w:val="fr-FR"/>
              </w:rPr>
              <w:t>état</w:t>
            </w:r>
            <w:r>
              <w:rPr>
                <w:rFonts w:ascii="Times New Roman" w:hAnsi="Times New Roman"/>
                <w:color w:val="000000"/>
                <w:lang w:val="fr-FR"/>
              </w:rPr>
              <w:t xml:space="preserve"> de droit </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E2DDD2" w14:textId="77777777" w:rsidR="00F64586" w:rsidRPr="00F67630" w:rsidRDefault="00F64586">
            <w:pPr>
              <w:jc w:val="center"/>
              <w:rPr>
                <w:rFonts w:ascii="Times New Roman" w:hAnsi="Times New Roman"/>
                <w:color w:val="000000"/>
                <w:lang w:val="fr-FR"/>
              </w:rPr>
            </w:pPr>
            <w:r w:rsidRPr="00F67630">
              <w:rPr>
                <w:rFonts w:ascii="Times New Roman" w:hAnsi="Times New Roman"/>
                <w:color w:val="000000"/>
                <w:lang w:val="fr-FR"/>
              </w:rPr>
              <w:t xml:space="preserve">$            4.34 </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64AE02" w14:textId="77777777" w:rsidR="00F64586" w:rsidRPr="00F67630" w:rsidRDefault="00F64586">
            <w:pPr>
              <w:jc w:val="center"/>
              <w:rPr>
                <w:rFonts w:ascii="Times New Roman" w:hAnsi="Times New Roman"/>
                <w:color w:val="000000"/>
                <w:lang w:val="fr-FR"/>
              </w:rPr>
            </w:pPr>
            <w:r w:rsidRPr="00F67630">
              <w:rPr>
                <w:rFonts w:ascii="Times New Roman" w:hAnsi="Times New Roman"/>
                <w:color w:val="000000"/>
                <w:lang w:val="fr-FR"/>
              </w:rPr>
              <w:t xml:space="preserve"> $            75.93 </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747213" w14:textId="77777777" w:rsidR="00F64586" w:rsidRPr="00F67630" w:rsidRDefault="00F64586">
            <w:pPr>
              <w:jc w:val="center"/>
              <w:rPr>
                <w:rFonts w:ascii="Times New Roman" w:hAnsi="Times New Roman"/>
                <w:color w:val="000000"/>
                <w:lang w:val="fr-FR"/>
              </w:rPr>
            </w:pPr>
            <w:r w:rsidRPr="00F67630">
              <w:rPr>
                <w:rFonts w:ascii="Times New Roman" w:hAnsi="Times New Roman"/>
                <w:color w:val="000000"/>
                <w:lang w:val="fr-FR"/>
              </w:rPr>
              <w:t xml:space="preserve"> $          80.27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48F362" w14:textId="77777777" w:rsidR="00F64586" w:rsidRPr="00F67630" w:rsidRDefault="00F64586">
            <w:pPr>
              <w:jc w:val="right"/>
              <w:rPr>
                <w:rFonts w:ascii="Times New Roman" w:hAnsi="Times New Roman"/>
                <w:color w:val="000000"/>
                <w:lang w:val="fr-FR"/>
              </w:rPr>
            </w:pPr>
            <w:r w:rsidRPr="00F67630">
              <w:rPr>
                <w:rFonts w:ascii="Times New Roman" w:hAnsi="Times New Roman"/>
                <w:color w:val="000000"/>
                <w:lang w:val="fr-FR"/>
              </w:rPr>
              <w:t>37%</w:t>
            </w:r>
          </w:p>
        </w:tc>
      </w:tr>
      <w:tr w:rsidR="00F64586" w:rsidRPr="00F67630" w14:paraId="2732E2DF" w14:textId="77777777" w:rsidTr="00F64586">
        <w:trPr>
          <w:trHeight w:val="315"/>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0BC1CA" w14:textId="79D1FE45" w:rsidR="00F64586" w:rsidRPr="00F67630" w:rsidRDefault="00F67630" w:rsidP="00F67630">
            <w:pPr>
              <w:rPr>
                <w:rFonts w:ascii="Times New Roman" w:hAnsi="Times New Roman"/>
                <w:color w:val="000000"/>
                <w:lang w:val="fr-FR"/>
              </w:rPr>
            </w:pPr>
            <w:r>
              <w:rPr>
                <w:rFonts w:ascii="Times New Roman" w:hAnsi="Times New Roman"/>
                <w:color w:val="000000"/>
                <w:lang w:val="fr-FR"/>
              </w:rPr>
              <w:t xml:space="preserve">Environnement et </w:t>
            </w:r>
            <w:r w:rsidR="00370A73">
              <w:rPr>
                <w:rFonts w:ascii="Times New Roman" w:hAnsi="Times New Roman"/>
                <w:color w:val="000000"/>
                <w:lang w:val="fr-FR"/>
              </w:rPr>
              <w:t>énergie</w:t>
            </w:r>
            <w:r>
              <w:rPr>
                <w:rFonts w:ascii="Times New Roman" w:hAnsi="Times New Roman"/>
                <w:color w:val="000000"/>
                <w:lang w:val="fr-FR"/>
              </w:rPr>
              <w:t xml:space="preserve"> </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164A28" w14:textId="77777777" w:rsidR="00F64586" w:rsidRPr="00F67630" w:rsidRDefault="00F64586">
            <w:pPr>
              <w:jc w:val="center"/>
              <w:rPr>
                <w:rFonts w:ascii="Times New Roman" w:hAnsi="Times New Roman"/>
                <w:color w:val="000000"/>
                <w:lang w:val="fr-FR"/>
              </w:rPr>
            </w:pPr>
            <w:r w:rsidRPr="00F67630">
              <w:rPr>
                <w:rFonts w:ascii="Times New Roman" w:hAnsi="Times New Roman"/>
                <w:color w:val="000000"/>
                <w:lang w:val="fr-FR"/>
              </w:rPr>
              <w:t xml:space="preserve">$            2.57 </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27D053" w14:textId="77777777" w:rsidR="00F64586" w:rsidRPr="00F67630" w:rsidRDefault="00F64586">
            <w:pPr>
              <w:jc w:val="center"/>
              <w:rPr>
                <w:rFonts w:ascii="Times New Roman" w:hAnsi="Times New Roman"/>
                <w:color w:val="000000"/>
                <w:lang w:val="fr-FR"/>
              </w:rPr>
            </w:pPr>
            <w:r w:rsidRPr="00F67630">
              <w:rPr>
                <w:rFonts w:ascii="Times New Roman" w:hAnsi="Times New Roman"/>
                <w:color w:val="000000"/>
                <w:lang w:val="fr-FR"/>
              </w:rPr>
              <w:t xml:space="preserve"> $            16.87 </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6FDA4C" w14:textId="77777777" w:rsidR="00F64586" w:rsidRPr="00F67630" w:rsidRDefault="00F64586">
            <w:pPr>
              <w:jc w:val="center"/>
              <w:rPr>
                <w:rFonts w:ascii="Times New Roman" w:hAnsi="Times New Roman"/>
                <w:color w:val="000000"/>
                <w:lang w:val="fr-FR"/>
              </w:rPr>
            </w:pPr>
            <w:r w:rsidRPr="00F67630">
              <w:rPr>
                <w:rFonts w:ascii="Times New Roman" w:hAnsi="Times New Roman"/>
                <w:color w:val="000000"/>
                <w:lang w:val="fr-FR"/>
              </w:rPr>
              <w:t xml:space="preserve"> $          19.44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16366E" w14:textId="77777777" w:rsidR="00F64586" w:rsidRPr="00F67630" w:rsidRDefault="00F64586">
            <w:pPr>
              <w:jc w:val="right"/>
              <w:rPr>
                <w:rFonts w:ascii="Times New Roman" w:hAnsi="Times New Roman"/>
                <w:color w:val="000000"/>
                <w:lang w:val="fr-FR"/>
              </w:rPr>
            </w:pPr>
            <w:r w:rsidRPr="00F67630">
              <w:rPr>
                <w:rFonts w:ascii="Times New Roman" w:hAnsi="Times New Roman"/>
                <w:color w:val="000000"/>
                <w:lang w:val="fr-FR"/>
              </w:rPr>
              <w:t>9%</w:t>
            </w:r>
          </w:p>
        </w:tc>
      </w:tr>
      <w:tr w:rsidR="00856E99" w:rsidRPr="00F67630" w14:paraId="2416E3F0" w14:textId="77777777" w:rsidTr="00F64586">
        <w:trPr>
          <w:trHeight w:val="315"/>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760DB8D" w14:textId="2E41A063" w:rsidR="00856E99" w:rsidRDefault="00856E99" w:rsidP="00856E99">
            <w:pPr>
              <w:rPr>
                <w:rFonts w:ascii="Times New Roman" w:hAnsi="Times New Roman"/>
                <w:color w:val="000000"/>
                <w:lang w:val="fr-FR"/>
              </w:rPr>
            </w:pPr>
            <w:r>
              <w:rPr>
                <w:rFonts w:ascii="Times New Roman" w:hAnsi="Times New Roman"/>
                <w:color w:val="000000"/>
                <w:lang w:val="fr-FR"/>
              </w:rPr>
              <w:t>Gestion des risques et des désastres</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9D392D5" w14:textId="26B2B488" w:rsidR="00856E99" w:rsidRPr="00F67630" w:rsidRDefault="00856E99" w:rsidP="00856E99">
            <w:pPr>
              <w:jc w:val="center"/>
              <w:rPr>
                <w:rFonts w:ascii="Times New Roman" w:hAnsi="Times New Roman"/>
                <w:color w:val="000000"/>
                <w:lang w:val="fr-FR"/>
              </w:rPr>
            </w:pPr>
            <w:r w:rsidRPr="00F67630">
              <w:rPr>
                <w:rFonts w:ascii="Times New Roman" w:hAnsi="Times New Roman"/>
                <w:color w:val="000000"/>
                <w:lang w:val="fr-FR"/>
              </w:rPr>
              <w:t xml:space="preserve">$            4.00 </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tcPr>
          <w:p w14:paraId="64B4AA5A" w14:textId="30C49295" w:rsidR="00856E99" w:rsidRPr="00F67630" w:rsidRDefault="00856E99" w:rsidP="00856E99">
            <w:pPr>
              <w:jc w:val="center"/>
              <w:rPr>
                <w:rFonts w:ascii="Times New Roman" w:hAnsi="Times New Roman"/>
                <w:color w:val="000000"/>
                <w:lang w:val="fr-FR"/>
              </w:rPr>
            </w:pPr>
            <w:r w:rsidRPr="00F67630">
              <w:rPr>
                <w:rFonts w:ascii="Times New Roman" w:hAnsi="Times New Roman"/>
                <w:color w:val="000000"/>
                <w:lang w:val="fr-FR"/>
              </w:rPr>
              <w:t xml:space="preserve"> $            22.00 </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tcPr>
          <w:p w14:paraId="01F828A6" w14:textId="00383B6B" w:rsidR="00856E99" w:rsidRPr="00F67630" w:rsidRDefault="00856E99" w:rsidP="00856E99">
            <w:pPr>
              <w:jc w:val="center"/>
              <w:rPr>
                <w:rFonts w:ascii="Times New Roman" w:hAnsi="Times New Roman"/>
                <w:color w:val="000000"/>
                <w:lang w:val="fr-FR"/>
              </w:rPr>
            </w:pPr>
            <w:r w:rsidRPr="00F67630">
              <w:rPr>
                <w:rFonts w:ascii="Times New Roman" w:hAnsi="Times New Roman"/>
                <w:color w:val="000000"/>
                <w:lang w:val="fr-FR"/>
              </w:rPr>
              <w:t xml:space="preserve"> $          26.00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14:paraId="283C15A3" w14:textId="084C30D2" w:rsidR="00856E99" w:rsidRPr="00F67630" w:rsidRDefault="00856E99" w:rsidP="00856E99">
            <w:pPr>
              <w:jc w:val="right"/>
              <w:rPr>
                <w:rFonts w:ascii="Times New Roman" w:hAnsi="Times New Roman"/>
                <w:color w:val="000000"/>
                <w:lang w:val="fr-FR"/>
              </w:rPr>
            </w:pPr>
            <w:r w:rsidRPr="00F67630">
              <w:rPr>
                <w:rFonts w:ascii="Times New Roman" w:hAnsi="Times New Roman"/>
                <w:color w:val="000000"/>
                <w:lang w:val="fr-FR"/>
              </w:rPr>
              <w:t>12%</w:t>
            </w:r>
          </w:p>
        </w:tc>
      </w:tr>
      <w:tr w:rsidR="00F64586" w:rsidRPr="00F67630" w14:paraId="15B500A3" w14:textId="77777777" w:rsidTr="00F64586">
        <w:trPr>
          <w:trHeight w:val="315"/>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364560" w14:textId="5406BBB1" w:rsidR="00F64586" w:rsidRPr="00F67630" w:rsidRDefault="00F67630" w:rsidP="00F67630">
            <w:pPr>
              <w:rPr>
                <w:rFonts w:ascii="Times New Roman" w:hAnsi="Times New Roman"/>
                <w:color w:val="000000"/>
                <w:lang w:val="fr-FR"/>
              </w:rPr>
            </w:pPr>
            <w:r>
              <w:rPr>
                <w:rFonts w:ascii="Times New Roman" w:hAnsi="Times New Roman"/>
                <w:color w:val="000000"/>
                <w:lang w:val="fr-FR"/>
              </w:rPr>
              <w:t xml:space="preserve">VIH/SIDA et tuberculose </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104ED6" w14:textId="77777777" w:rsidR="00F64586" w:rsidRPr="00F67630" w:rsidRDefault="00F64586">
            <w:pPr>
              <w:jc w:val="center"/>
              <w:rPr>
                <w:rFonts w:ascii="Times New Roman" w:hAnsi="Times New Roman"/>
                <w:color w:val="000000"/>
                <w:lang w:val="fr-FR"/>
              </w:rPr>
            </w:pPr>
            <w:r w:rsidRPr="00F67630">
              <w:rPr>
                <w:rFonts w:ascii="Times New Roman" w:hAnsi="Times New Roman"/>
                <w:color w:val="000000"/>
                <w:lang w:val="fr-FR"/>
              </w:rPr>
              <w:t xml:space="preserve">$                -   </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AD5536" w14:textId="77777777" w:rsidR="00F64586" w:rsidRPr="00F67630" w:rsidRDefault="00F64586">
            <w:pPr>
              <w:jc w:val="center"/>
              <w:rPr>
                <w:rFonts w:ascii="Times New Roman" w:hAnsi="Times New Roman"/>
                <w:color w:val="000000"/>
                <w:lang w:val="fr-FR"/>
              </w:rPr>
            </w:pPr>
            <w:r w:rsidRPr="00F67630">
              <w:rPr>
                <w:rFonts w:ascii="Times New Roman" w:hAnsi="Times New Roman"/>
                <w:color w:val="000000"/>
                <w:lang w:val="fr-FR"/>
              </w:rPr>
              <w:t xml:space="preserve"> $            57.59 </w:t>
            </w:r>
          </w:p>
        </w:tc>
        <w:tc>
          <w:tcPr>
            <w:tcW w:w="21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AAE0EB" w14:textId="77777777" w:rsidR="00F64586" w:rsidRPr="00F67630" w:rsidRDefault="00F64586">
            <w:pPr>
              <w:jc w:val="center"/>
              <w:rPr>
                <w:rFonts w:ascii="Times New Roman" w:hAnsi="Times New Roman"/>
                <w:color w:val="000000"/>
                <w:lang w:val="fr-FR"/>
              </w:rPr>
            </w:pPr>
            <w:r w:rsidRPr="00F67630">
              <w:rPr>
                <w:rFonts w:ascii="Times New Roman" w:hAnsi="Times New Roman"/>
                <w:color w:val="000000"/>
                <w:lang w:val="fr-FR"/>
              </w:rPr>
              <w:t xml:space="preserve"> $          57.59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836B37" w14:textId="77777777" w:rsidR="00F64586" w:rsidRPr="00F67630" w:rsidRDefault="00F64586">
            <w:pPr>
              <w:jc w:val="right"/>
              <w:rPr>
                <w:rFonts w:ascii="Times New Roman" w:hAnsi="Times New Roman"/>
                <w:color w:val="000000"/>
                <w:lang w:val="fr-FR"/>
              </w:rPr>
            </w:pPr>
            <w:r w:rsidRPr="00F67630">
              <w:rPr>
                <w:rFonts w:ascii="Times New Roman" w:hAnsi="Times New Roman"/>
                <w:color w:val="000000"/>
                <w:lang w:val="fr-FR"/>
              </w:rPr>
              <w:t>27%</w:t>
            </w:r>
          </w:p>
        </w:tc>
      </w:tr>
      <w:tr w:rsidR="00F64586" w:rsidRPr="00F67630" w14:paraId="61C2170F" w14:textId="77777777" w:rsidTr="00F64586">
        <w:trPr>
          <w:trHeight w:val="330"/>
        </w:trPr>
        <w:tc>
          <w:tcPr>
            <w:tcW w:w="4500" w:type="dxa"/>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vAlign w:val="center"/>
            <w:hideMark/>
          </w:tcPr>
          <w:p w14:paraId="5BE63705" w14:textId="77777777" w:rsidR="00F64586" w:rsidRPr="00F67630" w:rsidRDefault="00F64586">
            <w:pPr>
              <w:jc w:val="center"/>
              <w:rPr>
                <w:rFonts w:ascii="Times New Roman" w:hAnsi="Times New Roman"/>
                <w:b/>
                <w:color w:val="000000"/>
                <w:lang w:val="fr-FR"/>
              </w:rPr>
            </w:pPr>
            <w:r w:rsidRPr="00F67630">
              <w:rPr>
                <w:rFonts w:ascii="Times New Roman" w:hAnsi="Times New Roman"/>
                <w:b/>
                <w:color w:val="000000"/>
                <w:lang w:val="fr-FR"/>
              </w:rPr>
              <w:lastRenderedPageBreak/>
              <w:t>Total</w:t>
            </w:r>
          </w:p>
        </w:tc>
        <w:tc>
          <w:tcPr>
            <w:tcW w:w="2100"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14:paraId="29D9916F" w14:textId="02FB794E" w:rsidR="00F64586" w:rsidRPr="00F67630" w:rsidRDefault="00F64586" w:rsidP="009A6D77">
            <w:pPr>
              <w:jc w:val="center"/>
              <w:rPr>
                <w:rFonts w:ascii="Times New Roman" w:hAnsi="Times New Roman"/>
                <w:b/>
                <w:color w:val="000000"/>
                <w:lang w:val="fr-FR"/>
              </w:rPr>
            </w:pPr>
            <w:r w:rsidRPr="00F67630">
              <w:rPr>
                <w:rFonts w:ascii="Times New Roman" w:hAnsi="Times New Roman"/>
                <w:b/>
                <w:color w:val="000000"/>
                <w:lang w:val="fr-FR"/>
              </w:rPr>
              <w:t xml:space="preserve">$          </w:t>
            </w:r>
            <w:r w:rsidR="009A6D77">
              <w:rPr>
                <w:rFonts w:ascii="Times New Roman" w:hAnsi="Times New Roman"/>
                <w:b/>
                <w:color w:val="000000"/>
                <w:lang w:val="fr-FR"/>
              </w:rPr>
              <w:t>18.31</w:t>
            </w:r>
            <w:r w:rsidRPr="00F67630">
              <w:rPr>
                <w:rFonts w:ascii="Times New Roman" w:hAnsi="Times New Roman"/>
                <w:b/>
                <w:color w:val="000000"/>
                <w:lang w:val="fr-FR"/>
              </w:rPr>
              <w:t xml:space="preserve"> </w:t>
            </w:r>
          </w:p>
        </w:tc>
        <w:tc>
          <w:tcPr>
            <w:tcW w:w="2100"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14:paraId="1AAD2844" w14:textId="77777777" w:rsidR="00F64586" w:rsidRPr="00F67630" w:rsidRDefault="00F64586">
            <w:pPr>
              <w:jc w:val="center"/>
              <w:rPr>
                <w:rFonts w:ascii="Times New Roman" w:hAnsi="Times New Roman"/>
                <w:b/>
                <w:color w:val="000000"/>
                <w:lang w:val="fr-FR"/>
              </w:rPr>
            </w:pPr>
            <w:r w:rsidRPr="00F67630">
              <w:rPr>
                <w:rFonts w:ascii="Times New Roman" w:hAnsi="Times New Roman"/>
                <w:b/>
                <w:color w:val="000000"/>
                <w:lang w:val="fr-FR"/>
              </w:rPr>
              <w:t xml:space="preserve"> $          198.68 </w:t>
            </w:r>
          </w:p>
        </w:tc>
        <w:tc>
          <w:tcPr>
            <w:tcW w:w="2100"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14:paraId="7FEE837A" w14:textId="58F945A8" w:rsidR="00F64586" w:rsidRPr="00F67630" w:rsidRDefault="009F39AA">
            <w:pPr>
              <w:jc w:val="center"/>
              <w:rPr>
                <w:rFonts w:ascii="Times New Roman" w:hAnsi="Times New Roman"/>
                <w:b/>
                <w:color w:val="000000"/>
                <w:lang w:val="fr-FR"/>
              </w:rPr>
            </w:pPr>
            <w:r>
              <w:rPr>
                <w:rFonts w:ascii="Times New Roman" w:hAnsi="Times New Roman"/>
                <w:b/>
                <w:color w:val="000000"/>
                <w:lang w:val="fr-FR"/>
              </w:rPr>
              <w:t> $        217</w:t>
            </w:r>
            <w:r w:rsidR="004A4006" w:rsidRPr="00F67630">
              <w:rPr>
                <w:rStyle w:val="FootnoteReference"/>
                <w:rFonts w:ascii="Times New Roman" w:hAnsi="Times New Roman"/>
                <w:b/>
                <w:color w:val="000000"/>
                <w:lang w:val="fr-FR"/>
              </w:rPr>
              <w:footnoteReference w:id="1"/>
            </w:r>
            <w:r w:rsidR="00F64586" w:rsidRPr="00F67630">
              <w:rPr>
                <w:rFonts w:ascii="Times New Roman" w:hAnsi="Times New Roman"/>
                <w:b/>
                <w:color w:val="000000"/>
                <w:lang w:val="fr-FR"/>
              </w:rPr>
              <w:t xml:space="preserve"> </w:t>
            </w:r>
          </w:p>
        </w:tc>
        <w:tc>
          <w:tcPr>
            <w:tcW w:w="1260" w:type="dxa"/>
            <w:tcBorders>
              <w:top w:val="nil"/>
              <w:left w:val="nil"/>
              <w:bottom w:val="single" w:sz="8" w:space="0" w:color="auto"/>
              <w:right w:val="single" w:sz="8" w:space="0" w:color="auto"/>
            </w:tcBorders>
            <w:shd w:val="clear" w:color="auto" w:fill="00B0F0"/>
            <w:tcMar>
              <w:top w:w="0" w:type="dxa"/>
              <w:left w:w="108" w:type="dxa"/>
              <w:bottom w:w="0" w:type="dxa"/>
              <w:right w:w="108" w:type="dxa"/>
            </w:tcMar>
            <w:vAlign w:val="center"/>
            <w:hideMark/>
          </w:tcPr>
          <w:p w14:paraId="7C36EA29" w14:textId="77777777" w:rsidR="00F64586" w:rsidRPr="00F67630" w:rsidRDefault="00F64586">
            <w:pPr>
              <w:jc w:val="right"/>
              <w:rPr>
                <w:rFonts w:ascii="Times New Roman" w:hAnsi="Times New Roman"/>
                <w:b/>
                <w:bCs/>
                <w:color w:val="000000"/>
                <w:lang w:val="fr-FR"/>
              </w:rPr>
            </w:pPr>
            <w:r w:rsidRPr="00F67630">
              <w:rPr>
                <w:rFonts w:ascii="Times New Roman" w:hAnsi="Times New Roman"/>
                <w:b/>
                <w:bCs/>
                <w:color w:val="000000"/>
                <w:lang w:val="fr-FR"/>
              </w:rPr>
              <w:t>100%</w:t>
            </w:r>
          </w:p>
        </w:tc>
      </w:tr>
    </w:tbl>
    <w:p w14:paraId="2BAF5FCB" w14:textId="30C5FEA7" w:rsidR="00B308AB" w:rsidRDefault="00B308AB" w:rsidP="002315A5">
      <w:pPr>
        <w:pStyle w:val="BodyText2"/>
        <w:rPr>
          <w:rFonts w:ascii="Times New Roman" w:hAnsi="Times New Roman" w:cs="Times New Roman"/>
          <w:sz w:val="22"/>
        </w:rPr>
      </w:pPr>
    </w:p>
    <w:p w14:paraId="36C71D11" w14:textId="77777777" w:rsidR="00B308AB" w:rsidRPr="00650A1C" w:rsidRDefault="00B308AB" w:rsidP="002315A5">
      <w:pPr>
        <w:pStyle w:val="BodyText2"/>
        <w:rPr>
          <w:rFonts w:ascii="Times New Roman" w:hAnsi="Times New Roman" w:cs="Times New Roman"/>
          <w:sz w:val="22"/>
        </w:rPr>
      </w:pPr>
    </w:p>
    <w:tbl>
      <w:tblPr>
        <w:tblStyle w:val="TableGrid"/>
        <w:tblW w:w="14400" w:type="dxa"/>
        <w:jc w:val="center"/>
        <w:tblLook w:val="04A0" w:firstRow="1" w:lastRow="0" w:firstColumn="1" w:lastColumn="0" w:noHBand="0" w:noVBand="1"/>
      </w:tblPr>
      <w:tblGrid>
        <w:gridCol w:w="14400"/>
      </w:tblGrid>
      <w:tr w:rsidR="002547CF" w:rsidRPr="00650A1C" w14:paraId="0E4A01C3" w14:textId="77777777" w:rsidTr="00650A1C">
        <w:trPr>
          <w:jc w:val="center"/>
        </w:trPr>
        <w:tc>
          <w:tcPr>
            <w:tcW w:w="14176" w:type="dxa"/>
          </w:tcPr>
          <w:p w14:paraId="66600FC6" w14:textId="77777777" w:rsidR="002547CF" w:rsidRPr="00650A1C" w:rsidRDefault="002547CF" w:rsidP="005E0C05">
            <w:pPr>
              <w:pStyle w:val="BodyText2"/>
              <w:rPr>
                <w:rFonts w:ascii="Times New Roman" w:hAnsi="Times New Roman" w:cs="Times New Roman"/>
                <w:b/>
                <w:sz w:val="22"/>
              </w:rPr>
            </w:pPr>
            <w:r w:rsidRPr="00650A1C">
              <w:rPr>
                <w:rFonts w:ascii="Times New Roman" w:hAnsi="Times New Roman" w:cs="Times New Roman"/>
                <w:b/>
                <w:sz w:val="22"/>
              </w:rPr>
              <w:t xml:space="preserve">Data sources:  (please indicate the main sources from which data were obtained for this report.) </w:t>
            </w:r>
          </w:p>
        </w:tc>
      </w:tr>
      <w:tr w:rsidR="00B64ACA" w:rsidRPr="00FC2821" w14:paraId="789F6F69" w14:textId="77777777" w:rsidTr="00650A1C">
        <w:trPr>
          <w:jc w:val="center"/>
        </w:trPr>
        <w:tc>
          <w:tcPr>
            <w:tcW w:w="14176" w:type="dxa"/>
          </w:tcPr>
          <w:p w14:paraId="48325FB8" w14:textId="61D7F652" w:rsidR="008D791F" w:rsidRDefault="00B45517" w:rsidP="002315A5">
            <w:pPr>
              <w:pStyle w:val="BodyText2"/>
              <w:rPr>
                <w:rFonts w:ascii="Times New Roman" w:hAnsi="Times New Roman" w:cs="Times New Roman"/>
                <w:sz w:val="22"/>
              </w:rPr>
            </w:pPr>
            <w:r w:rsidRPr="00B45517">
              <w:rPr>
                <w:rFonts w:ascii="Times New Roman" w:hAnsi="Times New Roman" w:cs="Times New Roman"/>
                <w:sz w:val="22"/>
              </w:rPr>
              <w:t xml:space="preserve">Results-Oriented Annual Reports : </w:t>
            </w:r>
            <w:r w:rsidR="00865CBA" w:rsidRPr="00B45517">
              <w:rPr>
                <w:rFonts w:ascii="Times New Roman" w:hAnsi="Times New Roman" w:cs="Times New Roman"/>
                <w:sz w:val="22"/>
              </w:rPr>
              <w:t>2013-2014-2</w:t>
            </w:r>
            <w:r w:rsidR="004B00F2" w:rsidRPr="00B45517">
              <w:rPr>
                <w:rFonts w:ascii="Times New Roman" w:hAnsi="Times New Roman" w:cs="Times New Roman"/>
                <w:sz w:val="22"/>
              </w:rPr>
              <w:t>015</w:t>
            </w:r>
          </w:p>
          <w:p w14:paraId="35118AFF" w14:textId="7A54402E" w:rsidR="00B45517" w:rsidRPr="00B45517" w:rsidRDefault="00B45517" w:rsidP="002315A5">
            <w:pPr>
              <w:pStyle w:val="BodyText2"/>
              <w:rPr>
                <w:rFonts w:ascii="Times New Roman" w:hAnsi="Times New Roman" w:cs="Times New Roman"/>
                <w:sz w:val="22"/>
              </w:rPr>
            </w:pPr>
            <w:r>
              <w:rPr>
                <w:rFonts w:ascii="Times New Roman" w:hAnsi="Times New Roman" w:cs="Times New Roman"/>
                <w:sz w:val="22"/>
              </w:rPr>
              <w:t>Integrated Workplanning for the CO: 2013-2017</w:t>
            </w:r>
          </w:p>
          <w:p w14:paraId="4F8EF36E" w14:textId="7328CE64" w:rsidR="004B00F2" w:rsidRPr="00717CE1" w:rsidRDefault="00B45517" w:rsidP="002315A5">
            <w:pPr>
              <w:pStyle w:val="BodyText2"/>
              <w:rPr>
                <w:rFonts w:ascii="Times New Roman" w:hAnsi="Times New Roman" w:cs="Times New Roman"/>
                <w:sz w:val="22"/>
              </w:rPr>
            </w:pPr>
            <w:r w:rsidRPr="00717CE1">
              <w:rPr>
                <w:rFonts w:ascii="Times New Roman" w:hAnsi="Times New Roman" w:cs="Times New Roman"/>
                <w:sz w:val="22"/>
              </w:rPr>
              <w:t>Atlas General Ledge</w:t>
            </w:r>
            <w:r w:rsidR="004013F8" w:rsidRPr="00717CE1">
              <w:rPr>
                <w:rFonts w:ascii="Times New Roman" w:hAnsi="Times New Roman" w:cs="Times New Roman"/>
                <w:sz w:val="22"/>
              </w:rPr>
              <w:t>r</w:t>
            </w:r>
            <w:r w:rsidRPr="00717CE1">
              <w:rPr>
                <w:rFonts w:ascii="Times New Roman" w:hAnsi="Times New Roman" w:cs="Times New Roman"/>
                <w:sz w:val="22"/>
              </w:rPr>
              <w:t xml:space="preserve"> data  2013-2016 </w:t>
            </w:r>
          </w:p>
          <w:p w14:paraId="3A1D97C8" w14:textId="6836C4F1" w:rsidR="008D791F" w:rsidRPr="00FC2821" w:rsidRDefault="00FC2821" w:rsidP="002315A5">
            <w:pPr>
              <w:pStyle w:val="BodyText2"/>
              <w:rPr>
                <w:rFonts w:ascii="Times New Roman" w:hAnsi="Times New Roman" w:cs="Times New Roman"/>
                <w:sz w:val="22"/>
              </w:rPr>
            </w:pPr>
            <w:r w:rsidRPr="00FC2821">
              <w:rPr>
                <w:rFonts w:ascii="Times New Roman" w:hAnsi="Times New Roman" w:cs="Times New Roman"/>
                <w:sz w:val="22"/>
              </w:rPr>
              <w:t xml:space="preserve">Other Reports, </w:t>
            </w:r>
            <w:r w:rsidR="00F32E1E" w:rsidRPr="00FC2821">
              <w:rPr>
                <w:rFonts w:ascii="Times New Roman" w:hAnsi="Times New Roman" w:cs="Times New Roman"/>
                <w:sz w:val="22"/>
              </w:rPr>
              <w:t>Evaluations </w:t>
            </w:r>
            <w:r w:rsidR="00B45517" w:rsidRPr="00FC2821">
              <w:rPr>
                <w:rFonts w:ascii="Times New Roman" w:hAnsi="Times New Roman" w:cs="Times New Roman"/>
                <w:sz w:val="22"/>
              </w:rPr>
              <w:t xml:space="preserve">and Knowledge </w:t>
            </w:r>
            <w:r w:rsidRPr="00FC2821">
              <w:rPr>
                <w:rFonts w:ascii="Times New Roman" w:hAnsi="Times New Roman" w:cs="Times New Roman"/>
                <w:sz w:val="22"/>
              </w:rPr>
              <w:t>Products</w:t>
            </w:r>
            <w:r w:rsidR="00F32E1E" w:rsidRPr="00FC2821">
              <w:rPr>
                <w:rFonts w:ascii="Times New Roman" w:hAnsi="Times New Roman" w:cs="Times New Roman"/>
                <w:sz w:val="22"/>
              </w:rPr>
              <w:t xml:space="preserve">: </w:t>
            </w:r>
          </w:p>
          <w:p w14:paraId="4B8A23A7" w14:textId="77777777" w:rsidR="00FB07FF" w:rsidRDefault="00FC2821" w:rsidP="00FB07FF">
            <w:pPr>
              <w:pStyle w:val="BodyText2"/>
              <w:numPr>
                <w:ilvl w:val="0"/>
                <w:numId w:val="32"/>
              </w:numPr>
              <w:ind w:left="420"/>
              <w:rPr>
                <w:rFonts w:ascii="Times New Roman" w:hAnsi="Times New Roman" w:cs="Times New Roman"/>
                <w:sz w:val="22"/>
                <w:lang w:val="fr-FR"/>
              </w:rPr>
            </w:pPr>
            <w:r>
              <w:rPr>
                <w:rFonts w:ascii="Times New Roman" w:hAnsi="Times New Roman" w:cs="Times New Roman"/>
                <w:sz w:val="22"/>
                <w:lang w:val="fr-FR"/>
              </w:rPr>
              <w:t>Annual Project Reports</w:t>
            </w:r>
          </w:p>
          <w:p w14:paraId="6698543D" w14:textId="2B272A2B" w:rsidR="00FB07FF" w:rsidRDefault="00FB07FF" w:rsidP="00FB07FF">
            <w:pPr>
              <w:pStyle w:val="BodyText2"/>
              <w:numPr>
                <w:ilvl w:val="0"/>
                <w:numId w:val="32"/>
              </w:numPr>
              <w:ind w:left="420"/>
              <w:rPr>
                <w:rFonts w:ascii="Times New Roman" w:hAnsi="Times New Roman" w:cs="Times New Roman"/>
                <w:i/>
                <w:sz w:val="22"/>
                <w:lang w:val="fr-FR"/>
              </w:rPr>
            </w:pPr>
            <w:r w:rsidRPr="00FB07FF">
              <w:rPr>
                <w:rFonts w:ascii="Times New Roman" w:hAnsi="Times New Roman" w:cs="Times New Roman"/>
                <w:i/>
                <w:sz w:val="22"/>
                <w:lang w:val="fr-FR"/>
              </w:rPr>
              <w:t>L’émancipation économique des femmes grâce aux activités génératrices d’emplois</w:t>
            </w:r>
            <w:r>
              <w:rPr>
                <w:rFonts w:ascii="Times New Roman" w:hAnsi="Times New Roman" w:cs="Times New Roman"/>
                <w:i/>
                <w:sz w:val="22"/>
                <w:lang w:val="fr-FR"/>
              </w:rPr>
              <w:t xml:space="preserve"> (mars 2013)</w:t>
            </w:r>
          </w:p>
          <w:p w14:paraId="19250F35" w14:textId="02CFF37A" w:rsidR="00FB07FF" w:rsidRPr="00FB07FF" w:rsidRDefault="00FB07FF" w:rsidP="00FB07FF">
            <w:pPr>
              <w:pStyle w:val="BodyText2"/>
              <w:numPr>
                <w:ilvl w:val="0"/>
                <w:numId w:val="32"/>
              </w:numPr>
              <w:ind w:left="420"/>
              <w:rPr>
                <w:rFonts w:ascii="Times New Roman" w:hAnsi="Times New Roman" w:cs="Times New Roman"/>
                <w:i/>
                <w:sz w:val="22"/>
                <w:lang w:val="fr-FR"/>
              </w:rPr>
            </w:pPr>
            <w:r w:rsidRPr="00FB07FF">
              <w:rPr>
                <w:rFonts w:ascii="Times New Roman" w:hAnsi="Times New Roman" w:cs="Times New Roman"/>
                <w:i/>
                <w:sz w:val="22"/>
                <w:lang w:val="fr-FR"/>
              </w:rPr>
              <w:t>Ti Fi, jèn fi: pran mayèt la, demen va pi bèl</w:t>
            </w:r>
            <w:r>
              <w:rPr>
                <w:rFonts w:ascii="Times New Roman" w:hAnsi="Times New Roman" w:cs="Times New Roman"/>
                <w:i/>
                <w:sz w:val="22"/>
                <w:lang w:val="fr-FR"/>
              </w:rPr>
              <w:t xml:space="preserve"> (janvier 2013)</w:t>
            </w:r>
          </w:p>
          <w:p w14:paraId="1C549ED0" w14:textId="698D303C" w:rsidR="00865CBA" w:rsidRPr="00650A1C" w:rsidRDefault="001A204C" w:rsidP="00650A1C">
            <w:pPr>
              <w:pStyle w:val="BodyText2"/>
              <w:numPr>
                <w:ilvl w:val="0"/>
                <w:numId w:val="32"/>
              </w:numPr>
              <w:ind w:left="420"/>
              <w:rPr>
                <w:rFonts w:ascii="Times New Roman" w:hAnsi="Times New Roman" w:cs="Times New Roman"/>
                <w:sz w:val="22"/>
                <w:lang w:val="fr-FR"/>
              </w:rPr>
            </w:pPr>
            <w:r w:rsidRPr="00650A1C">
              <w:rPr>
                <w:rFonts w:ascii="Times New Roman" w:hAnsi="Times New Roman" w:cs="Times New Roman"/>
                <w:sz w:val="22"/>
                <w:lang w:val="fr-FR"/>
              </w:rPr>
              <w:t>Evaluation des Effets</w:t>
            </w:r>
            <w:r w:rsidR="004E416A" w:rsidRPr="00650A1C">
              <w:rPr>
                <w:rFonts w:ascii="Times New Roman" w:hAnsi="Times New Roman" w:cs="Times New Roman"/>
                <w:sz w:val="22"/>
                <w:lang w:val="fr-FR"/>
              </w:rPr>
              <w:t xml:space="preserve"> « Amélioration</w:t>
            </w:r>
            <w:r w:rsidRPr="00650A1C">
              <w:rPr>
                <w:rFonts w:ascii="Times New Roman" w:hAnsi="Times New Roman" w:cs="Times New Roman"/>
                <w:sz w:val="22"/>
                <w:lang w:val="fr-FR"/>
              </w:rPr>
              <w:t xml:space="preserve"> des conditions de vie des populations vulnérables aux crises » : Programme</w:t>
            </w:r>
            <w:r w:rsidR="00F32E1E" w:rsidRPr="00650A1C">
              <w:rPr>
                <w:rFonts w:ascii="Times New Roman" w:hAnsi="Times New Roman" w:cs="Times New Roman"/>
                <w:sz w:val="22"/>
                <w:lang w:val="fr-FR"/>
              </w:rPr>
              <w:t xml:space="preserve"> Relèvement 2010-2012 (février 2014)</w:t>
            </w:r>
          </w:p>
          <w:p w14:paraId="755D4C27" w14:textId="77777777" w:rsidR="00F32E1E" w:rsidRPr="00650A1C" w:rsidRDefault="00F32E1E" w:rsidP="00650A1C">
            <w:pPr>
              <w:pStyle w:val="BodyText2"/>
              <w:numPr>
                <w:ilvl w:val="0"/>
                <w:numId w:val="32"/>
              </w:numPr>
              <w:ind w:left="420"/>
              <w:rPr>
                <w:rFonts w:ascii="Times New Roman" w:hAnsi="Times New Roman" w:cs="Times New Roman"/>
                <w:sz w:val="22"/>
                <w:lang w:val="fr-FR"/>
              </w:rPr>
            </w:pPr>
            <w:r w:rsidRPr="00650A1C">
              <w:rPr>
                <w:rFonts w:ascii="Times New Roman" w:hAnsi="Times New Roman" w:cs="Times New Roman"/>
                <w:sz w:val="22"/>
                <w:lang w:val="fr-HT"/>
              </w:rPr>
              <w:t>Evaluation des Phases I et II du Projet Réduction de la Vulnérabilité des Populations et des Infrastructures dans le Département du Sud (octobre 2015).</w:t>
            </w:r>
          </w:p>
          <w:p w14:paraId="57F8BD65" w14:textId="77777777" w:rsidR="008D791F" w:rsidRDefault="00F32E1E" w:rsidP="00650A1C">
            <w:pPr>
              <w:pStyle w:val="ListParagraph"/>
              <w:numPr>
                <w:ilvl w:val="0"/>
                <w:numId w:val="32"/>
              </w:numPr>
              <w:ind w:left="420"/>
              <w:rPr>
                <w:rFonts w:ascii="Times New Roman" w:hAnsi="Times New Roman" w:cs="Times New Roman"/>
                <w:lang w:val="fr-FR"/>
              </w:rPr>
            </w:pPr>
            <w:r w:rsidRPr="00650A1C">
              <w:rPr>
                <w:rFonts w:ascii="Times New Roman" w:hAnsi="Times New Roman" w:cs="Times New Roman"/>
                <w:lang w:val="fr-FR"/>
              </w:rPr>
              <w:t>Evaluation finale du projet « Appui à l’Efficacité de l’Aide » (novembre 2015)</w:t>
            </w:r>
          </w:p>
          <w:p w14:paraId="173F7606" w14:textId="47E9A274" w:rsidR="00FC2821" w:rsidRPr="004013F8" w:rsidRDefault="00B45517" w:rsidP="004013F8">
            <w:pPr>
              <w:pStyle w:val="ListParagraph"/>
              <w:numPr>
                <w:ilvl w:val="0"/>
                <w:numId w:val="32"/>
              </w:numPr>
              <w:ind w:left="420"/>
              <w:rPr>
                <w:rFonts w:ascii="Times New Roman" w:hAnsi="Times New Roman" w:cs="Times New Roman"/>
              </w:rPr>
            </w:pPr>
            <w:r w:rsidRPr="00FC2821">
              <w:rPr>
                <w:rFonts w:ascii="Times New Roman" w:hAnsi="Times New Roman" w:cs="Times New Roman"/>
              </w:rPr>
              <w:t>Review of UNDP Haiti DRR Experience 2010-201</w:t>
            </w:r>
            <w:r w:rsidR="00FC2821">
              <w:rPr>
                <w:rFonts w:ascii="Times New Roman" w:hAnsi="Times New Roman" w:cs="Times New Roman"/>
              </w:rPr>
              <w:t>5</w:t>
            </w:r>
          </w:p>
        </w:tc>
      </w:tr>
    </w:tbl>
    <w:p w14:paraId="178207EF" w14:textId="77777777" w:rsidR="001A204C" w:rsidRPr="00FC2821" w:rsidRDefault="001A204C" w:rsidP="00627067">
      <w:pPr>
        <w:pStyle w:val="BodyText2"/>
        <w:rPr>
          <w:rFonts w:ascii="Times New Roman" w:hAnsi="Times New Roman"/>
          <w:sz w:val="24"/>
        </w:rPr>
      </w:pPr>
    </w:p>
    <w:sectPr w:rsidR="001A204C" w:rsidRPr="00FC2821" w:rsidSect="00FB4BD9">
      <w:endnotePr>
        <w:numFmt w:val="decimal"/>
      </w:endnotePr>
      <w:pgSz w:w="15840" w:h="12240" w:orient="landscape"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86AB9" w14:textId="77777777" w:rsidR="00190014" w:rsidRDefault="00190014">
      <w:r>
        <w:separator/>
      </w:r>
    </w:p>
  </w:endnote>
  <w:endnote w:type="continuationSeparator" w:id="0">
    <w:p w14:paraId="7244E1CD" w14:textId="77777777" w:rsidR="00190014" w:rsidRDefault="0019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407"/>
      <w:docPartObj>
        <w:docPartGallery w:val="Page Numbers (Bottom of Page)"/>
        <w:docPartUnique/>
      </w:docPartObj>
    </w:sdtPr>
    <w:sdtEndPr/>
    <w:sdtContent>
      <w:p w14:paraId="719A5223" w14:textId="13567DEE" w:rsidR="00A210CD" w:rsidRDefault="00F9738C">
        <w:pPr>
          <w:pStyle w:val="Footer"/>
          <w:jc w:val="center"/>
        </w:pPr>
        <w:r>
          <w:fldChar w:fldCharType="begin"/>
        </w:r>
        <w:r>
          <w:instrText xml:space="preserve"> PAGE   \* MERGEFORMAT </w:instrText>
        </w:r>
        <w:r>
          <w:fldChar w:fldCharType="separate"/>
        </w:r>
        <w:r w:rsidR="00E751BF">
          <w:rPr>
            <w:noProof/>
          </w:rPr>
          <w:t>3</w:t>
        </w:r>
        <w:r>
          <w:rPr>
            <w:noProof/>
          </w:rPr>
          <w:fldChar w:fldCharType="end"/>
        </w:r>
      </w:p>
    </w:sdtContent>
  </w:sdt>
  <w:p w14:paraId="484DF031" w14:textId="77777777" w:rsidR="00A210CD" w:rsidRDefault="00A21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822ED" w14:textId="77777777" w:rsidR="00190014" w:rsidRDefault="00190014">
      <w:r>
        <w:separator/>
      </w:r>
    </w:p>
  </w:footnote>
  <w:footnote w:type="continuationSeparator" w:id="0">
    <w:p w14:paraId="507B7089" w14:textId="77777777" w:rsidR="00190014" w:rsidRDefault="00190014">
      <w:r>
        <w:continuationSeparator/>
      </w:r>
    </w:p>
  </w:footnote>
  <w:footnote w:id="1">
    <w:p w14:paraId="3ADA2457" w14:textId="43BCB63B" w:rsidR="004A4006" w:rsidRPr="004A4006" w:rsidRDefault="004A4006">
      <w:pPr>
        <w:pStyle w:val="FootnoteText"/>
        <w:rPr>
          <w:rFonts w:ascii="Times New Roman" w:hAnsi="Times New Roman" w:cs="Times New Roman"/>
        </w:rPr>
      </w:pPr>
      <w:r w:rsidRPr="004A4006">
        <w:rPr>
          <w:rStyle w:val="FootnoteReference"/>
          <w:rFonts w:ascii="Times New Roman" w:hAnsi="Times New Roman" w:cs="Times New Roman"/>
        </w:rPr>
        <w:footnoteRef/>
      </w:r>
      <w:r w:rsidRPr="004A4006">
        <w:rPr>
          <w:rFonts w:ascii="Times New Roman" w:hAnsi="Times New Roman" w:cs="Times New Roman"/>
        </w:rPr>
        <w:t xml:space="preserve"> These figures include projections for 2016 taking into account the electoral process and the post-hurricane environment.</w:t>
      </w:r>
      <w:r w:rsidR="00817115">
        <w:rPr>
          <w:rFonts w:ascii="Times New Roman" w:hAnsi="Times New Roman" w:cs="Times New Roman"/>
        </w:rPr>
        <w:t xml:space="preserve"> Final figures will be revised following the closure of 2016 accounts.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F3951" w14:textId="77777777" w:rsidR="00157815" w:rsidRPr="00517955" w:rsidRDefault="00157815">
    <w:pPr>
      <w:pStyle w:val="Header"/>
      <w:rPr>
        <w:rFonts w:asciiTheme="minorHAnsi" w:hAnsiTheme="minorHAnsi"/>
      </w:rPr>
    </w:pPr>
    <w:r w:rsidRPr="00517955">
      <w:rPr>
        <w:rFonts w:asciiTheme="minorHAnsi" w:hAnsiTheme="minorHAnsi"/>
      </w:rPr>
      <w:t>DRAFT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3C16"/>
    <w:multiLevelType w:val="hybridMultilevel"/>
    <w:tmpl w:val="671C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A39EF"/>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3C1005"/>
    <w:multiLevelType w:val="hybridMultilevel"/>
    <w:tmpl w:val="79901E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A4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120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C30BE2"/>
    <w:multiLevelType w:val="hybridMultilevel"/>
    <w:tmpl w:val="FF4C982A"/>
    <w:lvl w:ilvl="0" w:tplc="F6FE1EFC">
      <w:numFmt w:val="bullet"/>
      <w:lvlText w:val="-"/>
      <w:lvlJc w:val="left"/>
      <w:pPr>
        <w:tabs>
          <w:tab w:val="num" w:pos="572"/>
        </w:tabs>
        <w:ind w:left="572" w:hanging="360"/>
      </w:pPr>
      <w:rPr>
        <w:rFonts w:ascii="Arial"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9E20F3"/>
    <w:multiLevelType w:val="hybridMultilevel"/>
    <w:tmpl w:val="9A92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284809"/>
    <w:multiLevelType w:val="hybridMultilevel"/>
    <w:tmpl w:val="5BCC15D6"/>
    <w:lvl w:ilvl="0" w:tplc="08260F9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7B4B13"/>
    <w:multiLevelType w:val="hybridMultilevel"/>
    <w:tmpl w:val="263A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013D7"/>
    <w:multiLevelType w:val="hybridMultilevel"/>
    <w:tmpl w:val="870C46E0"/>
    <w:lvl w:ilvl="0" w:tplc="8C82C24A">
      <w:start w:val="1"/>
      <w:numFmt w:val="bullet"/>
      <w:lvlText w:val="•"/>
      <w:lvlJc w:val="left"/>
      <w:pPr>
        <w:tabs>
          <w:tab w:val="num" w:pos="540"/>
        </w:tabs>
        <w:ind w:left="540" w:hanging="360"/>
      </w:pPr>
      <w:rPr>
        <w:rFonts w:ascii="Arial" w:hAnsi="Arial" w:hint="default"/>
      </w:rPr>
    </w:lvl>
    <w:lvl w:ilvl="1" w:tplc="2D4AEC1C" w:tentative="1">
      <w:start w:val="1"/>
      <w:numFmt w:val="bullet"/>
      <w:lvlText w:val="•"/>
      <w:lvlJc w:val="left"/>
      <w:pPr>
        <w:tabs>
          <w:tab w:val="num" w:pos="1440"/>
        </w:tabs>
        <w:ind w:left="1440" w:hanging="360"/>
      </w:pPr>
      <w:rPr>
        <w:rFonts w:ascii="Arial" w:hAnsi="Arial" w:hint="default"/>
      </w:rPr>
    </w:lvl>
    <w:lvl w:ilvl="2" w:tplc="8DE2798E" w:tentative="1">
      <w:start w:val="1"/>
      <w:numFmt w:val="bullet"/>
      <w:lvlText w:val="•"/>
      <w:lvlJc w:val="left"/>
      <w:pPr>
        <w:tabs>
          <w:tab w:val="num" w:pos="2160"/>
        </w:tabs>
        <w:ind w:left="2160" w:hanging="360"/>
      </w:pPr>
      <w:rPr>
        <w:rFonts w:ascii="Arial" w:hAnsi="Arial" w:hint="default"/>
      </w:rPr>
    </w:lvl>
    <w:lvl w:ilvl="3" w:tplc="A1888DFE" w:tentative="1">
      <w:start w:val="1"/>
      <w:numFmt w:val="bullet"/>
      <w:lvlText w:val="•"/>
      <w:lvlJc w:val="left"/>
      <w:pPr>
        <w:tabs>
          <w:tab w:val="num" w:pos="2880"/>
        </w:tabs>
        <w:ind w:left="2880" w:hanging="360"/>
      </w:pPr>
      <w:rPr>
        <w:rFonts w:ascii="Arial" w:hAnsi="Arial" w:hint="default"/>
      </w:rPr>
    </w:lvl>
    <w:lvl w:ilvl="4" w:tplc="C742B338" w:tentative="1">
      <w:start w:val="1"/>
      <w:numFmt w:val="bullet"/>
      <w:lvlText w:val="•"/>
      <w:lvlJc w:val="left"/>
      <w:pPr>
        <w:tabs>
          <w:tab w:val="num" w:pos="3600"/>
        </w:tabs>
        <w:ind w:left="3600" w:hanging="360"/>
      </w:pPr>
      <w:rPr>
        <w:rFonts w:ascii="Arial" w:hAnsi="Arial" w:hint="default"/>
      </w:rPr>
    </w:lvl>
    <w:lvl w:ilvl="5" w:tplc="E26C0548" w:tentative="1">
      <w:start w:val="1"/>
      <w:numFmt w:val="bullet"/>
      <w:lvlText w:val="•"/>
      <w:lvlJc w:val="left"/>
      <w:pPr>
        <w:tabs>
          <w:tab w:val="num" w:pos="4320"/>
        </w:tabs>
        <w:ind w:left="4320" w:hanging="360"/>
      </w:pPr>
      <w:rPr>
        <w:rFonts w:ascii="Arial" w:hAnsi="Arial" w:hint="default"/>
      </w:rPr>
    </w:lvl>
    <w:lvl w:ilvl="6" w:tplc="DA962C84" w:tentative="1">
      <w:start w:val="1"/>
      <w:numFmt w:val="bullet"/>
      <w:lvlText w:val="•"/>
      <w:lvlJc w:val="left"/>
      <w:pPr>
        <w:tabs>
          <w:tab w:val="num" w:pos="5040"/>
        </w:tabs>
        <w:ind w:left="5040" w:hanging="360"/>
      </w:pPr>
      <w:rPr>
        <w:rFonts w:ascii="Arial" w:hAnsi="Arial" w:hint="default"/>
      </w:rPr>
    </w:lvl>
    <w:lvl w:ilvl="7" w:tplc="15CA4978" w:tentative="1">
      <w:start w:val="1"/>
      <w:numFmt w:val="bullet"/>
      <w:lvlText w:val="•"/>
      <w:lvlJc w:val="left"/>
      <w:pPr>
        <w:tabs>
          <w:tab w:val="num" w:pos="5760"/>
        </w:tabs>
        <w:ind w:left="5760" w:hanging="360"/>
      </w:pPr>
      <w:rPr>
        <w:rFonts w:ascii="Arial" w:hAnsi="Arial" w:hint="default"/>
      </w:rPr>
    </w:lvl>
    <w:lvl w:ilvl="8" w:tplc="F5681D2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8F7AF2"/>
    <w:multiLevelType w:val="hybridMultilevel"/>
    <w:tmpl w:val="1A348C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5019C"/>
    <w:multiLevelType w:val="hybridMultilevel"/>
    <w:tmpl w:val="F4AAD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25C15"/>
    <w:multiLevelType w:val="hybridMultilevel"/>
    <w:tmpl w:val="D0E0BB76"/>
    <w:lvl w:ilvl="0" w:tplc="04090019">
      <w:start w:val="1"/>
      <w:numFmt w:val="lowerLetter"/>
      <w:lvlText w:val="%1."/>
      <w:lvlJc w:val="left"/>
      <w:pPr>
        <w:ind w:left="720" w:hanging="360"/>
      </w:pPr>
      <w:rPr>
        <w:rFonts w:hint="default"/>
      </w:rPr>
    </w:lvl>
    <w:lvl w:ilvl="1" w:tplc="164A77B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91BBE"/>
    <w:multiLevelType w:val="hybridMultilevel"/>
    <w:tmpl w:val="06C04FAC"/>
    <w:lvl w:ilvl="0" w:tplc="F6FE1EFC">
      <w:numFmt w:val="bullet"/>
      <w:lvlText w:val="-"/>
      <w:lvlJc w:val="left"/>
      <w:pPr>
        <w:tabs>
          <w:tab w:val="num" w:pos="1112"/>
        </w:tabs>
        <w:ind w:left="1112" w:hanging="360"/>
      </w:pPr>
      <w:rPr>
        <w:rFonts w:ascii="Arial" w:hAnsi="Aria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E4B7DAA"/>
    <w:multiLevelType w:val="hybridMultilevel"/>
    <w:tmpl w:val="B1BC2630"/>
    <w:lvl w:ilvl="0" w:tplc="637AB9C8">
      <w:start w:val="1"/>
      <w:numFmt w:val="decimal"/>
      <w:lvlText w:val="%1)"/>
      <w:lvlJc w:val="left"/>
      <w:pPr>
        <w:tabs>
          <w:tab w:val="num" w:pos="1440"/>
        </w:tabs>
        <w:ind w:left="1440" w:hanging="360"/>
      </w:pPr>
      <w:rPr>
        <w:rFonts w:cs="Times New Roman" w:hint="default"/>
      </w:rPr>
    </w:lvl>
    <w:lvl w:ilvl="1" w:tplc="C2CCC016" w:tentative="1">
      <w:start w:val="1"/>
      <w:numFmt w:val="lowerLetter"/>
      <w:lvlText w:val="%2."/>
      <w:lvlJc w:val="left"/>
      <w:pPr>
        <w:tabs>
          <w:tab w:val="num" w:pos="2160"/>
        </w:tabs>
        <w:ind w:left="2160" w:hanging="360"/>
      </w:pPr>
    </w:lvl>
    <w:lvl w:ilvl="2" w:tplc="7F520C4C" w:tentative="1">
      <w:start w:val="1"/>
      <w:numFmt w:val="lowerRoman"/>
      <w:lvlText w:val="%3."/>
      <w:lvlJc w:val="right"/>
      <w:pPr>
        <w:tabs>
          <w:tab w:val="num" w:pos="2880"/>
        </w:tabs>
        <w:ind w:left="2880" w:hanging="180"/>
      </w:pPr>
    </w:lvl>
    <w:lvl w:ilvl="3" w:tplc="FEA22EFE" w:tentative="1">
      <w:start w:val="1"/>
      <w:numFmt w:val="decimal"/>
      <w:lvlText w:val="%4."/>
      <w:lvlJc w:val="left"/>
      <w:pPr>
        <w:tabs>
          <w:tab w:val="num" w:pos="3600"/>
        </w:tabs>
        <w:ind w:left="3600" w:hanging="360"/>
      </w:pPr>
    </w:lvl>
    <w:lvl w:ilvl="4" w:tplc="16E80030" w:tentative="1">
      <w:start w:val="1"/>
      <w:numFmt w:val="lowerLetter"/>
      <w:lvlText w:val="%5."/>
      <w:lvlJc w:val="left"/>
      <w:pPr>
        <w:tabs>
          <w:tab w:val="num" w:pos="4320"/>
        </w:tabs>
        <w:ind w:left="4320" w:hanging="360"/>
      </w:pPr>
    </w:lvl>
    <w:lvl w:ilvl="5" w:tplc="B0F6687C" w:tentative="1">
      <w:start w:val="1"/>
      <w:numFmt w:val="lowerRoman"/>
      <w:lvlText w:val="%6."/>
      <w:lvlJc w:val="right"/>
      <w:pPr>
        <w:tabs>
          <w:tab w:val="num" w:pos="5040"/>
        </w:tabs>
        <w:ind w:left="5040" w:hanging="180"/>
      </w:pPr>
    </w:lvl>
    <w:lvl w:ilvl="6" w:tplc="EE283A6C" w:tentative="1">
      <w:start w:val="1"/>
      <w:numFmt w:val="decimal"/>
      <w:lvlText w:val="%7."/>
      <w:lvlJc w:val="left"/>
      <w:pPr>
        <w:tabs>
          <w:tab w:val="num" w:pos="5760"/>
        </w:tabs>
        <w:ind w:left="5760" w:hanging="360"/>
      </w:pPr>
    </w:lvl>
    <w:lvl w:ilvl="7" w:tplc="C4B860EC" w:tentative="1">
      <w:start w:val="1"/>
      <w:numFmt w:val="lowerLetter"/>
      <w:lvlText w:val="%8."/>
      <w:lvlJc w:val="left"/>
      <w:pPr>
        <w:tabs>
          <w:tab w:val="num" w:pos="6480"/>
        </w:tabs>
        <w:ind w:left="6480" w:hanging="360"/>
      </w:pPr>
    </w:lvl>
    <w:lvl w:ilvl="8" w:tplc="B75AACE8" w:tentative="1">
      <w:start w:val="1"/>
      <w:numFmt w:val="lowerRoman"/>
      <w:lvlText w:val="%9."/>
      <w:lvlJc w:val="right"/>
      <w:pPr>
        <w:tabs>
          <w:tab w:val="num" w:pos="7200"/>
        </w:tabs>
        <w:ind w:left="7200" w:hanging="180"/>
      </w:pPr>
    </w:lvl>
  </w:abstractNum>
  <w:abstractNum w:abstractNumId="17" w15:restartNumberingAfterBreak="0">
    <w:nsid w:val="402D2E6A"/>
    <w:multiLevelType w:val="hybridMultilevel"/>
    <w:tmpl w:val="FDBA5D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3569F9"/>
    <w:multiLevelType w:val="hybridMultilevel"/>
    <w:tmpl w:val="24509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C21B97"/>
    <w:multiLevelType w:val="hybridMultilevel"/>
    <w:tmpl w:val="83720C84"/>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2D0446"/>
    <w:multiLevelType w:val="hybridMultilevel"/>
    <w:tmpl w:val="A27E33A2"/>
    <w:lvl w:ilvl="0" w:tplc="16FC0976">
      <w:start w:val="1"/>
      <w:numFmt w:val="lowerLetter"/>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A95F22"/>
    <w:multiLevelType w:val="hybridMultilevel"/>
    <w:tmpl w:val="8C1A6746"/>
    <w:lvl w:ilvl="0" w:tplc="D36C5D60">
      <w:start w:val="1"/>
      <w:numFmt w:val="decimal"/>
      <w:suff w:val="space"/>
      <w:lvlText w:val="%1."/>
      <w:lvlJc w:val="left"/>
      <w:pPr>
        <w:ind w:left="1987" w:hanging="360"/>
      </w:pPr>
      <w:rPr>
        <w:rFonts w:hint="default"/>
      </w:rPr>
    </w:lvl>
    <w:lvl w:ilvl="1" w:tplc="040C0019" w:tentative="1">
      <w:start w:val="1"/>
      <w:numFmt w:val="lowerLetter"/>
      <w:lvlText w:val="%2."/>
      <w:lvlJc w:val="left"/>
      <w:pPr>
        <w:ind w:left="2707" w:hanging="360"/>
      </w:pPr>
    </w:lvl>
    <w:lvl w:ilvl="2" w:tplc="040C001B" w:tentative="1">
      <w:start w:val="1"/>
      <w:numFmt w:val="lowerRoman"/>
      <w:lvlText w:val="%3."/>
      <w:lvlJc w:val="right"/>
      <w:pPr>
        <w:ind w:left="3427" w:hanging="180"/>
      </w:pPr>
    </w:lvl>
    <w:lvl w:ilvl="3" w:tplc="040C000F" w:tentative="1">
      <w:start w:val="1"/>
      <w:numFmt w:val="decimal"/>
      <w:lvlText w:val="%4."/>
      <w:lvlJc w:val="left"/>
      <w:pPr>
        <w:ind w:left="4147" w:hanging="360"/>
      </w:pPr>
    </w:lvl>
    <w:lvl w:ilvl="4" w:tplc="040C0019" w:tentative="1">
      <w:start w:val="1"/>
      <w:numFmt w:val="lowerLetter"/>
      <w:lvlText w:val="%5."/>
      <w:lvlJc w:val="left"/>
      <w:pPr>
        <w:ind w:left="4867" w:hanging="360"/>
      </w:pPr>
    </w:lvl>
    <w:lvl w:ilvl="5" w:tplc="040C001B" w:tentative="1">
      <w:start w:val="1"/>
      <w:numFmt w:val="lowerRoman"/>
      <w:lvlText w:val="%6."/>
      <w:lvlJc w:val="right"/>
      <w:pPr>
        <w:ind w:left="5587" w:hanging="180"/>
      </w:pPr>
    </w:lvl>
    <w:lvl w:ilvl="6" w:tplc="040C000F" w:tentative="1">
      <w:start w:val="1"/>
      <w:numFmt w:val="decimal"/>
      <w:lvlText w:val="%7."/>
      <w:lvlJc w:val="left"/>
      <w:pPr>
        <w:ind w:left="6307" w:hanging="360"/>
      </w:pPr>
    </w:lvl>
    <w:lvl w:ilvl="7" w:tplc="040C0019" w:tentative="1">
      <w:start w:val="1"/>
      <w:numFmt w:val="lowerLetter"/>
      <w:lvlText w:val="%8."/>
      <w:lvlJc w:val="left"/>
      <w:pPr>
        <w:ind w:left="7027" w:hanging="360"/>
      </w:pPr>
    </w:lvl>
    <w:lvl w:ilvl="8" w:tplc="040C001B" w:tentative="1">
      <w:start w:val="1"/>
      <w:numFmt w:val="lowerRoman"/>
      <w:lvlText w:val="%9."/>
      <w:lvlJc w:val="right"/>
      <w:pPr>
        <w:ind w:left="7747" w:hanging="180"/>
      </w:pPr>
    </w:lvl>
  </w:abstractNum>
  <w:abstractNum w:abstractNumId="23" w15:restartNumberingAfterBreak="0">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83001A1"/>
    <w:multiLevelType w:val="hybridMultilevel"/>
    <w:tmpl w:val="5D34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032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C8B7F2B"/>
    <w:multiLevelType w:val="hybridMultilevel"/>
    <w:tmpl w:val="CE345502"/>
    <w:lvl w:ilvl="0" w:tplc="441AFD5E">
      <w:start w:val="20"/>
      <w:numFmt w:val="bullet"/>
      <w:lvlText w:val="-"/>
      <w:lvlJc w:val="left"/>
      <w:pPr>
        <w:ind w:left="720" w:hanging="360"/>
      </w:pPr>
      <w:rPr>
        <w:rFonts w:ascii="Times New Roman" w:hAnsi="Times New Roman" w:cs="Times New Roman" w:hint="default"/>
        <w:b/>
        <w:i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387FF6"/>
    <w:multiLevelType w:val="hybridMultilevel"/>
    <w:tmpl w:val="BB401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18011E"/>
    <w:multiLevelType w:val="hybridMultilevel"/>
    <w:tmpl w:val="2326C282"/>
    <w:lvl w:ilvl="0" w:tplc="7C183932">
      <w:start w:val="1"/>
      <w:numFmt w:val="bullet"/>
      <w:lvlText w:val="o"/>
      <w:lvlJc w:val="left"/>
      <w:pPr>
        <w:tabs>
          <w:tab w:val="num" w:pos="720"/>
        </w:tabs>
        <w:ind w:left="720" w:hanging="360"/>
      </w:pPr>
      <w:rPr>
        <w:rFonts w:ascii="Courier New" w:hAnsi="Courier New" w:hint="default"/>
      </w:rPr>
    </w:lvl>
    <w:lvl w:ilvl="1" w:tplc="A984C468" w:tentative="1">
      <w:start w:val="1"/>
      <w:numFmt w:val="bullet"/>
      <w:lvlText w:val="o"/>
      <w:lvlJc w:val="left"/>
      <w:pPr>
        <w:tabs>
          <w:tab w:val="num" w:pos="1440"/>
        </w:tabs>
        <w:ind w:left="1440" w:hanging="360"/>
      </w:pPr>
      <w:rPr>
        <w:rFonts w:ascii="Courier New" w:hAnsi="Courier New" w:hint="default"/>
      </w:rPr>
    </w:lvl>
    <w:lvl w:ilvl="2" w:tplc="534C0C2E" w:tentative="1">
      <w:start w:val="1"/>
      <w:numFmt w:val="bullet"/>
      <w:lvlText w:val="o"/>
      <w:lvlJc w:val="left"/>
      <w:pPr>
        <w:tabs>
          <w:tab w:val="num" w:pos="2160"/>
        </w:tabs>
        <w:ind w:left="2160" w:hanging="360"/>
      </w:pPr>
      <w:rPr>
        <w:rFonts w:ascii="Courier New" w:hAnsi="Courier New" w:hint="default"/>
      </w:rPr>
    </w:lvl>
    <w:lvl w:ilvl="3" w:tplc="9A5670E8" w:tentative="1">
      <w:start w:val="1"/>
      <w:numFmt w:val="bullet"/>
      <w:lvlText w:val="o"/>
      <w:lvlJc w:val="left"/>
      <w:pPr>
        <w:tabs>
          <w:tab w:val="num" w:pos="2880"/>
        </w:tabs>
        <w:ind w:left="2880" w:hanging="360"/>
      </w:pPr>
      <w:rPr>
        <w:rFonts w:ascii="Courier New" w:hAnsi="Courier New" w:hint="default"/>
      </w:rPr>
    </w:lvl>
    <w:lvl w:ilvl="4" w:tplc="F55C6902" w:tentative="1">
      <w:start w:val="1"/>
      <w:numFmt w:val="bullet"/>
      <w:lvlText w:val="o"/>
      <w:lvlJc w:val="left"/>
      <w:pPr>
        <w:tabs>
          <w:tab w:val="num" w:pos="3600"/>
        </w:tabs>
        <w:ind w:left="3600" w:hanging="360"/>
      </w:pPr>
      <w:rPr>
        <w:rFonts w:ascii="Courier New" w:hAnsi="Courier New" w:hint="default"/>
      </w:rPr>
    </w:lvl>
    <w:lvl w:ilvl="5" w:tplc="121AE98A" w:tentative="1">
      <w:start w:val="1"/>
      <w:numFmt w:val="bullet"/>
      <w:lvlText w:val="o"/>
      <w:lvlJc w:val="left"/>
      <w:pPr>
        <w:tabs>
          <w:tab w:val="num" w:pos="4320"/>
        </w:tabs>
        <w:ind w:left="4320" w:hanging="360"/>
      </w:pPr>
      <w:rPr>
        <w:rFonts w:ascii="Courier New" w:hAnsi="Courier New" w:hint="default"/>
      </w:rPr>
    </w:lvl>
    <w:lvl w:ilvl="6" w:tplc="F2402D5A" w:tentative="1">
      <w:start w:val="1"/>
      <w:numFmt w:val="bullet"/>
      <w:lvlText w:val="o"/>
      <w:lvlJc w:val="left"/>
      <w:pPr>
        <w:tabs>
          <w:tab w:val="num" w:pos="5040"/>
        </w:tabs>
        <w:ind w:left="5040" w:hanging="360"/>
      </w:pPr>
      <w:rPr>
        <w:rFonts w:ascii="Courier New" w:hAnsi="Courier New" w:hint="default"/>
      </w:rPr>
    </w:lvl>
    <w:lvl w:ilvl="7" w:tplc="4F46AC7C" w:tentative="1">
      <w:start w:val="1"/>
      <w:numFmt w:val="bullet"/>
      <w:lvlText w:val="o"/>
      <w:lvlJc w:val="left"/>
      <w:pPr>
        <w:tabs>
          <w:tab w:val="num" w:pos="5760"/>
        </w:tabs>
        <w:ind w:left="5760" w:hanging="360"/>
      </w:pPr>
      <w:rPr>
        <w:rFonts w:ascii="Courier New" w:hAnsi="Courier New" w:hint="default"/>
      </w:rPr>
    </w:lvl>
    <w:lvl w:ilvl="8" w:tplc="B010DDAA" w:tentative="1">
      <w:start w:val="1"/>
      <w:numFmt w:val="bullet"/>
      <w:lvlText w:val="o"/>
      <w:lvlJc w:val="left"/>
      <w:pPr>
        <w:tabs>
          <w:tab w:val="num" w:pos="6480"/>
        </w:tabs>
        <w:ind w:left="6480" w:hanging="360"/>
      </w:pPr>
      <w:rPr>
        <w:rFonts w:ascii="Courier New" w:hAnsi="Courier New" w:hint="default"/>
      </w:rPr>
    </w:lvl>
  </w:abstractNum>
  <w:abstractNum w:abstractNumId="30" w15:restartNumberingAfterBreak="0">
    <w:nsid w:val="62CF58CF"/>
    <w:multiLevelType w:val="hybridMultilevel"/>
    <w:tmpl w:val="82F67764"/>
    <w:lvl w:ilvl="0" w:tplc="A0624136">
      <w:start w:val="1"/>
      <w:numFmt w:val="bullet"/>
      <w:lvlText w:val="o"/>
      <w:lvlJc w:val="left"/>
      <w:pPr>
        <w:tabs>
          <w:tab w:val="num" w:pos="720"/>
        </w:tabs>
        <w:ind w:left="720" w:hanging="360"/>
      </w:pPr>
      <w:rPr>
        <w:rFonts w:ascii="Courier New" w:hAnsi="Courier New" w:hint="default"/>
      </w:rPr>
    </w:lvl>
    <w:lvl w:ilvl="1" w:tplc="34308932" w:tentative="1">
      <w:start w:val="1"/>
      <w:numFmt w:val="bullet"/>
      <w:lvlText w:val="o"/>
      <w:lvlJc w:val="left"/>
      <w:pPr>
        <w:tabs>
          <w:tab w:val="num" w:pos="1440"/>
        </w:tabs>
        <w:ind w:left="1440" w:hanging="360"/>
      </w:pPr>
      <w:rPr>
        <w:rFonts w:ascii="Courier New" w:hAnsi="Courier New" w:hint="default"/>
      </w:rPr>
    </w:lvl>
    <w:lvl w:ilvl="2" w:tplc="E020C126" w:tentative="1">
      <w:start w:val="1"/>
      <w:numFmt w:val="bullet"/>
      <w:lvlText w:val="o"/>
      <w:lvlJc w:val="left"/>
      <w:pPr>
        <w:tabs>
          <w:tab w:val="num" w:pos="2160"/>
        </w:tabs>
        <w:ind w:left="2160" w:hanging="360"/>
      </w:pPr>
      <w:rPr>
        <w:rFonts w:ascii="Courier New" w:hAnsi="Courier New" w:hint="default"/>
      </w:rPr>
    </w:lvl>
    <w:lvl w:ilvl="3" w:tplc="5C209B50" w:tentative="1">
      <w:start w:val="1"/>
      <w:numFmt w:val="bullet"/>
      <w:lvlText w:val="o"/>
      <w:lvlJc w:val="left"/>
      <w:pPr>
        <w:tabs>
          <w:tab w:val="num" w:pos="2880"/>
        </w:tabs>
        <w:ind w:left="2880" w:hanging="360"/>
      </w:pPr>
      <w:rPr>
        <w:rFonts w:ascii="Courier New" w:hAnsi="Courier New" w:hint="default"/>
      </w:rPr>
    </w:lvl>
    <w:lvl w:ilvl="4" w:tplc="E7DA40B8" w:tentative="1">
      <w:start w:val="1"/>
      <w:numFmt w:val="bullet"/>
      <w:lvlText w:val="o"/>
      <w:lvlJc w:val="left"/>
      <w:pPr>
        <w:tabs>
          <w:tab w:val="num" w:pos="3600"/>
        </w:tabs>
        <w:ind w:left="3600" w:hanging="360"/>
      </w:pPr>
      <w:rPr>
        <w:rFonts w:ascii="Courier New" w:hAnsi="Courier New" w:hint="default"/>
      </w:rPr>
    </w:lvl>
    <w:lvl w:ilvl="5" w:tplc="50F889F8" w:tentative="1">
      <w:start w:val="1"/>
      <w:numFmt w:val="bullet"/>
      <w:lvlText w:val="o"/>
      <w:lvlJc w:val="left"/>
      <w:pPr>
        <w:tabs>
          <w:tab w:val="num" w:pos="4320"/>
        </w:tabs>
        <w:ind w:left="4320" w:hanging="360"/>
      </w:pPr>
      <w:rPr>
        <w:rFonts w:ascii="Courier New" w:hAnsi="Courier New" w:hint="default"/>
      </w:rPr>
    </w:lvl>
    <w:lvl w:ilvl="6" w:tplc="78364A5A" w:tentative="1">
      <w:start w:val="1"/>
      <w:numFmt w:val="bullet"/>
      <w:lvlText w:val="o"/>
      <w:lvlJc w:val="left"/>
      <w:pPr>
        <w:tabs>
          <w:tab w:val="num" w:pos="5040"/>
        </w:tabs>
        <w:ind w:left="5040" w:hanging="360"/>
      </w:pPr>
      <w:rPr>
        <w:rFonts w:ascii="Courier New" w:hAnsi="Courier New" w:hint="default"/>
      </w:rPr>
    </w:lvl>
    <w:lvl w:ilvl="7" w:tplc="C868D62A" w:tentative="1">
      <w:start w:val="1"/>
      <w:numFmt w:val="bullet"/>
      <w:lvlText w:val="o"/>
      <w:lvlJc w:val="left"/>
      <w:pPr>
        <w:tabs>
          <w:tab w:val="num" w:pos="5760"/>
        </w:tabs>
        <w:ind w:left="5760" w:hanging="360"/>
      </w:pPr>
      <w:rPr>
        <w:rFonts w:ascii="Courier New" w:hAnsi="Courier New" w:hint="default"/>
      </w:rPr>
    </w:lvl>
    <w:lvl w:ilvl="8" w:tplc="8A4C0ACE" w:tentative="1">
      <w:start w:val="1"/>
      <w:numFmt w:val="bullet"/>
      <w:lvlText w:val="o"/>
      <w:lvlJc w:val="left"/>
      <w:pPr>
        <w:tabs>
          <w:tab w:val="num" w:pos="6480"/>
        </w:tabs>
        <w:ind w:left="6480" w:hanging="360"/>
      </w:pPr>
      <w:rPr>
        <w:rFonts w:ascii="Courier New" w:hAnsi="Courier New" w:hint="default"/>
      </w:rPr>
    </w:lvl>
  </w:abstractNum>
  <w:abstractNum w:abstractNumId="31" w15:restartNumberingAfterBreak="0">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DBC08BF"/>
    <w:multiLevelType w:val="hybridMultilevel"/>
    <w:tmpl w:val="7D00D8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1F45EA"/>
    <w:multiLevelType w:val="hybridMultilevel"/>
    <w:tmpl w:val="8C1A6746"/>
    <w:lvl w:ilvl="0" w:tplc="D36C5D60">
      <w:start w:val="1"/>
      <w:numFmt w:val="decimal"/>
      <w:suff w:val="space"/>
      <w:lvlText w:val="%1."/>
      <w:lvlJc w:val="left"/>
      <w:pPr>
        <w:ind w:left="1987" w:hanging="360"/>
      </w:pPr>
      <w:rPr>
        <w:rFonts w:hint="default"/>
      </w:rPr>
    </w:lvl>
    <w:lvl w:ilvl="1" w:tplc="040C0019" w:tentative="1">
      <w:start w:val="1"/>
      <w:numFmt w:val="lowerLetter"/>
      <w:lvlText w:val="%2."/>
      <w:lvlJc w:val="left"/>
      <w:pPr>
        <w:ind w:left="2707" w:hanging="360"/>
      </w:pPr>
    </w:lvl>
    <w:lvl w:ilvl="2" w:tplc="040C001B" w:tentative="1">
      <w:start w:val="1"/>
      <w:numFmt w:val="lowerRoman"/>
      <w:lvlText w:val="%3."/>
      <w:lvlJc w:val="right"/>
      <w:pPr>
        <w:ind w:left="3427" w:hanging="180"/>
      </w:pPr>
    </w:lvl>
    <w:lvl w:ilvl="3" w:tplc="040C000F" w:tentative="1">
      <w:start w:val="1"/>
      <w:numFmt w:val="decimal"/>
      <w:lvlText w:val="%4."/>
      <w:lvlJc w:val="left"/>
      <w:pPr>
        <w:ind w:left="4147" w:hanging="360"/>
      </w:pPr>
    </w:lvl>
    <w:lvl w:ilvl="4" w:tplc="040C0019" w:tentative="1">
      <w:start w:val="1"/>
      <w:numFmt w:val="lowerLetter"/>
      <w:lvlText w:val="%5."/>
      <w:lvlJc w:val="left"/>
      <w:pPr>
        <w:ind w:left="4867" w:hanging="360"/>
      </w:pPr>
    </w:lvl>
    <w:lvl w:ilvl="5" w:tplc="040C001B" w:tentative="1">
      <w:start w:val="1"/>
      <w:numFmt w:val="lowerRoman"/>
      <w:lvlText w:val="%6."/>
      <w:lvlJc w:val="right"/>
      <w:pPr>
        <w:ind w:left="5587" w:hanging="180"/>
      </w:pPr>
    </w:lvl>
    <w:lvl w:ilvl="6" w:tplc="040C000F" w:tentative="1">
      <w:start w:val="1"/>
      <w:numFmt w:val="decimal"/>
      <w:lvlText w:val="%7."/>
      <w:lvlJc w:val="left"/>
      <w:pPr>
        <w:ind w:left="6307" w:hanging="360"/>
      </w:pPr>
    </w:lvl>
    <w:lvl w:ilvl="7" w:tplc="040C0019" w:tentative="1">
      <w:start w:val="1"/>
      <w:numFmt w:val="lowerLetter"/>
      <w:lvlText w:val="%8."/>
      <w:lvlJc w:val="left"/>
      <w:pPr>
        <w:ind w:left="7027" w:hanging="360"/>
      </w:pPr>
    </w:lvl>
    <w:lvl w:ilvl="8" w:tplc="040C001B" w:tentative="1">
      <w:start w:val="1"/>
      <w:numFmt w:val="lowerRoman"/>
      <w:lvlText w:val="%9."/>
      <w:lvlJc w:val="right"/>
      <w:pPr>
        <w:ind w:left="7747" w:hanging="180"/>
      </w:pPr>
    </w:lvl>
  </w:abstractNum>
  <w:abstractNum w:abstractNumId="34" w15:restartNumberingAfterBreak="0">
    <w:nsid w:val="74D14FD5"/>
    <w:multiLevelType w:val="hybridMultilevel"/>
    <w:tmpl w:val="C526E486"/>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79852D17"/>
    <w:multiLevelType w:val="hybridMultilevel"/>
    <w:tmpl w:val="17BE50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BD9165C"/>
    <w:multiLevelType w:val="hybridMultilevel"/>
    <w:tmpl w:val="585C38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8"/>
  </w:num>
  <w:num w:numId="4">
    <w:abstractNumId w:val="5"/>
  </w:num>
  <w:num w:numId="5">
    <w:abstractNumId w:val="23"/>
  </w:num>
  <w:num w:numId="6">
    <w:abstractNumId w:val="26"/>
  </w:num>
  <w:num w:numId="7">
    <w:abstractNumId w:val="4"/>
  </w:num>
  <w:num w:numId="8">
    <w:abstractNumId w:val="25"/>
  </w:num>
  <w:num w:numId="9">
    <w:abstractNumId w:val="6"/>
  </w:num>
  <w:num w:numId="10">
    <w:abstractNumId w:val="15"/>
  </w:num>
  <w:num w:numId="11">
    <w:abstractNumId w:val="34"/>
  </w:num>
  <w:num w:numId="12">
    <w:abstractNumId w:val="18"/>
  </w:num>
  <w:num w:numId="13">
    <w:abstractNumId w:val="20"/>
  </w:num>
  <w:num w:numId="14">
    <w:abstractNumId w:val="9"/>
  </w:num>
  <w:num w:numId="15">
    <w:abstractNumId w:val="1"/>
  </w:num>
  <w:num w:numId="16">
    <w:abstractNumId w:val="31"/>
  </w:num>
  <w:num w:numId="17">
    <w:abstractNumId w:val="28"/>
  </w:num>
  <w:num w:numId="18">
    <w:abstractNumId w:val="33"/>
  </w:num>
  <w:num w:numId="19">
    <w:abstractNumId w:val="22"/>
  </w:num>
  <w:num w:numId="20">
    <w:abstractNumId w:val="35"/>
  </w:num>
  <w:num w:numId="21">
    <w:abstractNumId w:val="7"/>
  </w:num>
  <w:num w:numId="22">
    <w:abstractNumId w:val="10"/>
  </w:num>
  <w:num w:numId="23">
    <w:abstractNumId w:val="24"/>
  </w:num>
  <w:num w:numId="24">
    <w:abstractNumId w:val="0"/>
  </w:num>
  <w:num w:numId="25">
    <w:abstractNumId w:val="36"/>
  </w:num>
  <w:num w:numId="26">
    <w:abstractNumId w:val="21"/>
  </w:num>
  <w:num w:numId="27">
    <w:abstractNumId w:val="14"/>
  </w:num>
  <w:num w:numId="28">
    <w:abstractNumId w:val="12"/>
  </w:num>
  <w:num w:numId="29">
    <w:abstractNumId w:val="19"/>
  </w:num>
  <w:num w:numId="30">
    <w:abstractNumId w:val="2"/>
  </w:num>
  <w:num w:numId="31">
    <w:abstractNumId w:val="17"/>
  </w:num>
  <w:num w:numId="32">
    <w:abstractNumId w:val="13"/>
  </w:num>
  <w:num w:numId="33">
    <w:abstractNumId w:val="11"/>
  </w:num>
  <w:num w:numId="34">
    <w:abstractNumId w:val="30"/>
  </w:num>
  <w:num w:numId="35">
    <w:abstractNumId w:val="29"/>
  </w:num>
  <w:num w:numId="36">
    <w:abstractNumId w:val="32"/>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68"/>
    <w:rsid w:val="00007461"/>
    <w:rsid w:val="000079CC"/>
    <w:rsid w:val="000115B5"/>
    <w:rsid w:val="00011A63"/>
    <w:rsid w:val="0001364B"/>
    <w:rsid w:val="00037634"/>
    <w:rsid w:val="00043581"/>
    <w:rsid w:val="000502AD"/>
    <w:rsid w:val="00063813"/>
    <w:rsid w:val="00076472"/>
    <w:rsid w:val="000823AC"/>
    <w:rsid w:val="000A049E"/>
    <w:rsid w:val="000B4B6C"/>
    <w:rsid w:val="000C09B4"/>
    <w:rsid w:val="000C4457"/>
    <w:rsid w:val="000D6DE5"/>
    <w:rsid w:val="000F77FD"/>
    <w:rsid w:val="00136E4F"/>
    <w:rsid w:val="00141B05"/>
    <w:rsid w:val="00151571"/>
    <w:rsid w:val="0015409F"/>
    <w:rsid w:val="0015460A"/>
    <w:rsid w:val="00157815"/>
    <w:rsid w:val="0016254B"/>
    <w:rsid w:val="001630E5"/>
    <w:rsid w:val="001663A4"/>
    <w:rsid w:val="00167645"/>
    <w:rsid w:val="00167DA9"/>
    <w:rsid w:val="0017188F"/>
    <w:rsid w:val="00176076"/>
    <w:rsid w:val="0018422D"/>
    <w:rsid w:val="00190014"/>
    <w:rsid w:val="001956C7"/>
    <w:rsid w:val="001A204C"/>
    <w:rsid w:val="001A3403"/>
    <w:rsid w:val="001A4D75"/>
    <w:rsid w:val="001A5AE8"/>
    <w:rsid w:val="001B721D"/>
    <w:rsid w:val="001F229E"/>
    <w:rsid w:val="001F3524"/>
    <w:rsid w:val="001F7DB1"/>
    <w:rsid w:val="002117DA"/>
    <w:rsid w:val="00211E6D"/>
    <w:rsid w:val="00230A0E"/>
    <w:rsid w:val="002315A5"/>
    <w:rsid w:val="00232597"/>
    <w:rsid w:val="002532AF"/>
    <w:rsid w:val="002547CF"/>
    <w:rsid w:val="00260CB9"/>
    <w:rsid w:val="0026321D"/>
    <w:rsid w:val="00271429"/>
    <w:rsid w:val="00281066"/>
    <w:rsid w:val="00284517"/>
    <w:rsid w:val="00295E5D"/>
    <w:rsid w:val="002B2D2D"/>
    <w:rsid w:val="002C1C3E"/>
    <w:rsid w:val="002C48A4"/>
    <w:rsid w:val="002C4B80"/>
    <w:rsid w:val="002D55A9"/>
    <w:rsid w:val="002D726F"/>
    <w:rsid w:val="002E0D4D"/>
    <w:rsid w:val="002E24D1"/>
    <w:rsid w:val="002F7E65"/>
    <w:rsid w:val="00311553"/>
    <w:rsid w:val="00312580"/>
    <w:rsid w:val="0032175A"/>
    <w:rsid w:val="00322DEA"/>
    <w:rsid w:val="00325DFF"/>
    <w:rsid w:val="003303CD"/>
    <w:rsid w:val="00333CEB"/>
    <w:rsid w:val="0034599E"/>
    <w:rsid w:val="00346615"/>
    <w:rsid w:val="00346DB9"/>
    <w:rsid w:val="00354CB5"/>
    <w:rsid w:val="00357B0E"/>
    <w:rsid w:val="00361EFA"/>
    <w:rsid w:val="00363EC5"/>
    <w:rsid w:val="00366AD1"/>
    <w:rsid w:val="00370A73"/>
    <w:rsid w:val="0037523B"/>
    <w:rsid w:val="003A16B1"/>
    <w:rsid w:val="003A7A99"/>
    <w:rsid w:val="003B01DA"/>
    <w:rsid w:val="003B037A"/>
    <w:rsid w:val="003B422F"/>
    <w:rsid w:val="003C0DFE"/>
    <w:rsid w:val="003C43D0"/>
    <w:rsid w:val="003D653B"/>
    <w:rsid w:val="003E7099"/>
    <w:rsid w:val="003F03B5"/>
    <w:rsid w:val="003F7A0F"/>
    <w:rsid w:val="004004FC"/>
    <w:rsid w:val="00400743"/>
    <w:rsid w:val="004013F8"/>
    <w:rsid w:val="00417008"/>
    <w:rsid w:val="00424E4F"/>
    <w:rsid w:val="00435CA4"/>
    <w:rsid w:val="00461D62"/>
    <w:rsid w:val="004A02F3"/>
    <w:rsid w:val="004A4006"/>
    <w:rsid w:val="004A5634"/>
    <w:rsid w:val="004A7BED"/>
    <w:rsid w:val="004B00F2"/>
    <w:rsid w:val="004B3911"/>
    <w:rsid w:val="004C5951"/>
    <w:rsid w:val="004C595C"/>
    <w:rsid w:val="004D2931"/>
    <w:rsid w:val="004D3DBE"/>
    <w:rsid w:val="004E416A"/>
    <w:rsid w:val="004F6841"/>
    <w:rsid w:val="00514BC0"/>
    <w:rsid w:val="00516AC8"/>
    <w:rsid w:val="00517955"/>
    <w:rsid w:val="005243B7"/>
    <w:rsid w:val="00530FDE"/>
    <w:rsid w:val="00537D86"/>
    <w:rsid w:val="005426F7"/>
    <w:rsid w:val="005474ED"/>
    <w:rsid w:val="00571AA5"/>
    <w:rsid w:val="005A0CB1"/>
    <w:rsid w:val="005A0E0E"/>
    <w:rsid w:val="005A6E85"/>
    <w:rsid w:val="005A7B65"/>
    <w:rsid w:val="005C05CA"/>
    <w:rsid w:val="005C6168"/>
    <w:rsid w:val="005E0C05"/>
    <w:rsid w:val="005F2E08"/>
    <w:rsid w:val="005F6261"/>
    <w:rsid w:val="00612159"/>
    <w:rsid w:val="00622914"/>
    <w:rsid w:val="00627067"/>
    <w:rsid w:val="00627F4A"/>
    <w:rsid w:val="00635929"/>
    <w:rsid w:val="0064746F"/>
    <w:rsid w:val="00650A1C"/>
    <w:rsid w:val="0065268E"/>
    <w:rsid w:val="00673710"/>
    <w:rsid w:val="00674B1A"/>
    <w:rsid w:val="00683B92"/>
    <w:rsid w:val="00685360"/>
    <w:rsid w:val="006900FE"/>
    <w:rsid w:val="00697212"/>
    <w:rsid w:val="006B0D97"/>
    <w:rsid w:val="006B2707"/>
    <w:rsid w:val="006C4581"/>
    <w:rsid w:val="00700521"/>
    <w:rsid w:val="00700FF6"/>
    <w:rsid w:val="00717CE1"/>
    <w:rsid w:val="00720532"/>
    <w:rsid w:val="00757E34"/>
    <w:rsid w:val="00760E32"/>
    <w:rsid w:val="007614FC"/>
    <w:rsid w:val="00764E41"/>
    <w:rsid w:val="00771515"/>
    <w:rsid w:val="00771878"/>
    <w:rsid w:val="00776056"/>
    <w:rsid w:val="00790C12"/>
    <w:rsid w:val="007934B5"/>
    <w:rsid w:val="007A213B"/>
    <w:rsid w:val="007C1B15"/>
    <w:rsid w:val="007C440C"/>
    <w:rsid w:val="007D7006"/>
    <w:rsid w:val="007E1663"/>
    <w:rsid w:val="007E2619"/>
    <w:rsid w:val="007F77AF"/>
    <w:rsid w:val="008018C5"/>
    <w:rsid w:val="008019FD"/>
    <w:rsid w:val="00813F1E"/>
    <w:rsid w:val="0081403B"/>
    <w:rsid w:val="00817115"/>
    <w:rsid w:val="00820326"/>
    <w:rsid w:val="00824B4F"/>
    <w:rsid w:val="00837C4B"/>
    <w:rsid w:val="00842737"/>
    <w:rsid w:val="00843006"/>
    <w:rsid w:val="0084388A"/>
    <w:rsid w:val="008440D9"/>
    <w:rsid w:val="00845340"/>
    <w:rsid w:val="00850ADC"/>
    <w:rsid w:val="00856E99"/>
    <w:rsid w:val="008574A3"/>
    <w:rsid w:val="00861B21"/>
    <w:rsid w:val="00865CBA"/>
    <w:rsid w:val="00867AAC"/>
    <w:rsid w:val="00875120"/>
    <w:rsid w:val="00882ECA"/>
    <w:rsid w:val="008847BE"/>
    <w:rsid w:val="00893693"/>
    <w:rsid w:val="008A5586"/>
    <w:rsid w:val="008B06DD"/>
    <w:rsid w:val="008C3258"/>
    <w:rsid w:val="008C32A2"/>
    <w:rsid w:val="008D4556"/>
    <w:rsid w:val="008D4D58"/>
    <w:rsid w:val="008D791F"/>
    <w:rsid w:val="008F0A97"/>
    <w:rsid w:val="00907C12"/>
    <w:rsid w:val="00920DBC"/>
    <w:rsid w:val="00925F67"/>
    <w:rsid w:val="00931A3E"/>
    <w:rsid w:val="009353D7"/>
    <w:rsid w:val="00942B3B"/>
    <w:rsid w:val="00955FC7"/>
    <w:rsid w:val="00960936"/>
    <w:rsid w:val="0097197E"/>
    <w:rsid w:val="00975566"/>
    <w:rsid w:val="00984DC5"/>
    <w:rsid w:val="00990CED"/>
    <w:rsid w:val="00991BD7"/>
    <w:rsid w:val="009A6D77"/>
    <w:rsid w:val="009B76A1"/>
    <w:rsid w:val="009E7526"/>
    <w:rsid w:val="009F21FD"/>
    <w:rsid w:val="009F39AA"/>
    <w:rsid w:val="009F56CD"/>
    <w:rsid w:val="009F75BB"/>
    <w:rsid w:val="00A0001A"/>
    <w:rsid w:val="00A1786A"/>
    <w:rsid w:val="00A210CD"/>
    <w:rsid w:val="00A30EBB"/>
    <w:rsid w:val="00A40130"/>
    <w:rsid w:val="00A44F24"/>
    <w:rsid w:val="00A44FB1"/>
    <w:rsid w:val="00A45528"/>
    <w:rsid w:val="00A52555"/>
    <w:rsid w:val="00A57912"/>
    <w:rsid w:val="00A61286"/>
    <w:rsid w:val="00A74149"/>
    <w:rsid w:val="00A85E34"/>
    <w:rsid w:val="00A92013"/>
    <w:rsid w:val="00A93B73"/>
    <w:rsid w:val="00AB50AA"/>
    <w:rsid w:val="00AD3E4C"/>
    <w:rsid w:val="00AF4BDA"/>
    <w:rsid w:val="00B00E5C"/>
    <w:rsid w:val="00B053BE"/>
    <w:rsid w:val="00B15C45"/>
    <w:rsid w:val="00B2050D"/>
    <w:rsid w:val="00B25B8C"/>
    <w:rsid w:val="00B308AB"/>
    <w:rsid w:val="00B32ADA"/>
    <w:rsid w:val="00B43132"/>
    <w:rsid w:val="00B43715"/>
    <w:rsid w:val="00B4430C"/>
    <w:rsid w:val="00B45517"/>
    <w:rsid w:val="00B478C3"/>
    <w:rsid w:val="00B64ACA"/>
    <w:rsid w:val="00B64F76"/>
    <w:rsid w:val="00BC0FCB"/>
    <w:rsid w:val="00BC2B86"/>
    <w:rsid w:val="00BC38E0"/>
    <w:rsid w:val="00BC6750"/>
    <w:rsid w:val="00BE2925"/>
    <w:rsid w:val="00BE70F7"/>
    <w:rsid w:val="00C005EF"/>
    <w:rsid w:val="00C110DC"/>
    <w:rsid w:val="00C11570"/>
    <w:rsid w:val="00C133E5"/>
    <w:rsid w:val="00C27500"/>
    <w:rsid w:val="00C55937"/>
    <w:rsid w:val="00C66DE1"/>
    <w:rsid w:val="00C95551"/>
    <w:rsid w:val="00C9679D"/>
    <w:rsid w:val="00C97E31"/>
    <w:rsid w:val="00CA0EE4"/>
    <w:rsid w:val="00CB647D"/>
    <w:rsid w:val="00D005C1"/>
    <w:rsid w:val="00D11361"/>
    <w:rsid w:val="00D16389"/>
    <w:rsid w:val="00D207E0"/>
    <w:rsid w:val="00D30BE3"/>
    <w:rsid w:val="00D51491"/>
    <w:rsid w:val="00D51AA1"/>
    <w:rsid w:val="00D53CC9"/>
    <w:rsid w:val="00D80A4F"/>
    <w:rsid w:val="00D9192E"/>
    <w:rsid w:val="00D9390D"/>
    <w:rsid w:val="00DB4502"/>
    <w:rsid w:val="00DC4D86"/>
    <w:rsid w:val="00DC7354"/>
    <w:rsid w:val="00DD4368"/>
    <w:rsid w:val="00DF0357"/>
    <w:rsid w:val="00E06A4E"/>
    <w:rsid w:val="00E07236"/>
    <w:rsid w:val="00E112F7"/>
    <w:rsid w:val="00E1547F"/>
    <w:rsid w:val="00E25F2F"/>
    <w:rsid w:val="00E32ACA"/>
    <w:rsid w:val="00E33204"/>
    <w:rsid w:val="00E34241"/>
    <w:rsid w:val="00E37E7A"/>
    <w:rsid w:val="00E41CB5"/>
    <w:rsid w:val="00E6220A"/>
    <w:rsid w:val="00E65D42"/>
    <w:rsid w:val="00E751BF"/>
    <w:rsid w:val="00E766C6"/>
    <w:rsid w:val="00E770DC"/>
    <w:rsid w:val="00E8144D"/>
    <w:rsid w:val="00E87F2C"/>
    <w:rsid w:val="00E947C6"/>
    <w:rsid w:val="00EA59AC"/>
    <w:rsid w:val="00EA720C"/>
    <w:rsid w:val="00EA7740"/>
    <w:rsid w:val="00EB28E1"/>
    <w:rsid w:val="00EC2922"/>
    <w:rsid w:val="00EC7BBC"/>
    <w:rsid w:val="00ED0899"/>
    <w:rsid w:val="00ED3E89"/>
    <w:rsid w:val="00EE1D60"/>
    <w:rsid w:val="00EF360A"/>
    <w:rsid w:val="00EF54AD"/>
    <w:rsid w:val="00F009E0"/>
    <w:rsid w:val="00F01FDE"/>
    <w:rsid w:val="00F16195"/>
    <w:rsid w:val="00F248B6"/>
    <w:rsid w:val="00F31949"/>
    <w:rsid w:val="00F32E1E"/>
    <w:rsid w:val="00F32E3D"/>
    <w:rsid w:val="00F372F4"/>
    <w:rsid w:val="00F37FA7"/>
    <w:rsid w:val="00F63623"/>
    <w:rsid w:val="00F64586"/>
    <w:rsid w:val="00F64977"/>
    <w:rsid w:val="00F67630"/>
    <w:rsid w:val="00F7147D"/>
    <w:rsid w:val="00F71C0C"/>
    <w:rsid w:val="00F826EC"/>
    <w:rsid w:val="00F83F13"/>
    <w:rsid w:val="00F847E8"/>
    <w:rsid w:val="00F84FD4"/>
    <w:rsid w:val="00F93511"/>
    <w:rsid w:val="00F9738C"/>
    <w:rsid w:val="00FB07FF"/>
    <w:rsid w:val="00FB2C4C"/>
    <w:rsid w:val="00FB3DB2"/>
    <w:rsid w:val="00FB4BD9"/>
    <w:rsid w:val="00FB685D"/>
    <w:rsid w:val="00FC0777"/>
    <w:rsid w:val="00FC2821"/>
    <w:rsid w:val="00FC45FD"/>
    <w:rsid w:val="00FE3711"/>
    <w:rsid w:val="00FE4225"/>
    <w:rsid w:val="00FE4FC3"/>
    <w:rsid w:val="00FF58D4"/>
    <w:rsid w:val="00FF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7385F"/>
  <w15:docId w15:val="{B9F0A9A3-B52E-46FC-AD86-D6E02957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E34"/>
    <w:rPr>
      <w:rFonts w:ascii="Calibri" w:eastAsiaTheme="minorHAnsi" w:hAnsi="Calibri" w:cs="Calibri"/>
      <w:sz w:val="22"/>
      <w:szCs w:val="22"/>
    </w:rPr>
  </w:style>
  <w:style w:type="paragraph" w:styleId="Heading1">
    <w:name w:val="heading 1"/>
    <w:basedOn w:val="Normal"/>
    <w:next w:val="Normal"/>
    <w:link w:val="Heading1Char"/>
    <w:qFormat/>
    <w:rsid w:val="00DC7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B07F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BC4"/>
    <w:rPr>
      <w:rFonts w:ascii="Univers" w:hAnsi="Univers"/>
    </w:rPr>
  </w:style>
  <w:style w:type="paragraph" w:styleId="BodyText2">
    <w:name w:val="Body Text 2"/>
    <w:basedOn w:val="Normal"/>
    <w:link w:val="BodyText2Char"/>
    <w:rsid w:val="00FF5BC4"/>
    <w:rPr>
      <w:rFonts w:ascii="Arial" w:hAnsi="Arial"/>
      <w:sz w:val="20"/>
    </w:rPr>
  </w:style>
  <w:style w:type="paragraph" w:styleId="BodyText3">
    <w:name w:val="Body Text 3"/>
    <w:basedOn w:val="Normal"/>
    <w:rsid w:val="00FF5BC4"/>
    <w:pPr>
      <w:jc w:val="both"/>
    </w:pPr>
    <w:rPr>
      <w:szCs w:val="24"/>
    </w:rPr>
  </w:style>
  <w:style w:type="paragraph" w:styleId="Header">
    <w:name w:val="header"/>
    <w:basedOn w:val="Normal"/>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C7354"/>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A210CD"/>
    <w:rPr>
      <w:sz w:val="24"/>
    </w:rPr>
  </w:style>
  <w:style w:type="paragraph" w:styleId="FootnoteText">
    <w:name w:val="footnote text"/>
    <w:aliases w:val="Footnote Text Char Char,Geneva 9,Font: Geneva 9,Boston 10,f,Texto nota pie Mach1,FA Fu,Footnote Text Char Char Char Char Char,Footnote Text Char Char Char Char Char Char Char Char Char Char,Footnote Text2,ft,footnote text"/>
    <w:basedOn w:val="Normal"/>
    <w:link w:val="FootnoteTextChar"/>
    <w:uiPriority w:val="99"/>
    <w:rsid w:val="001F3524"/>
    <w:rPr>
      <w:sz w:val="20"/>
    </w:rPr>
  </w:style>
  <w:style w:type="character" w:customStyle="1" w:styleId="FootnoteTextChar">
    <w:name w:val="Footnote Text Char"/>
    <w:aliases w:val="Footnote Text Char Char Char,Geneva 9 Char,Font: Geneva 9 Char,Boston 10 Char,f Char,Texto nota pie Mach1 Char,FA Fu Char,Footnote Text Char Char Char Char Char Char,Footnote Text Char Char Char Char Char Char Char Char Char Char Char"/>
    <w:basedOn w:val="DefaultParagraphFont"/>
    <w:link w:val="FootnoteText"/>
    <w:uiPriority w:val="99"/>
    <w:rsid w:val="001F3524"/>
  </w:style>
  <w:style w:type="character" w:styleId="FootnoteReference">
    <w:name w:val="footnote reference"/>
    <w:basedOn w:val="DefaultParagraphFont"/>
    <w:rsid w:val="001F3524"/>
    <w:rPr>
      <w:vertAlign w:val="superscript"/>
    </w:rPr>
  </w:style>
  <w:style w:type="paragraph" w:styleId="ListParagraph">
    <w:name w:val="List Paragraph"/>
    <w:aliases w:val="List Paragraph (numbered (a)),Evidence on Demand bullet points,CEIL PEAKS bullet points,Scriptoria bullet points,Dot pt,F5 List Paragraph,List Paragraph1,No Spacing1,List Paragraph Char Char Char,Indicator Text,Numbered Para 1,WB Para"/>
    <w:basedOn w:val="Normal"/>
    <w:link w:val="ListParagraphChar"/>
    <w:uiPriority w:val="34"/>
    <w:qFormat/>
    <w:rsid w:val="000115B5"/>
    <w:pPr>
      <w:ind w:left="720"/>
      <w:contextualSpacing/>
    </w:pPr>
  </w:style>
  <w:style w:type="character" w:styleId="CommentReference">
    <w:name w:val="annotation reference"/>
    <w:basedOn w:val="DefaultParagraphFont"/>
    <w:semiHidden/>
    <w:unhideWhenUsed/>
    <w:rsid w:val="00361EFA"/>
    <w:rPr>
      <w:sz w:val="16"/>
      <w:szCs w:val="16"/>
    </w:rPr>
  </w:style>
  <w:style w:type="paragraph" w:styleId="CommentText">
    <w:name w:val="annotation text"/>
    <w:basedOn w:val="Normal"/>
    <w:link w:val="CommentTextChar"/>
    <w:unhideWhenUsed/>
    <w:rsid w:val="00361EFA"/>
    <w:rPr>
      <w:sz w:val="20"/>
    </w:rPr>
  </w:style>
  <w:style w:type="character" w:customStyle="1" w:styleId="CommentTextChar">
    <w:name w:val="Comment Text Char"/>
    <w:basedOn w:val="DefaultParagraphFont"/>
    <w:link w:val="CommentText"/>
    <w:rsid w:val="00361EFA"/>
  </w:style>
  <w:style w:type="paragraph" w:styleId="CommentSubject">
    <w:name w:val="annotation subject"/>
    <w:basedOn w:val="CommentText"/>
    <w:next w:val="CommentText"/>
    <w:link w:val="CommentSubjectChar"/>
    <w:semiHidden/>
    <w:unhideWhenUsed/>
    <w:rsid w:val="00361EFA"/>
    <w:rPr>
      <w:b/>
      <w:bCs/>
    </w:rPr>
  </w:style>
  <w:style w:type="character" w:customStyle="1" w:styleId="CommentSubjectChar">
    <w:name w:val="Comment Subject Char"/>
    <w:basedOn w:val="CommentTextChar"/>
    <w:link w:val="CommentSubject"/>
    <w:semiHidden/>
    <w:rsid w:val="00361EFA"/>
    <w:rPr>
      <w:b/>
      <w:bCs/>
    </w:rPr>
  </w:style>
  <w:style w:type="paragraph" w:styleId="BalloonText">
    <w:name w:val="Balloon Text"/>
    <w:basedOn w:val="Normal"/>
    <w:link w:val="BalloonTextChar"/>
    <w:semiHidden/>
    <w:unhideWhenUsed/>
    <w:rsid w:val="00361EFA"/>
    <w:rPr>
      <w:rFonts w:ascii="Segoe UI" w:hAnsi="Segoe UI" w:cs="Segoe UI"/>
      <w:sz w:val="18"/>
      <w:szCs w:val="18"/>
    </w:rPr>
  </w:style>
  <w:style w:type="character" w:customStyle="1" w:styleId="BalloonTextChar">
    <w:name w:val="Balloon Text Char"/>
    <w:basedOn w:val="DefaultParagraphFont"/>
    <w:link w:val="BalloonText"/>
    <w:semiHidden/>
    <w:rsid w:val="00361EFA"/>
    <w:rPr>
      <w:rFonts w:ascii="Segoe UI" w:hAnsi="Segoe UI" w:cs="Segoe UI"/>
      <w:sz w:val="18"/>
      <w:szCs w:val="18"/>
    </w:rPr>
  </w:style>
  <w:style w:type="character" w:customStyle="1" w:styleId="ListParagraphChar">
    <w:name w:val="List Paragraph Char"/>
    <w:aliases w:val="List Paragraph (numbered (a)) Char,Evidence on Demand bullet points Char,CEIL PEAKS bullet points Char,Scriptoria bullet points Char,Dot pt Char,F5 List Paragraph Char,List Paragraph1 Char,No Spacing1 Char,Indicator Text Char"/>
    <w:link w:val="ListParagraph"/>
    <w:uiPriority w:val="34"/>
    <w:qFormat/>
    <w:locked/>
    <w:rsid w:val="00A52555"/>
    <w:rPr>
      <w:sz w:val="24"/>
    </w:rPr>
  </w:style>
  <w:style w:type="paragraph" w:styleId="NormalWeb">
    <w:name w:val="Normal (Web)"/>
    <w:basedOn w:val="Normal"/>
    <w:uiPriority w:val="99"/>
    <w:unhideWhenUsed/>
    <w:rsid w:val="003C43D0"/>
    <w:rPr>
      <w:szCs w:val="24"/>
    </w:rPr>
  </w:style>
  <w:style w:type="character" w:customStyle="1" w:styleId="roaranswertext">
    <w:name w:val="roar_answertext"/>
    <w:basedOn w:val="DefaultParagraphFont"/>
    <w:rsid w:val="004B00F2"/>
  </w:style>
  <w:style w:type="character" w:customStyle="1" w:styleId="BodyText2Char">
    <w:name w:val="Body Text 2 Char"/>
    <w:basedOn w:val="DefaultParagraphFont"/>
    <w:link w:val="BodyText2"/>
    <w:rsid w:val="004B00F2"/>
    <w:rPr>
      <w:rFonts w:ascii="Arial" w:hAnsi="Arial"/>
    </w:rPr>
  </w:style>
  <w:style w:type="paragraph" w:customStyle="1" w:styleId="Default">
    <w:name w:val="Default"/>
    <w:basedOn w:val="Normal"/>
    <w:rsid w:val="001A204C"/>
    <w:pPr>
      <w:autoSpaceDE w:val="0"/>
      <w:autoSpaceDN w:val="0"/>
    </w:pPr>
    <w:rPr>
      <w:color w:val="000000"/>
      <w:szCs w:val="24"/>
    </w:rPr>
  </w:style>
  <w:style w:type="character" w:customStyle="1" w:styleId="st">
    <w:name w:val="st"/>
    <w:basedOn w:val="DefaultParagraphFont"/>
    <w:rsid w:val="00C9679D"/>
  </w:style>
  <w:style w:type="character" w:styleId="Emphasis">
    <w:name w:val="Emphasis"/>
    <w:basedOn w:val="DefaultParagraphFont"/>
    <w:uiPriority w:val="20"/>
    <w:qFormat/>
    <w:rsid w:val="00C9679D"/>
    <w:rPr>
      <w:i/>
      <w:iCs/>
    </w:rPr>
  </w:style>
  <w:style w:type="paragraph" w:styleId="HTMLPreformatted">
    <w:name w:val="HTML Preformatted"/>
    <w:basedOn w:val="Normal"/>
    <w:link w:val="HTMLPreformattedChar"/>
    <w:uiPriority w:val="99"/>
    <w:unhideWhenUsed/>
    <w:rsid w:val="005A0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A0E0E"/>
    <w:rPr>
      <w:rFonts w:ascii="Courier New" w:hAnsi="Courier New" w:cs="Courier New"/>
    </w:rPr>
  </w:style>
  <w:style w:type="character" w:styleId="Hyperlink">
    <w:name w:val="Hyperlink"/>
    <w:basedOn w:val="DefaultParagraphFont"/>
    <w:uiPriority w:val="99"/>
    <w:semiHidden/>
    <w:unhideWhenUsed/>
    <w:rsid w:val="00FB07FF"/>
    <w:rPr>
      <w:color w:val="0000FF"/>
      <w:u w:val="single"/>
    </w:rPr>
  </w:style>
  <w:style w:type="character" w:customStyle="1" w:styleId="Heading2Char">
    <w:name w:val="Heading 2 Char"/>
    <w:basedOn w:val="DefaultParagraphFont"/>
    <w:link w:val="Heading2"/>
    <w:semiHidden/>
    <w:rsid w:val="00FB07F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46895">
      <w:bodyDiv w:val="1"/>
      <w:marLeft w:val="0"/>
      <w:marRight w:val="0"/>
      <w:marTop w:val="0"/>
      <w:marBottom w:val="0"/>
      <w:divBdr>
        <w:top w:val="none" w:sz="0" w:space="0" w:color="auto"/>
        <w:left w:val="none" w:sz="0" w:space="0" w:color="auto"/>
        <w:bottom w:val="none" w:sz="0" w:space="0" w:color="auto"/>
        <w:right w:val="none" w:sz="0" w:space="0" w:color="auto"/>
      </w:divBdr>
    </w:div>
    <w:div w:id="350031475">
      <w:bodyDiv w:val="1"/>
      <w:marLeft w:val="0"/>
      <w:marRight w:val="0"/>
      <w:marTop w:val="0"/>
      <w:marBottom w:val="0"/>
      <w:divBdr>
        <w:top w:val="none" w:sz="0" w:space="0" w:color="auto"/>
        <w:left w:val="none" w:sz="0" w:space="0" w:color="auto"/>
        <w:bottom w:val="none" w:sz="0" w:space="0" w:color="auto"/>
        <w:right w:val="none" w:sz="0" w:space="0" w:color="auto"/>
      </w:divBdr>
    </w:div>
    <w:div w:id="398022920">
      <w:bodyDiv w:val="1"/>
      <w:marLeft w:val="0"/>
      <w:marRight w:val="0"/>
      <w:marTop w:val="0"/>
      <w:marBottom w:val="0"/>
      <w:divBdr>
        <w:top w:val="none" w:sz="0" w:space="0" w:color="auto"/>
        <w:left w:val="none" w:sz="0" w:space="0" w:color="auto"/>
        <w:bottom w:val="none" w:sz="0" w:space="0" w:color="auto"/>
        <w:right w:val="none" w:sz="0" w:space="0" w:color="auto"/>
      </w:divBdr>
    </w:div>
    <w:div w:id="404184607">
      <w:bodyDiv w:val="1"/>
      <w:marLeft w:val="0"/>
      <w:marRight w:val="0"/>
      <w:marTop w:val="0"/>
      <w:marBottom w:val="0"/>
      <w:divBdr>
        <w:top w:val="none" w:sz="0" w:space="0" w:color="auto"/>
        <w:left w:val="none" w:sz="0" w:space="0" w:color="auto"/>
        <w:bottom w:val="none" w:sz="0" w:space="0" w:color="auto"/>
        <w:right w:val="none" w:sz="0" w:space="0" w:color="auto"/>
      </w:divBdr>
    </w:div>
    <w:div w:id="583956605">
      <w:bodyDiv w:val="1"/>
      <w:marLeft w:val="0"/>
      <w:marRight w:val="0"/>
      <w:marTop w:val="0"/>
      <w:marBottom w:val="0"/>
      <w:divBdr>
        <w:top w:val="none" w:sz="0" w:space="0" w:color="auto"/>
        <w:left w:val="none" w:sz="0" w:space="0" w:color="auto"/>
        <w:bottom w:val="none" w:sz="0" w:space="0" w:color="auto"/>
        <w:right w:val="none" w:sz="0" w:space="0" w:color="auto"/>
      </w:divBdr>
    </w:div>
    <w:div w:id="646202355">
      <w:bodyDiv w:val="1"/>
      <w:marLeft w:val="0"/>
      <w:marRight w:val="0"/>
      <w:marTop w:val="0"/>
      <w:marBottom w:val="0"/>
      <w:divBdr>
        <w:top w:val="none" w:sz="0" w:space="0" w:color="auto"/>
        <w:left w:val="none" w:sz="0" w:space="0" w:color="auto"/>
        <w:bottom w:val="none" w:sz="0" w:space="0" w:color="auto"/>
        <w:right w:val="none" w:sz="0" w:space="0" w:color="auto"/>
      </w:divBdr>
      <w:divsChild>
        <w:div w:id="1577125519">
          <w:marLeft w:val="446"/>
          <w:marRight w:val="0"/>
          <w:marTop w:val="0"/>
          <w:marBottom w:val="0"/>
          <w:divBdr>
            <w:top w:val="none" w:sz="0" w:space="0" w:color="auto"/>
            <w:left w:val="none" w:sz="0" w:space="0" w:color="auto"/>
            <w:bottom w:val="none" w:sz="0" w:space="0" w:color="auto"/>
            <w:right w:val="none" w:sz="0" w:space="0" w:color="auto"/>
          </w:divBdr>
        </w:div>
      </w:divsChild>
    </w:div>
    <w:div w:id="653950799">
      <w:bodyDiv w:val="1"/>
      <w:marLeft w:val="0"/>
      <w:marRight w:val="0"/>
      <w:marTop w:val="0"/>
      <w:marBottom w:val="0"/>
      <w:divBdr>
        <w:top w:val="none" w:sz="0" w:space="0" w:color="auto"/>
        <w:left w:val="none" w:sz="0" w:space="0" w:color="auto"/>
        <w:bottom w:val="none" w:sz="0" w:space="0" w:color="auto"/>
        <w:right w:val="none" w:sz="0" w:space="0" w:color="auto"/>
      </w:divBdr>
    </w:div>
    <w:div w:id="730924760">
      <w:bodyDiv w:val="1"/>
      <w:marLeft w:val="0"/>
      <w:marRight w:val="0"/>
      <w:marTop w:val="0"/>
      <w:marBottom w:val="0"/>
      <w:divBdr>
        <w:top w:val="none" w:sz="0" w:space="0" w:color="auto"/>
        <w:left w:val="none" w:sz="0" w:space="0" w:color="auto"/>
        <w:bottom w:val="none" w:sz="0" w:space="0" w:color="auto"/>
        <w:right w:val="none" w:sz="0" w:space="0" w:color="auto"/>
      </w:divBdr>
    </w:div>
    <w:div w:id="963266256">
      <w:bodyDiv w:val="1"/>
      <w:marLeft w:val="0"/>
      <w:marRight w:val="0"/>
      <w:marTop w:val="0"/>
      <w:marBottom w:val="0"/>
      <w:divBdr>
        <w:top w:val="none" w:sz="0" w:space="0" w:color="auto"/>
        <w:left w:val="none" w:sz="0" w:space="0" w:color="auto"/>
        <w:bottom w:val="none" w:sz="0" w:space="0" w:color="auto"/>
        <w:right w:val="none" w:sz="0" w:space="0" w:color="auto"/>
      </w:divBdr>
    </w:div>
    <w:div w:id="1141390407">
      <w:bodyDiv w:val="1"/>
      <w:marLeft w:val="0"/>
      <w:marRight w:val="0"/>
      <w:marTop w:val="0"/>
      <w:marBottom w:val="0"/>
      <w:divBdr>
        <w:top w:val="none" w:sz="0" w:space="0" w:color="auto"/>
        <w:left w:val="none" w:sz="0" w:space="0" w:color="auto"/>
        <w:bottom w:val="none" w:sz="0" w:space="0" w:color="auto"/>
        <w:right w:val="none" w:sz="0" w:space="0" w:color="auto"/>
      </w:divBdr>
    </w:div>
    <w:div w:id="1368214024">
      <w:bodyDiv w:val="1"/>
      <w:marLeft w:val="0"/>
      <w:marRight w:val="0"/>
      <w:marTop w:val="0"/>
      <w:marBottom w:val="0"/>
      <w:divBdr>
        <w:top w:val="none" w:sz="0" w:space="0" w:color="auto"/>
        <w:left w:val="none" w:sz="0" w:space="0" w:color="auto"/>
        <w:bottom w:val="none" w:sz="0" w:space="0" w:color="auto"/>
        <w:right w:val="none" w:sz="0" w:space="0" w:color="auto"/>
      </w:divBdr>
      <w:divsChild>
        <w:div w:id="69160317">
          <w:marLeft w:val="0"/>
          <w:marRight w:val="0"/>
          <w:marTop w:val="0"/>
          <w:marBottom w:val="0"/>
          <w:divBdr>
            <w:top w:val="none" w:sz="0" w:space="0" w:color="auto"/>
            <w:left w:val="none" w:sz="0" w:space="0" w:color="auto"/>
            <w:bottom w:val="none" w:sz="0" w:space="0" w:color="auto"/>
            <w:right w:val="none" w:sz="0" w:space="0" w:color="auto"/>
          </w:divBdr>
          <w:divsChild>
            <w:div w:id="2112432221">
              <w:marLeft w:val="0"/>
              <w:marRight w:val="0"/>
              <w:marTop w:val="0"/>
              <w:marBottom w:val="0"/>
              <w:divBdr>
                <w:top w:val="none" w:sz="0" w:space="0" w:color="auto"/>
                <w:left w:val="none" w:sz="0" w:space="0" w:color="auto"/>
                <w:bottom w:val="none" w:sz="0" w:space="0" w:color="auto"/>
                <w:right w:val="none" w:sz="0" w:space="0" w:color="auto"/>
              </w:divBdr>
              <w:divsChild>
                <w:div w:id="14877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54786">
      <w:bodyDiv w:val="1"/>
      <w:marLeft w:val="0"/>
      <w:marRight w:val="0"/>
      <w:marTop w:val="0"/>
      <w:marBottom w:val="0"/>
      <w:divBdr>
        <w:top w:val="none" w:sz="0" w:space="0" w:color="auto"/>
        <w:left w:val="none" w:sz="0" w:space="0" w:color="auto"/>
        <w:bottom w:val="none" w:sz="0" w:space="0" w:color="auto"/>
        <w:right w:val="none" w:sz="0" w:space="0" w:color="auto"/>
      </w:divBdr>
    </w:div>
    <w:div w:id="1546603797">
      <w:bodyDiv w:val="1"/>
      <w:marLeft w:val="0"/>
      <w:marRight w:val="0"/>
      <w:marTop w:val="0"/>
      <w:marBottom w:val="0"/>
      <w:divBdr>
        <w:top w:val="none" w:sz="0" w:space="0" w:color="auto"/>
        <w:left w:val="none" w:sz="0" w:space="0" w:color="auto"/>
        <w:bottom w:val="none" w:sz="0" w:space="0" w:color="auto"/>
        <w:right w:val="none" w:sz="0" w:space="0" w:color="auto"/>
      </w:divBdr>
    </w:div>
    <w:div w:id="1577325051">
      <w:bodyDiv w:val="1"/>
      <w:marLeft w:val="0"/>
      <w:marRight w:val="0"/>
      <w:marTop w:val="0"/>
      <w:marBottom w:val="0"/>
      <w:divBdr>
        <w:top w:val="none" w:sz="0" w:space="0" w:color="auto"/>
        <w:left w:val="none" w:sz="0" w:space="0" w:color="auto"/>
        <w:bottom w:val="none" w:sz="0" w:space="0" w:color="auto"/>
        <w:right w:val="none" w:sz="0" w:space="0" w:color="auto"/>
      </w:divBdr>
    </w:div>
    <w:div w:id="1733115302">
      <w:bodyDiv w:val="1"/>
      <w:marLeft w:val="0"/>
      <w:marRight w:val="0"/>
      <w:marTop w:val="0"/>
      <w:marBottom w:val="0"/>
      <w:divBdr>
        <w:top w:val="none" w:sz="0" w:space="0" w:color="auto"/>
        <w:left w:val="none" w:sz="0" w:space="0" w:color="auto"/>
        <w:bottom w:val="none" w:sz="0" w:space="0" w:color="auto"/>
        <w:right w:val="none" w:sz="0" w:space="0" w:color="auto"/>
      </w:divBdr>
    </w:div>
    <w:div w:id="1742824289">
      <w:bodyDiv w:val="1"/>
      <w:marLeft w:val="0"/>
      <w:marRight w:val="0"/>
      <w:marTop w:val="0"/>
      <w:marBottom w:val="0"/>
      <w:divBdr>
        <w:top w:val="none" w:sz="0" w:space="0" w:color="auto"/>
        <w:left w:val="none" w:sz="0" w:space="0" w:color="auto"/>
        <w:bottom w:val="none" w:sz="0" w:space="0" w:color="auto"/>
        <w:right w:val="none" w:sz="0" w:space="0" w:color="auto"/>
      </w:divBdr>
    </w:div>
    <w:div w:id="1886982956">
      <w:bodyDiv w:val="1"/>
      <w:marLeft w:val="0"/>
      <w:marRight w:val="0"/>
      <w:marTop w:val="0"/>
      <w:marBottom w:val="0"/>
      <w:divBdr>
        <w:top w:val="none" w:sz="0" w:space="0" w:color="auto"/>
        <w:left w:val="none" w:sz="0" w:space="0" w:color="auto"/>
        <w:bottom w:val="none" w:sz="0" w:space="0" w:color="auto"/>
        <w:right w:val="none" w:sz="0" w:space="0" w:color="auto"/>
      </w:divBdr>
    </w:div>
    <w:div w:id="212082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OPP Deliverable" ma:contentTypeID="0x01010023A92725C93E4830A7421C44D384B7FC00AA2C51EDC20547BE9D8059E930612AF900BB1DAF2B020D674E95D024E21C9B8446" ma:contentTypeVersion="271" ma:contentTypeDescription="Create a new POPP Deliverable document" ma:contentTypeScope="" ma:versionID="e6de6f4a163210476040df223df441e8">
  <xsd:schema xmlns:xsd="http://www.w3.org/2001/XMLSchema" xmlns:xs="http://www.w3.org/2001/XMLSchema" xmlns:p="http://schemas.microsoft.com/office/2006/metadata/properties" xmlns:ns2="83ed2304-0f0e-45ba-b0cc-7d360cbc1769" targetNamespace="http://schemas.microsoft.com/office/2006/metadata/properties" ma:root="true" ma:fieldsID="75b7e553a872fe2836fe2ecc2b8c7ab0" ns2:_="">
    <xsd:import namespace="83ed2304-0f0e-45ba-b0cc-7d360cbc1769"/>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OPPKeywordsTaxHTField0" minOccurs="0"/>
                <xsd:element ref="ns2:UNDPFocalpoint"/>
                <xsd:element ref="ns2:UNDPPublishedDate"/>
                <xsd:element ref="ns2:UNDPEffectiveDate"/>
                <xsd:element ref="ns2:UNDPResponsibleUnit"/>
                <xsd:element ref="ns2:UNDPCreator"/>
                <xsd:element ref="ns2:UNDPIssuanceDate"/>
                <xsd:element ref="ns2:UNDPPlannedReviewDate"/>
                <xsd:element ref="ns2:UNDPActualReviewDate" minOccurs="0"/>
                <xsd:element ref="ns2:UNDPSummary" minOccurs="0"/>
                <xsd:element ref="ns2:UNDPApplicabilit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ma:readOnly="false">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HACT"/>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dexed="true"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lth"/>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OPPKeywordsTaxHTField0" ma:index="15"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Focalpoint" ma:index="16" ma:displayName="Focalpoint" ma:SearchPeopleOnly="false" ma:SharePointGroup="0" ma:internalName="Focalpoin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PublishedDate" ma:index="17" ma:displayName="Published Date" ma:description="The date the document was published" ma:format="DateOnly" ma:internalName="UNDPPublishedDate">
      <xsd:simpleType>
        <xsd:restriction base="dms:DateTime"/>
      </xsd:simpleType>
    </xsd:element>
    <xsd:element name="UNDPEffectiveDate" ma:index="18" ma:displayName="Effective Date" ma:format="DateOnly" ma:internalName="UNDPEffectiveDate">
      <xsd:simpleType>
        <xsd:restriction base="dms:DateTime"/>
      </xsd:simpleType>
    </xsd:element>
    <xsd:element name="UNDPResponsibleUnit" ma:index="19" ma:displayName="Responsible Unit" ma:internalName="UNDPResponsibleUnit">
      <xsd:simpleType>
        <xsd:restriction base="dms:Text"/>
      </xsd:simpleType>
    </xsd:element>
    <xsd:element name="UNDPCreator" ma:index="20"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IssuanceDate" ma:index="21" ma:displayName="Approval Date" ma:format="DateOnly" ma:internalName="UNDPIssuanceDate">
      <xsd:simpleType>
        <xsd:restriction base="dms:DateTime"/>
      </xsd:simpleType>
    </xsd:element>
    <xsd:element name="UNDPPlannedReviewDate" ma:index="22" ma:displayName="Planned Review Date" ma:format="DateOnly" ma:internalName="UNDPPlannedReviewDate">
      <xsd:simpleType>
        <xsd:restriction base="dms:DateTime"/>
      </xsd:simpleType>
    </xsd:element>
    <xsd:element name="UNDPActualReviewDate" ma:index="23" nillable="true" ma:displayName="Actual Review Date" ma:format="DateOnly" ma:internalName="UNDPActualReviewDate">
      <xsd:simpleType>
        <xsd:restriction base="dms:DateTime"/>
      </xsd:simpleType>
    </xsd:element>
    <xsd:element name="UNDPSummary" ma:index="24"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5" ma:displayName="Applicability" ma:internalName="UNDPApplicabilit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23A92725C93E4830A7421C44D384B7FC00AA2C51EDC20547BE9D8059E930612AF9"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UNDPEffectiveDate xmlns="83ed2304-0f0e-45ba-b0cc-7d360cbc1769"/>
    <UNDPResponsibleUnit xmlns="83ed2304-0f0e-45ba-b0cc-7d360cbc1769"/>
    <UNDPCreator xmlns="83ed2304-0f0e-45ba-b0cc-7d360cbc1769">
      <UserInfo>
        <DisplayName/>
        <AccountId/>
        <AccountType/>
      </UserInfo>
    </UNDPCreator>
    <UNDPApplicability xmlns="83ed2304-0f0e-45ba-b0cc-7d360cbc1769"/>
    <UNDPActualReviewDate xmlns="83ed2304-0f0e-45ba-b0cc-7d360cbc1769" xsi:nil="true"/>
    <UNDPPOPPFunctionalArea xmlns="83ed2304-0f0e-45ba-b0cc-7d360cbc1769">Programme and Project</UNDPPOPPFunctionalArea>
    <UNDPPOPPSubprocess xmlns="83ed2304-0f0e-45ba-b0cc-7d360cbc1769">Programme Completion and Transition</UNDPPOPPSubprocess>
    <UNDPPublishedDate xmlns="83ed2304-0f0e-45ba-b0cc-7d360cbc1769"/>
    <UNDPPOPPProcess xmlns="83ed2304-0f0e-45ba-b0cc-7d360cbc1769">Programme Management</UNDPPOPPProcess>
    <UNDPPOPPSubsubprocess xmlns="83ed2304-0f0e-45ba-b0cc-7d360cbc1769" xsi:nil="true"/>
    <UNDPIssuanceDate xmlns="83ed2304-0f0e-45ba-b0cc-7d360cbc1769"/>
    <UNDPSummary xmlns="83ed2304-0f0e-45ba-b0cc-7d360cbc1769" xsi:nil="true"/>
    <UNDPFocalpoint xmlns="83ed2304-0f0e-45ba-b0cc-7d360cbc1769">
      <UserInfo>
        <DisplayName/>
        <AccountId/>
        <AccountType/>
      </UserInfo>
    </UNDPFocalpoint>
    <UNDPPOPPKeywordsTaxHTField0 xmlns="83ed2304-0f0e-45ba-b0cc-7d360cbc1769">
      <Terms xmlns="http://schemas.microsoft.com/office/infopath/2007/PartnerControls"/>
    </UNDPPOPPKeywordsTaxHTField0>
    <UNDPPOPPSubsubsubprocess xmlns="83ed2304-0f0e-45ba-b0cc-7d360cbc1769" xsi:nil="true"/>
    <UNDPPOPPPrescriptiveContentSelection xmlns="83ed2304-0f0e-45ba-b0cc-7d360cbc1769"/>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204ED-984C-407A-92BA-8E5AD42E0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8BF1EB-6965-48EE-990A-C332F8C77939}">
  <ds:schemaRefs>
    <ds:schemaRef ds:uri="Microsoft.SharePoint.Taxonomy.ContentTypeSync"/>
  </ds:schemaRefs>
</ds:datastoreItem>
</file>

<file path=customXml/itemProps3.xml><?xml version="1.0" encoding="utf-8"?>
<ds:datastoreItem xmlns:ds="http://schemas.openxmlformats.org/officeDocument/2006/customXml" ds:itemID="{780500B2-D380-49CC-890B-C8F8A14A95BC}">
  <ds:schemaRefs>
    <ds:schemaRef ds:uri="http://schemas.microsoft.com/sharepoint/events"/>
  </ds:schemaRefs>
</ds:datastoreItem>
</file>

<file path=customXml/itemProps4.xml><?xml version="1.0" encoding="utf-8"?>
<ds:datastoreItem xmlns:ds="http://schemas.openxmlformats.org/officeDocument/2006/customXml" ds:itemID="{05E776AA-53A5-40ED-AB02-F651111B29B6}">
  <ds:schemaRefs>
    <ds:schemaRef ds:uri="http://schemas.microsoft.com/sharepoint/v3/contenttype/forms"/>
  </ds:schemaRefs>
</ds:datastoreItem>
</file>

<file path=customXml/itemProps5.xml><?xml version="1.0" encoding="utf-8"?>
<ds:datastoreItem xmlns:ds="http://schemas.openxmlformats.org/officeDocument/2006/customXml" ds:itemID="{326F30E3-F037-4347-A061-0F786D120BC7}">
  <ds:schemaRefs>
    <ds:schemaRef ds:uri="http://schemas.microsoft.com/office/2006/metadata/properties"/>
    <ds:schemaRef ds:uri="http://schemas.microsoft.com/office/infopath/2007/PartnerControls"/>
    <ds:schemaRef ds:uri="83ed2304-0f0e-45ba-b0cc-7d360cbc1769"/>
  </ds:schemaRefs>
</ds:datastoreItem>
</file>

<file path=customXml/itemProps6.xml><?xml version="1.0" encoding="utf-8"?>
<ds:datastoreItem xmlns:ds="http://schemas.openxmlformats.org/officeDocument/2006/customXml" ds:itemID="{80CC76C7-D77F-42BE-BC53-3C457904C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6272</Words>
  <Characters>35753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CP results summary</vt:lpstr>
    </vt:vector>
  </TitlesOfParts>
  <Company>UNDP</Company>
  <LinksUpToDate>false</LinksUpToDate>
  <CharactersWithSpaces>41942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results summary</dc:title>
  <dc:subject/>
  <dc:creator>DGO</dc:creator>
  <cp:keywords/>
  <dc:description/>
  <cp:lastModifiedBy>Svetlana Iazykova</cp:lastModifiedBy>
  <cp:revision>2</cp:revision>
  <cp:lastPrinted>2016-11-04T18:07:00Z</cp:lastPrinted>
  <dcterms:created xsi:type="dcterms:W3CDTF">2016-11-07T21:49:00Z</dcterms:created>
  <dcterms:modified xsi:type="dcterms:W3CDTF">2016-11-07T21:49:00Z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0x01010023A92725C93E4830A7421C44D384B7FC00AA2C51EDC20547BE9D8059E930612AF900BB1DAF2B020D674E95D024E21C9B8446</vt:lpwstr>
  </property>
  <property fmtid="{D5CDD505-2E9C-101B-9397-08002B2CF9AE}" pid="3" name="_dlc_DocIdItemGuid">
    <vt:lpwstr>d1e13303-6ece-4102-9f8f-5a459fba30ed</vt:lpwstr>
  </property>
  <property fmtid="{D5CDD505-2E9C-101B-9397-08002B2CF9AE}" pid="4" name="UNDPPOPPKeywords">
    <vt:lpwstr/>
  </property>
  <property fmtid="{D5CDD505-2E9C-101B-9397-08002B2CF9AE}" pid="5" name="TaxCatchAll">
    <vt:lpwstr/>
  </property>
  <property fmtid="{D5CDD505-2E9C-101B-9397-08002B2CF9AE}" pid="6" name="UNDPAuthor">
    <vt:lpwstr/>
  </property>
  <property fmtid="{D5CDD505-2E9C-101B-9397-08002B2CF9AE}" pid="7" name="Order">
    <vt:r8>9200</vt:r8>
  </property>
  <property fmtid="{D5CDD505-2E9C-101B-9397-08002B2CF9AE}" pid="8" name="_dlc_DocId">
    <vt:lpwstr>UNDPGBL-229-92</vt:lpwstr>
  </property>
  <property fmtid="{D5CDD505-2E9C-101B-9397-08002B2CF9AE}" pid="9" name="_dlc_DocIdUrl">
    <vt:lpwstr>https://intranet.undp.org/global/documents/_layouts/DocIdRedir.aspx?ID=UNDPGBL-229-92, UNDPGBL-229-92</vt:lpwstr>
  </property>
</Properties>
</file>