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7E0E" w14:textId="0425C775" w:rsidR="000B621F" w:rsidRPr="008C3448" w:rsidRDefault="00300929" w:rsidP="00AB0FE2">
      <w:pPr>
        <w:jc w:val="center"/>
        <w:rPr>
          <w:lang w:val="fr-FR"/>
        </w:rPr>
      </w:pPr>
      <w:bookmarkStart w:id="0" w:name="_GoBack"/>
      <w:bookmarkEnd w:id="0"/>
      <w:r w:rsidRPr="00B10634">
        <w:rPr>
          <w:rFonts w:ascii="Arial" w:hAnsi="Arial" w:cs="Arial"/>
          <w:b/>
          <w:noProof/>
          <w:color w:val="0000FF"/>
          <w:lang w:val="en-US"/>
        </w:rPr>
        <w:drawing>
          <wp:inline distT="0" distB="0" distL="0" distR="0" wp14:anchorId="5F929F46" wp14:editId="16F52343">
            <wp:extent cx="323850" cy="641350"/>
            <wp:effectExtent l="0" t="0" r="0" b="6350"/>
            <wp:docPr id="1" name="Picture 1" descr="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00D86196" w:rsidRPr="008C3448">
        <w:rPr>
          <w:b/>
          <w:lang w:val="fr-FR"/>
        </w:rPr>
        <w:t xml:space="preserve"> </w:t>
      </w:r>
      <w:r w:rsidR="00AB0FE2" w:rsidRPr="008C3448">
        <w:rPr>
          <w:b/>
          <w:lang w:val="fr-FR"/>
        </w:rPr>
        <w:t xml:space="preserve"> </w:t>
      </w:r>
      <w:r w:rsidRPr="008C3448">
        <w:rPr>
          <w:b/>
          <w:lang w:val="fr-FR"/>
        </w:rPr>
        <w:t xml:space="preserve">   </w:t>
      </w:r>
      <w:r w:rsidRPr="00B10634">
        <w:rPr>
          <w:rFonts w:ascii="Arial" w:hAnsi="Arial" w:cs="Arial"/>
          <w:b/>
          <w:noProof/>
          <w:color w:val="0000CC"/>
          <w:sz w:val="15"/>
          <w:szCs w:val="15"/>
          <w:lang w:val="en-US"/>
        </w:rPr>
        <w:drawing>
          <wp:inline distT="0" distB="0" distL="0" distR="0" wp14:anchorId="55568B38" wp14:editId="7427C0ED">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8C3448">
        <w:rPr>
          <w:b/>
          <w:lang w:val="fr-FR"/>
        </w:rPr>
        <w:t xml:space="preserve"> </w:t>
      </w:r>
      <w:r w:rsidR="00D86196" w:rsidRPr="008C3448">
        <w:rPr>
          <w:b/>
          <w:lang w:val="fr-FR"/>
        </w:rPr>
        <w:t xml:space="preserve"> </w:t>
      </w:r>
      <w:r w:rsidRPr="008C3448">
        <w:rPr>
          <w:b/>
          <w:lang w:val="fr-FR"/>
        </w:rPr>
        <w:t xml:space="preserve"> </w:t>
      </w:r>
      <w:r w:rsidRPr="00B10634">
        <w:rPr>
          <w:b/>
          <w:noProof/>
          <w:lang w:val="en-US"/>
        </w:rPr>
        <w:drawing>
          <wp:inline distT="0" distB="0" distL="0" distR="0" wp14:anchorId="34213F48" wp14:editId="7A85784E">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00AB0FE2" w:rsidRPr="008C3448">
        <w:rPr>
          <w:b/>
          <w:lang w:val="fr-FR"/>
        </w:rPr>
        <w:t xml:space="preserve"> </w:t>
      </w:r>
      <w:r w:rsidR="00D86196" w:rsidRPr="008C3448">
        <w:rPr>
          <w:b/>
          <w:lang w:val="fr-FR"/>
        </w:rPr>
        <w:t xml:space="preserve"> </w:t>
      </w:r>
      <w:r w:rsidRPr="00B10634">
        <w:rPr>
          <w:b/>
          <w:noProof/>
          <w:vertAlign w:val="superscript"/>
          <w:lang w:val="en-US"/>
        </w:rPr>
        <w:drawing>
          <wp:inline distT="0" distB="0" distL="0" distR="0" wp14:anchorId="6D654FA7" wp14:editId="62ADBBAB">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8C3448">
        <w:rPr>
          <w:b/>
          <w:lang w:val="fr-FR"/>
        </w:rPr>
        <w:t xml:space="preserve"> </w:t>
      </w:r>
      <w:r w:rsidR="00D86196" w:rsidRPr="008C3448">
        <w:rPr>
          <w:b/>
          <w:lang w:val="fr-FR"/>
        </w:rPr>
        <w:t xml:space="preserve"> </w:t>
      </w:r>
      <w:r w:rsidRPr="008C3448">
        <w:rPr>
          <w:b/>
          <w:lang w:val="fr-FR"/>
        </w:rPr>
        <w:t xml:space="preserve"> </w:t>
      </w:r>
      <w:r w:rsidRPr="00B10634">
        <w:rPr>
          <w:b/>
          <w:noProof/>
          <w:lang w:val="en-US"/>
        </w:rPr>
        <w:drawing>
          <wp:inline distT="0" distB="0" distL="0" distR="0" wp14:anchorId="3E056EA8" wp14:editId="7172ED35">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00D86196" w:rsidRPr="008C3448">
        <w:rPr>
          <w:b/>
          <w:lang w:val="fr-FR"/>
        </w:rPr>
        <w:t xml:space="preserve">   </w:t>
      </w:r>
      <w:r w:rsidRPr="00B10634">
        <w:rPr>
          <w:rFonts w:ascii="Arial" w:hAnsi="Arial" w:cs="Arial"/>
          <w:b/>
          <w:noProof/>
          <w:color w:val="0000CC"/>
          <w:sz w:val="15"/>
          <w:szCs w:val="15"/>
          <w:lang w:val="en-US"/>
        </w:rPr>
        <w:drawing>
          <wp:inline distT="0" distB="0" distL="0" distR="0" wp14:anchorId="610303B6" wp14:editId="4BB247E4">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2DA6D1F4" w14:textId="77777777" w:rsidR="000B621F" w:rsidRPr="008C3448" w:rsidRDefault="000B621F" w:rsidP="001709CD">
      <w:pPr>
        <w:pStyle w:val="Heading3"/>
        <w:spacing w:before="0" w:after="0"/>
        <w:jc w:val="center"/>
        <w:rPr>
          <w:b w:val="0"/>
          <w:sz w:val="16"/>
          <w:szCs w:val="16"/>
          <w:lang w:val="fr-FR"/>
        </w:rPr>
      </w:pPr>
    </w:p>
    <w:p w14:paraId="73D14292" w14:textId="77777777" w:rsidR="00C43584" w:rsidRPr="008C3448" w:rsidRDefault="00C43584" w:rsidP="00C43584">
      <w:pPr>
        <w:rPr>
          <w:sz w:val="32"/>
          <w:szCs w:val="32"/>
          <w:lang w:val="fr-FR"/>
        </w:rPr>
      </w:pPr>
    </w:p>
    <w:p w14:paraId="3DF3DF70" w14:textId="77777777" w:rsidR="00C43584" w:rsidRPr="008C3448" w:rsidRDefault="00C43584" w:rsidP="00C43584">
      <w:pPr>
        <w:rPr>
          <w:sz w:val="32"/>
          <w:szCs w:val="32"/>
          <w:lang w:val="fr-FR"/>
        </w:rPr>
      </w:pPr>
    </w:p>
    <w:p w14:paraId="4FCFA407" w14:textId="77777777" w:rsidR="00312D9E" w:rsidRPr="008C3448" w:rsidRDefault="00312D9E" w:rsidP="009F4AAD">
      <w:pPr>
        <w:rPr>
          <w:sz w:val="32"/>
          <w:szCs w:val="32"/>
          <w:lang w:val="fr-FR"/>
        </w:rPr>
      </w:pPr>
    </w:p>
    <w:p w14:paraId="6BD4804D" w14:textId="77777777" w:rsidR="00312D9E" w:rsidRPr="008C3448" w:rsidRDefault="00312D9E" w:rsidP="00CC507A">
      <w:pPr>
        <w:jc w:val="center"/>
        <w:rPr>
          <w:sz w:val="32"/>
          <w:szCs w:val="32"/>
          <w:lang w:val="fr-FR"/>
        </w:rPr>
      </w:pPr>
    </w:p>
    <w:p w14:paraId="524AE90E" w14:textId="4A3C5A8A" w:rsidR="00CC507A" w:rsidRPr="00AC4743" w:rsidRDefault="00AC4743" w:rsidP="00CC507A">
      <w:pPr>
        <w:jc w:val="center"/>
        <w:rPr>
          <w:sz w:val="32"/>
          <w:szCs w:val="32"/>
          <w:lang w:val="fr-FR"/>
        </w:rPr>
      </w:pPr>
      <w:r w:rsidRPr="00AC4743">
        <w:rPr>
          <w:b/>
          <w:sz w:val="32"/>
          <w:szCs w:val="32"/>
          <w:lang w:val="fr-FR"/>
        </w:rPr>
        <w:t>Réunion commune des Conseils de direction</w:t>
      </w:r>
      <w:r w:rsidR="00C43584" w:rsidRPr="00AC4743">
        <w:rPr>
          <w:b/>
          <w:sz w:val="32"/>
          <w:szCs w:val="32"/>
          <w:lang w:val="fr-FR"/>
        </w:rPr>
        <w:t xml:space="preserve"> </w:t>
      </w:r>
      <w:r w:rsidRPr="00AC4743">
        <w:rPr>
          <w:b/>
          <w:sz w:val="32"/>
          <w:szCs w:val="32"/>
          <w:lang w:val="fr-FR"/>
        </w:rPr>
        <w:t>du</w:t>
      </w:r>
      <w:r w:rsidR="00C43584" w:rsidRPr="00AC4743">
        <w:rPr>
          <w:b/>
          <w:sz w:val="32"/>
          <w:szCs w:val="32"/>
          <w:lang w:val="fr-FR"/>
        </w:rPr>
        <w:t xml:space="preserve"> </w:t>
      </w:r>
      <w:r>
        <w:rPr>
          <w:b/>
          <w:sz w:val="32"/>
          <w:szCs w:val="32"/>
          <w:lang w:val="fr-FR"/>
        </w:rPr>
        <w:t>PNUD</w:t>
      </w:r>
      <w:r w:rsidR="00C43584" w:rsidRPr="00AC4743">
        <w:rPr>
          <w:b/>
          <w:sz w:val="32"/>
          <w:szCs w:val="32"/>
          <w:lang w:val="fr-FR"/>
        </w:rPr>
        <w:t>/</w:t>
      </w:r>
      <w:r>
        <w:rPr>
          <w:b/>
          <w:sz w:val="32"/>
          <w:szCs w:val="32"/>
          <w:lang w:val="fr-FR"/>
        </w:rPr>
        <w:t>FNUAP</w:t>
      </w:r>
      <w:r w:rsidR="00C43584" w:rsidRPr="00AC4743">
        <w:rPr>
          <w:b/>
          <w:sz w:val="32"/>
          <w:szCs w:val="32"/>
          <w:lang w:val="fr-FR"/>
        </w:rPr>
        <w:t xml:space="preserve">/UNOPS, </w:t>
      </w:r>
      <w:r>
        <w:rPr>
          <w:b/>
          <w:sz w:val="32"/>
          <w:szCs w:val="32"/>
          <w:lang w:val="fr-FR"/>
        </w:rPr>
        <w:t>de l’</w:t>
      </w:r>
      <w:r w:rsidR="00C43584" w:rsidRPr="00AC4743">
        <w:rPr>
          <w:b/>
          <w:sz w:val="32"/>
          <w:szCs w:val="32"/>
          <w:lang w:val="fr-FR"/>
        </w:rPr>
        <w:t xml:space="preserve">UNICEF, </w:t>
      </w:r>
      <w:r>
        <w:rPr>
          <w:b/>
          <w:sz w:val="32"/>
          <w:szCs w:val="32"/>
          <w:lang w:val="fr-FR"/>
        </w:rPr>
        <w:t>d’ONU</w:t>
      </w:r>
      <w:r w:rsidR="008A4542">
        <w:rPr>
          <w:b/>
          <w:sz w:val="32"/>
          <w:szCs w:val="32"/>
          <w:lang w:val="fr-FR"/>
        </w:rPr>
        <w:t>-</w:t>
      </w:r>
      <w:r>
        <w:rPr>
          <w:b/>
          <w:sz w:val="32"/>
          <w:szCs w:val="32"/>
          <w:lang w:val="fr-FR"/>
        </w:rPr>
        <w:t>Femmes et du</w:t>
      </w:r>
      <w:r w:rsidR="00C43584" w:rsidRPr="00AC4743">
        <w:rPr>
          <w:b/>
          <w:sz w:val="32"/>
          <w:szCs w:val="32"/>
          <w:lang w:val="fr-FR"/>
        </w:rPr>
        <w:t xml:space="preserve"> </w:t>
      </w:r>
      <w:r>
        <w:rPr>
          <w:b/>
          <w:sz w:val="32"/>
          <w:szCs w:val="32"/>
          <w:lang w:val="fr-FR"/>
        </w:rPr>
        <w:t>PAM</w:t>
      </w:r>
    </w:p>
    <w:p w14:paraId="1EDBAB42" w14:textId="51B0531A" w:rsidR="00CC507A" w:rsidRPr="008C3448" w:rsidRDefault="00A00BFB" w:rsidP="00CC507A">
      <w:pPr>
        <w:jc w:val="center"/>
        <w:rPr>
          <w:b/>
          <w:sz w:val="32"/>
          <w:szCs w:val="32"/>
          <w:lang w:val="fr-FR"/>
        </w:rPr>
      </w:pPr>
      <w:r w:rsidRPr="008C3448">
        <w:rPr>
          <w:b/>
          <w:sz w:val="32"/>
          <w:szCs w:val="32"/>
          <w:lang w:val="fr-FR"/>
        </w:rPr>
        <w:t>19</w:t>
      </w:r>
      <w:r w:rsidR="00AC4743" w:rsidRPr="008C3448">
        <w:rPr>
          <w:b/>
          <w:sz w:val="32"/>
          <w:szCs w:val="32"/>
          <w:lang w:val="fr-FR"/>
        </w:rPr>
        <w:t> juin </w:t>
      </w:r>
      <w:r w:rsidR="009F4AAD" w:rsidRPr="008C3448">
        <w:rPr>
          <w:b/>
          <w:sz w:val="32"/>
          <w:szCs w:val="32"/>
          <w:lang w:val="fr-FR"/>
        </w:rPr>
        <w:t>2017</w:t>
      </w:r>
    </w:p>
    <w:p w14:paraId="6C45CF67" w14:textId="12AE812E" w:rsidR="00B23846" w:rsidRPr="008C3448" w:rsidRDefault="00C956E9" w:rsidP="00CC507A">
      <w:pPr>
        <w:jc w:val="center"/>
        <w:rPr>
          <w:b/>
          <w:sz w:val="32"/>
          <w:szCs w:val="32"/>
          <w:lang w:val="fr-FR"/>
        </w:rPr>
      </w:pPr>
      <w:r w:rsidRPr="008C3448">
        <w:rPr>
          <w:b/>
          <w:sz w:val="32"/>
          <w:szCs w:val="32"/>
          <w:lang w:val="fr-FR"/>
        </w:rPr>
        <w:t>New York</w:t>
      </w:r>
    </w:p>
    <w:p w14:paraId="4D3286BF" w14:textId="77777777" w:rsidR="00B23846" w:rsidRPr="008C3448" w:rsidRDefault="00B23846" w:rsidP="00CC507A">
      <w:pPr>
        <w:jc w:val="center"/>
        <w:rPr>
          <w:sz w:val="32"/>
          <w:szCs w:val="32"/>
          <w:lang w:val="fr-FR"/>
        </w:rPr>
      </w:pPr>
    </w:p>
    <w:p w14:paraId="26682F9F" w14:textId="77777777" w:rsidR="00B23846" w:rsidRPr="008C3448" w:rsidRDefault="00B23846" w:rsidP="00CC507A">
      <w:pPr>
        <w:jc w:val="center"/>
        <w:rPr>
          <w:sz w:val="32"/>
          <w:szCs w:val="32"/>
          <w:lang w:val="fr-FR"/>
        </w:rPr>
      </w:pPr>
    </w:p>
    <w:p w14:paraId="05F79F43" w14:textId="77777777" w:rsidR="00B23846" w:rsidRPr="008C3448" w:rsidRDefault="00B23846" w:rsidP="00CC507A">
      <w:pPr>
        <w:jc w:val="center"/>
        <w:rPr>
          <w:sz w:val="32"/>
          <w:szCs w:val="32"/>
          <w:lang w:val="fr-FR"/>
        </w:rPr>
      </w:pPr>
    </w:p>
    <w:p w14:paraId="07A57F2C" w14:textId="77777777" w:rsidR="00B23846" w:rsidRPr="008C3448" w:rsidRDefault="00B23846" w:rsidP="00C956E9">
      <w:pPr>
        <w:jc w:val="center"/>
        <w:rPr>
          <w:sz w:val="32"/>
          <w:szCs w:val="32"/>
          <w:lang w:val="fr-FR"/>
        </w:rPr>
      </w:pPr>
    </w:p>
    <w:p w14:paraId="1A75536E" w14:textId="3430A96F" w:rsidR="00C956E9" w:rsidRPr="00A56AE3" w:rsidRDefault="00A56AE3" w:rsidP="00C956E9">
      <w:pPr>
        <w:jc w:val="center"/>
        <w:rPr>
          <w:b/>
          <w:sz w:val="32"/>
          <w:szCs w:val="32"/>
          <w:lang w:val="fr-FR"/>
        </w:rPr>
      </w:pPr>
      <w:r w:rsidRPr="00A56AE3">
        <w:rPr>
          <w:b/>
          <w:sz w:val="32"/>
          <w:szCs w:val="32"/>
          <w:lang w:val="fr-FR"/>
        </w:rPr>
        <w:t xml:space="preserve">Travailler </w:t>
      </w:r>
      <w:r w:rsidR="00DD0CCD">
        <w:rPr>
          <w:b/>
          <w:sz w:val="32"/>
          <w:szCs w:val="32"/>
          <w:lang w:val="fr-FR"/>
        </w:rPr>
        <w:t>avec</w:t>
      </w:r>
      <w:r w:rsidRPr="00A56AE3">
        <w:rPr>
          <w:b/>
          <w:sz w:val="32"/>
          <w:szCs w:val="32"/>
          <w:lang w:val="fr-FR"/>
        </w:rPr>
        <w:t xml:space="preserve"> </w:t>
      </w:r>
      <w:r w:rsidR="00DD0CCD">
        <w:rPr>
          <w:b/>
          <w:sz w:val="32"/>
          <w:szCs w:val="32"/>
          <w:lang w:val="fr-FR"/>
        </w:rPr>
        <w:t>l</w:t>
      </w:r>
      <w:r w:rsidRPr="00A56AE3">
        <w:rPr>
          <w:b/>
          <w:sz w:val="32"/>
          <w:szCs w:val="32"/>
          <w:lang w:val="fr-FR"/>
        </w:rPr>
        <w:t xml:space="preserve">es </w:t>
      </w:r>
      <w:r w:rsidR="00B93418" w:rsidRPr="00A56AE3">
        <w:rPr>
          <w:b/>
          <w:sz w:val="32"/>
          <w:szCs w:val="32"/>
          <w:lang w:val="fr-FR"/>
        </w:rPr>
        <w:t xml:space="preserve">adolescents </w:t>
      </w:r>
      <w:r w:rsidRPr="00A56AE3">
        <w:rPr>
          <w:b/>
          <w:sz w:val="32"/>
          <w:szCs w:val="32"/>
          <w:lang w:val="fr-FR"/>
        </w:rPr>
        <w:t xml:space="preserve">et </w:t>
      </w:r>
      <w:r w:rsidR="00DD0CCD">
        <w:rPr>
          <w:b/>
          <w:sz w:val="32"/>
          <w:szCs w:val="32"/>
          <w:lang w:val="fr-FR"/>
        </w:rPr>
        <w:t>l</w:t>
      </w:r>
      <w:r w:rsidRPr="00A56AE3">
        <w:rPr>
          <w:b/>
          <w:sz w:val="32"/>
          <w:szCs w:val="32"/>
          <w:lang w:val="fr-FR"/>
        </w:rPr>
        <w:t xml:space="preserve">es jeunes pour atteindre </w:t>
      </w:r>
      <w:r>
        <w:rPr>
          <w:b/>
          <w:sz w:val="32"/>
          <w:szCs w:val="32"/>
          <w:lang w:val="fr-FR"/>
        </w:rPr>
        <w:t>les</w:t>
      </w:r>
    </w:p>
    <w:p w14:paraId="730C6671" w14:textId="52B4FF3B" w:rsidR="00C43584" w:rsidRPr="00A56AE3" w:rsidRDefault="00DD0CCD" w:rsidP="00C956E9">
      <w:pPr>
        <w:jc w:val="center"/>
        <w:rPr>
          <w:sz w:val="32"/>
          <w:szCs w:val="32"/>
          <w:lang w:val="fr-FR"/>
        </w:rPr>
      </w:pPr>
      <w:r>
        <w:rPr>
          <w:b/>
          <w:sz w:val="32"/>
          <w:szCs w:val="32"/>
          <w:lang w:val="fr-FR"/>
        </w:rPr>
        <w:t>o</w:t>
      </w:r>
      <w:r w:rsidR="00A56AE3" w:rsidRPr="00A56AE3">
        <w:rPr>
          <w:b/>
          <w:sz w:val="32"/>
          <w:szCs w:val="32"/>
          <w:lang w:val="fr-FR"/>
        </w:rPr>
        <w:t>bjectifs de développement durable</w:t>
      </w:r>
    </w:p>
    <w:p w14:paraId="3DC2E461" w14:textId="77777777" w:rsidR="00B23846" w:rsidRPr="00A56AE3" w:rsidRDefault="00B23846" w:rsidP="00CC507A">
      <w:pPr>
        <w:jc w:val="center"/>
        <w:rPr>
          <w:sz w:val="32"/>
          <w:szCs w:val="32"/>
          <w:lang w:val="fr-FR"/>
        </w:rPr>
      </w:pPr>
    </w:p>
    <w:p w14:paraId="2BBBCDA6" w14:textId="77777777" w:rsidR="00C956E9" w:rsidRPr="00A56AE3" w:rsidRDefault="00C956E9" w:rsidP="00CC507A">
      <w:pPr>
        <w:jc w:val="center"/>
        <w:rPr>
          <w:sz w:val="32"/>
          <w:szCs w:val="32"/>
          <w:lang w:val="fr-FR"/>
        </w:rPr>
      </w:pPr>
    </w:p>
    <w:p w14:paraId="7E16EE13" w14:textId="77777777" w:rsidR="00B23846" w:rsidRPr="00A56AE3" w:rsidRDefault="00B23846" w:rsidP="00CC507A">
      <w:pPr>
        <w:jc w:val="center"/>
        <w:rPr>
          <w:sz w:val="32"/>
          <w:szCs w:val="32"/>
          <w:lang w:val="fr-FR"/>
        </w:rPr>
      </w:pPr>
    </w:p>
    <w:p w14:paraId="50B85C97" w14:textId="77777777" w:rsidR="00B23846" w:rsidRPr="00A56AE3" w:rsidRDefault="00B23846" w:rsidP="00CC507A">
      <w:pPr>
        <w:jc w:val="center"/>
        <w:rPr>
          <w:sz w:val="32"/>
          <w:szCs w:val="32"/>
          <w:lang w:val="fr-FR"/>
        </w:rPr>
      </w:pPr>
    </w:p>
    <w:p w14:paraId="4BC4F947" w14:textId="77777777" w:rsidR="00B23846" w:rsidRPr="00A56AE3" w:rsidRDefault="00B23846" w:rsidP="00CC507A">
      <w:pPr>
        <w:jc w:val="center"/>
        <w:rPr>
          <w:sz w:val="32"/>
          <w:szCs w:val="32"/>
          <w:lang w:val="fr-FR"/>
        </w:rPr>
      </w:pPr>
    </w:p>
    <w:p w14:paraId="5E9BEC43" w14:textId="77777777" w:rsidR="00B23846" w:rsidRPr="00A56AE3" w:rsidRDefault="00B23846" w:rsidP="00CC507A">
      <w:pPr>
        <w:jc w:val="center"/>
        <w:rPr>
          <w:sz w:val="32"/>
          <w:szCs w:val="32"/>
          <w:lang w:val="fr-FR"/>
        </w:rPr>
      </w:pPr>
    </w:p>
    <w:p w14:paraId="1EC3AD85" w14:textId="77777777" w:rsidR="00B23846" w:rsidRPr="00A56AE3" w:rsidRDefault="00B23846" w:rsidP="00CC507A">
      <w:pPr>
        <w:jc w:val="center"/>
        <w:rPr>
          <w:sz w:val="32"/>
          <w:szCs w:val="32"/>
          <w:lang w:val="fr-FR"/>
        </w:rPr>
      </w:pPr>
    </w:p>
    <w:p w14:paraId="53E47F5D" w14:textId="77777777" w:rsidR="00B23846" w:rsidRPr="00A56AE3" w:rsidRDefault="00B23846" w:rsidP="00CC507A">
      <w:pPr>
        <w:jc w:val="center"/>
        <w:rPr>
          <w:sz w:val="32"/>
          <w:szCs w:val="32"/>
          <w:lang w:val="fr-FR"/>
        </w:rPr>
      </w:pPr>
    </w:p>
    <w:p w14:paraId="7FF6E787" w14:textId="77777777" w:rsidR="00B23846" w:rsidRPr="00A56AE3" w:rsidRDefault="00B23846" w:rsidP="00CC507A">
      <w:pPr>
        <w:jc w:val="center"/>
        <w:rPr>
          <w:sz w:val="32"/>
          <w:szCs w:val="32"/>
          <w:lang w:val="fr-FR"/>
        </w:rPr>
      </w:pPr>
    </w:p>
    <w:p w14:paraId="3E1D1097" w14:textId="77777777" w:rsidR="00B23846" w:rsidRPr="00A56AE3" w:rsidRDefault="00B23846" w:rsidP="00CC507A">
      <w:pPr>
        <w:jc w:val="center"/>
        <w:rPr>
          <w:sz w:val="32"/>
          <w:szCs w:val="32"/>
          <w:lang w:val="fr-FR"/>
        </w:rPr>
      </w:pPr>
    </w:p>
    <w:p w14:paraId="7C125615" w14:textId="77777777" w:rsidR="00B23846" w:rsidRPr="00A56AE3" w:rsidRDefault="00B23846" w:rsidP="00CC507A">
      <w:pPr>
        <w:jc w:val="center"/>
        <w:rPr>
          <w:sz w:val="32"/>
          <w:szCs w:val="32"/>
          <w:lang w:val="fr-FR"/>
        </w:rPr>
      </w:pPr>
    </w:p>
    <w:p w14:paraId="6FF37C29" w14:textId="77777777" w:rsidR="00B23846" w:rsidRPr="00A56AE3" w:rsidRDefault="00B23846" w:rsidP="00CC507A">
      <w:pPr>
        <w:jc w:val="center"/>
        <w:rPr>
          <w:sz w:val="32"/>
          <w:szCs w:val="32"/>
          <w:lang w:val="fr-FR"/>
        </w:rPr>
      </w:pPr>
    </w:p>
    <w:p w14:paraId="6AEF1FA3" w14:textId="77777777" w:rsidR="00B23846" w:rsidRPr="00A56AE3" w:rsidRDefault="00B23846" w:rsidP="00CC507A">
      <w:pPr>
        <w:jc w:val="center"/>
        <w:rPr>
          <w:sz w:val="32"/>
          <w:szCs w:val="32"/>
          <w:lang w:val="fr-FR"/>
        </w:rPr>
      </w:pPr>
    </w:p>
    <w:p w14:paraId="5BF606B8" w14:textId="77777777" w:rsidR="00C956E9" w:rsidRPr="00A56AE3" w:rsidRDefault="00C956E9" w:rsidP="00CC507A">
      <w:pPr>
        <w:jc w:val="center"/>
        <w:rPr>
          <w:sz w:val="32"/>
          <w:szCs w:val="32"/>
          <w:lang w:val="fr-FR"/>
        </w:rPr>
      </w:pPr>
    </w:p>
    <w:p w14:paraId="086CB330" w14:textId="77777777" w:rsidR="00C956E9" w:rsidRPr="00A56AE3" w:rsidRDefault="00C956E9" w:rsidP="00CC507A">
      <w:pPr>
        <w:jc w:val="center"/>
        <w:rPr>
          <w:sz w:val="32"/>
          <w:szCs w:val="32"/>
          <w:lang w:val="fr-FR"/>
        </w:rPr>
      </w:pPr>
    </w:p>
    <w:p w14:paraId="162BB0C1" w14:textId="77777777" w:rsidR="00C956E9" w:rsidRPr="00A56AE3" w:rsidRDefault="00C956E9" w:rsidP="00CC507A">
      <w:pPr>
        <w:jc w:val="center"/>
        <w:rPr>
          <w:sz w:val="32"/>
          <w:szCs w:val="32"/>
          <w:lang w:val="fr-FR"/>
        </w:rPr>
      </w:pPr>
    </w:p>
    <w:p w14:paraId="729D9C09" w14:textId="77777777" w:rsidR="00B23846" w:rsidRPr="00A56AE3" w:rsidRDefault="00B23846" w:rsidP="00CC507A">
      <w:pPr>
        <w:jc w:val="center"/>
        <w:rPr>
          <w:sz w:val="32"/>
          <w:szCs w:val="32"/>
          <w:lang w:val="fr-FR"/>
        </w:rPr>
      </w:pPr>
    </w:p>
    <w:p w14:paraId="2377EDCC" w14:textId="77777777" w:rsidR="00B23846" w:rsidRPr="00A56AE3" w:rsidRDefault="00B23846" w:rsidP="00CC507A">
      <w:pPr>
        <w:jc w:val="center"/>
        <w:rPr>
          <w:sz w:val="32"/>
          <w:szCs w:val="32"/>
          <w:lang w:val="fr-FR"/>
        </w:rPr>
      </w:pPr>
    </w:p>
    <w:p w14:paraId="4662944D" w14:textId="768F4E46" w:rsidR="008D20F7" w:rsidRPr="00077300" w:rsidRDefault="00A56AE3" w:rsidP="00CC507A">
      <w:pPr>
        <w:jc w:val="center"/>
        <w:rPr>
          <w:lang w:val="fr-FR"/>
        </w:rPr>
      </w:pPr>
      <w:r w:rsidRPr="00A56AE3">
        <w:rPr>
          <w:lang w:val="fr-FR"/>
        </w:rPr>
        <w:t>Document d</w:t>
      </w:r>
      <w:r w:rsidR="00AB2727">
        <w:rPr>
          <w:lang w:val="fr-FR"/>
        </w:rPr>
        <w:t>’information</w:t>
      </w:r>
      <w:r w:rsidRPr="00A56AE3">
        <w:rPr>
          <w:lang w:val="fr-FR"/>
        </w:rPr>
        <w:t xml:space="preserve"> </w:t>
      </w:r>
      <w:r>
        <w:rPr>
          <w:lang w:val="fr-FR"/>
        </w:rPr>
        <w:t>pré</w:t>
      </w:r>
      <w:r w:rsidRPr="00A56AE3">
        <w:rPr>
          <w:lang w:val="fr-FR"/>
        </w:rPr>
        <w:t>par</w:t>
      </w:r>
      <w:r>
        <w:rPr>
          <w:lang w:val="fr-FR"/>
        </w:rPr>
        <w:t>é</w:t>
      </w:r>
      <w:r w:rsidRPr="00A56AE3">
        <w:rPr>
          <w:lang w:val="fr-FR"/>
        </w:rPr>
        <w:t xml:space="preserve"> conjointement par le</w:t>
      </w:r>
      <w:r w:rsidR="00B23846" w:rsidRPr="00A56AE3">
        <w:rPr>
          <w:lang w:val="fr-FR"/>
        </w:rPr>
        <w:t xml:space="preserve"> </w:t>
      </w:r>
      <w:r>
        <w:rPr>
          <w:lang w:val="fr-FR"/>
        </w:rPr>
        <w:t>PNUD</w:t>
      </w:r>
      <w:r w:rsidR="00153884" w:rsidRPr="00A56AE3">
        <w:rPr>
          <w:lang w:val="fr-FR"/>
        </w:rPr>
        <w:t xml:space="preserve">, </w:t>
      </w:r>
      <w:r w:rsidRPr="00077300">
        <w:rPr>
          <w:lang w:val="fr-FR"/>
        </w:rPr>
        <w:t>le FNUAP</w:t>
      </w:r>
      <w:r w:rsidR="00B23846" w:rsidRPr="00077300">
        <w:rPr>
          <w:lang w:val="fr-FR"/>
        </w:rPr>
        <w:t xml:space="preserve"> (</w:t>
      </w:r>
      <w:r w:rsidR="002A02D0" w:rsidRPr="00077300">
        <w:rPr>
          <w:lang w:val="fr-FR"/>
        </w:rPr>
        <w:t>co-coord</w:t>
      </w:r>
      <w:r w:rsidR="004543D9" w:rsidRPr="00077300">
        <w:rPr>
          <w:lang w:val="fr-FR"/>
        </w:rPr>
        <w:t>i</w:t>
      </w:r>
      <w:r w:rsidRPr="00077300">
        <w:rPr>
          <w:lang w:val="fr-FR"/>
        </w:rPr>
        <w:t>n</w:t>
      </w:r>
      <w:r w:rsidR="002A02D0" w:rsidRPr="00077300">
        <w:rPr>
          <w:lang w:val="fr-FR"/>
        </w:rPr>
        <w:t>nat</w:t>
      </w:r>
      <w:r w:rsidRPr="00077300">
        <w:rPr>
          <w:lang w:val="fr-FR"/>
        </w:rPr>
        <w:t>eur</w:t>
      </w:r>
      <w:r w:rsidR="002A02D0" w:rsidRPr="00077300">
        <w:rPr>
          <w:lang w:val="fr-FR"/>
        </w:rPr>
        <w:t xml:space="preserve">), </w:t>
      </w:r>
    </w:p>
    <w:p w14:paraId="4AEA6D92" w14:textId="5681F8F3" w:rsidR="00B23846" w:rsidRPr="00A56AE3" w:rsidRDefault="00A56AE3" w:rsidP="00CC507A">
      <w:pPr>
        <w:jc w:val="center"/>
        <w:rPr>
          <w:lang w:val="fr-FR"/>
        </w:rPr>
      </w:pPr>
      <w:r w:rsidRPr="00077300">
        <w:rPr>
          <w:lang w:val="fr-FR"/>
        </w:rPr>
        <w:t>l’</w:t>
      </w:r>
      <w:r w:rsidR="002A02D0" w:rsidRPr="00077300">
        <w:rPr>
          <w:lang w:val="fr-FR"/>
        </w:rPr>
        <w:t xml:space="preserve">UNOPS, </w:t>
      </w:r>
      <w:r w:rsidRPr="00077300">
        <w:rPr>
          <w:lang w:val="fr-FR"/>
        </w:rPr>
        <w:t>l’</w:t>
      </w:r>
      <w:r w:rsidR="002A02D0" w:rsidRPr="00077300">
        <w:rPr>
          <w:lang w:val="fr-FR"/>
        </w:rPr>
        <w:t>UNICEF</w:t>
      </w:r>
      <w:r w:rsidR="00A07C34" w:rsidRPr="00077300">
        <w:rPr>
          <w:lang w:val="fr-FR"/>
        </w:rPr>
        <w:t xml:space="preserve">, </w:t>
      </w:r>
      <w:r w:rsidRPr="00077300">
        <w:rPr>
          <w:lang w:val="fr-FR"/>
        </w:rPr>
        <w:t>ONU</w:t>
      </w:r>
      <w:r w:rsidR="008A4542">
        <w:rPr>
          <w:lang w:val="fr-FR"/>
        </w:rPr>
        <w:t>-</w:t>
      </w:r>
      <w:r w:rsidRPr="00077300">
        <w:rPr>
          <w:lang w:val="fr-FR"/>
        </w:rPr>
        <w:t>Femmes</w:t>
      </w:r>
      <w:r w:rsidR="00A07C34" w:rsidRPr="00077300">
        <w:rPr>
          <w:lang w:val="fr-FR"/>
        </w:rPr>
        <w:t xml:space="preserve"> </w:t>
      </w:r>
      <w:r w:rsidRPr="00077300">
        <w:rPr>
          <w:lang w:val="fr-FR"/>
        </w:rPr>
        <w:t>(co-coord</w:t>
      </w:r>
      <w:r w:rsidR="004543D9" w:rsidRPr="00077300">
        <w:rPr>
          <w:lang w:val="fr-FR"/>
        </w:rPr>
        <w:t>i</w:t>
      </w:r>
      <w:r w:rsidR="00153884" w:rsidRPr="00077300">
        <w:rPr>
          <w:lang w:val="fr-FR"/>
        </w:rPr>
        <w:t>n</w:t>
      </w:r>
      <w:r w:rsidRPr="00077300">
        <w:rPr>
          <w:lang w:val="fr-FR"/>
        </w:rPr>
        <w:t>n</w:t>
      </w:r>
      <w:r w:rsidR="00153884" w:rsidRPr="00077300">
        <w:rPr>
          <w:lang w:val="fr-FR"/>
        </w:rPr>
        <w:t>at</w:t>
      </w:r>
      <w:r w:rsidRPr="00077300">
        <w:rPr>
          <w:lang w:val="fr-FR"/>
        </w:rPr>
        <w:t>eur</w:t>
      </w:r>
      <w:r w:rsidR="00153884" w:rsidRPr="00077300">
        <w:rPr>
          <w:lang w:val="fr-FR"/>
        </w:rPr>
        <w:t xml:space="preserve">) </w:t>
      </w:r>
      <w:r w:rsidRPr="00077300">
        <w:rPr>
          <w:lang w:val="fr-FR"/>
        </w:rPr>
        <w:t>et</w:t>
      </w:r>
      <w:r w:rsidRPr="00A56AE3">
        <w:rPr>
          <w:lang w:val="fr-FR"/>
        </w:rPr>
        <w:t xml:space="preserve"> le PAM</w:t>
      </w:r>
    </w:p>
    <w:p w14:paraId="77E6ED14" w14:textId="6B9FFB2A" w:rsidR="002E2AAC" w:rsidRPr="006D2F92" w:rsidRDefault="002E2AAC" w:rsidP="003A0413">
      <w:pPr>
        <w:pStyle w:val="Para1"/>
        <w:numPr>
          <w:ilvl w:val="0"/>
          <w:numId w:val="11"/>
        </w:numPr>
        <w:tabs>
          <w:tab w:val="clear" w:pos="720"/>
          <w:tab w:val="left" w:pos="540"/>
        </w:tabs>
        <w:spacing w:after="240"/>
        <w:ind w:hanging="720"/>
        <w:rPr>
          <w:rFonts w:eastAsia="Arial"/>
          <w:b/>
          <w:bCs/>
          <w:sz w:val="28"/>
        </w:rPr>
      </w:pPr>
      <w:r w:rsidRPr="00A56AE3">
        <w:rPr>
          <w:sz w:val="32"/>
          <w:szCs w:val="32"/>
          <w:lang w:val="fr-FR"/>
        </w:rPr>
        <w:br w:type="page"/>
      </w:r>
      <w:r w:rsidRPr="00FF17A4">
        <w:rPr>
          <w:b/>
          <w:sz w:val="32"/>
        </w:rPr>
        <w:lastRenderedPageBreak/>
        <w:t>Introduction</w:t>
      </w:r>
    </w:p>
    <w:p w14:paraId="3561C9E1" w14:textId="1B642584" w:rsidR="00FB7C56" w:rsidRPr="003E3655" w:rsidRDefault="00DD0CCD" w:rsidP="003A0413">
      <w:pPr>
        <w:pStyle w:val="Para1"/>
        <w:numPr>
          <w:ilvl w:val="0"/>
          <w:numId w:val="21"/>
        </w:numPr>
        <w:tabs>
          <w:tab w:val="left" w:pos="540"/>
        </w:tabs>
        <w:spacing w:after="240"/>
        <w:ind w:left="0" w:right="0" w:firstLine="0"/>
        <w:rPr>
          <w:lang w:val="fr-FR"/>
        </w:rPr>
      </w:pPr>
      <w:r>
        <w:rPr>
          <w:lang w:val="fr-FR"/>
        </w:rPr>
        <w:t xml:space="preserve">Parce qu’elle contribue à la performance de la population active, </w:t>
      </w:r>
      <w:r w:rsidRPr="008C3448">
        <w:rPr>
          <w:lang w:val="fr-FR"/>
        </w:rPr>
        <w:t xml:space="preserve">à </w:t>
      </w:r>
      <w:r>
        <w:rPr>
          <w:lang w:val="fr-FR"/>
        </w:rPr>
        <w:t>la pérennité de la</w:t>
      </w:r>
      <w:r w:rsidRPr="008C3448">
        <w:rPr>
          <w:lang w:val="fr-FR"/>
        </w:rPr>
        <w:t xml:space="preserve"> croissance économique</w:t>
      </w:r>
      <w:r>
        <w:rPr>
          <w:lang w:val="fr-FR"/>
        </w:rPr>
        <w:t>,</w:t>
      </w:r>
      <w:r w:rsidRPr="008C3448">
        <w:rPr>
          <w:lang w:val="fr-FR"/>
        </w:rPr>
        <w:t xml:space="preserve"> </w:t>
      </w:r>
      <w:r>
        <w:rPr>
          <w:lang w:val="fr-FR"/>
        </w:rPr>
        <w:t>à l’amélioration de la gouvernance et au dynamisme des sociétés civiles, l</w:t>
      </w:r>
      <w:r w:rsidR="008C3448" w:rsidRPr="008C3448">
        <w:rPr>
          <w:lang w:val="fr-FR"/>
        </w:rPr>
        <w:t>a génération actuelle d’adolescents et de jeunes représente une force majeure pour le changement social, économique et démographique</w:t>
      </w:r>
      <w:r w:rsidR="008C3448">
        <w:rPr>
          <w:lang w:val="fr-FR"/>
        </w:rPr>
        <w:t xml:space="preserve">. Reconnaître </w:t>
      </w:r>
      <w:r w:rsidR="005A7350">
        <w:rPr>
          <w:lang w:val="fr-FR"/>
        </w:rPr>
        <w:t>ses</w:t>
      </w:r>
      <w:r w:rsidR="008C3448">
        <w:rPr>
          <w:lang w:val="fr-FR"/>
        </w:rPr>
        <w:t xml:space="preserve"> droits et investir dans </w:t>
      </w:r>
      <w:r w:rsidR="005A7350">
        <w:rPr>
          <w:lang w:val="fr-FR"/>
        </w:rPr>
        <w:t>son</w:t>
      </w:r>
      <w:r w:rsidR="008C3448">
        <w:rPr>
          <w:lang w:val="fr-FR"/>
        </w:rPr>
        <w:t xml:space="preserve"> développement est un moyen </w:t>
      </w:r>
      <w:r w:rsidR="00CD078D">
        <w:rPr>
          <w:lang w:val="fr-FR"/>
        </w:rPr>
        <w:t xml:space="preserve">concret et </w:t>
      </w:r>
      <w:r w:rsidR="008C3448">
        <w:rPr>
          <w:lang w:val="fr-FR"/>
        </w:rPr>
        <w:t xml:space="preserve">efficace </w:t>
      </w:r>
      <w:r w:rsidR="00CD078D">
        <w:rPr>
          <w:lang w:val="fr-FR"/>
        </w:rPr>
        <w:t>de</w:t>
      </w:r>
      <w:r w:rsidR="006B4DB7">
        <w:rPr>
          <w:lang w:val="fr-FR"/>
        </w:rPr>
        <w:t xml:space="preserve"> soutenir les pays dans le</w:t>
      </w:r>
      <w:r w:rsidR="00CD078D">
        <w:rPr>
          <w:lang w:val="fr-FR"/>
        </w:rPr>
        <w:t xml:space="preserve">s </w:t>
      </w:r>
      <w:r w:rsidR="006B4DB7">
        <w:rPr>
          <w:lang w:val="fr-FR"/>
        </w:rPr>
        <w:t xml:space="preserve">efforts </w:t>
      </w:r>
      <w:r w:rsidR="00CD078D">
        <w:rPr>
          <w:lang w:val="fr-FR"/>
        </w:rPr>
        <w:t xml:space="preserve">qu’ils déploient </w:t>
      </w:r>
      <w:r w:rsidR="006B4DB7">
        <w:rPr>
          <w:lang w:val="fr-FR"/>
        </w:rPr>
        <w:t xml:space="preserve">pour </w:t>
      </w:r>
      <w:r w:rsidR="00CD078D">
        <w:rPr>
          <w:lang w:val="fr-FR"/>
        </w:rPr>
        <w:t>faire face</w:t>
      </w:r>
      <w:r w:rsidR="006B4DB7">
        <w:rPr>
          <w:lang w:val="fr-FR"/>
        </w:rPr>
        <w:t xml:space="preserve"> aux défis émergents, atteindre le dividende démographique, consolider les </w:t>
      </w:r>
      <w:r w:rsidR="00DA4510">
        <w:rPr>
          <w:lang w:val="fr-FR"/>
        </w:rPr>
        <w:t>acquis d</w:t>
      </w:r>
      <w:r w:rsidR="005A7350">
        <w:rPr>
          <w:lang w:val="fr-FR"/>
        </w:rPr>
        <w:t>e l’essor</w:t>
      </w:r>
      <w:r w:rsidR="00DA4510">
        <w:rPr>
          <w:lang w:val="fr-FR"/>
        </w:rPr>
        <w:t xml:space="preserve"> </w:t>
      </w:r>
      <w:r w:rsidR="006B4DB7">
        <w:rPr>
          <w:lang w:val="fr-FR"/>
        </w:rPr>
        <w:t>mondia</w:t>
      </w:r>
      <w:r w:rsidR="00DA4510">
        <w:rPr>
          <w:lang w:val="fr-FR"/>
        </w:rPr>
        <w:t>l</w:t>
      </w:r>
      <w:r w:rsidR="006B4DB7">
        <w:rPr>
          <w:lang w:val="fr-FR"/>
        </w:rPr>
        <w:t xml:space="preserve"> et accélérer les progrès vers </w:t>
      </w:r>
      <w:r w:rsidR="00DA4510">
        <w:rPr>
          <w:lang w:val="fr-FR"/>
        </w:rPr>
        <w:t>la réalisation d</w:t>
      </w:r>
      <w:r w:rsidR="006B4DB7">
        <w:rPr>
          <w:lang w:val="fr-FR"/>
        </w:rPr>
        <w:t xml:space="preserve">es objectifs de développement durable. </w:t>
      </w:r>
    </w:p>
    <w:p w14:paraId="30F4EED8" w14:textId="58E50A20" w:rsidR="0098642B" w:rsidRPr="0098642B" w:rsidRDefault="00DA4510" w:rsidP="003A0413">
      <w:pPr>
        <w:pStyle w:val="Para1"/>
        <w:numPr>
          <w:ilvl w:val="0"/>
          <w:numId w:val="21"/>
        </w:numPr>
        <w:tabs>
          <w:tab w:val="left" w:pos="540"/>
        </w:tabs>
        <w:spacing w:after="240"/>
        <w:ind w:left="0" w:right="0" w:firstLine="0"/>
        <w:rPr>
          <w:lang w:val="fr-FR"/>
        </w:rPr>
      </w:pPr>
      <w:r>
        <w:rPr>
          <w:lang w:val="fr-FR"/>
        </w:rPr>
        <w:t>D</w:t>
      </w:r>
      <w:r w:rsidRPr="006B4DB7">
        <w:rPr>
          <w:lang w:val="fr-FR"/>
        </w:rPr>
        <w:t>ans une certaine mesure</w:t>
      </w:r>
      <w:r>
        <w:rPr>
          <w:lang w:val="fr-FR"/>
        </w:rPr>
        <w:t>, les objectifs de développement durable</w:t>
      </w:r>
      <w:r w:rsidRPr="006B4DB7">
        <w:rPr>
          <w:lang w:val="fr-FR"/>
        </w:rPr>
        <w:t xml:space="preserve"> </w:t>
      </w:r>
      <w:r w:rsidR="006B4DB7" w:rsidRPr="006B4DB7">
        <w:rPr>
          <w:lang w:val="fr-FR"/>
        </w:rPr>
        <w:t>constituent un contrat entre les dirig</w:t>
      </w:r>
      <w:r>
        <w:rPr>
          <w:lang w:val="fr-FR"/>
        </w:rPr>
        <w:t>eants mondiaux et cette jeune géné</w:t>
      </w:r>
      <w:r w:rsidR="006B4DB7" w:rsidRPr="006B4DB7">
        <w:rPr>
          <w:lang w:val="fr-FR"/>
        </w:rPr>
        <w:t xml:space="preserve">ration. </w:t>
      </w:r>
      <w:r w:rsidR="006B4DB7">
        <w:rPr>
          <w:lang w:val="fr-FR"/>
        </w:rPr>
        <w:t xml:space="preserve">Des partenariats étroits entre les jeunes et </w:t>
      </w:r>
      <w:r>
        <w:rPr>
          <w:lang w:val="fr-FR"/>
        </w:rPr>
        <w:t>l’ensemble des</w:t>
      </w:r>
      <w:r w:rsidR="006B4DB7">
        <w:rPr>
          <w:lang w:val="fr-FR"/>
        </w:rPr>
        <w:t xml:space="preserve"> parties prenantes sont nécessaires, leurs contributions doivent être reconnues et prises en compte à tous les niveaux de la prise de décision</w:t>
      </w:r>
      <w:r w:rsidR="00DA2C5D">
        <w:rPr>
          <w:lang w:val="fr-FR"/>
        </w:rPr>
        <w:t>s</w:t>
      </w:r>
      <w:r w:rsidR="006B4DB7">
        <w:rPr>
          <w:lang w:val="fr-FR"/>
        </w:rPr>
        <w:t xml:space="preserve">, y compris par le biais de nouveaux espaces dédiés à la participation en ligne. Les jeunes </w:t>
      </w:r>
      <w:r w:rsidR="006B5529">
        <w:rPr>
          <w:lang w:val="fr-FR"/>
        </w:rPr>
        <w:t>sont</w:t>
      </w:r>
      <w:r w:rsidR="006B4DB7">
        <w:rPr>
          <w:lang w:val="fr-FR"/>
        </w:rPr>
        <w:t xml:space="preserve"> </w:t>
      </w:r>
      <w:r w:rsidR="00DA2C5D">
        <w:rPr>
          <w:lang w:val="fr-FR"/>
        </w:rPr>
        <w:t>directement confrontés</w:t>
      </w:r>
      <w:r w:rsidR="006B5529">
        <w:rPr>
          <w:lang w:val="fr-FR"/>
        </w:rPr>
        <w:t xml:space="preserve"> aux</w:t>
      </w:r>
      <w:r w:rsidR="006B4DB7">
        <w:rPr>
          <w:lang w:val="fr-FR"/>
        </w:rPr>
        <w:t xml:space="preserve"> </w:t>
      </w:r>
      <w:r w:rsidR="00DA2C5D">
        <w:rPr>
          <w:lang w:val="fr-FR"/>
        </w:rPr>
        <w:t>problèmes</w:t>
      </w:r>
      <w:r w:rsidR="006B4DB7">
        <w:rPr>
          <w:lang w:val="fr-FR"/>
        </w:rPr>
        <w:t xml:space="preserve"> </w:t>
      </w:r>
      <w:r w:rsidR="00DA2C5D">
        <w:rPr>
          <w:lang w:val="fr-FR"/>
        </w:rPr>
        <w:t xml:space="preserve">que </w:t>
      </w:r>
      <w:r w:rsidR="005A7350">
        <w:rPr>
          <w:lang w:val="fr-FR"/>
        </w:rPr>
        <w:t>cherche à</w:t>
      </w:r>
      <w:r w:rsidR="00DA2C5D">
        <w:rPr>
          <w:lang w:val="fr-FR"/>
        </w:rPr>
        <w:t xml:space="preserve"> résoudre le Programme de</w:t>
      </w:r>
      <w:r w:rsidR="0011232E">
        <w:rPr>
          <w:lang w:val="fr-FR"/>
        </w:rPr>
        <w:t xml:space="preserve"> développement durable</w:t>
      </w:r>
      <w:r w:rsidR="00DA2C5D">
        <w:rPr>
          <w:lang w:val="fr-FR"/>
        </w:rPr>
        <w:t xml:space="preserve"> à l’horizon</w:t>
      </w:r>
      <w:r w:rsidR="0011232E">
        <w:rPr>
          <w:lang w:val="fr-FR"/>
        </w:rPr>
        <w:t> </w:t>
      </w:r>
      <w:r w:rsidR="00DA2C5D">
        <w:rPr>
          <w:lang w:val="fr-FR"/>
        </w:rPr>
        <w:t>2030</w:t>
      </w:r>
      <w:r w:rsidR="00D33BF2">
        <w:rPr>
          <w:lang w:val="fr-FR"/>
        </w:rPr>
        <w:t xml:space="preserve"> (Programme 2030)</w:t>
      </w:r>
      <w:r w:rsidR="006B4DB7">
        <w:rPr>
          <w:lang w:val="fr-FR"/>
        </w:rPr>
        <w:t xml:space="preserve">, </w:t>
      </w:r>
      <w:r w:rsidR="002D290A">
        <w:rPr>
          <w:lang w:val="fr-FR"/>
        </w:rPr>
        <w:t>et leur participation à sa</w:t>
      </w:r>
      <w:r w:rsidR="00DA2C5D">
        <w:rPr>
          <w:lang w:val="fr-FR"/>
        </w:rPr>
        <w:t xml:space="preserve"> mise </w:t>
      </w:r>
      <w:r w:rsidR="006B4DB7">
        <w:rPr>
          <w:lang w:val="fr-FR"/>
        </w:rPr>
        <w:t>en œuvre</w:t>
      </w:r>
      <w:r w:rsidR="006B5529">
        <w:rPr>
          <w:lang w:val="fr-FR"/>
        </w:rPr>
        <w:t xml:space="preserve"> transformera le mon</w:t>
      </w:r>
      <w:r w:rsidR="006B4DB7">
        <w:rPr>
          <w:lang w:val="fr-FR"/>
        </w:rPr>
        <w:t>de dont ils hériteront</w:t>
      </w:r>
      <w:r w:rsidR="0098642B" w:rsidRPr="00B10634">
        <w:rPr>
          <w:vertAlign w:val="superscript"/>
        </w:rPr>
        <w:footnoteReference w:id="2"/>
      </w:r>
      <w:r w:rsidR="003D470F">
        <w:rPr>
          <w:lang w:val="fr-FR"/>
        </w:rPr>
        <w:t>.</w:t>
      </w:r>
    </w:p>
    <w:p w14:paraId="5CBDDDC5" w14:textId="06940EDC" w:rsidR="006B5529" w:rsidRPr="006B5529" w:rsidRDefault="006B5529" w:rsidP="003A0413">
      <w:pPr>
        <w:pStyle w:val="Para1"/>
        <w:numPr>
          <w:ilvl w:val="0"/>
          <w:numId w:val="21"/>
        </w:numPr>
        <w:tabs>
          <w:tab w:val="left" w:pos="540"/>
        </w:tabs>
        <w:spacing w:after="240"/>
        <w:ind w:left="0" w:right="0" w:firstLine="0"/>
        <w:rPr>
          <w:lang w:val="fr-FR"/>
        </w:rPr>
      </w:pPr>
      <w:r w:rsidRPr="006B5529">
        <w:rPr>
          <w:lang w:val="fr-FR"/>
        </w:rPr>
        <w:t>Ainsi, le bien-être et la partici</w:t>
      </w:r>
      <w:r>
        <w:rPr>
          <w:lang w:val="fr-FR"/>
        </w:rPr>
        <w:t xml:space="preserve">pation </w:t>
      </w:r>
      <w:r w:rsidR="002D290A">
        <w:rPr>
          <w:lang w:val="fr-FR"/>
        </w:rPr>
        <w:t>significative</w:t>
      </w:r>
      <w:r>
        <w:rPr>
          <w:lang w:val="fr-FR"/>
        </w:rPr>
        <w:t xml:space="preserve"> des jeunes sont </w:t>
      </w:r>
      <w:r w:rsidR="002D290A">
        <w:rPr>
          <w:lang w:val="fr-FR"/>
        </w:rPr>
        <w:t>essentiels</w:t>
      </w:r>
      <w:r>
        <w:rPr>
          <w:lang w:val="fr-FR"/>
        </w:rPr>
        <w:t xml:space="preserve"> </w:t>
      </w:r>
      <w:r w:rsidR="002A6F0F">
        <w:rPr>
          <w:lang w:val="fr-FR"/>
        </w:rPr>
        <w:t>à la réalisation des</w:t>
      </w:r>
      <w:r>
        <w:rPr>
          <w:lang w:val="fr-FR"/>
        </w:rPr>
        <w:t xml:space="preserve"> objectifs de développement durable, </w:t>
      </w:r>
      <w:r w:rsidR="005A7350">
        <w:rPr>
          <w:lang w:val="fr-FR"/>
        </w:rPr>
        <w:t>dont la mise en œuvre devra tenir compte des</w:t>
      </w:r>
      <w:r>
        <w:rPr>
          <w:lang w:val="fr-FR"/>
        </w:rPr>
        <w:t xml:space="preserve"> besoins et </w:t>
      </w:r>
      <w:r w:rsidR="005A7350">
        <w:rPr>
          <w:lang w:val="fr-FR"/>
        </w:rPr>
        <w:t>des</w:t>
      </w:r>
      <w:r>
        <w:rPr>
          <w:lang w:val="fr-FR"/>
        </w:rPr>
        <w:t xml:space="preserve"> </w:t>
      </w:r>
      <w:r w:rsidR="002D290A">
        <w:rPr>
          <w:lang w:val="fr-FR"/>
        </w:rPr>
        <w:t>points de vue</w:t>
      </w:r>
      <w:r>
        <w:rPr>
          <w:lang w:val="fr-FR"/>
        </w:rPr>
        <w:t xml:space="preserve"> des adolescents et des jeunes, </w:t>
      </w:r>
      <w:r w:rsidR="00476D5E">
        <w:rPr>
          <w:lang w:val="fr-FR"/>
        </w:rPr>
        <w:t xml:space="preserve">notamment </w:t>
      </w:r>
      <w:r>
        <w:rPr>
          <w:lang w:val="fr-FR"/>
        </w:rPr>
        <w:t xml:space="preserve">des plus marginalisés. Investir dans leur autonomisation et leur éducation, </w:t>
      </w:r>
      <w:r w:rsidR="00476D5E">
        <w:rPr>
          <w:lang w:val="fr-FR"/>
        </w:rPr>
        <w:t xml:space="preserve">particulièrement à la période cruciale de </w:t>
      </w:r>
      <w:r>
        <w:rPr>
          <w:lang w:val="fr-FR"/>
        </w:rPr>
        <w:t xml:space="preserve">l’adolescence, aura des </w:t>
      </w:r>
      <w:r w:rsidR="00476D5E">
        <w:rPr>
          <w:lang w:val="fr-FR"/>
        </w:rPr>
        <w:t>répercussions</w:t>
      </w:r>
      <w:r>
        <w:rPr>
          <w:lang w:val="fr-FR"/>
        </w:rPr>
        <w:t xml:space="preserve"> durables tout au long de leur vie, et contribuera directement au développement </w:t>
      </w:r>
      <w:r w:rsidR="00476D5E">
        <w:rPr>
          <w:lang w:val="fr-FR"/>
        </w:rPr>
        <w:t>global</w:t>
      </w:r>
      <w:r>
        <w:rPr>
          <w:lang w:val="fr-FR"/>
        </w:rPr>
        <w:t xml:space="preserve"> des communautés et des pays. </w:t>
      </w:r>
    </w:p>
    <w:p w14:paraId="74094793" w14:textId="3A0773CA" w:rsidR="00FB7C56" w:rsidRPr="006B5529" w:rsidRDefault="006B5529" w:rsidP="003A0413">
      <w:pPr>
        <w:pStyle w:val="Para1"/>
        <w:numPr>
          <w:ilvl w:val="0"/>
          <w:numId w:val="21"/>
        </w:numPr>
        <w:tabs>
          <w:tab w:val="left" w:pos="540"/>
        </w:tabs>
        <w:spacing w:after="240"/>
        <w:ind w:left="0" w:right="0" w:firstLine="0"/>
        <w:rPr>
          <w:lang w:val="fr-FR"/>
        </w:rPr>
      </w:pPr>
      <w:r w:rsidRPr="006B5529">
        <w:rPr>
          <w:lang w:val="fr-FR"/>
        </w:rPr>
        <w:t xml:space="preserve">Ce document </w:t>
      </w:r>
      <w:r w:rsidR="00814949">
        <w:rPr>
          <w:lang w:val="fr-FR"/>
        </w:rPr>
        <w:t>étudie</w:t>
      </w:r>
      <w:r w:rsidRPr="006B5529">
        <w:rPr>
          <w:lang w:val="fr-FR"/>
        </w:rPr>
        <w:t xml:space="preserve"> les priorités spécifiques des adolescents et des jeunes dans le cadre des objectifs de développement durable</w:t>
      </w:r>
      <w:r w:rsidR="00476D5E">
        <w:rPr>
          <w:lang w:val="fr-FR"/>
        </w:rPr>
        <w:t>,</w:t>
      </w:r>
      <w:r w:rsidRPr="006B5529">
        <w:rPr>
          <w:lang w:val="fr-FR"/>
        </w:rPr>
        <w:t xml:space="preserve"> et </w:t>
      </w:r>
      <w:r w:rsidR="00814949">
        <w:rPr>
          <w:lang w:val="fr-FR"/>
        </w:rPr>
        <w:t>examine</w:t>
      </w:r>
      <w:r w:rsidRPr="006B5529">
        <w:rPr>
          <w:lang w:val="fr-FR"/>
        </w:rPr>
        <w:t xml:space="preserve"> les </w:t>
      </w:r>
      <w:r w:rsidR="00476D5E">
        <w:rPr>
          <w:lang w:val="fr-FR"/>
        </w:rPr>
        <w:t xml:space="preserve">principales </w:t>
      </w:r>
      <w:r w:rsidRPr="006B5529">
        <w:rPr>
          <w:lang w:val="fr-FR"/>
        </w:rPr>
        <w:t xml:space="preserve">réponses </w:t>
      </w:r>
      <w:r w:rsidR="00476D5E">
        <w:rPr>
          <w:lang w:val="fr-FR"/>
        </w:rPr>
        <w:t xml:space="preserve">apportées par les </w:t>
      </w:r>
      <w:r w:rsidRPr="006B5529">
        <w:rPr>
          <w:lang w:val="fr-FR"/>
        </w:rPr>
        <w:t>Nations Unies</w:t>
      </w:r>
      <w:r w:rsidR="00814949">
        <w:rPr>
          <w:lang w:val="fr-FR"/>
        </w:rPr>
        <w:t>,</w:t>
      </w:r>
      <w:r w:rsidRPr="006B5529">
        <w:rPr>
          <w:lang w:val="fr-FR"/>
        </w:rPr>
        <w:t xml:space="preserve"> qui </w:t>
      </w:r>
      <w:r w:rsidR="00814949">
        <w:rPr>
          <w:lang w:val="fr-FR"/>
        </w:rPr>
        <w:t>soulignent l’importance d</w:t>
      </w:r>
      <w:r w:rsidRPr="006B5529">
        <w:rPr>
          <w:lang w:val="fr-FR"/>
        </w:rPr>
        <w:t xml:space="preserve">es jeunes et </w:t>
      </w:r>
      <w:r w:rsidR="00814949">
        <w:rPr>
          <w:lang w:val="fr-FR"/>
        </w:rPr>
        <w:t xml:space="preserve">de </w:t>
      </w:r>
      <w:r w:rsidRPr="006B5529">
        <w:rPr>
          <w:lang w:val="fr-FR"/>
        </w:rPr>
        <w:t xml:space="preserve">leur participation aux </w:t>
      </w:r>
      <w:r>
        <w:rPr>
          <w:lang w:val="fr-FR"/>
        </w:rPr>
        <w:t>p</w:t>
      </w:r>
      <w:r w:rsidRPr="006B5529">
        <w:rPr>
          <w:lang w:val="fr-FR"/>
        </w:rPr>
        <w:t>rocessus de développement</w:t>
      </w:r>
      <w:r>
        <w:rPr>
          <w:lang w:val="fr-FR"/>
        </w:rPr>
        <w:t xml:space="preserve">, à l’action humanitaire et aux efforts </w:t>
      </w:r>
      <w:r w:rsidR="00476D5E">
        <w:rPr>
          <w:lang w:val="fr-FR"/>
        </w:rPr>
        <w:t xml:space="preserve">réalisés </w:t>
      </w:r>
      <w:r>
        <w:rPr>
          <w:lang w:val="fr-FR"/>
        </w:rPr>
        <w:t>pour maintenir la paix.</w:t>
      </w:r>
    </w:p>
    <w:p w14:paraId="230BD30E" w14:textId="5577BB05" w:rsidR="00FB7C56" w:rsidRPr="00FF17A4" w:rsidRDefault="006B5529" w:rsidP="003A0413">
      <w:pPr>
        <w:pStyle w:val="Para1"/>
        <w:numPr>
          <w:ilvl w:val="0"/>
          <w:numId w:val="11"/>
        </w:numPr>
        <w:tabs>
          <w:tab w:val="clear" w:pos="720"/>
          <w:tab w:val="left" w:pos="540"/>
        </w:tabs>
        <w:spacing w:after="240"/>
        <w:ind w:hanging="720"/>
        <w:rPr>
          <w:b/>
          <w:sz w:val="32"/>
        </w:rPr>
      </w:pPr>
      <w:r>
        <w:rPr>
          <w:b/>
          <w:sz w:val="32"/>
        </w:rPr>
        <w:t>Questions clés</w:t>
      </w:r>
    </w:p>
    <w:p w14:paraId="2A7C84FA" w14:textId="533859DE" w:rsidR="0011232E" w:rsidRPr="0011232E" w:rsidRDefault="006B5529" w:rsidP="003A0413">
      <w:pPr>
        <w:pStyle w:val="Para1"/>
        <w:numPr>
          <w:ilvl w:val="0"/>
          <w:numId w:val="21"/>
        </w:numPr>
        <w:tabs>
          <w:tab w:val="left" w:pos="540"/>
        </w:tabs>
        <w:spacing w:after="240"/>
        <w:ind w:left="0" w:right="0" w:firstLine="0"/>
        <w:rPr>
          <w:lang w:val="fr-FR"/>
        </w:rPr>
      </w:pPr>
      <w:r w:rsidRPr="0011232E">
        <w:rPr>
          <w:lang w:val="fr-FR"/>
        </w:rPr>
        <w:t xml:space="preserve">Il convient de rappeler que les jeunes ont été au </w:t>
      </w:r>
      <w:r w:rsidR="00485A44" w:rsidRPr="0011232E">
        <w:rPr>
          <w:lang w:val="fr-FR"/>
        </w:rPr>
        <w:t>cœur</w:t>
      </w:r>
      <w:r w:rsidRPr="0011232E">
        <w:rPr>
          <w:lang w:val="fr-FR"/>
        </w:rPr>
        <w:t xml:space="preserve"> </w:t>
      </w:r>
      <w:r w:rsidR="0011232E" w:rsidRPr="0011232E">
        <w:rPr>
          <w:lang w:val="fr-FR"/>
        </w:rPr>
        <w:t xml:space="preserve">du processus qui a abouti </w:t>
      </w:r>
      <w:r w:rsidR="00485A44">
        <w:rPr>
          <w:lang w:val="fr-FR"/>
        </w:rPr>
        <w:t>au Programme</w:t>
      </w:r>
      <w:r w:rsidR="0011232E" w:rsidRPr="0011232E">
        <w:rPr>
          <w:lang w:val="fr-FR"/>
        </w:rPr>
        <w:t> 2030, en prenant une part active à l’orientation des discussions à tous les niveaux. Dans l’</w:t>
      </w:r>
      <w:r w:rsidR="00485A44">
        <w:rPr>
          <w:lang w:val="fr-FR"/>
        </w:rPr>
        <w:t>enquête</w:t>
      </w:r>
      <w:r w:rsidR="0011232E" w:rsidRPr="0011232E">
        <w:rPr>
          <w:lang w:val="fr-FR"/>
        </w:rPr>
        <w:t xml:space="preserve"> « MY World » réalisée en 2015, portant sur l</w:t>
      </w:r>
      <w:r w:rsidR="00485A44">
        <w:rPr>
          <w:lang w:val="fr-FR"/>
        </w:rPr>
        <w:t>’action menée par l</w:t>
      </w:r>
      <w:r w:rsidR="0011232E" w:rsidRPr="0011232E">
        <w:rPr>
          <w:lang w:val="fr-FR"/>
        </w:rPr>
        <w:t xml:space="preserve">es Nations Unies pour encourager la population mondiale à faire </w:t>
      </w:r>
      <w:r w:rsidR="00485A44">
        <w:rPr>
          <w:lang w:val="fr-FR"/>
        </w:rPr>
        <w:t>entendre</w:t>
      </w:r>
      <w:r w:rsidR="0011232E" w:rsidRPr="0011232E">
        <w:rPr>
          <w:lang w:val="fr-FR"/>
        </w:rPr>
        <w:t xml:space="preserve"> ses priorités pour un monde meilleur, la majorité des dix millions de votes exprimés provenait de jeunes âgés de 16 à 30 ans.</w:t>
      </w:r>
      <w:r w:rsidR="0011232E">
        <w:rPr>
          <w:lang w:val="fr-FR"/>
        </w:rPr>
        <w:t xml:space="preserve"> </w:t>
      </w:r>
      <w:r w:rsidR="00B56D0A">
        <w:rPr>
          <w:lang w:val="fr-FR"/>
        </w:rPr>
        <w:t>D</w:t>
      </w:r>
      <w:r w:rsidR="0011232E" w:rsidRPr="0011232E">
        <w:rPr>
          <w:lang w:val="fr-FR"/>
        </w:rPr>
        <w:t xml:space="preserve">es initiatives </w:t>
      </w:r>
      <w:r w:rsidR="00FA2475">
        <w:rPr>
          <w:lang w:val="fr-FR"/>
        </w:rPr>
        <w:t xml:space="preserve">phares </w:t>
      </w:r>
      <w:r w:rsidR="00B56D0A">
        <w:rPr>
          <w:lang w:val="fr-FR"/>
        </w:rPr>
        <w:t xml:space="preserve">ont été </w:t>
      </w:r>
      <w:r w:rsidR="00A14D1E">
        <w:rPr>
          <w:lang w:val="fr-FR"/>
        </w:rPr>
        <w:t>lancées</w:t>
      </w:r>
      <w:r w:rsidR="00FA2475">
        <w:rPr>
          <w:lang w:val="fr-FR"/>
        </w:rPr>
        <w:t xml:space="preserve"> dans le cadre</w:t>
      </w:r>
      <w:r w:rsidR="0011232E" w:rsidRPr="0011232E">
        <w:rPr>
          <w:lang w:val="fr-FR"/>
        </w:rPr>
        <w:t xml:space="preserve"> </w:t>
      </w:r>
      <w:r w:rsidR="00FA2475">
        <w:rPr>
          <w:lang w:val="fr-FR"/>
        </w:rPr>
        <w:t>du</w:t>
      </w:r>
      <w:r w:rsidR="00485A44">
        <w:rPr>
          <w:lang w:val="fr-FR"/>
        </w:rPr>
        <w:t xml:space="preserve"> programme </w:t>
      </w:r>
      <w:r w:rsidR="0011232E" w:rsidRPr="0011232E">
        <w:rPr>
          <w:lang w:val="fr-FR"/>
        </w:rPr>
        <w:t xml:space="preserve">de développement </w:t>
      </w:r>
      <w:r w:rsidR="00485A44">
        <w:rPr>
          <w:lang w:val="fr-FR"/>
        </w:rPr>
        <w:t>pour l’après-</w:t>
      </w:r>
      <w:r w:rsidR="0011232E" w:rsidRPr="0011232E">
        <w:rPr>
          <w:lang w:val="fr-FR"/>
        </w:rPr>
        <w:t>2015</w:t>
      </w:r>
      <w:r w:rsidR="00B56D0A">
        <w:rPr>
          <w:lang w:val="fr-FR"/>
        </w:rPr>
        <w:t> : l</w:t>
      </w:r>
      <w:r w:rsidR="0011232E" w:rsidRPr="0011232E">
        <w:rPr>
          <w:lang w:val="fr-FR"/>
        </w:rPr>
        <w:t xml:space="preserve">es consultations </w:t>
      </w:r>
      <w:r w:rsidR="00FA2475" w:rsidRPr="0011232E">
        <w:rPr>
          <w:lang w:val="fr-FR"/>
        </w:rPr>
        <w:t xml:space="preserve">régionales et </w:t>
      </w:r>
      <w:r w:rsidR="0011232E" w:rsidRPr="0011232E">
        <w:rPr>
          <w:lang w:val="fr-FR"/>
        </w:rPr>
        <w:t>mondiales</w:t>
      </w:r>
      <w:r w:rsidR="0011232E">
        <w:rPr>
          <w:lang w:val="fr-FR"/>
        </w:rPr>
        <w:t xml:space="preserve"> organisées par le PNUD, </w:t>
      </w:r>
      <w:r w:rsidR="008B686E">
        <w:rPr>
          <w:lang w:val="fr-FR"/>
        </w:rPr>
        <w:t>et l</w:t>
      </w:r>
      <w:r w:rsidR="002A62D4">
        <w:rPr>
          <w:lang w:val="fr-FR"/>
        </w:rPr>
        <w:t xml:space="preserve">e projet </w:t>
      </w:r>
      <w:r w:rsidR="00B56D0A">
        <w:rPr>
          <w:lang w:val="fr-FR"/>
        </w:rPr>
        <w:t>participati</w:t>
      </w:r>
      <w:r w:rsidR="002A62D4">
        <w:rPr>
          <w:lang w:val="fr-FR"/>
        </w:rPr>
        <w:t>f</w:t>
      </w:r>
      <w:r w:rsidR="00B56D0A">
        <w:rPr>
          <w:lang w:val="fr-FR"/>
        </w:rPr>
        <w:t xml:space="preserve"> </w:t>
      </w:r>
      <w:r w:rsidR="002A62D4">
        <w:rPr>
          <w:lang w:val="fr-FR"/>
        </w:rPr>
        <w:t>sur les priorités des jeunes animé</w:t>
      </w:r>
      <w:r w:rsidR="008B686E">
        <w:rPr>
          <w:lang w:val="fr-FR"/>
        </w:rPr>
        <w:t xml:space="preserve"> par le Bureau de L’Envoyé du Secrétaire général pour la Jeunesse, le FNUAP et l’Union internationale des télécommunications, en collaboration étroite avec les partenaires </w:t>
      </w:r>
      <w:r w:rsidR="00B56D0A">
        <w:rPr>
          <w:lang w:val="fr-FR"/>
        </w:rPr>
        <w:t xml:space="preserve">du système </w:t>
      </w:r>
      <w:r w:rsidR="008B686E">
        <w:rPr>
          <w:lang w:val="fr-FR"/>
        </w:rPr>
        <w:t>des Nations Unies et les organisations et réseaux internationaux de jeunes.</w:t>
      </w:r>
    </w:p>
    <w:p w14:paraId="7C4CEFB5" w14:textId="396D21D4" w:rsidR="008B686E" w:rsidRPr="008B686E" w:rsidRDefault="008B686E" w:rsidP="003A0413">
      <w:pPr>
        <w:pStyle w:val="Para1"/>
        <w:numPr>
          <w:ilvl w:val="0"/>
          <w:numId w:val="21"/>
        </w:numPr>
        <w:tabs>
          <w:tab w:val="left" w:pos="540"/>
        </w:tabs>
        <w:spacing w:after="240"/>
        <w:ind w:left="0" w:right="0" w:firstLine="0"/>
        <w:rPr>
          <w:lang w:val="fr-FR"/>
        </w:rPr>
      </w:pPr>
      <w:r w:rsidRPr="008B686E">
        <w:rPr>
          <w:lang w:val="fr-FR"/>
        </w:rPr>
        <w:t xml:space="preserve">Les entités des Nations Unies ont travaillé de concert pour </w:t>
      </w:r>
      <w:r w:rsidR="002A62D4">
        <w:rPr>
          <w:lang w:val="fr-FR"/>
        </w:rPr>
        <w:t>élaborer</w:t>
      </w:r>
      <w:r w:rsidRPr="008B686E">
        <w:rPr>
          <w:lang w:val="fr-FR"/>
        </w:rPr>
        <w:t xml:space="preserve"> l</w:t>
      </w:r>
      <w:r w:rsidR="00D33BF2">
        <w:rPr>
          <w:lang w:val="fr-FR"/>
        </w:rPr>
        <w:t>e Programme</w:t>
      </w:r>
      <w:r w:rsidR="002A62D4" w:rsidRPr="0011232E">
        <w:rPr>
          <w:lang w:val="fr-FR"/>
        </w:rPr>
        <w:t> </w:t>
      </w:r>
      <w:r w:rsidRPr="008B686E">
        <w:rPr>
          <w:lang w:val="fr-FR"/>
        </w:rPr>
        <w:t xml:space="preserve">2030 </w:t>
      </w:r>
      <w:r>
        <w:rPr>
          <w:lang w:val="fr-FR"/>
        </w:rPr>
        <w:t xml:space="preserve">en adoptant </w:t>
      </w:r>
      <w:r w:rsidR="002A62D4">
        <w:rPr>
          <w:lang w:val="fr-FR"/>
        </w:rPr>
        <w:t>le</w:t>
      </w:r>
      <w:r w:rsidRPr="008B686E">
        <w:rPr>
          <w:lang w:val="fr-FR"/>
        </w:rPr>
        <w:t xml:space="preserve"> </w:t>
      </w:r>
      <w:r w:rsidR="002A62D4">
        <w:rPr>
          <w:lang w:val="fr-FR"/>
        </w:rPr>
        <w:t xml:space="preserve">point de vue </w:t>
      </w:r>
      <w:r w:rsidRPr="008B686E">
        <w:rPr>
          <w:lang w:val="fr-FR"/>
        </w:rPr>
        <w:t>des jeunes</w:t>
      </w:r>
      <w:r w:rsidR="002A62D4">
        <w:rPr>
          <w:lang w:val="fr-FR"/>
        </w:rPr>
        <w:t>,</w:t>
      </w:r>
      <w:r>
        <w:rPr>
          <w:lang w:val="fr-FR"/>
        </w:rPr>
        <w:t xml:space="preserve"> et </w:t>
      </w:r>
      <w:r w:rsidR="002A62D4">
        <w:rPr>
          <w:lang w:val="fr-FR"/>
        </w:rPr>
        <w:t>pour assurer leur</w:t>
      </w:r>
      <w:r>
        <w:rPr>
          <w:lang w:val="fr-FR"/>
        </w:rPr>
        <w:t xml:space="preserve"> participation à tous les niveaux </w:t>
      </w:r>
      <w:r w:rsidR="002A62D4">
        <w:rPr>
          <w:lang w:val="fr-FR"/>
        </w:rPr>
        <w:t xml:space="preserve">en créant </w:t>
      </w:r>
      <w:r>
        <w:rPr>
          <w:lang w:val="fr-FR"/>
        </w:rPr>
        <w:t>des partenariats avec des organisations, des mouvements et des réseaux de jeunes</w:t>
      </w:r>
      <w:r w:rsidR="001F0786">
        <w:rPr>
          <w:lang w:val="fr-FR"/>
        </w:rPr>
        <w:t> :</w:t>
      </w:r>
      <w:r>
        <w:rPr>
          <w:lang w:val="fr-FR"/>
        </w:rPr>
        <w:t xml:space="preserve"> </w:t>
      </w:r>
      <w:r w:rsidR="001F0786">
        <w:rPr>
          <w:lang w:val="fr-FR"/>
        </w:rPr>
        <w:t xml:space="preserve">au niveau mondial et régional </w:t>
      </w:r>
      <w:r w:rsidR="00814B2E">
        <w:rPr>
          <w:lang w:val="fr-FR"/>
        </w:rPr>
        <w:t>à travers le Grand groupe des Nations Unies pour les enfants et les jeunes</w:t>
      </w:r>
      <w:r w:rsidR="001F0786">
        <w:rPr>
          <w:lang w:val="fr-FR"/>
        </w:rPr>
        <w:t> ; et</w:t>
      </w:r>
      <w:r w:rsidR="00814B2E">
        <w:rPr>
          <w:lang w:val="fr-FR"/>
        </w:rPr>
        <w:t xml:space="preserve"> </w:t>
      </w:r>
      <w:r w:rsidR="001F0786">
        <w:rPr>
          <w:lang w:val="fr-FR"/>
        </w:rPr>
        <w:t xml:space="preserve">au niveau national </w:t>
      </w:r>
      <w:r w:rsidR="00814B2E">
        <w:rPr>
          <w:lang w:val="fr-FR"/>
        </w:rPr>
        <w:t xml:space="preserve">avec des </w:t>
      </w:r>
      <w:r w:rsidR="001F0786">
        <w:rPr>
          <w:lang w:val="fr-FR"/>
        </w:rPr>
        <w:t>mouvements conduits par les</w:t>
      </w:r>
      <w:r w:rsidR="00814B2E">
        <w:rPr>
          <w:lang w:val="fr-FR"/>
        </w:rPr>
        <w:t xml:space="preserve"> jeunes (</w:t>
      </w:r>
      <w:r w:rsidR="001F0786">
        <w:rPr>
          <w:lang w:val="fr-FR"/>
        </w:rPr>
        <w:t>notamment au</w:t>
      </w:r>
      <w:r w:rsidR="00814B2E">
        <w:rPr>
          <w:lang w:val="fr-FR"/>
        </w:rPr>
        <w:t xml:space="preserve"> </w:t>
      </w:r>
      <w:r w:rsidR="00814B2E" w:rsidRPr="00814B2E">
        <w:rPr>
          <w:lang w:val="fr-FR"/>
        </w:rPr>
        <w:t xml:space="preserve">Bangladesh, </w:t>
      </w:r>
      <w:r w:rsidR="001F0786">
        <w:rPr>
          <w:lang w:val="fr-FR"/>
        </w:rPr>
        <w:t>au</w:t>
      </w:r>
      <w:r w:rsidR="00814B2E">
        <w:rPr>
          <w:lang w:val="fr-FR"/>
        </w:rPr>
        <w:t xml:space="preserve"> </w:t>
      </w:r>
      <w:r w:rsidR="00814B2E" w:rsidRPr="00814B2E">
        <w:rPr>
          <w:lang w:val="fr-FR"/>
        </w:rPr>
        <w:t>Br</w:t>
      </w:r>
      <w:r w:rsidR="00814B2E">
        <w:rPr>
          <w:lang w:val="fr-FR"/>
        </w:rPr>
        <w:t>és</w:t>
      </w:r>
      <w:r w:rsidR="00814B2E" w:rsidRPr="00814B2E">
        <w:rPr>
          <w:lang w:val="fr-FR"/>
        </w:rPr>
        <w:t xml:space="preserve">il, </w:t>
      </w:r>
      <w:r w:rsidR="001F0786">
        <w:rPr>
          <w:lang w:val="fr-FR"/>
        </w:rPr>
        <w:t>au</w:t>
      </w:r>
      <w:r w:rsidR="00814B2E">
        <w:rPr>
          <w:lang w:val="fr-FR"/>
        </w:rPr>
        <w:t xml:space="preserve"> </w:t>
      </w:r>
      <w:r w:rsidR="00814B2E" w:rsidRPr="00814B2E">
        <w:rPr>
          <w:lang w:val="fr-FR"/>
        </w:rPr>
        <w:t xml:space="preserve">Sri </w:t>
      </w:r>
      <w:r w:rsidR="00814B2E" w:rsidRPr="00814B2E">
        <w:rPr>
          <w:lang w:val="fr-FR"/>
        </w:rPr>
        <w:lastRenderedPageBreak/>
        <w:t xml:space="preserve">Lanka </w:t>
      </w:r>
      <w:r w:rsidR="00814B2E">
        <w:rPr>
          <w:lang w:val="fr-FR"/>
        </w:rPr>
        <w:t xml:space="preserve">et </w:t>
      </w:r>
      <w:r w:rsidR="001F0786">
        <w:rPr>
          <w:lang w:val="fr-FR"/>
        </w:rPr>
        <w:t>au</w:t>
      </w:r>
      <w:r w:rsidR="00814B2E" w:rsidRPr="00814B2E">
        <w:rPr>
          <w:lang w:val="fr-FR"/>
        </w:rPr>
        <w:t xml:space="preserve"> Viet Nam</w:t>
      </w:r>
      <w:r w:rsidR="00814B2E">
        <w:rPr>
          <w:lang w:val="fr-FR"/>
        </w:rPr>
        <w:t>). La plateforme participative a constitué un moyen concret d’impliquer dans le débat l</w:t>
      </w:r>
      <w:r w:rsidR="001F0786">
        <w:rPr>
          <w:lang w:val="fr-FR"/>
        </w:rPr>
        <w:t>a jeunesse et ses</w:t>
      </w:r>
      <w:r w:rsidR="00814B2E">
        <w:rPr>
          <w:lang w:val="fr-FR"/>
        </w:rPr>
        <w:t xml:space="preserve"> organisations partout dans le monde</w:t>
      </w:r>
      <w:r w:rsidR="006C1193">
        <w:rPr>
          <w:lang w:val="fr-FR"/>
        </w:rPr>
        <w:t>,</w:t>
      </w:r>
      <w:r w:rsidR="00814B2E">
        <w:rPr>
          <w:lang w:val="fr-FR"/>
        </w:rPr>
        <w:t xml:space="preserve"> et </w:t>
      </w:r>
      <w:r w:rsidR="006C1193">
        <w:rPr>
          <w:lang w:val="fr-FR"/>
        </w:rPr>
        <w:t xml:space="preserve">a </w:t>
      </w:r>
      <w:r w:rsidR="00814B2E">
        <w:rPr>
          <w:lang w:val="fr-FR"/>
        </w:rPr>
        <w:t xml:space="preserve">contribué à la </w:t>
      </w:r>
      <w:r w:rsidR="006C1193">
        <w:rPr>
          <w:lang w:val="fr-FR"/>
        </w:rPr>
        <w:t xml:space="preserve">création </w:t>
      </w:r>
      <w:r w:rsidR="00814B2E">
        <w:rPr>
          <w:lang w:val="fr-FR"/>
        </w:rPr>
        <w:t xml:space="preserve">de </w:t>
      </w:r>
      <w:r w:rsidR="007242CB">
        <w:rPr>
          <w:lang w:val="fr-FR"/>
        </w:rPr>
        <w:t>l’Appel mondial de la jeunesse : donner la priorité aux jeunes dans le programme de développement pour l’après-2015.</w:t>
      </w:r>
    </w:p>
    <w:p w14:paraId="1E8C1B75" w14:textId="431FFA6F" w:rsidR="007242CB" w:rsidRPr="007242CB" w:rsidRDefault="00AF085C" w:rsidP="003A0413">
      <w:pPr>
        <w:pStyle w:val="Para1"/>
        <w:numPr>
          <w:ilvl w:val="0"/>
          <w:numId w:val="21"/>
        </w:numPr>
        <w:tabs>
          <w:tab w:val="left" w:pos="540"/>
        </w:tabs>
        <w:spacing w:after="240"/>
        <w:ind w:left="0" w:right="0" w:firstLine="0"/>
        <w:rPr>
          <w:lang w:val="fr-FR"/>
        </w:rPr>
      </w:pPr>
      <w:r>
        <w:rPr>
          <w:lang w:val="fr-FR"/>
        </w:rPr>
        <w:t>R</w:t>
      </w:r>
      <w:r w:rsidRPr="007242CB">
        <w:rPr>
          <w:lang w:val="fr-FR"/>
        </w:rPr>
        <w:t xml:space="preserve">eflet d’un consensus mondial sur les domaines cibles </w:t>
      </w:r>
      <w:r>
        <w:rPr>
          <w:lang w:val="fr-FR"/>
        </w:rPr>
        <w:t xml:space="preserve">liés à la </w:t>
      </w:r>
      <w:r w:rsidRPr="007242CB">
        <w:rPr>
          <w:lang w:val="fr-FR"/>
        </w:rPr>
        <w:t xml:space="preserve">jeunesse dans le </w:t>
      </w:r>
      <w:r>
        <w:rPr>
          <w:lang w:val="fr-FR"/>
        </w:rPr>
        <w:t>P</w:t>
      </w:r>
      <w:r w:rsidR="00D33BF2">
        <w:rPr>
          <w:lang w:val="fr-FR"/>
        </w:rPr>
        <w:t>rogramme</w:t>
      </w:r>
      <w:r w:rsidRPr="0011232E">
        <w:rPr>
          <w:lang w:val="fr-FR"/>
        </w:rPr>
        <w:t> </w:t>
      </w:r>
      <w:r w:rsidRPr="008B686E">
        <w:rPr>
          <w:lang w:val="fr-FR"/>
        </w:rPr>
        <w:t>2030</w:t>
      </w:r>
      <w:r>
        <w:rPr>
          <w:lang w:val="fr-FR"/>
        </w:rPr>
        <w:t>, l</w:t>
      </w:r>
      <w:r w:rsidR="007242CB" w:rsidRPr="007242CB">
        <w:rPr>
          <w:lang w:val="fr-FR"/>
        </w:rPr>
        <w:t xml:space="preserve">’Appel mondial de la jeunesse a été approuvé par d’importants </w:t>
      </w:r>
      <w:r w:rsidRPr="007242CB">
        <w:rPr>
          <w:lang w:val="fr-FR"/>
        </w:rPr>
        <w:t xml:space="preserve">réseaux et </w:t>
      </w:r>
      <w:r w:rsidR="007242CB" w:rsidRPr="007242CB">
        <w:rPr>
          <w:lang w:val="fr-FR"/>
        </w:rPr>
        <w:t xml:space="preserve">alliances </w:t>
      </w:r>
      <w:r>
        <w:rPr>
          <w:lang w:val="fr-FR"/>
        </w:rPr>
        <w:t>internationaux</w:t>
      </w:r>
      <w:r w:rsidR="007242CB" w:rsidRPr="007242CB">
        <w:rPr>
          <w:lang w:val="fr-FR"/>
        </w:rPr>
        <w:t xml:space="preserve"> axés sur les jeunes, des organisations intergouvernementales, des conseils </w:t>
      </w:r>
      <w:r w:rsidRPr="007242CB">
        <w:rPr>
          <w:lang w:val="fr-FR"/>
        </w:rPr>
        <w:t xml:space="preserve">nationaux </w:t>
      </w:r>
      <w:r w:rsidR="007242CB" w:rsidRPr="007242CB">
        <w:rPr>
          <w:lang w:val="fr-FR"/>
        </w:rPr>
        <w:t>de</w:t>
      </w:r>
      <w:r>
        <w:rPr>
          <w:lang w:val="fr-FR"/>
        </w:rPr>
        <w:t xml:space="preserve"> la jeunesse</w:t>
      </w:r>
      <w:r w:rsidR="007242CB" w:rsidRPr="007242CB">
        <w:rPr>
          <w:lang w:val="fr-FR"/>
        </w:rPr>
        <w:t xml:space="preserve"> et plus de 1 250</w:t>
      </w:r>
      <w:r w:rsidR="00077300">
        <w:rPr>
          <w:lang w:val="fr-FR"/>
        </w:rPr>
        <w:t> </w:t>
      </w:r>
      <w:r w:rsidR="007242CB" w:rsidRPr="007242CB">
        <w:rPr>
          <w:lang w:val="fr-FR"/>
        </w:rPr>
        <w:t xml:space="preserve">organisations de jeunes issues de plus de 140 pays. Il recense les cibles prioritaires </w:t>
      </w:r>
      <w:r>
        <w:rPr>
          <w:lang w:val="fr-FR"/>
        </w:rPr>
        <w:t xml:space="preserve">en ce qui concerne </w:t>
      </w:r>
      <w:r w:rsidR="007242CB" w:rsidRPr="007242CB">
        <w:rPr>
          <w:lang w:val="fr-FR"/>
        </w:rPr>
        <w:t xml:space="preserve">l’accès universel à </w:t>
      </w:r>
      <w:r w:rsidR="007242CB">
        <w:rPr>
          <w:lang w:val="fr-FR"/>
        </w:rPr>
        <w:t xml:space="preserve">un </w:t>
      </w:r>
      <w:r w:rsidR="007242CB" w:rsidRPr="007242CB">
        <w:rPr>
          <w:lang w:val="fr-FR"/>
        </w:rPr>
        <w:t xml:space="preserve">enseignement secondaire et supérieur de </w:t>
      </w:r>
      <w:r w:rsidR="00826720">
        <w:rPr>
          <w:lang w:val="fr-FR"/>
        </w:rPr>
        <w:t>haute</w:t>
      </w:r>
      <w:r w:rsidR="007242CB">
        <w:rPr>
          <w:lang w:val="fr-FR"/>
        </w:rPr>
        <w:t xml:space="preserve"> qualité ; l’accès à un </w:t>
      </w:r>
      <w:r w:rsidR="00826720">
        <w:rPr>
          <w:lang w:val="fr-FR"/>
        </w:rPr>
        <w:t>emploi</w:t>
      </w:r>
      <w:r w:rsidR="007242CB">
        <w:rPr>
          <w:lang w:val="fr-FR"/>
        </w:rPr>
        <w:t xml:space="preserve"> et à des moyens d</w:t>
      </w:r>
      <w:r w:rsidR="00826720">
        <w:rPr>
          <w:lang w:val="fr-FR"/>
        </w:rPr>
        <w:t xml:space="preserve">e subsistance </w:t>
      </w:r>
      <w:r w:rsidR="007242CB">
        <w:rPr>
          <w:lang w:val="fr-FR"/>
        </w:rPr>
        <w:t>décents ; la participation inclusive aux prises de d</w:t>
      </w:r>
      <w:r w:rsidR="00640217">
        <w:rPr>
          <w:lang w:val="fr-FR"/>
        </w:rPr>
        <w:t>é</w:t>
      </w:r>
      <w:r w:rsidR="007242CB">
        <w:rPr>
          <w:lang w:val="fr-FR"/>
        </w:rPr>
        <w:t>cision</w:t>
      </w:r>
      <w:r w:rsidR="00826720">
        <w:rPr>
          <w:lang w:val="fr-FR"/>
        </w:rPr>
        <w:t>s</w:t>
      </w:r>
      <w:r w:rsidR="007242CB">
        <w:rPr>
          <w:lang w:val="fr-FR"/>
        </w:rPr>
        <w:t> ; l’amélioration de</w:t>
      </w:r>
      <w:r w:rsidR="00640217">
        <w:rPr>
          <w:lang w:val="fr-FR"/>
        </w:rPr>
        <w:t>s soins</w:t>
      </w:r>
      <w:r w:rsidR="007242CB">
        <w:rPr>
          <w:lang w:val="fr-FR"/>
        </w:rPr>
        <w:t xml:space="preserve">, </w:t>
      </w:r>
      <w:r w:rsidR="00640217">
        <w:rPr>
          <w:lang w:val="fr-FR"/>
        </w:rPr>
        <w:t xml:space="preserve">notamment </w:t>
      </w:r>
      <w:r w:rsidR="001765A0">
        <w:rPr>
          <w:lang w:val="fr-FR"/>
        </w:rPr>
        <w:t>ceux relatifs au</w:t>
      </w:r>
      <w:r w:rsidR="00826720">
        <w:rPr>
          <w:lang w:val="fr-FR"/>
        </w:rPr>
        <w:t xml:space="preserve"> VIH, </w:t>
      </w:r>
      <w:r w:rsidR="001765A0">
        <w:rPr>
          <w:lang w:val="fr-FR"/>
        </w:rPr>
        <w:t>à la</w:t>
      </w:r>
      <w:r w:rsidR="00826720">
        <w:rPr>
          <w:lang w:val="fr-FR"/>
        </w:rPr>
        <w:t xml:space="preserve"> </w:t>
      </w:r>
      <w:r w:rsidR="007242CB">
        <w:rPr>
          <w:lang w:val="fr-FR"/>
        </w:rPr>
        <w:t>santé mentale</w:t>
      </w:r>
      <w:r w:rsidR="00640217">
        <w:rPr>
          <w:lang w:val="fr-FR"/>
        </w:rPr>
        <w:t xml:space="preserve"> et </w:t>
      </w:r>
      <w:r w:rsidR="001765A0">
        <w:rPr>
          <w:lang w:val="fr-FR"/>
        </w:rPr>
        <w:t>aux</w:t>
      </w:r>
      <w:r w:rsidR="00640217">
        <w:rPr>
          <w:lang w:val="fr-FR"/>
        </w:rPr>
        <w:t xml:space="preserve"> maladies non transmissibles ; la santé sexuelle et reproductive, ainsi que les droits </w:t>
      </w:r>
      <w:r w:rsidR="001765A0">
        <w:rPr>
          <w:lang w:val="fr-FR"/>
        </w:rPr>
        <w:t>reproductifs</w:t>
      </w:r>
      <w:r w:rsidR="00640217">
        <w:rPr>
          <w:lang w:val="fr-FR"/>
        </w:rPr>
        <w:t> ; les méthodes modernes de contraception ; l’</w:t>
      </w:r>
      <w:r w:rsidR="001765A0">
        <w:rPr>
          <w:lang w:val="fr-FR"/>
        </w:rPr>
        <w:t>éducation complète à</w:t>
      </w:r>
      <w:r w:rsidR="00640217">
        <w:rPr>
          <w:lang w:val="fr-FR"/>
        </w:rPr>
        <w:t xml:space="preserve"> la sexualité humaine, </w:t>
      </w:r>
      <w:r w:rsidR="001765A0">
        <w:rPr>
          <w:lang w:val="fr-FR"/>
        </w:rPr>
        <w:t>particulièrement</w:t>
      </w:r>
      <w:r w:rsidR="00640217">
        <w:rPr>
          <w:lang w:val="fr-FR"/>
        </w:rPr>
        <w:t xml:space="preserve"> à l’intention des adolescentes ; la défense des droits de l’homme et de l’égalité des </w:t>
      </w:r>
      <w:r w:rsidR="001765A0">
        <w:rPr>
          <w:lang w:val="fr-FR"/>
        </w:rPr>
        <w:t>sexes</w:t>
      </w:r>
      <w:r w:rsidR="00640217">
        <w:rPr>
          <w:lang w:val="fr-FR"/>
        </w:rPr>
        <w:t xml:space="preserve"> ; et l’élimination de toute forme de violence et de discrimination </w:t>
      </w:r>
      <w:r w:rsidR="001765A0">
        <w:rPr>
          <w:lang w:val="fr-FR"/>
        </w:rPr>
        <w:t>à l’égard</w:t>
      </w:r>
      <w:r w:rsidR="00640217">
        <w:rPr>
          <w:lang w:val="fr-FR"/>
        </w:rPr>
        <w:t xml:space="preserve"> </w:t>
      </w:r>
      <w:r w:rsidR="001765A0">
        <w:rPr>
          <w:lang w:val="fr-FR"/>
        </w:rPr>
        <w:t>des adolescentes et d</w:t>
      </w:r>
      <w:r w:rsidR="00640217">
        <w:rPr>
          <w:lang w:val="fr-FR"/>
        </w:rPr>
        <w:t xml:space="preserve">es jeunes femmes, </w:t>
      </w:r>
      <w:r w:rsidR="00726038">
        <w:rPr>
          <w:lang w:val="fr-FR"/>
        </w:rPr>
        <w:t>y compris le</w:t>
      </w:r>
      <w:r w:rsidR="00640217">
        <w:rPr>
          <w:lang w:val="fr-FR"/>
        </w:rPr>
        <w:t xml:space="preserve"> mariage </w:t>
      </w:r>
      <w:r w:rsidR="0082220F">
        <w:rPr>
          <w:lang w:val="fr-FR"/>
        </w:rPr>
        <w:t xml:space="preserve">d’enfants, </w:t>
      </w:r>
      <w:r w:rsidR="00640217">
        <w:rPr>
          <w:lang w:val="fr-FR"/>
        </w:rPr>
        <w:t xml:space="preserve">précoce et forcé et </w:t>
      </w:r>
      <w:r w:rsidR="00726038">
        <w:rPr>
          <w:lang w:val="fr-FR"/>
        </w:rPr>
        <w:t>l</w:t>
      </w:r>
      <w:r w:rsidR="00640217">
        <w:rPr>
          <w:lang w:val="fr-FR"/>
        </w:rPr>
        <w:t>es pratiques néfastes.</w:t>
      </w:r>
    </w:p>
    <w:p w14:paraId="43152E4C" w14:textId="33DC8073" w:rsidR="001279EB" w:rsidRPr="001279EB" w:rsidRDefault="00640217" w:rsidP="003A0413">
      <w:pPr>
        <w:pStyle w:val="Para1"/>
        <w:numPr>
          <w:ilvl w:val="0"/>
          <w:numId w:val="21"/>
        </w:numPr>
        <w:tabs>
          <w:tab w:val="left" w:pos="540"/>
        </w:tabs>
        <w:spacing w:after="240"/>
        <w:ind w:left="0" w:right="0" w:firstLine="0"/>
        <w:rPr>
          <w:lang w:val="fr-FR"/>
        </w:rPr>
      </w:pPr>
      <w:r w:rsidRPr="001279EB">
        <w:rPr>
          <w:lang w:val="fr-FR"/>
        </w:rPr>
        <w:t xml:space="preserve">Avec l’adoption en septembre 2015 du </w:t>
      </w:r>
      <w:r w:rsidR="001765A0">
        <w:rPr>
          <w:lang w:val="fr-FR"/>
        </w:rPr>
        <w:t>P</w:t>
      </w:r>
      <w:r w:rsidRPr="001279EB">
        <w:rPr>
          <w:lang w:val="fr-FR"/>
        </w:rPr>
        <w:t xml:space="preserve">rogramme </w:t>
      </w:r>
      <w:r w:rsidR="001765A0">
        <w:rPr>
          <w:lang w:val="fr-FR"/>
        </w:rPr>
        <w:t>de</w:t>
      </w:r>
      <w:r w:rsidR="001765A0" w:rsidRPr="001279EB">
        <w:rPr>
          <w:lang w:val="fr-FR"/>
        </w:rPr>
        <w:t xml:space="preserve"> développement durable </w:t>
      </w:r>
      <w:r w:rsidR="001765A0">
        <w:rPr>
          <w:lang w:val="fr-FR"/>
        </w:rPr>
        <w:t>à l’horizon</w:t>
      </w:r>
      <w:r w:rsidR="001765A0" w:rsidRPr="0011232E">
        <w:rPr>
          <w:lang w:val="fr-FR"/>
        </w:rPr>
        <w:t> </w:t>
      </w:r>
      <w:r w:rsidRPr="001279EB">
        <w:rPr>
          <w:lang w:val="fr-FR"/>
        </w:rPr>
        <w:t xml:space="preserve">2030, les États membres </w:t>
      </w:r>
      <w:r w:rsidR="001279EB" w:rsidRPr="001279EB">
        <w:rPr>
          <w:lang w:val="fr-FR"/>
        </w:rPr>
        <w:t xml:space="preserve">ont convenu d’inclure </w:t>
      </w:r>
      <w:r w:rsidR="001279EB">
        <w:rPr>
          <w:lang w:val="fr-FR"/>
        </w:rPr>
        <w:t xml:space="preserve">largement </w:t>
      </w:r>
      <w:r w:rsidR="001279EB" w:rsidRPr="001279EB">
        <w:rPr>
          <w:lang w:val="fr-FR"/>
        </w:rPr>
        <w:t>les cibles relatives au développement de</w:t>
      </w:r>
      <w:r w:rsidR="001765A0">
        <w:rPr>
          <w:lang w:val="fr-FR"/>
        </w:rPr>
        <w:t>s jeunes</w:t>
      </w:r>
      <w:r w:rsidR="001279EB" w:rsidRPr="001279EB">
        <w:rPr>
          <w:lang w:val="fr-FR"/>
        </w:rPr>
        <w:t xml:space="preserve"> dans les 17 </w:t>
      </w:r>
      <w:r w:rsidR="001279EB">
        <w:rPr>
          <w:lang w:val="fr-FR"/>
        </w:rPr>
        <w:t xml:space="preserve">objectifs de développement durable. </w:t>
      </w:r>
      <w:r w:rsidR="00EE77C5">
        <w:rPr>
          <w:lang w:val="fr-FR"/>
        </w:rPr>
        <w:t xml:space="preserve">En affirmant que « les jeunes sont des agents essentiels du changement et trouveront dans ces nouveaux objectifs l’inspiration qui leur permettra de mettre leur infinie capacité d’action au service de la création d’un monde meilleur », le Programme 2030 </w:t>
      </w:r>
      <w:r w:rsidR="001279EB">
        <w:rPr>
          <w:lang w:val="fr-FR"/>
        </w:rPr>
        <w:t xml:space="preserve">reconnaît de </w:t>
      </w:r>
      <w:r w:rsidR="00C75A8B">
        <w:rPr>
          <w:lang w:val="fr-FR"/>
        </w:rPr>
        <w:t>façon déterminante</w:t>
      </w:r>
      <w:r w:rsidR="001279EB">
        <w:rPr>
          <w:lang w:val="fr-FR"/>
        </w:rPr>
        <w:t xml:space="preserve"> le rôle clé joué par la jeune génération </w:t>
      </w:r>
      <w:r w:rsidR="00EE77C5">
        <w:rPr>
          <w:lang w:val="fr-FR"/>
        </w:rPr>
        <w:t xml:space="preserve">actuelle </w:t>
      </w:r>
      <w:r w:rsidR="001279EB">
        <w:rPr>
          <w:lang w:val="fr-FR"/>
        </w:rPr>
        <w:t xml:space="preserve">dans </w:t>
      </w:r>
      <w:r w:rsidR="00EE77C5">
        <w:rPr>
          <w:lang w:val="fr-FR"/>
        </w:rPr>
        <w:t>son exécution</w:t>
      </w:r>
      <w:r w:rsidR="00C75A8B">
        <w:rPr>
          <w:lang w:val="fr-FR"/>
        </w:rPr>
        <w:t>.</w:t>
      </w:r>
    </w:p>
    <w:p w14:paraId="52B07C61" w14:textId="1D14E748" w:rsidR="003A3FAA" w:rsidRPr="003A3FAA" w:rsidRDefault="00C75A8B" w:rsidP="003A0413">
      <w:pPr>
        <w:pStyle w:val="Para1"/>
        <w:numPr>
          <w:ilvl w:val="0"/>
          <w:numId w:val="21"/>
        </w:numPr>
        <w:tabs>
          <w:tab w:val="left" w:pos="540"/>
        </w:tabs>
        <w:spacing w:after="240"/>
        <w:ind w:left="0" w:right="0" w:firstLine="0"/>
        <w:rPr>
          <w:lang w:val="fr-FR"/>
        </w:rPr>
      </w:pPr>
      <w:r>
        <w:rPr>
          <w:lang w:val="fr-FR"/>
        </w:rPr>
        <w:t xml:space="preserve">S’il n’existe pas d’objectif exclusivement dédié à la jeunesse parmi </w:t>
      </w:r>
      <w:r w:rsidR="009C5E10" w:rsidRPr="009C5E10">
        <w:rPr>
          <w:lang w:val="fr-FR"/>
        </w:rPr>
        <w:t>les objectifs de développement durable</w:t>
      </w:r>
      <w:r>
        <w:rPr>
          <w:lang w:val="fr-FR"/>
        </w:rPr>
        <w:t>, plusieurs d’entre eux et de leurs cibles prévoient une ou plusieurs actions</w:t>
      </w:r>
      <w:r w:rsidR="009C5E10">
        <w:rPr>
          <w:lang w:val="fr-FR"/>
        </w:rPr>
        <w:t xml:space="preserve"> </w:t>
      </w:r>
      <w:r>
        <w:rPr>
          <w:lang w:val="fr-FR"/>
        </w:rPr>
        <w:t>e</w:t>
      </w:r>
      <w:r w:rsidR="009C5E10">
        <w:rPr>
          <w:lang w:val="fr-FR"/>
        </w:rPr>
        <w:t>n faveur de l’autonomisation</w:t>
      </w:r>
      <w:r w:rsidR="003A3FAA">
        <w:rPr>
          <w:lang w:val="fr-FR"/>
        </w:rPr>
        <w:t>, de la participation et du bien-être</w:t>
      </w:r>
      <w:r w:rsidR="009C5E10">
        <w:rPr>
          <w:lang w:val="fr-FR"/>
        </w:rPr>
        <w:t xml:space="preserve"> de</w:t>
      </w:r>
      <w:r>
        <w:rPr>
          <w:lang w:val="fr-FR"/>
        </w:rPr>
        <w:t>s jeunes</w:t>
      </w:r>
      <w:r w:rsidR="003A3FAA">
        <w:rPr>
          <w:lang w:val="fr-FR"/>
        </w:rPr>
        <w:t xml:space="preserve">. Le Programme 2030 propose également une approche innovante en mettant l’accent sur la responsabilité ; il </w:t>
      </w:r>
      <w:r w:rsidR="00D33BF2">
        <w:rPr>
          <w:lang w:val="fr-FR"/>
        </w:rPr>
        <w:t>exige</w:t>
      </w:r>
      <w:r w:rsidR="003A3FAA">
        <w:rPr>
          <w:lang w:val="fr-FR"/>
        </w:rPr>
        <w:t xml:space="preserve"> </w:t>
      </w:r>
      <w:r w:rsidR="00D33BF2">
        <w:rPr>
          <w:lang w:val="fr-FR"/>
        </w:rPr>
        <w:t>des</w:t>
      </w:r>
      <w:r w:rsidR="003A3FAA">
        <w:rPr>
          <w:lang w:val="fr-FR"/>
        </w:rPr>
        <w:t xml:space="preserve"> gouvernements et </w:t>
      </w:r>
      <w:r w:rsidR="00D33BF2">
        <w:rPr>
          <w:lang w:val="fr-FR"/>
        </w:rPr>
        <w:t>des</w:t>
      </w:r>
      <w:r w:rsidR="003A3FAA">
        <w:rPr>
          <w:lang w:val="fr-FR"/>
        </w:rPr>
        <w:t xml:space="preserve"> acteurs du développement </w:t>
      </w:r>
      <w:r w:rsidR="00D33BF2">
        <w:rPr>
          <w:lang w:val="fr-FR"/>
        </w:rPr>
        <w:t xml:space="preserve">qu’ils veillent davantage </w:t>
      </w:r>
      <w:r w:rsidR="003A3FAA">
        <w:rPr>
          <w:lang w:val="fr-FR"/>
        </w:rPr>
        <w:t xml:space="preserve">à </w:t>
      </w:r>
      <w:r w:rsidR="00D33BF2">
        <w:rPr>
          <w:lang w:val="fr-FR"/>
        </w:rPr>
        <w:t xml:space="preserve">fournir des données et </w:t>
      </w:r>
      <w:r w:rsidR="003A3FAA">
        <w:rPr>
          <w:lang w:val="fr-FR"/>
        </w:rPr>
        <w:t>de</w:t>
      </w:r>
      <w:r w:rsidR="00D33BF2">
        <w:rPr>
          <w:lang w:val="fr-FR"/>
        </w:rPr>
        <w:t>s</w:t>
      </w:r>
      <w:r w:rsidR="003A3FAA">
        <w:rPr>
          <w:lang w:val="fr-FR"/>
        </w:rPr>
        <w:t xml:space="preserve"> </w:t>
      </w:r>
      <w:r w:rsidR="000B69C3">
        <w:rPr>
          <w:lang w:val="fr-FR"/>
        </w:rPr>
        <w:t>informations</w:t>
      </w:r>
      <w:r w:rsidR="003A3FAA">
        <w:rPr>
          <w:lang w:val="fr-FR"/>
        </w:rPr>
        <w:t xml:space="preserve"> de meilleure qualité et </w:t>
      </w:r>
      <w:r w:rsidR="000B69C3">
        <w:rPr>
          <w:lang w:val="fr-FR"/>
        </w:rPr>
        <w:t xml:space="preserve">à </w:t>
      </w:r>
      <w:r w:rsidR="003A3FAA">
        <w:rPr>
          <w:lang w:val="fr-FR"/>
        </w:rPr>
        <w:t xml:space="preserve">inciter les populations à mettre en œuvre et à </w:t>
      </w:r>
      <w:r w:rsidR="000B69C3">
        <w:rPr>
          <w:lang w:val="fr-FR"/>
        </w:rPr>
        <w:t>contrôler</w:t>
      </w:r>
      <w:r w:rsidR="003A3FAA">
        <w:rPr>
          <w:lang w:val="fr-FR"/>
        </w:rPr>
        <w:t xml:space="preserve"> les objectifs. La capacité de recueillir, d’analyser et de partager </w:t>
      </w:r>
      <w:r w:rsidR="00C03222">
        <w:rPr>
          <w:lang w:val="fr-FR"/>
        </w:rPr>
        <w:t>l</w:t>
      </w:r>
      <w:r w:rsidR="000B69C3">
        <w:rPr>
          <w:lang w:val="fr-FR"/>
        </w:rPr>
        <w:t>es données</w:t>
      </w:r>
      <w:r w:rsidR="003A3FAA">
        <w:rPr>
          <w:lang w:val="fr-FR"/>
        </w:rPr>
        <w:t xml:space="preserve"> est nécessaire pour que les citoyens, en particulier les jeunes, puissent élaborer, </w:t>
      </w:r>
      <w:r w:rsidR="000B69C3">
        <w:rPr>
          <w:lang w:val="fr-FR"/>
        </w:rPr>
        <w:t>suivre</w:t>
      </w:r>
      <w:r w:rsidR="003A3FAA">
        <w:rPr>
          <w:lang w:val="fr-FR"/>
        </w:rPr>
        <w:t xml:space="preserve"> et contrôler les politiques</w:t>
      </w:r>
      <w:r w:rsidR="00C03222">
        <w:rPr>
          <w:lang w:val="fr-FR"/>
        </w:rPr>
        <w:t xml:space="preserve"> dans le but de devenir</w:t>
      </w:r>
      <w:r w:rsidR="003A3FAA">
        <w:rPr>
          <w:lang w:val="fr-FR"/>
        </w:rPr>
        <w:t xml:space="preserve"> acteurs de leur propre développement. </w:t>
      </w:r>
      <w:r w:rsidR="006D59CD">
        <w:rPr>
          <w:lang w:val="fr-FR"/>
        </w:rPr>
        <w:t xml:space="preserve">De fait, les priorités des adolescents </w:t>
      </w:r>
      <w:r w:rsidR="002B6615">
        <w:rPr>
          <w:lang w:val="fr-FR"/>
        </w:rPr>
        <w:t xml:space="preserve">et des jeunes </w:t>
      </w:r>
      <w:r w:rsidR="006D59CD">
        <w:rPr>
          <w:lang w:val="fr-FR"/>
        </w:rPr>
        <w:t xml:space="preserve">sont </w:t>
      </w:r>
      <w:r w:rsidR="002B6615">
        <w:rPr>
          <w:lang w:val="fr-FR"/>
        </w:rPr>
        <w:t>omniprésentes dans le Programme </w:t>
      </w:r>
      <w:r w:rsidR="006D59CD">
        <w:rPr>
          <w:lang w:val="fr-FR"/>
        </w:rPr>
        <w:t xml:space="preserve">2030. </w:t>
      </w:r>
    </w:p>
    <w:p w14:paraId="2F8BDB0A" w14:textId="0439C038" w:rsidR="00263B6C" w:rsidRPr="00FF5056" w:rsidRDefault="00FB7C56" w:rsidP="003A0413">
      <w:pPr>
        <w:pStyle w:val="Para1"/>
        <w:tabs>
          <w:tab w:val="left" w:pos="540"/>
        </w:tabs>
        <w:spacing w:after="240"/>
        <w:ind w:right="0"/>
        <w:rPr>
          <w:b/>
          <w:sz w:val="28"/>
          <w:szCs w:val="28"/>
          <w:lang w:val="fr-FR"/>
        </w:rPr>
      </w:pPr>
      <w:r w:rsidRPr="00FF5056">
        <w:rPr>
          <w:b/>
          <w:sz w:val="28"/>
          <w:szCs w:val="28"/>
          <w:lang w:val="fr-FR"/>
        </w:rPr>
        <w:t>P</w:t>
      </w:r>
      <w:r w:rsidR="003E3655" w:rsidRPr="00FF5056">
        <w:rPr>
          <w:b/>
          <w:sz w:val="28"/>
          <w:szCs w:val="28"/>
          <w:lang w:val="fr-FR"/>
        </w:rPr>
        <w:t>auvreté et inégalité</w:t>
      </w:r>
    </w:p>
    <w:p w14:paraId="37582B4F" w14:textId="2D389DB6" w:rsidR="00FB7C56" w:rsidRPr="00AF4B75" w:rsidRDefault="003E3655" w:rsidP="003A0413">
      <w:pPr>
        <w:pStyle w:val="Para1"/>
        <w:numPr>
          <w:ilvl w:val="0"/>
          <w:numId w:val="21"/>
        </w:numPr>
        <w:tabs>
          <w:tab w:val="left" w:pos="540"/>
        </w:tabs>
        <w:spacing w:after="240"/>
        <w:ind w:left="0" w:right="0" w:firstLine="0"/>
        <w:rPr>
          <w:lang w:val="fr-FR"/>
        </w:rPr>
      </w:pPr>
      <w:r w:rsidRPr="003E3655">
        <w:rPr>
          <w:lang w:val="fr-FR"/>
        </w:rPr>
        <w:t>Les jeunes représentent un quart de la population mondiale, et pourtant, plus de la moitié de</w:t>
      </w:r>
      <w:r>
        <w:rPr>
          <w:lang w:val="fr-FR"/>
        </w:rPr>
        <w:t xml:space="preserve"> l</w:t>
      </w:r>
      <w:r w:rsidR="00AF4B75">
        <w:rPr>
          <w:lang w:val="fr-FR"/>
        </w:rPr>
        <w:t xml:space="preserve">’ensemble </w:t>
      </w:r>
      <w:r>
        <w:rPr>
          <w:lang w:val="fr-FR"/>
        </w:rPr>
        <w:t>des personnes</w:t>
      </w:r>
      <w:r w:rsidRPr="003E3655">
        <w:rPr>
          <w:lang w:val="fr-FR"/>
        </w:rPr>
        <w:t xml:space="preserve"> </w:t>
      </w:r>
      <w:r>
        <w:rPr>
          <w:lang w:val="fr-FR"/>
        </w:rPr>
        <w:t>vivant dans la pauvreté ont entre 15 et 24 ans. De nos jours, 209 millions de jeunes subsistent avec moins d</w:t>
      </w:r>
      <w:r w:rsidR="00C03222">
        <w:rPr>
          <w:lang w:val="fr-FR"/>
        </w:rPr>
        <w:t>’</w:t>
      </w:r>
      <w:r w:rsidR="00AF4B75">
        <w:rPr>
          <w:lang w:val="fr-FR"/>
        </w:rPr>
        <w:t>un</w:t>
      </w:r>
      <w:r>
        <w:rPr>
          <w:lang w:val="fr-FR"/>
        </w:rPr>
        <w:t xml:space="preserve"> dollar par jour et 515 millions avec moins de deux dollars par jour. C’est souvent au cours de cette période vulnérable de la vie que la pauvreté se transmet d’une génération à la suivante. </w:t>
      </w:r>
      <w:r w:rsidR="00C03222">
        <w:rPr>
          <w:lang w:val="fr-FR"/>
        </w:rPr>
        <w:t>Elle</w:t>
      </w:r>
      <w:r>
        <w:rPr>
          <w:lang w:val="fr-FR"/>
        </w:rPr>
        <w:t xml:space="preserve"> propulse les jeunes prématurément dans l’âge adulte en arrachant les adolescents (particulièrement les filles) au milieu scolaire </w:t>
      </w:r>
      <w:r w:rsidR="00AF4B75">
        <w:rPr>
          <w:lang w:val="fr-FR"/>
        </w:rPr>
        <w:t>pour les</w:t>
      </w:r>
      <w:r>
        <w:rPr>
          <w:lang w:val="fr-FR"/>
        </w:rPr>
        <w:t xml:space="preserve"> pouss</w:t>
      </w:r>
      <w:r w:rsidR="00AF4B75">
        <w:rPr>
          <w:lang w:val="fr-FR"/>
        </w:rPr>
        <w:t>er</w:t>
      </w:r>
      <w:r>
        <w:rPr>
          <w:lang w:val="fr-FR"/>
        </w:rPr>
        <w:t xml:space="preserve"> sur le marché du travail, </w:t>
      </w:r>
      <w:r w:rsidR="00C03222">
        <w:rPr>
          <w:lang w:val="fr-FR"/>
        </w:rPr>
        <w:t xml:space="preserve">et </w:t>
      </w:r>
      <w:r>
        <w:rPr>
          <w:lang w:val="fr-FR"/>
        </w:rPr>
        <w:t xml:space="preserve">en contraignant souvent les adolescentes à </w:t>
      </w:r>
      <w:r w:rsidR="00AF4B75">
        <w:rPr>
          <w:lang w:val="fr-FR"/>
        </w:rPr>
        <w:t>s</w:t>
      </w:r>
      <w:r>
        <w:rPr>
          <w:lang w:val="fr-FR"/>
        </w:rPr>
        <w:t>e marier avant l’âge. Les adolescents et l</w:t>
      </w:r>
      <w:r w:rsidR="00AF4B75">
        <w:rPr>
          <w:lang w:val="fr-FR"/>
        </w:rPr>
        <w:t>es jeunes</w:t>
      </w:r>
      <w:r>
        <w:rPr>
          <w:lang w:val="fr-FR"/>
        </w:rPr>
        <w:t xml:space="preserve"> </w:t>
      </w:r>
      <w:r w:rsidR="00AF4B75">
        <w:rPr>
          <w:lang w:val="fr-FR"/>
        </w:rPr>
        <w:t xml:space="preserve">occupent une place disproportionnée </w:t>
      </w:r>
      <w:r>
        <w:rPr>
          <w:lang w:val="fr-FR"/>
        </w:rPr>
        <w:t xml:space="preserve">parmi les personnes vivant dans la pauvreté </w:t>
      </w:r>
      <w:r w:rsidR="00641C6F">
        <w:rPr>
          <w:lang w:val="fr-FR"/>
        </w:rPr>
        <w:t xml:space="preserve">et sont souvent </w:t>
      </w:r>
      <w:r w:rsidR="00AF4B75">
        <w:rPr>
          <w:lang w:val="fr-FR"/>
        </w:rPr>
        <w:t>privés</w:t>
      </w:r>
      <w:r w:rsidR="00641C6F">
        <w:rPr>
          <w:lang w:val="fr-FR"/>
        </w:rPr>
        <w:t xml:space="preserve"> de </w:t>
      </w:r>
      <w:r w:rsidR="00AF4B75">
        <w:rPr>
          <w:lang w:val="fr-FR"/>
        </w:rPr>
        <w:t xml:space="preserve">l’accès aux </w:t>
      </w:r>
      <w:r w:rsidR="00641C6F">
        <w:rPr>
          <w:lang w:val="fr-FR"/>
        </w:rPr>
        <w:t xml:space="preserve">ressources économiques. </w:t>
      </w:r>
      <w:r w:rsidR="00641C6F" w:rsidRPr="00AF4B75">
        <w:rPr>
          <w:lang w:val="fr-FR"/>
        </w:rPr>
        <w:t xml:space="preserve">Et </w:t>
      </w:r>
      <w:r w:rsidR="00AF4B75">
        <w:rPr>
          <w:lang w:val="fr-FR"/>
        </w:rPr>
        <w:t xml:space="preserve">au sein </w:t>
      </w:r>
      <w:r w:rsidR="00641C6F" w:rsidRPr="00AF4B75">
        <w:rPr>
          <w:lang w:val="fr-FR"/>
        </w:rPr>
        <w:t xml:space="preserve">même de ce segment démographique, les adolescentes et les jeunes femmes sont touchées de façon inégale. </w:t>
      </w:r>
      <w:r w:rsidR="00AF4B75">
        <w:rPr>
          <w:lang w:val="fr-FR"/>
        </w:rPr>
        <w:t>En outre, l</w:t>
      </w:r>
      <w:r w:rsidR="00641C6F" w:rsidRPr="00AF4B75">
        <w:rPr>
          <w:lang w:val="fr-FR"/>
        </w:rPr>
        <w:t xml:space="preserve">es enfants et les </w:t>
      </w:r>
      <w:r w:rsidR="00641C6F" w:rsidRPr="00AF4B75">
        <w:rPr>
          <w:lang w:val="fr-FR"/>
        </w:rPr>
        <w:lastRenderedPageBreak/>
        <w:t xml:space="preserve">adolescents figurent parmi les populations les plus vulnérables aux événements climatiques extrêmes et autres catastrophes, et doivent </w:t>
      </w:r>
      <w:r w:rsidR="00AF4B75">
        <w:rPr>
          <w:lang w:val="fr-FR"/>
        </w:rPr>
        <w:t xml:space="preserve">par conséquent </w:t>
      </w:r>
      <w:r w:rsidR="00641C6F" w:rsidRPr="00AF4B75">
        <w:rPr>
          <w:lang w:val="fr-FR"/>
        </w:rPr>
        <w:t>être au cœur des programmes sur la résilience</w:t>
      </w:r>
      <w:r w:rsidR="00FB7C56" w:rsidRPr="00AF4B75">
        <w:rPr>
          <w:lang w:val="fr-FR"/>
        </w:rPr>
        <w:t>.</w:t>
      </w:r>
    </w:p>
    <w:p w14:paraId="61DFC7BC" w14:textId="3545CE46" w:rsidR="00641C6F" w:rsidRPr="00A54163" w:rsidRDefault="00641C6F" w:rsidP="003A0413">
      <w:pPr>
        <w:pStyle w:val="Para1"/>
        <w:numPr>
          <w:ilvl w:val="0"/>
          <w:numId w:val="21"/>
        </w:numPr>
        <w:tabs>
          <w:tab w:val="left" w:pos="540"/>
        </w:tabs>
        <w:spacing w:after="240"/>
        <w:ind w:left="0" w:right="0" w:firstLine="0"/>
        <w:rPr>
          <w:lang w:val="fr-FR"/>
        </w:rPr>
      </w:pPr>
      <w:r w:rsidRPr="00641C6F">
        <w:rPr>
          <w:lang w:val="fr-FR"/>
        </w:rPr>
        <w:t xml:space="preserve">Investir en faveur des adolescents est </w:t>
      </w:r>
      <w:r w:rsidR="00C96705">
        <w:rPr>
          <w:lang w:val="fr-FR"/>
        </w:rPr>
        <w:t>primordial</w:t>
      </w:r>
      <w:r w:rsidRPr="00641C6F">
        <w:rPr>
          <w:lang w:val="fr-FR"/>
        </w:rPr>
        <w:t xml:space="preserve"> pour la croissance économique des pays en développement </w:t>
      </w:r>
      <w:r>
        <w:rPr>
          <w:lang w:val="fr-FR"/>
        </w:rPr>
        <w:t xml:space="preserve">et </w:t>
      </w:r>
      <w:r w:rsidR="00C96705">
        <w:rPr>
          <w:lang w:val="fr-FR"/>
        </w:rPr>
        <w:t>pour récolter les fruits du</w:t>
      </w:r>
      <w:r>
        <w:rPr>
          <w:lang w:val="fr-FR"/>
        </w:rPr>
        <w:t xml:space="preserve"> dividende démographique. Les politiques </w:t>
      </w:r>
      <w:r w:rsidR="00C96705">
        <w:rPr>
          <w:lang w:val="fr-FR"/>
        </w:rPr>
        <w:t>en faveur de l’</w:t>
      </w:r>
      <w:r>
        <w:rPr>
          <w:lang w:val="fr-FR"/>
        </w:rPr>
        <w:t>autonomis</w:t>
      </w:r>
      <w:r w:rsidR="00C96705">
        <w:rPr>
          <w:lang w:val="fr-FR"/>
        </w:rPr>
        <w:t>ation</w:t>
      </w:r>
      <w:r>
        <w:rPr>
          <w:lang w:val="fr-FR"/>
        </w:rPr>
        <w:t xml:space="preserve"> </w:t>
      </w:r>
      <w:r w:rsidR="00C96705">
        <w:rPr>
          <w:lang w:val="fr-FR"/>
        </w:rPr>
        <w:t>d</w:t>
      </w:r>
      <w:r>
        <w:rPr>
          <w:lang w:val="fr-FR"/>
        </w:rPr>
        <w:t xml:space="preserve">es adolescents et </w:t>
      </w:r>
      <w:r w:rsidR="00C96705">
        <w:rPr>
          <w:lang w:val="fr-FR"/>
        </w:rPr>
        <w:t>des jeunes</w:t>
      </w:r>
      <w:r>
        <w:rPr>
          <w:lang w:val="fr-FR"/>
        </w:rPr>
        <w:t xml:space="preserve">, </w:t>
      </w:r>
      <w:r w:rsidR="00726038">
        <w:rPr>
          <w:lang w:val="fr-FR"/>
        </w:rPr>
        <w:t>conjuguées</w:t>
      </w:r>
      <w:r w:rsidR="00A54163">
        <w:rPr>
          <w:lang w:val="fr-FR"/>
        </w:rPr>
        <w:t xml:space="preserve"> aux </w:t>
      </w:r>
      <w:r w:rsidR="00C96705">
        <w:rPr>
          <w:lang w:val="fr-FR"/>
        </w:rPr>
        <w:t>efforts</w:t>
      </w:r>
      <w:r w:rsidR="00A54163">
        <w:rPr>
          <w:lang w:val="fr-FR"/>
        </w:rPr>
        <w:t xml:space="preserve"> réalisés pour qu’ils </w:t>
      </w:r>
      <w:r w:rsidR="00C96705">
        <w:rPr>
          <w:lang w:val="fr-FR"/>
        </w:rPr>
        <w:t>prennent une part active aux</w:t>
      </w:r>
      <w:r w:rsidR="00A54163">
        <w:rPr>
          <w:lang w:val="fr-FR"/>
        </w:rPr>
        <w:t xml:space="preserve"> décisions qui concernent leurs vies et façonnent leur </w:t>
      </w:r>
      <w:r w:rsidR="00A54163" w:rsidRPr="00D65F52">
        <w:rPr>
          <w:lang w:val="fr-FR"/>
        </w:rPr>
        <w:t>avenir</w:t>
      </w:r>
      <w:r w:rsidR="00C96705" w:rsidRPr="00D65F52">
        <w:rPr>
          <w:lang w:val="fr-FR"/>
        </w:rPr>
        <w:t>,</w:t>
      </w:r>
      <w:r w:rsidR="00A54163" w:rsidRPr="00D65F52">
        <w:rPr>
          <w:lang w:val="fr-FR"/>
        </w:rPr>
        <w:t xml:space="preserve"> peuvent</w:t>
      </w:r>
      <w:r w:rsidR="00A54163">
        <w:rPr>
          <w:lang w:val="fr-FR"/>
        </w:rPr>
        <w:t xml:space="preserve"> faire la différence entre une tendance démographique qui </w:t>
      </w:r>
      <w:r w:rsidR="00C96705">
        <w:rPr>
          <w:lang w:val="fr-FR"/>
        </w:rPr>
        <w:t>va peser sur l’</w:t>
      </w:r>
      <w:r w:rsidR="00A54163">
        <w:rPr>
          <w:lang w:val="fr-FR"/>
        </w:rPr>
        <w:t xml:space="preserve">économie et une autre qui </w:t>
      </w:r>
      <w:r w:rsidR="00C96705">
        <w:rPr>
          <w:lang w:val="fr-FR"/>
        </w:rPr>
        <w:t xml:space="preserve">va l’entraîner vers </w:t>
      </w:r>
      <w:r w:rsidR="00A54163">
        <w:rPr>
          <w:lang w:val="fr-FR"/>
        </w:rPr>
        <w:t>le haut. Afin d’atteindre ce dividende démographique, les investissements doivent renforcer les capacités institutionnelles</w:t>
      </w:r>
      <w:r w:rsidR="006D0D87">
        <w:rPr>
          <w:lang w:val="fr-FR"/>
        </w:rPr>
        <w:t>, consolider</w:t>
      </w:r>
      <w:r w:rsidR="00A54163">
        <w:rPr>
          <w:lang w:val="fr-FR"/>
        </w:rPr>
        <w:t xml:space="preserve"> le capital humain et </w:t>
      </w:r>
      <w:r w:rsidR="006D0D87">
        <w:rPr>
          <w:lang w:val="fr-FR"/>
        </w:rPr>
        <w:t>s</w:t>
      </w:r>
      <w:r w:rsidR="00A54163">
        <w:rPr>
          <w:lang w:val="fr-FR"/>
        </w:rPr>
        <w:t>uivre des modèles économiques garantiss</w:t>
      </w:r>
      <w:r w:rsidR="006D0D87">
        <w:rPr>
          <w:lang w:val="fr-FR"/>
        </w:rPr>
        <w:t>ant</w:t>
      </w:r>
      <w:r w:rsidR="00A54163">
        <w:rPr>
          <w:lang w:val="fr-FR"/>
        </w:rPr>
        <w:t xml:space="preserve"> </w:t>
      </w:r>
      <w:r w:rsidR="006D0D87">
        <w:rPr>
          <w:lang w:val="fr-FR"/>
        </w:rPr>
        <w:t>à</w:t>
      </w:r>
      <w:r w:rsidR="00A54163">
        <w:rPr>
          <w:lang w:val="fr-FR"/>
        </w:rPr>
        <w:t xml:space="preserve"> tous les jeunes la dignité et </w:t>
      </w:r>
      <w:r w:rsidR="006D0D87">
        <w:rPr>
          <w:lang w:val="fr-FR"/>
        </w:rPr>
        <w:t>l</w:t>
      </w:r>
      <w:r w:rsidR="00A54163">
        <w:rPr>
          <w:lang w:val="fr-FR"/>
        </w:rPr>
        <w:t xml:space="preserve">es droits de l’homme nécessaires pour développer leurs compétences, </w:t>
      </w:r>
      <w:r w:rsidR="006D0D87">
        <w:rPr>
          <w:lang w:val="fr-FR"/>
        </w:rPr>
        <w:t>préserver</w:t>
      </w:r>
      <w:r w:rsidR="00A54163">
        <w:rPr>
          <w:lang w:val="fr-FR"/>
        </w:rPr>
        <w:t xml:space="preserve"> leur santé sexuelle et reproductive et prendre conscience de leurs droits reproductifs, trouver un </w:t>
      </w:r>
      <w:r w:rsidR="006D0D87">
        <w:rPr>
          <w:lang w:val="fr-FR"/>
        </w:rPr>
        <w:t>emploi</w:t>
      </w:r>
      <w:r w:rsidR="00A54163">
        <w:rPr>
          <w:lang w:val="fr-FR"/>
        </w:rPr>
        <w:t xml:space="preserve"> décent et contribuer à la croissance économique</w:t>
      </w:r>
      <w:r w:rsidR="006D0D87" w:rsidRPr="003130CA">
        <w:rPr>
          <w:vertAlign w:val="superscript"/>
        </w:rPr>
        <w:footnoteReference w:id="3"/>
      </w:r>
      <w:r w:rsidR="003D470F">
        <w:rPr>
          <w:lang w:val="fr-FR"/>
        </w:rPr>
        <w:t>.</w:t>
      </w:r>
    </w:p>
    <w:p w14:paraId="34E9BA1B" w14:textId="7007121A" w:rsidR="001618BD" w:rsidRPr="001618BD" w:rsidRDefault="00726038" w:rsidP="003A0413">
      <w:pPr>
        <w:pStyle w:val="Para1"/>
        <w:numPr>
          <w:ilvl w:val="0"/>
          <w:numId w:val="21"/>
        </w:numPr>
        <w:tabs>
          <w:tab w:val="left" w:pos="540"/>
        </w:tabs>
        <w:spacing w:after="240"/>
        <w:ind w:left="0" w:right="0" w:firstLine="0"/>
        <w:rPr>
          <w:lang w:val="fr-FR"/>
        </w:rPr>
      </w:pPr>
      <w:r>
        <w:rPr>
          <w:lang w:val="fr-FR"/>
        </w:rPr>
        <w:t>F</w:t>
      </w:r>
      <w:r w:rsidR="001618BD" w:rsidRPr="001618BD">
        <w:rPr>
          <w:lang w:val="fr-FR"/>
        </w:rPr>
        <w:t>aim, sécurité alimentaire et nutrition.</w:t>
      </w:r>
      <w:r w:rsidR="001618BD">
        <w:rPr>
          <w:lang w:val="fr-FR"/>
        </w:rPr>
        <w:t xml:space="preserve"> Une alimentation insuffisante commence souvent avant la naissance et </w:t>
      </w:r>
      <w:r w:rsidR="006B274E">
        <w:rPr>
          <w:lang w:val="fr-FR"/>
        </w:rPr>
        <w:t>perdure</w:t>
      </w:r>
      <w:r w:rsidR="001618BD">
        <w:rPr>
          <w:lang w:val="fr-FR"/>
        </w:rPr>
        <w:t xml:space="preserve"> à l’adolescence et à l’âge adulte, </w:t>
      </w:r>
      <w:r w:rsidR="006B274E">
        <w:rPr>
          <w:lang w:val="fr-FR"/>
        </w:rPr>
        <w:t>particulièrement</w:t>
      </w:r>
      <w:r w:rsidR="001618BD">
        <w:rPr>
          <w:lang w:val="fr-FR"/>
        </w:rPr>
        <w:t xml:space="preserve"> chez les filles et les femmes. Les mères sous-alimentées sont plus susceptibles de donner naissance à des nourrissons de faible poids, qui souffrent alors souvent d’une santé </w:t>
      </w:r>
      <w:r w:rsidR="00F07FDB">
        <w:rPr>
          <w:lang w:val="fr-FR"/>
        </w:rPr>
        <w:t xml:space="preserve">fragile </w:t>
      </w:r>
      <w:r w:rsidR="001618BD">
        <w:rPr>
          <w:lang w:val="fr-FR"/>
        </w:rPr>
        <w:t xml:space="preserve">durant toute leur vie. </w:t>
      </w:r>
      <w:r w:rsidR="00F07FDB">
        <w:rPr>
          <w:lang w:val="fr-FR"/>
        </w:rPr>
        <w:t>Au passage à l’âge adulte</w:t>
      </w:r>
      <w:r w:rsidR="001618BD">
        <w:rPr>
          <w:lang w:val="fr-FR"/>
        </w:rPr>
        <w:t xml:space="preserve">, </w:t>
      </w:r>
      <w:r w:rsidR="00F07FDB">
        <w:rPr>
          <w:lang w:val="fr-FR"/>
        </w:rPr>
        <w:t xml:space="preserve">les filles </w:t>
      </w:r>
      <w:r w:rsidR="001618BD">
        <w:rPr>
          <w:lang w:val="fr-FR"/>
        </w:rPr>
        <w:t xml:space="preserve">présentent souvent un risque accru de complications lors d’une grossesse et à l’accouchement, ce qui est une cause majeure de mortalité, </w:t>
      </w:r>
      <w:r w:rsidR="00F07FDB">
        <w:rPr>
          <w:lang w:val="fr-FR"/>
        </w:rPr>
        <w:t>notamment</w:t>
      </w:r>
      <w:r w:rsidR="001618BD">
        <w:rPr>
          <w:lang w:val="fr-FR"/>
        </w:rPr>
        <w:t xml:space="preserve"> chez les adolescentes âgées de 15 à 19 ans. </w:t>
      </w:r>
      <w:r w:rsidR="00B43860">
        <w:rPr>
          <w:lang w:val="fr-FR"/>
        </w:rPr>
        <w:t xml:space="preserve">Les programmes de restauration </w:t>
      </w:r>
      <w:r w:rsidR="00B43860" w:rsidRPr="00077300">
        <w:rPr>
          <w:lang w:val="fr-FR"/>
        </w:rPr>
        <w:t xml:space="preserve">scolaire constituent une </w:t>
      </w:r>
      <w:r w:rsidR="00F07FDB" w:rsidRPr="00077300">
        <w:rPr>
          <w:lang w:val="fr-FR"/>
        </w:rPr>
        <w:t>initiative</w:t>
      </w:r>
      <w:r w:rsidR="00B43860" w:rsidRPr="00077300">
        <w:rPr>
          <w:lang w:val="fr-FR"/>
        </w:rPr>
        <w:t xml:space="preserve"> de protection sociale, destinée à garantir l’accès des enfants, des adolescen</w:t>
      </w:r>
      <w:r w:rsidR="00B43860" w:rsidRPr="00C65C99">
        <w:rPr>
          <w:color w:val="000000" w:themeColor="text1"/>
          <w:lang w:val="fr-FR"/>
        </w:rPr>
        <w:t xml:space="preserve">ts </w:t>
      </w:r>
      <w:r w:rsidR="00B43860" w:rsidRPr="00077300">
        <w:rPr>
          <w:lang w:val="fr-FR"/>
        </w:rPr>
        <w:t>et</w:t>
      </w:r>
      <w:r w:rsidR="00B43860">
        <w:rPr>
          <w:lang w:val="fr-FR"/>
        </w:rPr>
        <w:t xml:space="preserve"> des jeunes à l’éducation, à la santé et à la nutrition.</w:t>
      </w:r>
    </w:p>
    <w:p w14:paraId="0A73C25B" w14:textId="759E07BC" w:rsidR="00263B6C" w:rsidRPr="000B28E8" w:rsidRDefault="00B43860" w:rsidP="003A0413">
      <w:pPr>
        <w:pStyle w:val="Para1"/>
        <w:tabs>
          <w:tab w:val="left" w:pos="540"/>
        </w:tabs>
        <w:spacing w:after="240"/>
        <w:ind w:right="0"/>
        <w:rPr>
          <w:b/>
          <w:sz w:val="28"/>
          <w:szCs w:val="28"/>
        </w:rPr>
      </w:pPr>
      <w:r w:rsidRPr="000B28E8">
        <w:rPr>
          <w:b/>
          <w:sz w:val="28"/>
          <w:szCs w:val="28"/>
        </w:rPr>
        <w:t>Santé et bien-être</w:t>
      </w:r>
    </w:p>
    <w:p w14:paraId="03D99817" w14:textId="5A4E581E" w:rsidR="00B43860" w:rsidRPr="00B43860" w:rsidRDefault="00D8591D" w:rsidP="003A0413">
      <w:pPr>
        <w:pStyle w:val="Para1"/>
        <w:numPr>
          <w:ilvl w:val="0"/>
          <w:numId w:val="21"/>
        </w:numPr>
        <w:tabs>
          <w:tab w:val="left" w:pos="540"/>
        </w:tabs>
        <w:spacing w:after="240"/>
        <w:ind w:left="0" w:right="0" w:firstLine="0"/>
        <w:rPr>
          <w:lang w:val="fr-FR"/>
        </w:rPr>
      </w:pPr>
      <w:r>
        <w:rPr>
          <w:lang w:val="fr-FR"/>
        </w:rPr>
        <w:t>A</w:t>
      </w:r>
      <w:r w:rsidR="009F6FB2">
        <w:rPr>
          <w:lang w:val="fr-FR"/>
        </w:rPr>
        <w:t>vec</w:t>
      </w:r>
      <w:r w:rsidRPr="00B43860">
        <w:rPr>
          <w:lang w:val="fr-FR"/>
        </w:rPr>
        <w:t xml:space="preserve"> 1,3 million de </w:t>
      </w:r>
      <w:r>
        <w:rPr>
          <w:lang w:val="fr-FR"/>
        </w:rPr>
        <w:t>décès</w:t>
      </w:r>
      <w:r w:rsidRPr="00B43860">
        <w:rPr>
          <w:lang w:val="fr-FR"/>
        </w:rPr>
        <w:t xml:space="preserve"> chaque année,</w:t>
      </w:r>
      <w:r>
        <w:rPr>
          <w:lang w:val="fr-FR"/>
        </w:rPr>
        <w:t xml:space="preserve"> l</w:t>
      </w:r>
      <w:r w:rsidR="00B43860" w:rsidRPr="00B43860">
        <w:rPr>
          <w:lang w:val="fr-FR"/>
        </w:rPr>
        <w:t>es taux de mortalité chez les adolescents restent à des niveaux inacceptables</w:t>
      </w:r>
      <w:r>
        <w:rPr>
          <w:lang w:val="fr-FR"/>
        </w:rPr>
        <w:t>,</w:t>
      </w:r>
      <w:r w:rsidR="00B43860" w:rsidRPr="00B43860">
        <w:rPr>
          <w:lang w:val="fr-FR"/>
        </w:rPr>
        <w:t xml:space="preserve"> </w:t>
      </w:r>
      <w:r w:rsidR="00B43860">
        <w:rPr>
          <w:lang w:val="fr-FR"/>
        </w:rPr>
        <w:t xml:space="preserve">qui </w:t>
      </w:r>
      <w:r>
        <w:rPr>
          <w:lang w:val="fr-FR"/>
        </w:rPr>
        <w:t>sapent</w:t>
      </w:r>
      <w:r w:rsidR="00B43860">
        <w:rPr>
          <w:lang w:val="fr-FR"/>
        </w:rPr>
        <w:t xml:space="preserve"> </w:t>
      </w:r>
      <w:r>
        <w:rPr>
          <w:lang w:val="fr-FR"/>
        </w:rPr>
        <w:t>une grande part d</w:t>
      </w:r>
      <w:r w:rsidR="00B43860">
        <w:rPr>
          <w:lang w:val="fr-FR"/>
        </w:rPr>
        <w:t xml:space="preserve">es progrès réalisés dans la baisse de la mortalité chez les moins de cinq ans. </w:t>
      </w:r>
      <w:r w:rsidR="009F6FB2">
        <w:rPr>
          <w:lang w:val="fr-FR"/>
        </w:rPr>
        <w:t>Chez les plus jeunes (</w:t>
      </w:r>
      <w:r w:rsidR="00B43860" w:rsidRPr="00B43860">
        <w:rPr>
          <w:lang w:val="fr-FR"/>
        </w:rPr>
        <w:t>10-14</w:t>
      </w:r>
      <w:r>
        <w:rPr>
          <w:lang w:val="fr-FR"/>
        </w:rPr>
        <w:t> </w:t>
      </w:r>
      <w:r w:rsidR="00B43860" w:rsidRPr="00B43860">
        <w:rPr>
          <w:lang w:val="fr-FR"/>
        </w:rPr>
        <w:t>ans</w:t>
      </w:r>
      <w:r w:rsidR="009F6FB2">
        <w:rPr>
          <w:lang w:val="fr-FR"/>
        </w:rPr>
        <w:t>)</w:t>
      </w:r>
      <w:r w:rsidR="00B43860" w:rsidRPr="00B43860">
        <w:rPr>
          <w:lang w:val="fr-FR"/>
        </w:rPr>
        <w:t>, les principal</w:t>
      </w:r>
      <w:r>
        <w:rPr>
          <w:lang w:val="fr-FR"/>
        </w:rPr>
        <w:t>e</w:t>
      </w:r>
      <w:r w:rsidR="00B43860" w:rsidRPr="00B43860">
        <w:rPr>
          <w:lang w:val="fr-FR"/>
        </w:rPr>
        <w:t xml:space="preserve">s causes de </w:t>
      </w:r>
      <w:r w:rsidR="009F6FB2">
        <w:rPr>
          <w:lang w:val="fr-FR"/>
        </w:rPr>
        <w:t>décès</w:t>
      </w:r>
      <w:r w:rsidR="00B43860" w:rsidRPr="00B43860">
        <w:rPr>
          <w:lang w:val="fr-FR"/>
        </w:rPr>
        <w:t xml:space="preserve"> sont</w:t>
      </w:r>
      <w:r w:rsidR="00B43860">
        <w:rPr>
          <w:lang w:val="fr-FR"/>
        </w:rPr>
        <w:t xml:space="preserve"> les accidents de la route, le </w:t>
      </w:r>
      <w:r w:rsidR="00C42AD5">
        <w:rPr>
          <w:lang w:val="fr-FR"/>
        </w:rPr>
        <w:t>VIH/</w:t>
      </w:r>
      <w:r w:rsidR="00B43860">
        <w:rPr>
          <w:lang w:val="fr-FR"/>
        </w:rPr>
        <w:t>sida et les infections intestinales</w:t>
      </w:r>
      <w:r w:rsidR="001C604F" w:rsidRPr="003130CA">
        <w:rPr>
          <w:vertAlign w:val="superscript"/>
        </w:rPr>
        <w:footnoteReference w:id="4"/>
      </w:r>
      <w:r w:rsidR="003D470F">
        <w:rPr>
          <w:lang w:val="fr-FR"/>
        </w:rPr>
        <w:t>.</w:t>
      </w:r>
      <w:r w:rsidR="001C604F" w:rsidRPr="001C604F">
        <w:rPr>
          <w:lang w:val="fr-FR"/>
        </w:rPr>
        <w:t xml:space="preserve"> </w:t>
      </w:r>
      <w:r w:rsidR="00B43860">
        <w:rPr>
          <w:lang w:val="fr-FR"/>
        </w:rPr>
        <w:t>Plus de 430 millions d’</w:t>
      </w:r>
      <w:r w:rsidR="00962D98">
        <w:rPr>
          <w:lang w:val="fr-FR"/>
        </w:rPr>
        <w:t xml:space="preserve">adolescents </w:t>
      </w:r>
      <w:r>
        <w:rPr>
          <w:lang w:val="fr-FR"/>
        </w:rPr>
        <w:t>n’</w:t>
      </w:r>
      <w:r w:rsidR="00962D98">
        <w:rPr>
          <w:lang w:val="fr-FR"/>
        </w:rPr>
        <w:t xml:space="preserve">ont </w:t>
      </w:r>
      <w:r>
        <w:rPr>
          <w:lang w:val="fr-FR"/>
        </w:rPr>
        <w:t xml:space="preserve">pas </w:t>
      </w:r>
      <w:r w:rsidR="00962D98">
        <w:rPr>
          <w:lang w:val="fr-FR"/>
        </w:rPr>
        <w:t xml:space="preserve">accès à </w:t>
      </w:r>
      <w:r w:rsidR="00A76B61">
        <w:rPr>
          <w:lang w:val="fr-FR"/>
        </w:rPr>
        <w:t xml:space="preserve">un </w:t>
      </w:r>
      <w:r w:rsidR="00962D98">
        <w:rPr>
          <w:lang w:val="fr-FR"/>
        </w:rPr>
        <w:t>assainissement amélioré</w:t>
      </w:r>
      <w:r w:rsidR="001C604F">
        <w:rPr>
          <w:lang w:val="fr-FR"/>
        </w:rPr>
        <w:t xml:space="preserve">, et </w:t>
      </w:r>
      <w:r w:rsidR="00962D98">
        <w:rPr>
          <w:lang w:val="fr-FR"/>
        </w:rPr>
        <w:t>114 millions d’entre eux à des sources d’eau potable améliorées</w:t>
      </w:r>
      <w:r w:rsidR="00292F7C" w:rsidRPr="003130CA">
        <w:rPr>
          <w:vertAlign w:val="superscript"/>
        </w:rPr>
        <w:footnoteReference w:id="5"/>
      </w:r>
      <w:r w:rsidR="00B2216D">
        <w:rPr>
          <w:lang w:val="fr-FR"/>
        </w:rPr>
        <w:t>.</w:t>
      </w:r>
      <w:r w:rsidR="00292F7C" w:rsidRPr="00292F7C">
        <w:rPr>
          <w:lang w:val="fr-FR"/>
        </w:rPr>
        <w:t xml:space="preserve"> </w:t>
      </w:r>
      <w:r w:rsidR="00C42AD5">
        <w:rPr>
          <w:lang w:val="fr-FR"/>
        </w:rPr>
        <w:t>Chez les</w:t>
      </w:r>
      <w:r w:rsidR="00962D98">
        <w:rPr>
          <w:lang w:val="fr-FR"/>
        </w:rPr>
        <w:t xml:space="preserve"> </w:t>
      </w:r>
      <w:r w:rsidR="009F6FB2">
        <w:rPr>
          <w:lang w:val="fr-FR"/>
        </w:rPr>
        <w:t>plus âgés (</w:t>
      </w:r>
      <w:r w:rsidR="00962D98">
        <w:rPr>
          <w:lang w:val="fr-FR"/>
        </w:rPr>
        <w:t>15-19 ans</w:t>
      </w:r>
      <w:r w:rsidR="009F6FB2">
        <w:rPr>
          <w:lang w:val="fr-FR"/>
        </w:rPr>
        <w:t>)</w:t>
      </w:r>
      <w:r w:rsidR="00962D98">
        <w:rPr>
          <w:lang w:val="fr-FR"/>
        </w:rPr>
        <w:t xml:space="preserve">, les causes majeures de mortalité sont l’automutilation et les accidents de la route, ainsi que le </w:t>
      </w:r>
      <w:r w:rsidR="009F6FB2">
        <w:rPr>
          <w:lang w:val="fr-FR"/>
        </w:rPr>
        <w:t>VIH/</w:t>
      </w:r>
      <w:r w:rsidR="00962D98">
        <w:rPr>
          <w:lang w:val="fr-FR"/>
        </w:rPr>
        <w:t>sida chez les filles et la violence interpersonnelle chez les garçons. L</w:t>
      </w:r>
      <w:r w:rsidR="009F6FB2">
        <w:rPr>
          <w:lang w:val="fr-FR"/>
        </w:rPr>
        <w:t>’infection au VIH/</w:t>
      </w:r>
      <w:r w:rsidR="00962D98">
        <w:rPr>
          <w:lang w:val="fr-FR"/>
        </w:rPr>
        <w:t xml:space="preserve">sida demeure l’unique grand </w:t>
      </w:r>
      <w:r w:rsidR="009F6FB2">
        <w:rPr>
          <w:lang w:val="fr-FR"/>
        </w:rPr>
        <w:t>fléau</w:t>
      </w:r>
      <w:r w:rsidR="00962D98">
        <w:rPr>
          <w:lang w:val="fr-FR"/>
        </w:rPr>
        <w:t xml:space="preserve"> chez les adolescents de l’Afrique subsaharienne, où sept nouvelles contaminations sur dix concernent les filles dans l</w:t>
      </w:r>
      <w:r w:rsidR="009F6FB2">
        <w:rPr>
          <w:lang w:val="fr-FR"/>
        </w:rPr>
        <w:t>a tranche d’âge des</w:t>
      </w:r>
      <w:r w:rsidR="00962D98">
        <w:rPr>
          <w:lang w:val="fr-FR"/>
        </w:rPr>
        <w:t xml:space="preserve"> 15-19 ans</w:t>
      </w:r>
      <w:r w:rsidR="00292F7C" w:rsidRPr="003130CA">
        <w:rPr>
          <w:vertAlign w:val="superscript"/>
        </w:rPr>
        <w:footnoteReference w:id="6"/>
      </w:r>
      <w:r w:rsidR="003D470F">
        <w:rPr>
          <w:lang w:val="fr-FR"/>
        </w:rPr>
        <w:t>.</w:t>
      </w:r>
    </w:p>
    <w:p w14:paraId="5D7F4983" w14:textId="0A976DAA" w:rsidR="00962D98" w:rsidRDefault="00962D98" w:rsidP="003A0413">
      <w:pPr>
        <w:pStyle w:val="Para1"/>
        <w:numPr>
          <w:ilvl w:val="0"/>
          <w:numId w:val="21"/>
        </w:numPr>
        <w:tabs>
          <w:tab w:val="left" w:pos="540"/>
        </w:tabs>
        <w:spacing w:after="240"/>
        <w:ind w:left="0" w:right="0" w:firstLine="0"/>
        <w:rPr>
          <w:lang w:val="fr-FR"/>
        </w:rPr>
      </w:pPr>
      <w:r w:rsidRPr="00962D98">
        <w:rPr>
          <w:lang w:val="fr-FR"/>
        </w:rPr>
        <w:t xml:space="preserve">Pour des millions de jeunes dans le monde, </w:t>
      </w:r>
      <w:r>
        <w:rPr>
          <w:lang w:val="fr-FR"/>
        </w:rPr>
        <w:t xml:space="preserve">le début de l’adolescence se traduit non seulement par des </w:t>
      </w:r>
      <w:r w:rsidR="00BD5460">
        <w:rPr>
          <w:lang w:val="fr-FR"/>
        </w:rPr>
        <w:t>transformations</w:t>
      </w:r>
      <w:r>
        <w:rPr>
          <w:lang w:val="fr-FR"/>
        </w:rPr>
        <w:t xml:space="preserve"> physiques, mais aussi par une vulnérabilité nouvelle aux violations des droits de l’homme, notamment dans les domaines de la sexualité, du mariage et de la procréation. Des millions de filles </w:t>
      </w:r>
      <w:r w:rsidR="00627322">
        <w:rPr>
          <w:lang w:val="fr-FR"/>
        </w:rPr>
        <w:t xml:space="preserve">sont contraintes à des rapports sexuels non consentis ou à des mariages forcés, qui les exposent à des grossesses non désirées, des avortements </w:t>
      </w:r>
      <w:r w:rsidR="00D37D61">
        <w:rPr>
          <w:lang w:val="fr-FR"/>
        </w:rPr>
        <w:t>non médicalisés</w:t>
      </w:r>
      <w:r w:rsidR="00627322">
        <w:rPr>
          <w:lang w:val="fr-FR"/>
        </w:rPr>
        <w:t xml:space="preserve">, des </w:t>
      </w:r>
      <w:r w:rsidR="00D37D61">
        <w:rPr>
          <w:lang w:val="fr-FR"/>
        </w:rPr>
        <w:t xml:space="preserve">infections </w:t>
      </w:r>
      <w:r w:rsidR="00627322">
        <w:rPr>
          <w:lang w:val="fr-FR"/>
        </w:rPr>
        <w:t xml:space="preserve">sexuellement transmissibles, dont le </w:t>
      </w:r>
      <w:r w:rsidR="00BD5460">
        <w:rPr>
          <w:lang w:val="fr-FR"/>
        </w:rPr>
        <w:t>VIH</w:t>
      </w:r>
      <w:r w:rsidR="00627322">
        <w:rPr>
          <w:lang w:val="fr-FR"/>
        </w:rPr>
        <w:t xml:space="preserve">, et des accouchements dangereux. Les adolescentes </w:t>
      </w:r>
      <w:r w:rsidR="009F5265">
        <w:rPr>
          <w:lang w:val="fr-FR"/>
        </w:rPr>
        <w:t xml:space="preserve">présentent un </w:t>
      </w:r>
      <w:r w:rsidR="00627322">
        <w:rPr>
          <w:lang w:val="fr-FR"/>
        </w:rPr>
        <w:t>risque</w:t>
      </w:r>
      <w:r w:rsidR="009F5265">
        <w:rPr>
          <w:lang w:val="fr-FR"/>
        </w:rPr>
        <w:t xml:space="preserve"> plus élevé de</w:t>
      </w:r>
      <w:r w:rsidR="00627322">
        <w:rPr>
          <w:lang w:val="fr-FR"/>
        </w:rPr>
        <w:t xml:space="preserve"> mortalité et </w:t>
      </w:r>
      <w:r w:rsidR="009F5265">
        <w:rPr>
          <w:lang w:val="fr-FR"/>
        </w:rPr>
        <w:t>de</w:t>
      </w:r>
      <w:r w:rsidR="00627322">
        <w:rPr>
          <w:lang w:val="fr-FR"/>
        </w:rPr>
        <w:t xml:space="preserve"> morbidité maternelles</w:t>
      </w:r>
      <w:r w:rsidR="001D66AA">
        <w:rPr>
          <w:lang w:val="fr-FR"/>
        </w:rPr>
        <w:t xml:space="preserve">. Alors que les décès </w:t>
      </w:r>
      <w:r w:rsidR="009F5265">
        <w:rPr>
          <w:lang w:val="fr-FR"/>
        </w:rPr>
        <w:t xml:space="preserve">liés </w:t>
      </w:r>
      <w:r w:rsidR="001D66AA">
        <w:rPr>
          <w:lang w:val="fr-FR"/>
        </w:rPr>
        <w:t xml:space="preserve">au sida ont diminué pour </w:t>
      </w:r>
      <w:r w:rsidR="005B77C0">
        <w:rPr>
          <w:lang w:val="fr-FR"/>
        </w:rPr>
        <w:t xml:space="preserve">toutes les autres </w:t>
      </w:r>
      <w:r w:rsidR="001D66AA">
        <w:rPr>
          <w:lang w:val="fr-FR"/>
        </w:rPr>
        <w:t>tranche</w:t>
      </w:r>
      <w:r w:rsidR="005B77C0">
        <w:rPr>
          <w:lang w:val="fr-FR"/>
        </w:rPr>
        <w:t>s</w:t>
      </w:r>
      <w:r w:rsidR="001D66AA">
        <w:rPr>
          <w:lang w:val="fr-FR"/>
        </w:rPr>
        <w:t xml:space="preserve"> d’âge, ils ont considérablement augmenté chez les </w:t>
      </w:r>
      <w:r w:rsidR="001D66AA">
        <w:rPr>
          <w:lang w:val="fr-FR"/>
        </w:rPr>
        <w:lastRenderedPageBreak/>
        <w:t xml:space="preserve">adolescents. Par ailleurs, l’adolescence </w:t>
      </w:r>
      <w:r w:rsidR="009F5265">
        <w:rPr>
          <w:lang w:val="fr-FR"/>
        </w:rPr>
        <w:t>constitue</w:t>
      </w:r>
      <w:r w:rsidR="001D66AA">
        <w:rPr>
          <w:lang w:val="fr-FR"/>
        </w:rPr>
        <w:t xml:space="preserve"> une </w:t>
      </w:r>
      <w:r w:rsidR="009F5265">
        <w:rPr>
          <w:lang w:val="fr-FR"/>
        </w:rPr>
        <w:t>phase</w:t>
      </w:r>
      <w:r w:rsidR="001D66AA">
        <w:rPr>
          <w:lang w:val="fr-FR"/>
        </w:rPr>
        <w:t xml:space="preserve"> de vulnérabilité pour la santé mentale, </w:t>
      </w:r>
      <w:r w:rsidR="009F5265">
        <w:rPr>
          <w:lang w:val="fr-FR"/>
        </w:rPr>
        <w:t xml:space="preserve">de </w:t>
      </w:r>
      <w:r w:rsidR="001D66AA">
        <w:rPr>
          <w:lang w:val="fr-FR"/>
        </w:rPr>
        <w:t xml:space="preserve">nombreux troubles mentaux </w:t>
      </w:r>
      <w:r w:rsidR="009F5265">
        <w:rPr>
          <w:lang w:val="fr-FR"/>
        </w:rPr>
        <w:t>apparaiss</w:t>
      </w:r>
      <w:r w:rsidR="00DD374A">
        <w:rPr>
          <w:lang w:val="fr-FR"/>
        </w:rPr>
        <w:t>a</w:t>
      </w:r>
      <w:r w:rsidR="009F5265">
        <w:rPr>
          <w:lang w:val="fr-FR"/>
        </w:rPr>
        <w:t>nt à cette période</w:t>
      </w:r>
      <w:r w:rsidR="001D66AA">
        <w:rPr>
          <w:lang w:val="fr-FR"/>
        </w:rPr>
        <w:t>.</w:t>
      </w:r>
    </w:p>
    <w:p w14:paraId="63BC120F" w14:textId="2D055500" w:rsidR="001D66AA" w:rsidRPr="001D66AA" w:rsidRDefault="001D66AA" w:rsidP="003A0413">
      <w:pPr>
        <w:pStyle w:val="Para1"/>
        <w:numPr>
          <w:ilvl w:val="0"/>
          <w:numId w:val="21"/>
        </w:numPr>
        <w:tabs>
          <w:tab w:val="left" w:pos="540"/>
        </w:tabs>
        <w:spacing w:after="240"/>
        <w:ind w:left="0" w:right="0" w:firstLine="0"/>
        <w:rPr>
          <w:lang w:val="fr-FR"/>
        </w:rPr>
      </w:pPr>
      <w:r w:rsidRPr="001D66AA">
        <w:rPr>
          <w:lang w:val="fr-FR"/>
        </w:rPr>
        <w:t xml:space="preserve">L’accès à </w:t>
      </w:r>
      <w:r w:rsidR="009F5265">
        <w:rPr>
          <w:lang w:val="fr-FR"/>
        </w:rPr>
        <w:t>des i</w:t>
      </w:r>
      <w:r w:rsidRPr="001D66AA">
        <w:rPr>
          <w:lang w:val="fr-FR"/>
        </w:rPr>
        <w:t>nformation</w:t>
      </w:r>
      <w:r w:rsidR="009F5265">
        <w:rPr>
          <w:lang w:val="fr-FR"/>
        </w:rPr>
        <w:t>s</w:t>
      </w:r>
      <w:r w:rsidRPr="001D66AA">
        <w:rPr>
          <w:lang w:val="fr-FR"/>
        </w:rPr>
        <w:t xml:space="preserve"> et </w:t>
      </w:r>
      <w:r w:rsidR="009F5265">
        <w:rPr>
          <w:lang w:val="fr-FR"/>
        </w:rPr>
        <w:t>des se</w:t>
      </w:r>
      <w:r w:rsidRPr="001D66AA">
        <w:rPr>
          <w:lang w:val="fr-FR"/>
        </w:rPr>
        <w:t xml:space="preserve">rvices </w:t>
      </w:r>
      <w:r w:rsidR="005B77C0">
        <w:rPr>
          <w:lang w:val="fr-FR"/>
        </w:rPr>
        <w:t>médicaux</w:t>
      </w:r>
      <w:r w:rsidRPr="001D66AA">
        <w:rPr>
          <w:lang w:val="fr-FR"/>
        </w:rPr>
        <w:t xml:space="preserve"> appropriés est </w:t>
      </w:r>
      <w:r w:rsidR="00292F7C">
        <w:rPr>
          <w:lang w:val="fr-FR"/>
        </w:rPr>
        <w:t>fondamental pour que les</w:t>
      </w:r>
      <w:r w:rsidRPr="001D66AA">
        <w:rPr>
          <w:lang w:val="fr-FR"/>
        </w:rPr>
        <w:t xml:space="preserve"> jeunes </w:t>
      </w:r>
      <w:r w:rsidR="00292F7C">
        <w:rPr>
          <w:lang w:val="fr-FR"/>
        </w:rPr>
        <w:t xml:space="preserve">puissent </w:t>
      </w:r>
      <w:r w:rsidRPr="001D66AA">
        <w:rPr>
          <w:lang w:val="fr-FR"/>
        </w:rPr>
        <w:t xml:space="preserve">prendre conscience de leurs droits à la santé, y compris leur santé sexuelle et reproductive et leurs droits reproductifs. </w:t>
      </w:r>
      <w:r>
        <w:rPr>
          <w:lang w:val="fr-FR"/>
        </w:rPr>
        <w:t>Malheureusement, en dépit de toute l’attention récemment accordée à leurs besoins, la plupart des adolescents et des jeunes ne disposent toujours pas de l’information et des services nécessaires</w:t>
      </w:r>
      <w:r w:rsidR="006008BB">
        <w:rPr>
          <w:lang w:val="fr-FR"/>
        </w:rPr>
        <w:t>, et ne bénéficient pas d’</w:t>
      </w:r>
      <w:r>
        <w:rPr>
          <w:lang w:val="fr-FR"/>
        </w:rPr>
        <w:t>un</w:t>
      </w:r>
      <w:r w:rsidR="006008BB">
        <w:rPr>
          <w:lang w:val="fr-FR"/>
        </w:rPr>
        <w:t>e éducation sexuelle complète</w:t>
      </w:r>
      <w:r>
        <w:rPr>
          <w:lang w:val="fr-FR"/>
        </w:rPr>
        <w:t xml:space="preserve"> de haut</w:t>
      </w:r>
      <w:r w:rsidR="006008BB">
        <w:rPr>
          <w:lang w:val="fr-FR"/>
        </w:rPr>
        <w:t>e</w:t>
      </w:r>
      <w:r>
        <w:rPr>
          <w:lang w:val="fr-FR"/>
        </w:rPr>
        <w:t xml:space="preserve"> </w:t>
      </w:r>
      <w:r w:rsidR="006008BB">
        <w:rPr>
          <w:lang w:val="fr-FR"/>
        </w:rPr>
        <w:t>qualité</w:t>
      </w:r>
      <w:r w:rsidR="00A737B0" w:rsidRPr="003130CA">
        <w:rPr>
          <w:vertAlign w:val="superscript"/>
        </w:rPr>
        <w:footnoteReference w:id="7"/>
      </w:r>
      <w:r w:rsidR="00706A7D">
        <w:rPr>
          <w:lang w:val="fr-FR"/>
        </w:rPr>
        <w:t>.</w:t>
      </w:r>
      <w:r>
        <w:rPr>
          <w:lang w:val="fr-FR"/>
        </w:rPr>
        <w:t xml:space="preserve"> En outre, non seulement les adolescents ont </w:t>
      </w:r>
      <w:r w:rsidR="00A737B0">
        <w:rPr>
          <w:lang w:val="fr-FR"/>
        </w:rPr>
        <w:t>très peu</w:t>
      </w:r>
      <w:r>
        <w:rPr>
          <w:lang w:val="fr-FR"/>
        </w:rPr>
        <w:t xml:space="preserve"> accès aux informations et aux services </w:t>
      </w:r>
      <w:r w:rsidR="00A737B0">
        <w:rPr>
          <w:lang w:val="fr-FR"/>
        </w:rPr>
        <w:t>relatifs à la</w:t>
      </w:r>
      <w:r>
        <w:rPr>
          <w:lang w:val="fr-FR"/>
        </w:rPr>
        <w:t xml:space="preserve"> santé, notamment </w:t>
      </w:r>
      <w:r w:rsidR="00A737B0">
        <w:rPr>
          <w:lang w:val="fr-FR"/>
        </w:rPr>
        <w:t>à la</w:t>
      </w:r>
      <w:r>
        <w:rPr>
          <w:lang w:val="fr-FR"/>
        </w:rPr>
        <w:t xml:space="preserve"> santé sexuelle et reproductive, mais les </w:t>
      </w:r>
      <w:r w:rsidR="00A737B0">
        <w:rPr>
          <w:lang w:val="fr-FR"/>
        </w:rPr>
        <w:t xml:space="preserve">principaux </w:t>
      </w:r>
      <w:r>
        <w:rPr>
          <w:lang w:val="fr-FR"/>
        </w:rPr>
        <w:t xml:space="preserve">facteurs </w:t>
      </w:r>
      <w:r w:rsidR="00A737B0">
        <w:rPr>
          <w:lang w:val="fr-FR"/>
        </w:rPr>
        <w:t>d</w:t>
      </w:r>
      <w:r>
        <w:rPr>
          <w:lang w:val="fr-FR"/>
        </w:rPr>
        <w:t xml:space="preserve">e risque </w:t>
      </w:r>
      <w:r w:rsidR="009E1EF1">
        <w:rPr>
          <w:lang w:val="fr-FR"/>
        </w:rPr>
        <w:t xml:space="preserve">pour les maladies non transmissibles (tabagisme, alcoolisme, mauvaise alimentation et manque d’exercice) sont des comportements qui </w:t>
      </w:r>
      <w:r w:rsidR="00676B08">
        <w:rPr>
          <w:lang w:val="fr-FR"/>
        </w:rPr>
        <w:t>trouvent leur origine</w:t>
      </w:r>
      <w:r w:rsidR="009E1EF1">
        <w:rPr>
          <w:lang w:val="fr-FR"/>
        </w:rPr>
        <w:t xml:space="preserve"> à l’adolescence</w:t>
      </w:r>
      <w:r w:rsidR="00A737B0" w:rsidRPr="003130CA">
        <w:rPr>
          <w:vertAlign w:val="superscript"/>
        </w:rPr>
        <w:footnoteReference w:id="8"/>
      </w:r>
      <w:r w:rsidR="00174A36">
        <w:rPr>
          <w:lang w:val="fr-FR"/>
        </w:rPr>
        <w:t>.</w:t>
      </w:r>
      <w:r w:rsidR="009E1EF1">
        <w:rPr>
          <w:lang w:val="fr-FR"/>
        </w:rPr>
        <w:t xml:space="preserve"> C’est la raison pour laquelle il est </w:t>
      </w:r>
      <w:r w:rsidR="00A737B0">
        <w:rPr>
          <w:lang w:val="fr-FR"/>
        </w:rPr>
        <w:t>primordial</w:t>
      </w:r>
      <w:r w:rsidR="009E1EF1">
        <w:rPr>
          <w:lang w:val="fr-FR"/>
        </w:rPr>
        <w:t xml:space="preserve"> de concentrer les efforts sur les adolescents pour atteindre l’objectif de santé.</w:t>
      </w:r>
    </w:p>
    <w:p w14:paraId="48E1036B" w14:textId="169E40FA" w:rsidR="00263B6C" w:rsidRPr="00174A36" w:rsidRDefault="000D7712" w:rsidP="003A0413">
      <w:pPr>
        <w:pStyle w:val="Para1"/>
        <w:tabs>
          <w:tab w:val="left" w:pos="540"/>
        </w:tabs>
        <w:spacing w:after="240"/>
        <w:ind w:right="0"/>
        <w:rPr>
          <w:b/>
          <w:sz w:val="28"/>
          <w:szCs w:val="28"/>
        </w:rPr>
      </w:pPr>
      <w:r w:rsidRPr="00174A36">
        <w:rPr>
          <w:b/>
          <w:sz w:val="28"/>
          <w:szCs w:val="28"/>
        </w:rPr>
        <w:t>É</w:t>
      </w:r>
      <w:r w:rsidR="00FB7C56" w:rsidRPr="00174A36">
        <w:rPr>
          <w:b/>
          <w:sz w:val="28"/>
          <w:szCs w:val="28"/>
        </w:rPr>
        <w:t xml:space="preserve">ducation </w:t>
      </w:r>
      <w:r w:rsidRPr="00174A36">
        <w:rPr>
          <w:b/>
          <w:sz w:val="28"/>
          <w:szCs w:val="28"/>
        </w:rPr>
        <w:t>et apprentissage</w:t>
      </w:r>
    </w:p>
    <w:p w14:paraId="5D28E62E" w14:textId="7E9EF565" w:rsidR="000D7712" w:rsidRPr="000D7712" w:rsidRDefault="00AF345B" w:rsidP="003A0413">
      <w:pPr>
        <w:pStyle w:val="Para1"/>
        <w:numPr>
          <w:ilvl w:val="0"/>
          <w:numId w:val="21"/>
        </w:numPr>
        <w:tabs>
          <w:tab w:val="left" w:pos="540"/>
        </w:tabs>
        <w:spacing w:after="240"/>
        <w:ind w:left="0" w:right="0" w:firstLine="0"/>
        <w:rPr>
          <w:lang w:val="fr-FR"/>
        </w:rPr>
      </w:pPr>
      <w:r>
        <w:rPr>
          <w:lang w:val="fr-FR"/>
        </w:rPr>
        <w:t>Alors que des progrè</w:t>
      </w:r>
      <w:r w:rsidR="000D7712" w:rsidRPr="000D7712">
        <w:rPr>
          <w:lang w:val="fr-FR"/>
        </w:rPr>
        <w:t xml:space="preserve">s significatifs ont été réalisés dans </w:t>
      </w:r>
      <w:r>
        <w:rPr>
          <w:lang w:val="fr-FR"/>
        </w:rPr>
        <w:t xml:space="preserve">le domaine de </w:t>
      </w:r>
      <w:r w:rsidR="000D7712" w:rsidRPr="000D7712">
        <w:rPr>
          <w:lang w:val="fr-FR"/>
        </w:rPr>
        <w:t xml:space="preserve">l’éducation primaire et </w:t>
      </w:r>
      <w:r>
        <w:rPr>
          <w:lang w:val="fr-FR"/>
        </w:rPr>
        <w:t xml:space="preserve">de </w:t>
      </w:r>
      <w:r w:rsidR="000D7712" w:rsidRPr="000D7712">
        <w:rPr>
          <w:lang w:val="fr-FR"/>
        </w:rPr>
        <w:t>la santé des enfants, l</w:t>
      </w:r>
      <w:r>
        <w:rPr>
          <w:lang w:val="fr-FR"/>
        </w:rPr>
        <w:t xml:space="preserve">es </w:t>
      </w:r>
      <w:r w:rsidR="000D7712" w:rsidRPr="000D7712">
        <w:rPr>
          <w:lang w:val="fr-FR"/>
        </w:rPr>
        <w:t>écart</w:t>
      </w:r>
      <w:r>
        <w:rPr>
          <w:lang w:val="fr-FR"/>
        </w:rPr>
        <w:t>s</w:t>
      </w:r>
      <w:r w:rsidR="000D7712" w:rsidRPr="000D7712">
        <w:rPr>
          <w:lang w:val="fr-FR"/>
        </w:rPr>
        <w:t xml:space="preserve"> se creuse</w:t>
      </w:r>
      <w:r>
        <w:rPr>
          <w:lang w:val="fr-FR"/>
        </w:rPr>
        <w:t>nt</w:t>
      </w:r>
      <w:r w:rsidR="000D7712" w:rsidRPr="000D7712">
        <w:rPr>
          <w:lang w:val="fr-FR"/>
        </w:rPr>
        <w:t xml:space="preserve"> et les obstacles s’accumulent </w:t>
      </w:r>
      <w:r>
        <w:rPr>
          <w:lang w:val="fr-FR"/>
        </w:rPr>
        <w:t xml:space="preserve">lorsqu’ils deviennent </w:t>
      </w:r>
      <w:r w:rsidR="000D7712" w:rsidRPr="000D7712">
        <w:rPr>
          <w:lang w:val="fr-FR"/>
        </w:rPr>
        <w:t xml:space="preserve">adolescents puis jeunes adultes, </w:t>
      </w:r>
      <w:r>
        <w:rPr>
          <w:lang w:val="fr-FR"/>
        </w:rPr>
        <w:t xml:space="preserve">créant ainsi un terrain favorable </w:t>
      </w:r>
      <w:r w:rsidR="000D7712" w:rsidRPr="000D7712">
        <w:rPr>
          <w:lang w:val="fr-FR"/>
        </w:rPr>
        <w:t xml:space="preserve">à des </w:t>
      </w:r>
      <w:r w:rsidR="00174A36">
        <w:rPr>
          <w:lang w:val="fr-FR"/>
        </w:rPr>
        <w:t>coûts</w:t>
      </w:r>
      <w:r w:rsidR="00174A36" w:rsidRPr="000D7712">
        <w:rPr>
          <w:lang w:val="fr-FR"/>
        </w:rPr>
        <w:t xml:space="preserve"> </w:t>
      </w:r>
      <w:r w:rsidR="000D7712" w:rsidRPr="000D7712">
        <w:rPr>
          <w:lang w:val="fr-FR"/>
        </w:rPr>
        <w:t xml:space="preserve">à long terme qui perdurent </w:t>
      </w:r>
      <w:r w:rsidR="00C76102">
        <w:rPr>
          <w:lang w:val="fr-FR"/>
        </w:rPr>
        <w:t>tout au long de leur vie d’</w:t>
      </w:r>
      <w:r w:rsidR="000D7712">
        <w:rPr>
          <w:lang w:val="fr-FR"/>
        </w:rPr>
        <w:t>adulte</w:t>
      </w:r>
      <w:r w:rsidR="00C76102">
        <w:rPr>
          <w:lang w:val="fr-FR"/>
        </w:rPr>
        <w:t>s</w:t>
      </w:r>
      <w:r w:rsidR="000D7712">
        <w:rPr>
          <w:lang w:val="fr-FR"/>
        </w:rPr>
        <w:t xml:space="preserve"> et </w:t>
      </w:r>
      <w:r w:rsidR="00C76102">
        <w:rPr>
          <w:lang w:val="fr-FR"/>
        </w:rPr>
        <w:t>au fur et à mesure de leur vieillissement</w:t>
      </w:r>
      <w:r w:rsidR="000D7712">
        <w:rPr>
          <w:lang w:val="fr-FR"/>
        </w:rPr>
        <w:t xml:space="preserve">. </w:t>
      </w:r>
      <w:r w:rsidR="002B58E9">
        <w:rPr>
          <w:lang w:val="fr-FR"/>
        </w:rPr>
        <w:t>Dans les pays à faible revenu, p</w:t>
      </w:r>
      <w:r w:rsidR="000D7712">
        <w:rPr>
          <w:lang w:val="fr-FR"/>
        </w:rPr>
        <w:t>l</w:t>
      </w:r>
      <w:r w:rsidR="007E7C92">
        <w:rPr>
          <w:lang w:val="fr-FR"/>
        </w:rPr>
        <w:t xml:space="preserve">us de 30 % des enfants en âge de fréquenter le premier cycle </w:t>
      </w:r>
      <w:r w:rsidR="00174A36">
        <w:rPr>
          <w:lang w:val="fr-FR"/>
        </w:rPr>
        <w:t xml:space="preserve">d’éducation </w:t>
      </w:r>
      <w:r w:rsidR="007E7C92">
        <w:rPr>
          <w:lang w:val="fr-FR"/>
        </w:rPr>
        <w:t>secondaire</w:t>
      </w:r>
      <w:r w:rsidR="002B58E9">
        <w:rPr>
          <w:lang w:val="fr-FR"/>
        </w:rPr>
        <w:t xml:space="preserve"> </w:t>
      </w:r>
      <w:r w:rsidR="007E7C92">
        <w:rPr>
          <w:lang w:val="fr-FR"/>
        </w:rPr>
        <w:t>sont déscolarisés</w:t>
      </w:r>
      <w:r w:rsidR="002B58E9">
        <w:rPr>
          <w:lang w:val="fr-FR"/>
        </w:rPr>
        <w:t xml:space="preserve">, </w:t>
      </w:r>
      <w:r w:rsidR="007E7C92">
        <w:rPr>
          <w:lang w:val="fr-FR"/>
        </w:rPr>
        <w:t>et parmi leurs camarades</w:t>
      </w:r>
      <w:r w:rsidR="002B58E9">
        <w:rPr>
          <w:lang w:val="fr-FR"/>
        </w:rPr>
        <w:t xml:space="preserve"> scolarisés</w:t>
      </w:r>
      <w:r w:rsidR="007E7C92">
        <w:rPr>
          <w:lang w:val="fr-FR"/>
        </w:rPr>
        <w:t>, nombreux sont ceux qui</w:t>
      </w:r>
      <w:r w:rsidR="002B58E9">
        <w:rPr>
          <w:lang w:val="fr-FR"/>
        </w:rPr>
        <w:t xml:space="preserve"> </w:t>
      </w:r>
      <w:r w:rsidR="007E7C92">
        <w:rPr>
          <w:lang w:val="fr-FR"/>
        </w:rPr>
        <w:t>reçoivent un enseignement très limité</w:t>
      </w:r>
      <w:r w:rsidR="002B58E9">
        <w:rPr>
          <w:lang w:val="fr-FR"/>
        </w:rPr>
        <w:t xml:space="preserve">. La pauvreté et la localisation </w:t>
      </w:r>
      <w:r w:rsidR="007E7C92">
        <w:rPr>
          <w:lang w:val="fr-FR"/>
        </w:rPr>
        <w:t xml:space="preserve">géographique </w:t>
      </w:r>
      <w:r w:rsidR="002B58E9">
        <w:rPr>
          <w:lang w:val="fr-FR"/>
        </w:rPr>
        <w:t xml:space="preserve">(environnement rural/urbain) sont les plus grands facteurs d’exclusion, les filles les plus pauvres </w:t>
      </w:r>
      <w:r w:rsidR="009E5D1E">
        <w:rPr>
          <w:lang w:val="fr-FR"/>
        </w:rPr>
        <w:t>issues du</w:t>
      </w:r>
      <w:r w:rsidR="002B58E9">
        <w:rPr>
          <w:lang w:val="fr-FR"/>
        </w:rPr>
        <w:t xml:space="preserve"> milieu rural </w:t>
      </w:r>
      <w:r w:rsidR="007E7C92">
        <w:rPr>
          <w:lang w:val="fr-FR"/>
        </w:rPr>
        <w:t>étant</w:t>
      </w:r>
      <w:r w:rsidR="002B58E9">
        <w:rPr>
          <w:lang w:val="fr-FR"/>
        </w:rPr>
        <w:t xml:space="preserve"> les moins susceptibles d’accéder à l’éducation</w:t>
      </w:r>
      <w:r w:rsidR="009E5D1E" w:rsidRPr="003130CA">
        <w:rPr>
          <w:vertAlign w:val="superscript"/>
        </w:rPr>
        <w:footnoteReference w:id="9"/>
      </w:r>
      <w:r w:rsidR="00174A36">
        <w:rPr>
          <w:lang w:val="fr-FR"/>
        </w:rPr>
        <w:t>.</w:t>
      </w:r>
      <w:r w:rsidR="002B58E9">
        <w:rPr>
          <w:lang w:val="fr-FR"/>
        </w:rPr>
        <w:t xml:space="preserve"> Afin de mettre à profit les </w:t>
      </w:r>
      <w:r w:rsidR="009E5D1E">
        <w:rPr>
          <w:lang w:val="fr-FR"/>
        </w:rPr>
        <w:t>acquis</w:t>
      </w:r>
      <w:r w:rsidR="002B58E9">
        <w:rPr>
          <w:lang w:val="fr-FR"/>
        </w:rPr>
        <w:t xml:space="preserve"> obtenus dans l’</w:t>
      </w:r>
      <w:r w:rsidR="009E5D1E">
        <w:rPr>
          <w:lang w:val="fr-FR"/>
        </w:rPr>
        <w:t>enseignement</w:t>
      </w:r>
      <w:r w:rsidR="002B58E9">
        <w:rPr>
          <w:lang w:val="fr-FR"/>
        </w:rPr>
        <w:t xml:space="preserve"> primaire et de garantir pour tous une transition réussie vers l</w:t>
      </w:r>
      <w:r w:rsidR="00324CB8">
        <w:rPr>
          <w:lang w:val="fr-FR"/>
        </w:rPr>
        <w:t xml:space="preserve">e </w:t>
      </w:r>
      <w:r w:rsidR="002B58E9">
        <w:rPr>
          <w:lang w:val="fr-FR"/>
        </w:rPr>
        <w:t xml:space="preserve">secondaire, il faut </w:t>
      </w:r>
      <w:r w:rsidR="00324CB8">
        <w:rPr>
          <w:lang w:val="fr-FR"/>
        </w:rPr>
        <w:t>concentrer</w:t>
      </w:r>
      <w:r w:rsidR="002B58E9">
        <w:rPr>
          <w:lang w:val="fr-FR"/>
        </w:rPr>
        <w:t xml:space="preserve"> davantage l</w:t>
      </w:r>
      <w:r w:rsidR="00324CB8">
        <w:rPr>
          <w:lang w:val="fr-FR"/>
        </w:rPr>
        <w:t xml:space="preserve">es efforts </w:t>
      </w:r>
      <w:r w:rsidR="002B58E9">
        <w:rPr>
          <w:lang w:val="fr-FR"/>
        </w:rPr>
        <w:t>sur l</w:t>
      </w:r>
      <w:r w:rsidR="00324CB8">
        <w:rPr>
          <w:lang w:val="fr-FR"/>
        </w:rPr>
        <w:t xml:space="preserve">a prime </w:t>
      </w:r>
      <w:r w:rsidR="002B58E9">
        <w:rPr>
          <w:lang w:val="fr-FR"/>
        </w:rPr>
        <w:t>adolescence (10-14 ans), période où l’on constate le plus d</w:t>
      </w:r>
      <w:r w:rsidR="00C62534">
        <w:rPr>
          <w:lang w:val="fr-FR"/>
        </w:rPr>
        <w:t>e décrochage</w:t>
      </w:r>
      <w:r w:rsidR="00324CB8">
        <w:rPr>
          <w:lang w:val="fr-FR"/>
        </w:rPr>
        <w:t xml:space="preserve"> scolaire</w:t>
      </w:r>
      <w:r w:rsidR="002B58E9">
        <w:rPr>
          <w:lang w:val="fr-FR"/>
        </w:rPr>
        <w:t xml:space="preserve">, particulièrement chez les filles. </w:t>
      </w:r>
      <w:r w:rsidR="00324CB8">
        <w:rPr>
          <w:lang w:val="fr-FR"/>
        </w:rPr>
        <w:t xml:space="preserve">Parmi les adolescents en âge de fréquenter le premier cycle </w:t>
      </w:r>
      <w:r w:rsidR="00406FC5">
        <w:rPr>
          <w:lang w:val="fr-FR"/>
        </w:rPr>
        <w:t xml:space="preserve">de l’éducation </w:t>
      </w:r>
      <w:r w:rsidR="00324CB8">
        <w:rPr>
          <w:lang w:val="fr-FR"/>
        </w:rPr>
        <w:t xml:space="preserve">secondaire (12-15 ans), </w:t>
      </w:r>
      <w:r w:rsidR="002B58E9">
        <w:rPr>
          <w:lang w:val="fr-FR"/>
        </w:rPr>
        <w:t>63 millions sont déscolarisés</w:t>
      </w:r>
      <w:r w:rsidR="00E40152">
        <w:rPr>
          <w:lang w:val="fr-FR"/>
        </w:rPr>
        <w:t xml:space="preserve">, </w:t>
      </w:r>
      <w:r w:rsidR="00324CB8">
        <w:rPr>
          <w:lang w:val="fr-FR"/>
        </w:rPr>
        <w:t xml:space="preserve">soit </w:t>
      </w:r>
      <w:r w:rsidR="00E40152">
        <w:rPr>
          <w:lang w:val="fr-FR"/>
        </w:rPr>
        <w:t xml:space="preserve">deux fois plus </w:t>
      </w:r>
      <w:r w:rsidR="00324CB8">
        <w:rPr>
          <w:lang w:val="fr-FR"/>
        </w:rPr>
        <w:t xml:space="preserve">que </w:t>
      </w:r>
      <w:r w:rsidR="00E40152">
        <w:rPr>
          <w:lang w:val="fr-FR"/>
        </w:rPr>
        <w:t xml:space="preserve">les enfants en âge </w:t>
      </w:r>
      <w:r w:rsidR="00324CB8">
        <w:rPr>
          <w:lang w:val="fr-FR"/>
        </w:rPr>
        <w:t>de fréquenter l’école</w:t>
      </w:r>
      <w:r w:rsidR="00E40152">
        <w:rPr>
          <w:lang w:val="fr-FR"/>
        </w:rPr>
        <w:t xml:space="preserve"> primaire (6-11 ans).</w:t>
      </w:r>
    </w:p>
    <w:p w14:paraId="30F4F164" w14:textId="140FFA27" w:rsidR="00A22A4A" w:rsidRPr="00A22A4A" w:rsidRDefault="00406E28" w:rsidP="003A0413">
      <w:pPr>
        <w:pStyle w:val="Para1"/>
        <w:numPr>
          <w:ilvl w:val="0"/>
          <w:numId w:val="21"/>
        </w:numPr>
        <w:tabs>
          <w:tab w:val="left" w:pos="540"/>
        </w:tabs>
        <w:spacing w:after="240"/>
        <w:ind w:left="0" w:right="0" w:firstLine="0"/>
        <w:rPr>
          <w:lang w:val="fr-FR"/>
        </w:rPr>
      </w:pPr>
      <w:r>
        <w:rPr>
          <w:lang w:val="fr-FR"/>
        </w:rPr>
        <w:t>L</w:t>
      </w:r>
      <w:r w:rsidR="00E40152" w:rsidRPr="00E40152">
        <w:rPr>
          <w:lang w:val="fr-FR"/>
        </w:rPr>
        <w:t>es adolescents connaissent un</w:t>
      </w:r>
      <w:r w:rsidR="008B4DF1">
        <w:rPr>
          <w:lang w:val="fr-FR"/>
        </w:rPr>
        <w:t>e</w:t>
      </w:r>
      <w:r w:rsidR="00E40152" w:rsidRPr="00E40152">
        <w:rPr>
          <w:lang w:val="fr-FR"/>
        </w:rPr>
        <w:t xml:space="preserve"> rapide évolution physique, émotionnelle et sociale</w:t>
      </w:r>
      <w:r>
        <w:rPr>
          <w:lang w:val="fr-FR"/>
        </w:rPr>
        <w:t>. Aussi</w:t>
      </w:r>
      <w:r w:rsidR="00E40152" w:rsidRPr="00E40152">
        <w:rPr>
          <w:lang w:val="fr-FR"/>
        </w:rPr>
        <w:t xml:space="preserve"> une </w:t>
      </w:r>
      <w:r w:rsidR="008B4DF1">
        <w:rPr>
          <w:lang w:val="fr-FR"/>
        </w:rPr>
        <w:t>é</w:t>
      </w:r>
      <w:r w:rsidR="00E40152" w:rsidRPr="00E40152">
        <w:rPr>
          <w:lang w:val="fr-FR"/>
        </w:rPr>
        <w:t xml:space="preserve">ducation de </w:t>
      </w:r>
      <w:r w:rsidR="00406FC5">
        <w:rPr>
          <w:lang w:val="fr-FR"/>
        </w:rPr>
        <w:t>grande</w:t>
      </w:r>
      <w:r w:rsidR="00406FC5" w:rsidRPr="00E40152">
        <w:rPr>
          <w:lang w:val="fr-FR"/>
        </w:rPr>
        <w:t xml:space="preserve"> </w:t>
      </w:r>
      <w:r w:rsidR="00E40152" w:rsidRPr="00E40152">
        <w:rPr>
          <w:lang w:val="fr-FR"/>
        </w:rPr>
        <w:t xml:space="preserve">qualité, </w:t>
      </w:r>
      <w:r w:rsidR="008B4DF1">
        <w:rPr>
          <w:lang w:val="fr-FR"/>
        </w:rPr>
        <w:t>notamment</w:t>
      </w:r>
      <w:r w:rsidR="00E40152" w:rsidRPr="00E40152">
        <w:rPr>
          <w:lang w:val="fr-FR"/>
        </w:rPr>
        <w:t xml:space="preserve"> une </w:t>
      </w:r>
      <w:r w:rsidR="008B4DF1">
        <w:rPr>
          <w:lang w:val="fr-FR"/>
        </w:rPr>
        <w:t>éducation sexuelle complè</w:t>
      </w:r>
      <w:r w:rsidR="00E40152" w:rsidRPr="00E40152">
        <w:rPr>
          <w:lang w:val="fr-FR"/>
        </w:rPr>
        <w:t>te, est</w:t>
      </w:r>
      <w:r w:rsidR="00676B08">
        <w:rPr>
          <w:lang w:val="fr-FR"/>
        </w:rPr>
        <w:t>-elle</w:t>
      </w:r>
      <w:r w:rsidR="00E40152" w:rsidRPr="00E40152">
        <w:rPr>
          <w:lang w:val="fr-FR"/>
        </w:rPr>
        <w:t xml:space="preserve"> particulièrement importante pour qu</w:t>
      </w:r>
      <w:r w:rsidR="008B4DF1">
        <w:rPr>
          <w:lang w:val="fr-FR"/>
        </w:rPr>
        <w:t>’ils</w:t>
      </w:r>
      <w:r w:rsidR="00E40152" w:rsidRPr="00E40152">
        <w:rPr>
          <w:lang w:val="fr-FR"/>
        </w:rPr>
        <w:t xml:space="preserve"> puissent bénéficier </w:t>
      </w:r>
      <w:r w:rsidR="00E40152">
        <w:rPr>
          <w:lang w:val="fr-FR"/>
        </w:rPr>
        <w:t xml:space="preserve">d’une base solide </w:t>
      </w:r>
      <w:r>
        <w:rPr>
          <w:lang w:val="fr-FR"/>
        </w:rPr>
        <w:t>afin d</w:t>
      </w:r>
      <w:r w:rsidR="00676B08">
        <w:rPr>
          <w:lang w:val="fr-FR"/>
        </w:rPr>
        <w:t>’acquérir</w:t>
      </w:r>
      <w:r>
        <w:rPr>
          <w:lang w:val="fr-FR"/>
        </w:rPr>
        <w:t xml:space="preserve"> </w:t>
      </w:r>
      <w:r w:rsidR="008B4DF1">
        <w:rPr>
          <w:lang w:val="fr-FR"/>
        </w:rPr>
        <w:t>de</w:t>
      </w:r>
      <w:r w:rsidR="00676B08">
        <w:rPr>
          <w:lang w:val="fr-FR"/>
        </w:rPr>
        <w:t>s</w:t>
      </w:r>
      <w:r w:rsidR="00E40152">
        <w:rPr>
          <w:lang w:val="fr-FR"/>
        </w:rPr>
        <w:t xml:space="preserve"> moyens </w:t>
      </w:r>
      <w:r w:rsidR="008B4DF1">
        <w:rPr>
          <w:lang w:val="fr-FR"/>
        </w:rPr>
        <w:t>de subsistance</w:t>
      </w:r>
      <w:r w:rsidR="00E40152">
        <w:rPr>
          <w:lang w:val="fr-FR"/>
        </w:rPr>
        <w:t xml:space="preserve"> durables</w:t>
      </w:r>
      <w:r w:rsidR="008B4DF1">
        <w:rPr>
          <w:lang w:val="fr-FR"/>
        </w:rPr>
        <w:t>,</w:t>
      </w:r>
      <w:r w:rsidR="00E40152">
        <w:rPr>
          <w:lang w:val="fr-FR"/>
        </w:rPr>
        <w:t xml:space="preserve"> et savoir comment accéder aux services </w:t>
      </w:r>
      <w:r w:rsidR="008B4DF1">
        <w:rPr>
          <w:lang w:val="fr-FR"/>
        </w:rPr>
        <w:t>dédiés</w:t>
      </w:r>
      <w:r w:rsidR="00E40152">
        <w:rPr>
          <w:lang w:val="fr-FR"/>
        </w:rPr>
        <w:t xml:space="preserve"> à la santé sexuelle et reproductive, à la violence sexiste et au </w:t>
      </w:r>
      <w:r w:rsidR="00832DD8">
        <w:rPr>
          <w:lang w:val="fr-FR"/>
        </w:rPr>
        <w:t>VIH</w:t>
      </w:r>
      <w:r w:rsidR="00E40152">
        <w:rPr>
          <w:lang w:val="fr-FR"/>
        </w:rPr>
        <w:t>, ainsi qu’</w:t>
      </w:r>
      <w:r w:rsidR="008B4DF1">
        <w:rPr>
          <w:lang w:val="fr-FR"/>
        </w:rPr>
        <w:t xml:space="preserve">à la planification </w:t>
      </w:r>
      <w:r w:rsidR="00832DD8">
        <w:rPr>
          <w:lang w:val="fr-FR"/>
        </w:rPr>
        <w:t>familiale</w:t>
      </w:r>
      <w:r w:rsidR="00E40152">
        <w:rPr>
          <w:lang w:val="fr-FR"/>
        </w:rPr>
        <w:t xml:space="preserve">. </w:t>
      </w:r>
      <w:r>
        <w:rPr>
          <w:lang w:val="fr-FR"/>
        </w:rPr>
        <w:t>C’est à c</w:t>
      </w:r>
      <w:r w:rsidR="00A22A4A" w:rsidRPr="00A22A4A">
        <w:rPr>
          <w:lang w:val="fr-FR"/>
        </w:rPr>
        <w:t>e</w:t>
      </w:r>
      <w:r>
        <w:rPr>
          <w:lang w:val="fr-FR"/>
        </w:rPr>
        <w:t xml:space="preserve">tte condition que les </w:t>
      </w:r>
      <w:r w:rsidR="00A22A4A" w:rsidRPr="00A22A4A">
        <w:rPr>
          <w:lang w:val="fr-FR"/>
        </w:rPr>
        <w:t xml:space="preserve">adolescents et </w:t>
      </w:r>
      <w:r>
        <w:rPr>
          <w:lang w:val="fr-FR"/>
        </w:rPr>
        <w:t>les</w:t>
      </w:r>
      <w:r w:rsidR="00A22A4A" w:rsidRPr="00A22A4A">
        <w:rPr>
          <w:lang w:val="fr-FR"/>
        </w:rPr>
        <w:t xml:space="preserve"> jeunes </w:t>
      </w:r>
      <w:r>
        <w:rPr>
          <w:lang w:val="fr-FR"/>
        </w:rPr>
        <w:t>peuvent</w:t>
      </w:r>
      <w:r w:rsidR="00A22A4A" w:rsidRPr="00A22A4A">
        <w:rPr>
          <w:lang w:val="fr-FR"/>
        </w:rPr>
        <w:t xml:space="preserve"> participer activement aux processus de développement, </w:t>
      </w:r>
      <w:r w:rsidR="00A22A4A">
        <w:rPr>
          <w:lang w:val="fr-FR"/>
        </w:rPr>
        <w:t>quel</w:t>
      </w:r>
      <w:r w:rsidR="00A22A4A" w:rsidRPr="00A22A4A">
        <w:rPr>
          <w:lang w:val="fr-FR"/>
        </w:rPr>
        <w:t xml:space="preserve"> que soit</w:t>
      </w:r>
      <w:r w:rsidR="00A22A4A">
        <w:rPr>
          <w:lang w:val="fr-FR"/>
        </w:rPr>
        <w:t xml:space="preserve"> leur cadre de vie. De même, la connaissance des technologies de l’information et de la communication est un</w:t>
      </w:r>
      <w:r>
        <w:rPr>
          <w:lang w:val="fr-FR"/>
        </w:rPr>
        <w:t xml:space="preserve"> aspect </w:t>
      </w:r>
      <w:r w:rsidR="00A22A4A">
        <w:rPr>
          <w:lang w:val="fr-FR"/>
        </w:rPr>
        <w:t xml:space="preserve">de plus en plus important pour l’éducation, la socialisation et </w:t>
      </w:r>
      <w:r w:rsidR="0006614B">
        <w:rPr>
          <w:lang w:val="fr-FR"/>
        </w:rPr>
        <w:t>un</w:t>
      </w:r>
      <w:r w:rsidR="00A22A4A">
        <w:rPr>
          <w:lang w:val="fr-FR"/>
        </w:rPr>
        <w:t xml:space="preserve"> plus </w:t>
      </w:r>
      <w:r w:rsidR="00D74FC7">
        <w:rPr>
          <w:lang w:val="fr-FR"/>
        </w:rPr>
        <w:t xml:space="preserve">grand </w:t>
      </w:r>
      <w:r w:rsidR="00A22A4A">
        <w:rPr>
          <w:lang w:val="fr-FR"/>
        </w:rPr>
        <w:t xml:space="preserve">engagement des jeunes. Et pourtant, de nombreux adolescents n’ont pas ou peu accès </w:t>
      </w:r>
      <w:r w:rsidR="00A22A4A" w:rsidRPr="00077300">
        <w:rPr>
          <w:lang w:val="fr-FR"/>
        </w:rPr>
        <w:t xml:space="preserve">à </w:t>
      </w:r>
      <w:r w:rsidR="00A22A4A" w:rsidRPr="00C65C99">
        <w:rPr>
          <w:lang w:val="fr-FR"/>
        </w:rPr>
        <w:t>I</w:t>
      </w:r>
      <w:r w:rsidR="00A22A4A" w:rsidRPr="00077300">
        <w:rPr>
          <w:lang w:val="fr-FR"/>
        </w:rPr>
        <w:t>nternet</w:t>
      </w:r>
      <w:r w:rsidR="00A22A4A">
        <w:rPr>
          <w:lang w:val="fr-FR"/>
        </w:rPr>
        <w:t xml:space="preserve">, et ceux qui en bénéficient ne </w:t>
      </w:r>
      <w:r w:rsidR="00706FC7">
        <w:rPr>
          <w:lang w:val="fr-FR"/>
        </w:rPr>
        <w:t>savent</w:t>
      </w:r>
      <w:r w:rsidR="00A22A4A">
        <w:rPr>
          <w:lang w:val="fr-FR"/>
        </w:rPr>
        <w:t xml:space="preserve"> que partiellement </w:t>
      </w:r>
      <w:r w:rsidR="00706FC7">
        <w:rPr>
          <w:lang w:val="fr-FR"/>
        </w:rPr>
        <w:t xml:space="preserve">comment utiliser ces nouvelles technologies </w:t>
      </w:r>
      <w:r w:rsidR="00A22A4A">
        <w:rPr>
          <w:lang w:val="fr-FR"/>
        </w:rPr>
        <w:t xml:space="preserve">de manière constructive. </w:t>
      </w:r>
    </w:p>
    <w:p w14:paraId="7B4D094B" w14:textId="51637D4C" w:rsidR="00EC419A" w:rsidRPr="00491087" w:rsidRDefault="00A22A4A" w:rsidP="003A0413">
      <w:pPr>
        <w:pStyle w:val="Para1"/>
        <w:tabs>
          <w:tab w:val="left" w:pos="540"/>
        </w:tabs>
        <w:spacing w:after="240"/>
        <w:ind w:right="0"/>
        <w:rPr>
          <w:b/>
          <w:sz w:val="28"/>
          <w:szCs w:val="28"/>
          <w:lang w:val="fr-FR"/>
        </w:rPr>
      </w:pPr>
      <w:r w:rsidRPr="00491087">
        <w:rPr>
          <w:b/>
          <w:sz w:val="28"/>
          <w:szCs w:val="28"/>
          <w:lang w:val="fr-FR"/>
        </w:rPr>
        <w:t xml:space="preserve">Égalité des </w:t>
      </w:r>
      <w:r w:rsidR="00635B87" w:rsidRPr="00491087">
        <w:rPr>
          <w:b/>
          <w:sz w:val="28"/>
          <w:szCs w:val="28"/>
          <w:lang w:val="fr-FR"/>
        </w:rPr>
        <w:t>sexes</w:t>
      </w:r>
      <w:r w:rsidRPr="00491087">
        <w:rPr>
          <w:b/>
          <w:sz w:val="28"/>
          <w:szCs w:val="28"/>
          <w:lang w:val="fr-FR"/>
        </w:rPr>
        <w:t xml:space="preserve"> et autonomisation des filles et des femmes</w:t>
      </w:r>
    </w:p>
    <w:p w14:paraId="6BB730EA" w14:textId="7AA4147E" w:rsidR="00A22A4A" w:rsidRPr="00082763" w:rsidRDefault="00A22A4A" w:rsidP="003A0413">
      <w:pPr>
        <w:pStyle w:val="Para1"/>
        <w:numPr>
          <w:ilvl w:val="0"/>
          <w:numId w:val="21"/>
        </w:numPr>
        <w:tabs>
          <w:tab w:val="left" w:pos="540"/>
        </w:tabs>
        <w:spacing w:after="240"/>
        <w:ind w:left="0" w:right="0" w:firstLine="0"/>
        <w:rPr>
          <w:lang w:val="fr-FR"/>
        </w:rPr>
      </w:pPr>
      <w:r w:rsidRPr="00A22A4A">
        <w:rPr>
          <w:lang w:val="fr-FR"/>
        </w:rPr>
        <w:lastRenderedPageBreak/>
        <w:t xml:space="preserve">Des millions de filles et de femmes </w:t>
      </w:r>
      <w:r>
        <w:rPr>
          <w:lang w:val="fr-FR"/>
        </w:rPr>
        <w:t xml:space="preserve">dans le monde font face à des obstacles majeurs au développement de leur </w:t>
      </w:r>
      <w:r w:rsidRPr="00082763">
        <w:rPr>
          <w:lang w:val="fr-FR"/>
        </w:rPr>
        <w:t xml:space="preserve">plein potentiel, et continuent </w:t>
      </w:r>
      <w:r w:rsidR="00706FC7" w:rsidRPr="00082763">
        <w:rPr>
          <w:lang w:val="fr-FR"/>
        </w:rPr>
        <w:t>de</w:t>
      </w:r>
      <w:r w:rsidRPr="00082763">
        <w:rPr>
          <w:lang w:val="fr-FR"/>
        </w:rPr>
        <w:t xml:space="preserve"> subir des taux alarmants de violence sexuelle et physique</w:t>
      </w:r>
      <w:r w:rsidR="00676B08" w:rsidRPr="00082763">
        <w:rPr>
          <w:lang w:val="fr-FR"/>
        </w:rPr>
        <w:t xml:space="preserve">. Le danger les guette </w:t>
      </w:r>
      <w:r w:rsidR="00706FC7" w:rsidRPr="00082763">
        <w:rPr>
          <w:lang w:val="fr-FR"/>
        </w:rPr>
        <w:t xml:space="preserve">tant </w:t>
      </w:r>
      <w:r w:rsidRPr="00082763">
        <w:rPr>
          <w:lang w:val="fr-FR"/>
        </w:rPr>
        <w:t>dans l’espace public que privé</w:t>
      </w:r>
      <w:r w:rsidR="00290D08" w:rsidRPr="00082763">
        <w:rPr>
          <w:lang w:val="fr-FR"/>
        </w:rPr>
        <w:t xml:space="preserve">. Près de la moitié des agressions sexuelles </w:t>
      </w:r>
      <w:r w:rsidR="00706FC7" w:rsidRPr="00082763">
        <w:rPr>
          <w:lang w:val="fr-FR"/>
        </w:rPr>
        <w:t>concernent</w:t>
      </w:r>
      <w:r w:rsidR="00290D08" w:rsidRPr="00082763">
        <w:rPr>
          <w:lang w:val="fr-FR"/>
        </w:rPr>
        <w:t xml:space="preserve"> des filles de moins de 16 ans. </w:t>
      </w:r>
      <w:r w:rsidR="00551C13" w:rsidRPr="00082763">
        <w:rPr>
          <w:lang w:val="fr-FR"/>
        </w:rPr>
        <w:t>Qu’il s’agisse de faire la cuisine, le ménage, de s’occuper des membres de la famille, d’aller chercher de l’eau ou du bois, l</w:t>
      </w:r>
      <w:r w:rsidR="00290D08" w:rsidRPr="00082763">
        <w:rPr>
          <w:lang w:val="fr-FR"/>
        </w:rPr>
        <w:t xml:space="preserve">es filles </w:t>
      </w:r>
      <w:r w:rsidR="00551C13" w:rsidRPr="00082763">
        <w:rPr>
          <w:lang w:val="fr-FR"/>
        </w:rPr>
        <w:t xml:space="preserve">sont également </w:t>
      </w:r>
      <w:r w:rsidR="00011AC5" w:rsidRPr="00082763">
        <w:rPr>
          <w:lang w:val="fr-FR"/>
        </w:rPr>
        <w:t>soumises</w:t>
      </w:r>
      <w:r w:rsidR="00551C13" w:rsidRPr="00082763">
        <w:rPr>
          <w:lang w:val="fr-FR"/>
        </w:rPr>
        <w:t xml:space="preserve"> à une lourde charge</w:t>
      </w:r>
      <w:r w:rsidR="00290D08" w:rsidRPr="00082763">
        <w:rPr>
          <w:lang w:val="fr-FR"/>
        </w:rPr>
        <w:t xml:space="preserve"> de travail non rémunéré au sein de leurs familles, qui ex</w:t>
      </w:r>
      <w:r w:rsidR="00551C13" w:rsidRPr="00082763">
        <w:rPr>
          <w:lang w:val="fr-FR"/>
        </w:rPr>
        <w:t>c</w:t>
      </w:r>
      <w:r w:rsidR="00290D08" w:rsidRPr="00082763">
        <w:rPr>
          <w:lang w:val="fr-FR"/>
        </w:rPr>
        <w:t>ède largement cel</w:t>
      </w:r>
      <w:r w:rsidR="00551C13" w:rsidRPr="00082763">
        <w:rPr>
          <w:lang w:val="fr-FR"/>
        </w:rPr>
        <w:t>le</w:t>
      </w:r>
      <w:r w:rsidR="00290D08" w:rsidRPr="00082763">
        <w:rPr>
          <w:lang w:val="fr-FR"/>
        </w:rPr>
        <w:t xml:space="preserve"> des garçons. Une récente étude de l’UNICEF a démontré que les filles âgées de 5 à 14 ans consacrent 40 % de temps </w:t>
      </w:r>
      <w:r w:rsidR="00551C13" w:rsidRPr="00082763">
        <w:rPr>
          <w:lang w:val="fr-FR"/>
        </w:rPr>
        <w:t>supplémentaire</w:t>
      </w:r>
      <w:r w:rsidR="00290D08" w:rsidRPr="00082763">
        <w:rPr>
          <w:lang w:val="fr-FR"/>
        </w:rPr>
        <w:t xml:space="preserve"> aux tâches </w:t>
      </w:r>
      <w:r w:rsidR="00551C13" w:rsidRPr="00082763">
        <w:rPr>
          <w:lang w:val="fr-FR"/>
        </w:rPr>
        <w:t>m</w:t>
      </w:r>
      <w:r w:rsidR="00290D08" w:rsidRPr="00082763">
        <w:rPr>
          <w:lang w:val="fr-FR"/>
        </w:rPr>
        <w:t>énagères</w:t>
      </w:r>
      <w:r w:rsidR="00551C13" w:rsidRPr="00082763">
        <w:rPr>
          <w:lang w:val="fr-FR"/>
        </w:rPr>
        <w:t xml:space="preserve"> par rapport aux garçons</w:t>
      </w:r>
      <w:r w:rsidR="00290D08" w:rsidRPr="00082763">
        <w:rPr>
          <w:lang w:val="fr-FR"/>
        </w:rPr>
        <w:t xml:space="preserve">, </w:t>
      </w:r>
      <w:r w:rsidR="00011AC5" w:rsidRPr="00082763">
        <w:rPr>
          <w:lang w:val="fr-FR"/>
        </w:rPr>
        <w:t xml:space="preserve">au détriment de leur </w:t>
      </w:r>
      <w:r w:rsidR="00290D08" w:rsidRPr="00082763">
        <w:rPr>
          <w:lang w:val="fr-FR"/>
        </w:rPr>
        <w:t xml:space="preserve">éducation. </w:t>
      </w:r>
      <w:r w:rsidR="00011AC5" w:rsidRPr="00082763">
        <w:rPr>
          <w:lang w:val="fr-FR"/>
        </w:rPr>
        <w:t>Bien souvent, les filles et les jeunes fe</w:t>
      </w:r>
      <w:r w:rsidR="00290D08" w:rsidRPr="00082763">
        <w:rPr>
          <w:lang w:val="fr-FR"/>
        </w:rPr>
        <w:t xml:space="preserve">mmes sont systématiquement privées de leur droit à l’éducation et </w:t>
      </w:r>
      <w:r w:rsidR="00011AC5" w:rsidRPr="00082763">
        <w:rPr>
          <w:lang w:val="fr-FR"/>
        </w:rPr>
        <w:t xml:space="preserve">confrontées </w:t>
      </w:r>
      <w:r w:rsidR="00290D08" w:rsidRPr="00082763">
        <w:rPr>
          <w:lang w:val="fr-FR"/>
        </w:rPr>
        <w:t xml:space="preserve">à des obstacles </w:t>
      </w:r>
      <w:r w:rsidR="00011AC5" w:rsidRPr="00082763">
        <w:rPr>
          <w:lang w:val="fr-FR"/>
        </w:rPr>
        <w:t>démesurés qui les empêchent de parvenir à</w:t>
      </w:r>
      <w:r w:rsidR="00290D08" w:rsidRPr="00082763">
        <w:rPr>
          <w:lang w:val="fr-FR"/>
        </w:rPr>
        <w:t xml:space="preserve"> </w:t>
      </w:r>
      <w:r w:rsidR="00011AC5" w:rsidRPr="00082763">
        <w:rPr>
          <w:lang w:val="fr-FR"/>
        </w:rPr>
        <w:t>l’</w:t>
      </w:r>
      <w:r w:rsidR="00290D08" w:rsidRPr="00082763">
        <w:rPr>
          <w:lang w:val="fr-FR"/>
        </w:rPr>
        <w:t xml:space="preserve">autonomisation </w:t>
      </w:r>
      <w:r w:rsidR="00011AC5" w:rsidRPr="00082763">
        <w:rPr>
          <w:lang w:val="fr-FR"/>
        </w:rPr>
        <w:t xml:space="preserve">économique </w:t>
      </w:r>
      <w:r w:rsidR="00290D08" w:rsidRPr="00082763">
        <w:rPr>
          <w:lang w:val="fr-FR"/>
        </w:rPr>
        <w:t xml:space="preserve">et </w:t>
      </w:r>
      <w:r w:rsidR="00011AC5" w:rsidRPr="00082763">
        <w:rPr>
          <w:lang w:val="fr-FR"/>
        </w:rPr>
        <w:t xml:space="preserve">à </w:t>
      </w:r>
      <w:r w:rsidR="00290D08" w:rsidRPr="00082763">
        <w:rPr>
          <w:lang w:val="fr-FR"/>
        </w:rPr>
        <w:t>l</w:t>
      </w:r>
      <w:r w:rsidR="00011AC5" w:rsidRPr="00082763">
        <w:rPr>
          <w:lang w:val="fr-FR"/>
        </w:rPr>
        <w:t>’</w:t>
      </w:r>
      <w:r w:rsidR="00290D08" w:rsidRPr="00082763">
        <w:rPr>
          <w:lang w:val="fr-FR"/>
        </w:rPr>
        <w:t>indépendance à tous les niveaux.</w:t>
      </w:r>
    </w:p>
    <w:p w14:paraId="0C083B61" w14:textId="7955A480" w:rsidR="00980B04" w:rsidRPr="00980B04" w:rsidRDefault="00980B04" w:rsidP="003A0413">
      <w:pPr>
        <w:pStyle w:val="Para1"/>
        <w:numPr>
          <w:ilvl w:val="0"/>
          <w:numId w:val="21"/>
        </w:numPr>
        <w:tabs>
          <w:tab w:val="left" w:pos="540"/>
        </w:tabs>
        <w:spacing w:after="240"/>
        <w:ind w:left="0" w:right="0" w:firstLine="0"/>
        <w:rPr>
          <w:lang w:val="fr-FR"/>
        </w:rPr>
      </w:pPr>
      <w:r w:rsidRPr="00082763">
        <w:rPr>
          <w:lang w:val="fr-FR"/>
        </w:rPr>
        <w:t>Dans de nombreu</w:t>
      </w:r>
      <w:r w:rsidR="00011AC5" w:rsidRPr="00082763">
        <w:rPr>
          <w:lang w:val="fr-FR"/>
        </w:rPr>
        <w:t>ses régions du</w:t>
      </w:r>
      <w:r w:rsidRPr="00082763">
        <w:rPr>
          <w:lang w:val="fr-FR"/>
        </w:rPr>
        <w:t xml:space="preserve"> monde, les filles sont contraintes dès leur plus jeune âge à se marier et à procréer, </w:t>
      </w:r>
      <w:r w:rsidR="00011AC5" w:rsidRPr="00082763">
        <w:rPr>
          <w:lang w:val="fr-FR"/>
        </w:rPr>
        <w:t>et ont un usage des</w:t>
      </w:r>
      <w:r w:rsidRPr="00082763">
        <w:rPr>
          <w:lang w:val="fr-FR"/>
        </w:rPr>
        <w:t xml:space="preserve"> moyens modernes de contraception bien plus </w:t>
      </w:r>
      <w:r w:rsidR="00011AC5" w:rsidRPr="00082763">
        <w:rPr>
          <w:lang w:val="fr-FR"/>
        </w:rPr>
        <w:t>faible</w:t>
      </w:r>
      <w:r w:rsidRPr="00082763">
        <w:rPr>
          <w:lang w:val="fr-FR"/>
        </w:rPr>
        <w:t xml:space="preserve"> que la moyenne mondiale. Par conséquent, la vie reproductive commence très tôt, sans accès à des soins </w:t>
      </w:r>
      <w:r w:rsidR="008F76B0" w:rsidRPr="00082763">
        <w:rPr>
          <w:lang w:val="fr-FR"/>
        </w:rPr>
        <w:t xml:space="preserve">médicaux </w:t>
      </w:r>
      <w:r w:rsidRPr="00082763">
        <w:rPr>
          <w:lang w:val="fr-FR"/>
        </w:rPr>
        <w:t>appropriés</w:t>
      </w:r>
      <w:r w:rsidR="00011AC5" w:rsidRPr="00082763">
        <w:rPr>
          <w:lang w:val="fr-FR"/>
        </w:rPr>
        <w:t>,</w:t>
      </w:r>
      <w:r w:rsidRPr="00082763">
        <w:rPr>
          <w:lang w:val="fr-FR"/>
        </w:rPr>
        <w:t xml:space="preserve"> et dure de nombreuses années, mettant en grand danger leur santé et leur vie. Près d’un quart des filles âgées de 15 à 19 ans dans le monde (</w:t>
      </w:r>
      <w:r w:rsidR="00426C83" w:rsidRPr="00082763">
        <w:rPr>
          <w:lang w:val="fr-FR"/>
        </w:rPr>
        <w:t xml:space="preserve">environ </w:t>
      </w:r>
      <w:r w:rsidRPr="00082763">
        <w:rPr>
          <w:lang w:val="fr-FR"/>
        </w:rPr>
        <w:t xml:space="preserve">70 millions) disent avoir connu une certaine forme de violence physique. Parmi les femmes âgées de 20 à 24 ans, une sur quatre </w:t>
      </w:r>
      <w:r w:rsidR="003D0E6C" w:rsidRPr="00082763">
        <w:rPr>
          <w:lang w:val="fr-FR"/>
        </w:rPr>
        <w:t>a été mariée précoce</w:t>
      </w:r>
      <w:r w:rsidRPr="00082763">
        <w:rPr>
          <w:lang w:val="fr-FR"/>
        </w:rPr>
        <w:t>ment</w:t>
      </w:r>
      <w:r w:rsidR="003D0E6C" w:rsidRPr="00082763">
        <w:rPr>
          <w:lang w:val="fr-FR"/>
        </w:rPr>
        <w:t xml:space="preserve"> (avant 18 ans)</w:t>
      </w:r>
      <w:r w:rsidR="008F76B0" w:rsidRPr="00082763">
        <w:rPr>
          <w:lang w:val="fr-FR"/>
        </w:rPr>
        <w:t xml:space="preserve">, </w:t>
      </w:r>
      <w:r w:rsidR="007C4C4C" w:rsidRPr="00082763">
        <w:rPr>
          <w:lang w:val="fr-FR"/>
        </w:rPr>
        <w:t>tout comme</w:t>
      </w:r>
      <w:r w:rsidR="008F76B0" w:rsidRPr="00082763">
        <w:rPr>
          <w:lang w:val="fr-FR"/>
        </w:rPr>
        <w:t xml:space="preserve"> p</w:t>
      </w:r>
      <w:r w:rsidR="003D0E6C" w:rsidRPr="00082763">
        <w:rPr>
          <w:lang w:val="fr-FR"/>
        </w:rPr>
        <w:t xml:space="preserve">lus de 700 millions de filles et de femmes aujourd’hui </w:t>
      </w:r>
      <w:r w:rsidR="008F76B0" w:rsidRPr="00082763">
        <w:rPr>
          <w:lang w:val="fr-FR"/>
        </w:rPr>
        <w:t>en vie.</w:t>
      </w:r>
      <w:r w:rsidR="003D0E6C" w:rsidRPr="00082763">
        <w:rPr>
          <w:lang w:val="fr-FR"/>
        </w:rPr>
        <w:t xml:space="preserve"> </w:t>
      </w:r>
      <w:r w:rsidR="008F76B0" w:rsidRPr="00082763">
        <w:rPr>
          <w:lang w:val="fr-FR"/>
        </w:rPr>
        <w:t>S</w:t>
      </w:r>
      <w:r w:rsidR="003D0E6C" w:rsidRPr="00082763">
        <w:rPr>
          <w:lang w:val="fr-FR"/>
        </w:rPr>
        <w:t>i ce</w:t>
      </w:r>
      <w:r w:rsidR="008F76B0" w:rsidRPr="00082763">
        <w:rPr>
          <w:lang w:val="fr-FR"/>
        </w:rPr>
        <w:t>s chiffres se maintiennent</w:t>
      </w:r>
      <w:r w:rsidR="003D0E6C" w:rsidRPr="00082763">
        <w:rPr>
          <w:lang w:val="fr-FR"/>
        </w:rPr>
        <w:t xml:space="preserve">, jusqu’à 280 millions supplémentaires de filles aujourd’hui </w:t>
      </w:r>
      <w:r w:rsidR="008F76B0" w:rsidRPr="00082763">
        <w:rPr>
          <w:lang w:val="fr-FR"/>
        </w:rPr>
        <w:t xml:space="preserve">en vie </w:t>
      </w:r>
      <w:r w:rsidR="003D0E6C" w:rsidRPr="00082763">
        <w:rPr>
          <w:lang w:val="fr-FR"/>
        </w:rPr>
        <w:t xml:space="preserve">risquent d’être mariées avant l’âge de 18 ans. Les adolescentes sont confrontées à la discrimination due à l’âge et au </w:t>
      </w:r>
      <w:r w:rsidR="008F76B0" w:rsidRPr="00082763">
        <w:rPr>
          <w:lang w:val="fr-FR"/>
        </w:rPr>
        <w:t>sexe,</w:t>
      </w:r>
      <w:r w:rsidR="003D0E6C" w:rsidRPr="00082763">
        <w:rPr>
          <w:lang w:val="fr-FR"/>
        </w:rPr>
        <w:t xml:space="preserve"> et sont parmi les moins autorisées à négocier</w:t>
      </w:r>
      <w:r w:rsidR="003D0E6C">
        <w:rPr>
          <w:lang w:val="fr-FR"/>
        </w:rPr>
        <w:t xml:space="preserve"> des rapports sexuels </w:t>
      </w:r>
      <w:r w:rsidR="008F76B0">
        <w:rPr>
          <w:lang w:val="fr-FR"/>
        </w:rPr>
        <w:t>protégés</w:t>
      </w:r>
      <w:r w:rsidR="003D0E6C">
        <w:rPr>
          <w:lang w:val="fr-FR"/>
        </w:rPr>
        <w:t xml:space="preserve">, </w:t>
      </w:r>
      <w:r w:rsidR="003D46D1">
        <w:rPr>
          <w:lang w:val="fr-FR"/>
        </w:rPr>
        <w:t>ainsi que</w:t>
      </w:r>
      <w:r w:rsidR="003D0E6C">
        <w:rPr>
          <w:lang w:val="fr-FR"/>
        </w:rPr>
        <w:t xml:space="preserve"> les plus susceptibles de faire l’objet de pratiques néfastes, telles que le mariage précoce et forcé. Elles sont presque totalement absentes des processus de prise de décision</w:t>
      </w:r>
      <w:r w:rsidR="003D46D1">
        <w:rPr>
          <w:lang w:val="fr-FR"/>
        </w:rPr>
        <w:t>s</w:t>
      </w:r>
      <w:r w:rsidR="003D0E6C">
        <w:rPr>
          <w:lang w:val="fr-FR"/>
        </w:rPr>
        <w:t xml:space="preserve"> </w:t>
      </w:r>
      <w:r w:rsidR="0085424B">
        <w:rPr>
          <w:lang w:val="fr-FR"/>
        </w:rPr>
        <w:t xml:space="preserve">dans la vie </w:t>
      </w:r>
      <w:r w:rsidR="003D0E6C">
        <w:rPr>
          <w:lang w:val="fr-FR"/>
        </w:rPr>
        <w:t>politique, économique et publique</w:t>
      </w:r>
      <w:r w:rsidR="0085424B">
        <w:rPr>
          <w:lang w:val="fr-FR"/>
        </w:rPr>
        <w:t xml:space="preserve"> de leurs communautés. </w:t>
      </w:r>
    </w:p>
    <w:p w14:paraId="23A036F8" w14:textId="10C1EA8C" w:rsidR="00263B6C" w:rsidRPr="00B97F71" w:rsidRDefault="003D46D1" w:rsidP="003A0413">
      <w:pPr>
        <w:pStyle w:val="Para1"/>
        <w:tabs>
          <w:tab w:val="left" w:pos="540"/>
        </w:tabs>
        <w:spacing w:after="240"/>
        <w:ind w:right="0"/>
        <w:rPr>
          <w:b/>
          <w:sz w:val="28"/>
          <w:szCs w:val="28"/>
        </w:rPr>
      </w:pPr>
      <w:r w:rsidRPr="00B97F71">
        <w:rPr>
          <w:b/>
          <w:sz w:val="28"/>
          <w:szCs w:val="28"/>
        </w:rPr>
        <w:t>Emploi</w:t>
      </w:r>
      <w:r w:rsidR="0085424B" w:rsidRPr="00B97F71">
        <w:rPr>
          <w:b/>
          <w:sz w:val="28"/>
          <w:szCs w:val="28"/>
        </w:rPr>
        <w:t xml:space="preserve"> décent</w:t>
      </w:r>
    </w:p>
    <w:p w14:paraId="254CC835" w14:textId="4FCD5A59" w:rsidR="0085424B" w:rsidRPr="0085424B" w:rsidRDefault="0085424B" w:rsidP="003A0413">
      <w:pPr>
        <w:pStyle w:val="Para1"/>
        <w:numPr>
          <w:ilvl w:val="0"/>
          <w:numId w:val="21"/>
        </w:numPr>
        <w:tabs>
          <w:tab w:val="left" w:pos="540"/>
        </w:tabs>
        <w:spacing w:after="240"/>
        <w:ind w:left="0" w:right="0" w:firstLine="0"/>
        <w:rPr>
          <w:lang w:val="fr-FR"/>
        </w:rPr>
      </w:pPr>
      <w:r w:rsidRPr="0085424B">
        <w:rPr>
          <w:lang w:val="fr-FR"/>
        </w:rPr>
        <w:t xml:space="preserve">Les jeunes </w:t>
      </w:r>
      <w:r w:rsidR="003D46D1">
        <w:rPr>
          <w:lang w:val="fr-FR"/>
        </w:rPr>
        <w:t>font face</w:t>
      </w:r>
      <w:r w:rsidRPr="0085424B">
        <w:rPr>
          <w:lang w:val="fr-FR"/>
        </w:rPr>
        <w:t xml:space="preserve"> à un fort taux de précarité d</w:t>
      </w:r>
      <w:r w:rsidR="003D46D1">
        <w:rPr>
          <w:lang w:val="fr-FR"/>
        </w:rPr>
        <w:t>u travail</w:t>
      </w:r>
      <w:r>
        <w:rPr>
          <w:lang w:val="fr-FR"/>
        </w:rPr>
        <w:t xml:space="preserve">, </w:t>
      </w:r>
      <w:r w:rsidR="003D46D1">
        <w:rPr>
          <w:lang w:val="fr-FR"/>
        </w:rPr>
        <w:t xml:space="preserve">à </w:t>
      </w:r>
      <w:r>
        <w:rPr>
          <w:lang w:val="fr-FR"/>
        </w:rPr>
        <w:t>des chances limitées d</w:t>
      </w:r>
      <w:r w:rsidR="007C4C4C">
        <w:rPr>
          <w:lang w:val="fr-FR"/>
        </w:rPr>
        <w:t>’évolution</w:t>
      </w:r>
      <w:r>
        <w:rPr>
          <w:lang w:val="fr-FR"/>
        </w:rPr>
        <w:t xml:space="preserve"> professionnelle et </w:t>
      </w:r>
      <w:r w:rsidR="003D46D1">
        <w:rPr>
          <w:lang w:val="fr-FR"/>
        </w:rPr>
        <w:t xml:space="preserve">à </w:t>
      </w:r>
      <w:r>
        <w:rPr>
          <w:lang w:val="fr-FR"/>
        </w:rPr>
        <w:t xml:space="preserve">un manque de protection sociale. </w:t>
      </w:r>
      <w:r w:rsidR="003D46D1">
        <w:rPr>
          <w:lang w:val="fr-FR"/>
        </w:rPr>
        <w:t>A</w:t>
      </w:r>
      <w:r>
        <w:rPr>
          <w:lang w:val="fr-FR"/>
        </w:rPr>
        <w:t>u chômage ou sous-employés, ils ne trouvent souvent que des emplois peu productifs ou dangereux</w:t>
      </w:r>
      <w:r w:rsidR="00BD2067">
        <w:rPr>
          <w:lang w:val="fr-FR"/>
        </w:rPr>
        <w:t xml:space="preserve">, qui les rendent vulnérables. En 2012, on estimait que plus de 95 millions d’adolescents </w:t>
      </w:r>
      <w:r w:rsidR="0002247E">
        <w:rPr>
          <w:lang w:val="fr-FR"/>
        </w:rPr>
        <w:t xml:space="preserve">dans le monde âgés </w:t>
      </w:r>
      <w:r w:rsidR="00BD2067">
        <w:rPr>
          <w:lang w:val="fr-FR"/>
        </w:rPr>
        <w:t xml:space="preserve">de moins de 18 ans </w:t>
      </w:r>
      <w:r w:rsidR="0002247E">
        <w:rPr>
          <w:lang w:val="fr-FR"/>
        </w:rPr>
        <w:t>travaillaient</w:t>
      </w:r>
      <w:r w:rsidR="00BD2067">
        <w:rPr>
          <w:lang w:val="fr-FR"/>
        </w:rPr>
        <w:t xml:space="preserve">, </w:t>
      </w:r>
      <w:r w:rsidR="007C4C4C">
        <w:rPr>
          <w:lang w:val="fr-FR"/>
        </w:rPr>
        <w:t>parmi lesquels</w:t>
      </w:r>
      <w:r w:rsidR="00BD2067">
        <w:rPr>
          <w:lang w:val="fr-FR"/>
        </w:rPr>
        <w:t xml:space="preserve"> 67</w:t>
      </w:r>
      <w:r w:rsidR="003F7A07">
        <w:rPr>
          <w:lang w:val="fr-FR"/>
        </w:rPr>
        <w:t> </w:t>
      </w:r>
      <w:r w:rsidR="00BD2067">
        <w:rPr>
          <w:lang w:val="fr-FR"/>
        </w:rPr>
        <w:t xml:space="preserve">millions </w:t>
      </w:r>
      <w:r w:rsidR="0002247E">
        <w:rPr>
          <w:lang w:val="fr-FR"/>
        </w:rPr>
        <w:t>effectuaient un travail</w:t>
      </w:r>
      <w:r w:rsidR="00BD2067">
        <w:rPr>
          <w:lang w:val="fr-FR"/>
        </w:rPr>
        <w:t xml:space="preserve"> </w:t>
      </w:r>
      <w:r w:rsidR="007C4C4C">
        <w:rPr>
          <w:lang w:val="fr-FR"/>
        </w:rPr>
        <w:t>à risque</w:t>
      </w:r>
      <w:r w:rsidR="00BD2067">
        <w:rPr>
          <w:lang w:val="fr-FR"/>
        </w:rPr>
        <w:t>. Par ailleurs, le chômage chez les jeunes femmes dépasse globalement celui des jeunes hommes de près de 20 %, voire de 30 % dans certaines régions</w:t>
      </w:r>
      <w:r w:rsidR="002C0245" w:rsidRPr="003130CA">
        <w:rPr>
          <w:vertAlign w:val="superscript"/>
        </w:rPr>
        <w:footnoteReference w:id="10"/>
      </w:r>
      <w:r w:rsidR="003D470F">
        <w:rPr>
          <w:lang w:val="fr-FR"/>
        </w:rPr>
        <w:t>.</w:t>
      </w:r>
      <w:r w:rsidR="00BD2067">
        <w:rPr>
          <w:lang w:val="fr-FR"/>
        </w:rPr>
        <w:t xml:space="preserve"> Créer des emplois suppose de revitaliser l’économie et de </w:t>
      </w:r>
      <w:r w:rsidR="002C0245">
        <w:rPr>
          <w:lang w:val="fr-FR"/>
        </w:rPr>
        <w:t>faire naître</w:t>
      </w:r>
      <w:r w:rsidR="00BD2067">
        <w:rPr>
          <w:lang w:val="fr-FR"/>
        </w:rPr>
        <w:t xml:space="preserve"> des opportunités d’activités salariées et indépendantes. Faciliter l’entrée des jeunes dans le monde du travail ou les aider à obtenir des moyens </w:t>
      </w:r>
      <w:r w:rsidR="002C0245">
        <w:rPr>
          <w:lang w:val="fr-FR"/>
        </w:rPr>
        <w:t>de subsistance</w:t>
      </w:r>
      <w:r w:rsidR="00BD2067">
        <w:rPr>
          <w:lang w:val="fr-FR"/>
        </w:rPr>
        <w:t xml:space="preserve"> sûrs exige d</w:t>
      </w:r>
      <w:r w:rsidR="002C0245">
        <w:rPr>
          <w:lang w:val="fr-FR"/>
        </w:rPr>
        <w:t>iverses</w:t>
      </w:r>
      <w:r w:rsidR="00BD2067">
        <w:rPr>
          <w:lang w:val="fr-FR"/>
        </w:rPr>
        <w:t xml:space="preserve"> approches conçues sur mesure pour différentes catégories de jeunes, </w:t>
      </w:r>
      <w:r w:rsidR="007C4C4C">
        <w:rPr>
          <w:lang w:val="fr-FR"/>
        </w:rPr>
        <w:t xml:space="preserve">et </w:t>
      </w:r>
      <w:r w:rsidR="00BD2067">
        <w:rPr>
          <w:lang w:val="fr-FR"/>
        </w:rPr>
        <w:t xml:space="preserve">ancrées dans le contexte socio-économique de chaque </w:t>
      </w:r>
      <w:r w:rsidR="00BD2067" w:rsidRPr="00B46BB6">
        <w:rPr>
          <w:lang w:val="fr-FR"/>
        </w:rPr>
        <w:t>pays (</w:t>
      </w:r>
      <w:r w:rsidR="00BD2067" w:rsidRPr="00C65C99">
        <w:rPr>
          <w:lang w:val="fr-FR"/>
        </w:rPr>
        <w:t>les</w:t>
      </w:r>
      <w:r w:rsidR="00BD2067">
        <w:rPr>
          <w:lang w:val="fr-FR"/>
        </w:rPr>
        <w:t xml:space="preserve"> aspirations, les opportunités et le</w:t>
      </w:r>
      <w:r w:rsidR="002C0245">
        <w:rPr>
          <w:lang w:val="fr-FR"/>
        </w:rPr>
        <w:t>s défis d’un enfant ayant abandonné l’école primaire</w:t>
      </w:r>
      <w:r w:rsidR="00BD2067">
        <w:rPr>
          <w:lang w:val="fr-FR"/>
        </w:rPr>
        <w:t xml:space="preserve"> diff</w:t>
      </w:r>
      <w:r w:rsidR="002C0245">
        <w:rPr>
          <w:lang w:val="fr-FR"/>
        </w:rPr>
        <w:t>è</w:t>
      </w:r>
      <w:r w:rsidR="00BD2067">
        <w:rPr>
          <w:lang w:val="fr-FR"/>
        </w:rPr>
        <w:t xml:space="preserve">rent de ceux d’un diplômé de l’enseignement supérieur au chômage ou </w:t>
      </w:r>
      <w:r w:rsidR="00420A6D">
        <w:rPr>
          <w:lang w:val="fr-FR"/>
        </w:rPr>
        <w:t>sous-employé).</w:t>
      </w:r>
    </w:p>
    <w:p w14:paraId="1138057E" w14:textId="6E56C269" w:rsidR="00420A6D" w:rsidRPr="00420A6D" w:rsidRDefault="00C70F87" w:rsidP="003A0413">
      <w:pPr>
        <w:pStyle w:val="Para1"/>
        <w:numPr>
          <w:ilvl w:val="0"/>
          <w:numId w:val="21"/>
        </w:numPr>
        <w:tabs>
          <w:tab w:val="left" w:pos="540"/>
        </w:tabs>
        <w:spacing w:after="240"/>
        <w:ind w:left="0" w:right="0" w:firstLine="0"/>
        <w:rPr>
          <w:lang w:val="fr-FR"/>
        </w:rPr>
      </w:pPr>
      <w:r>
        <w:rPr>
          <w:lang w:val="fr-FR"/>
        </w:rPr>
        <w:t xml:space="preserve">L’expérience montre </w:t>
      </w:r>
      <w:r w:rsidR="00420A6D">
        <w:rPr>
          <w:lang w:val="fr-FR"/>
        </w:rPr>
        <w:t xml:space="preserve">que l’on obtient les meilleurs résultats en investissant dans l’ensemble du système éducatif, depuis la petite enfance jusqu’à l’enseignement secondaire, en développant de solides compétences de base en lecture et en calcul, ainsi que des compétences transférables, </w:t>
      </w:r>
      <w:r>
        <w:rPr>
          <w:lang w:val="fr-FR"/>
        </w:rPr>
        <w:t>spécifiques à une profession</w:t>
      </w:r>
      <w:r w:rsidRPr="003130CA">
        <w:rPr>
          <w:vertAlign w:val="superscript"/>
        </w:rPr>
        <w:footnoteReference w:id="11"/>
      </w:r>
      <w:r w:rsidR="00491087">
        <w:rPr>
          <w:lang w:val="fr-FR"/>
        </w:rPr>
        <w:t>,</w:t>
      </w:r>
      <w:r w:rsidR="00420A6D">
        <w:rPr>
          <w:lang w:val="fr-FR"/>
        </w:rPr>
        <w:t xml:space="preserve"> qui confèrent aux jeunes le savoir et les capacités nécessaires pour pouvoir bénéficier des futures opportunités présentes sur le marché du travail. L’Organisation </w:t>
      </w:r>
      <w:r w:rsidR="00746451">
        <w:rPr>
          <w:lang w:val="fr-FR"/>
        </w:rPr>
        <w:t xml:space="preserve">de </w:t>
      </w:r>
      <w:r w:rsidR="00420A6D">
        <w:rPr>
          <w:lang w:val="fr-FR"/>
        </w:rPr>
        <w:lastRenderedPageBreak/>
        <w:t xml:space="preserve">coopération et </w:t>
      </w:r>
      <w:r w:rsidR="00746451">
        <w:rPr>
          <w:lang w:val="fr-FR"/>
        </w:rPr>
        <w:t xml:space="preserve">de </w:t>
      </w:r>
      <w:r w:rsidR="00420A6D">
        <w:rPr>
          <w:lang w:val="fr-FR"/>
        </w:rPr>
        <w:t>développement</w:t>
      </w:r>
      <w:r w:rsidR="00746451" w:rsidRPr="00746451">
        <w:rPr>
          <w:lang w:val="fr-FR"/>
        </w:rPr>
        <w:t xml:space="preserve"> </w:t>
      </w:r>
      <w:r w:rsidR="00746451">
        <w:rPr>
          <w:lang w:val="fr-FR"/>
        </w:rPr>
        <w:t>économiques</w:t>
      </w:r>
      <w:r w:rsidR="00420A6D">
        <w:rPr>
          <w:lang w:val="fr-FR"/>
        </w:rPr>
        <w:t xml:space="preserve"> affirme que 65 % des enfants d’aujourd’hui occuperont des emplois qui n’ont pas encore été inventés</w:t>
      </w:r>
      <w:r w:rsidRPr="003130CA">
        <w:rPr>
          <w:vertAlign w:val="superscript"/>
        </w:rPr>
        <w:footnoteReference w:id="12"/>
      </w:r>
      <w:r w:rsidR="00746451">
        <w:rPr>
          <w:lang w:val="fr-FR"/>
        </w:rPr>
        <w:t>.</w:t>
      </w:r>
      <w:r w:rsidR="00420A6D">
        <w:rPr>
          <w:lang w:val="fr-FR"/>
        </w:rPr>
        <w:t xml:space="preserve"> </w:t>
      </w:r>
      <w:r>
        <w:rPr>
          <w:lang w:val="fr-FR"/>
        </w:rPr>
        <w:t>Le fait de m</w:t>
      </w:r>
      <w:r w:rsidR="00420A6D">
        <w:rPr>
          <w:lang w:val="fr-FR"/>
        </w:rPr>
        <w:t>ettre l’accent sur les compétences transférables (tel</w:t>
      </w:r>
      <w:r>
        <w:rPr>
          <w:lang w:val="fr-FR"/>
        </w:rPr>
        <w:t>le</w:t>
      </w:r>
      <w:r w:rsidR="00420A6D">
        <w:rPr>
          <w:lang w:val="fr-FR"/>
        </w:rPr>
        <w:t>s que la résolution des problèmes, la communication, la créativité et l’aptitude à diriger) aider</w:t>
      </w:r>
      <w:r>
        <w:rPr>
          <w:lang w:val="fr-FR"/>
        </w:rPr>
        <w:t>a</w:t>
      </w:r>
      <w:r w:rsidR="00420A6D">
        <w:rPr>
          <w:lang w:val="fr-FR"/>
        </w:rPr>
        <w:t xml:space="preserve"> les jeunes à s’adapter aux évolutions du</w:t>
      </w:r>
      <w:r w:rsidR="00590F05">
        <w:rPr>
          <w:lang w:val="fr-FR"/>
        </w:rPr>
        <w:t xml:space="preserve"> marché du travail, notamment aux nouvelles technologies, et les accompagner</w:t>
      </w:r>
      <w:r>
        <w:rPr>
          <w:lang w:val="fr-FR"/>
        </w:rPr>
        <w:t>a</w:t>
      </w:r>
      <w:r w:rsidR="00590F05">
        <w:rPr>
          <w:lang w:val="fr-FR"/>
        </w:rPr>
        <w:t xml:space="preserve"> dans le secteur informel pour qu’ils deviennent de brillants entrepreneurs</w:t>
      </w:r>
      <w:r w:rsidR="00A96C15" w:rsidRPr="00064AA5">
        <w:rPr>
          <w:vertAlign w:val="superscript"/>
        </w:rPr>
        <w:footnoteReference w:id="13"/>
      </w:r>
      <w:r w:rsidR="00746451">
        <w:rPr>
          <w:lang w:val="fr-FR"/>
        </w:rPr>
        <w:t>.</w:t>
      </w:r>
    </w:p>
    <w:p w14:paraId="28D661A9" w14:textId="2DFF1A63" w:rsidR="00635B87" w:rsidRPr="00635B87" w:rsidRDefault="00635B87" w:rsidP="003A0413">
      <w:pPr>
        <w:pStyle w:val="Para1"/>
        <w:numPr>
          <w:ilvl w:val="0"/>
          <w:numId w:val="21"/>
        </w:numPr>
        <w:tabs>
          <w:tab w:val="left" w:pos="540"/>
        </w:tabs>
        <w:spacing w:after="240"/>
        <w:ind w:left="0" w:right="0" w:firstLine="0"/>
        <w:rPr>
          <w:lang w:val="fr-FR"/>
        </w:rPr>
      </w:pPr>
      <w:r w:rsidRPr="00635B87">
        <w:rPr>
          <w:lang w:val="fr-FR"/>
        </w:rPr>
        <w:t xml:space="preserve">Des sociétés pacifiques et inclusives, la justice et une bonne gouvernance. </w:t>
      </w:r>
      <w:r>
        <w:rPr>
          <w:lang w:val="fr-FR"/>
        </w:rPr>
        <w:t>Dans de nombreuses sociétés, il existe des obstacles considérables à la participation et à l’</w:t>
      </w:r>
      <w:r w:rsidR="00DF1C9D">
        <w:rPr>
          <w:lang w:val="fr-FR"/>
        </w:rPr>
        <w:t>implication</w:t>
      </w:r>
      <w:r>
        <w:rPr>
          <w:lang w:val="fr-FR"/>
        </w:rPr>
        <w:t xml:space="preserve"> des jeunes dans les décisions qui concernent </w:t>
      </w:r>
      <w:r w:rsidRPr="00B46BB6">
        <w:rPr>
          <w:lang w:val="fr-FR"/>
        </w:rPr>
        <w:t xml:space="preserve">leur vie et leur communauté. Les valeurs traditionnelles, les normes et les hiérarchies peuvent limiter l’engagement des adolescents et des jeunes au sein de leur famille, de leur école et de leur communauté, </w:t>
      </w:r>
      <w:r w:rsidR="00DF1C9D" w:rsidRPr="00B46BB6">
        <w:rPr>
          <w:lang w:val="fr-FR"/>
        </w:rPr>
        <w:t>un phénomène</w:t>
      </w:r>
      <w:r w:rsidRPr="00B46BB6">
        <w:rPr>
          <w:lang w:val="fr-FR"/>
        </w:rPr>
        <w:t xml:space="preserve"> souvent exacerbé par </w:t>
      </w:r>
      <w:r w:rsidR="00DF1C9D" w:rsidRPr="00B46BB6">
        <w:rPr>
          <w:lang w:val="fr-FR"/>
        </w:rPr>
        <w:t xml:space="preserve">l’insuffisance </w:t>
      </w:r>
      <w:r w:rsidRPr="00B46BB6">
        <w:rPr>
          <w:lang w:val="fr-FR"/>
        </w:rPr>
        <w:t>de politiques favorisant la participation aux activités et à la gouvernance scolaires, et aux prises de décision</w:t>
      </w:r>
      <w:r w:rsidR="00B46BB6" w:rsidRPr="00B46BB6">
        <w:rPr>
          <w:lang w:val="fr-FR"/>
        </w:rPr>
        <w:t>s</w:t>
      </w:r>
      <w:r w:rsidRPr="00B46BB6">
        <w:rPr>
          <w:lang w:val="fr-FR"/>
        </w:rPr>
        <w:t xml:space="preserve"> au niveau local et national. Pourtant, lorsque de</w:t>
      </w:r>
      <w:r w:rsidR="00DF1C9D" w:rsidRPr="00B46BB6">
        <w:rPr>
          <w:lang w:val="fr-FR"/>
        </w:rPr>
        <w:t xml:space="preserve"> réels</w:t>
      </w:r>
      <w:r w:rsidRPr="00B46BB6">
        <w:rPr>
          <w:lang w:val="fr-FR"/>
        </w:rPr>
        <w:t xml:space="preserve"> espaces de représentation sont </w:t>
      </w:r>
      <w:r w:rsidR="007C4C4C" w:rsidRPr="00B46BB6">
        <w:rPr>
          <w:lang w:val="fr-FR"/>
        </w:rPr>
        <w:t>a</w:t>
      </w:r>
      <w:r w:rsidR="00DF1C9D" w:rsidRPr="00B46BB6">
        <w:rPr>
          <w:lang w:val="fr-FR"/>
        </w:rPr>
        <w:t>ménagés</w:t>
      </w:r>
      <w:r w:rsidRPr="00B46BB6">
        <w:rPr>
          <w:lang w:val="fr-FR"/>
        </w:rPr>
        <w:t>, l’idéalisme, l’in</w:t>
      </w:r>
      <w:r w:rsidR="00106E4B" w:rsidRPr="00B46BB6">
        <w:rPr>
          <w:lang w:val="fr-FR"/>
        </w:rPr>
        <w:t>géniosité</w:t>
      </w:r>
      <w:r w:rsidRPr="00B46BB6">
        <w:rPr>
          <w:lang w:val="fr-FR"/>
        </w:rPr>
        <w:t xml:space="preserve"> </w:t>
      </w:r>
      <w:r w:rsidR="002F2B7A" w:rsidRPr="00B46BB6">
        <w:rPr>
          <w:lang w:val="fr-FR"/>
        </w:rPr>
        <w:t>et la créativité des jeunes leur permettent d’exceller dans leur propre intérêt et au profit de leur société. Cette dynamique</w:t>
      </w:r>
      <w:r w:rsidR="002F2B7A">
        <w:rPr>
          <w:lang w:val="fr-FR"/>
        </w:rPr>
        <w:t xml:space="preserve"> tend à s’amplifier dans les situations d’urgence. Malgré l’environnement précaire dans lequel ils vivent, de nombreux jeunes, lorsqu’ils en ont </w:t>
      </w:r>
      <w:r w:rsidR="003D470F">
        <w:rPr>
          <w:lang w:val="fr-FR"/>
        </w:rPr>
        <w:t>la possibilité</w:t>
      </w:r>
      <w:r w:rsidR="002F2B7A">
        <w:rPr>
          <w:lang w:val="fr-FR"/>
        </w:rPr>
        <w:t xml:space="preserve">, peuvent se montrer extrêmement résilients et </w:t>
      </w:r>
      <w:r w:rsidR="00106E4B">
        <w:rPr>
          <w:lang w:val="fr-FR"/>
        </w:rPr>
        <w:t>inventifs</w:t>
      </w:r>
      <w:r w:rsidR="002F2B7A">
        <w:rPr>
          <w:lang w:val="fr-FR"/>
        </w:rPr>
        <w:t xml:space="preserve"> en temps de crise. Ils </w:t>
      </w:r>
      <w:r w:rsidR="00106E4B">
        <w:rPr>
          <w:lang w:val="fr-FR"/>
        </w:rPr>
        <w:t>mettent de l’ardeur à encourager</w:t>
      </w:r>
      <w:r w:rsidR="002F2B7A">
        <w:rPr>
          <w:lang w:val="fr-FR"/>
        </w:rPr>
        <w:t xml:space="preserve"> la cohésion sociale et la réconciliation au sein de leur</w:t>
      </w:r>
      <w:r w:rsidR="007C4C4C">
        <w:rPr>
          <w:lang w:val="fr-FR"/>
        </w:rPr>
        <w:t xml:space="preserve"> communauté</w:t>
      </w:r>
      <w:r w:rsidR="002F2B7A">
        <w:rPr>
          <w:lang w:val="fr-FR"/>
        </w:rPr>
        <w:t xml:space="preserve">, souvent sans </w:t>
      </w:r>
      <w:r w:rsidR="00106E4B">
        <w:rPr>
          <w:lang w:val="fr-FR"/>
        </w:rPr>
        <w:t>bénéficier du</w:t>
      </w:r>
      <w:r w:rsidR="002F2B7A">
        <w:rPr>
          <w:lang w:val="fr-FR"/>
        </w:rPr>
        <w:t xml:space="preserve"> soutien ou </w:t>
      </w:r>
      <w:r w:rsidR="00106E4B">
        <w:rPr>
          <w:lang w:val="fr-FR"/>
        </w:rPr>
        <w:t xml:space="preserve">de </w:t>
      </w:r>
      <w:r w:rsidR="002F2B7A">
        <w:rPr>
          <w:lang w:val="fr-FR"/>
        </w:rPr>
        <w:t>la reconnaissance d</w:t>
      </w:r>
      <w:r w:rsidR="00106E4B">
        <w:rPr>
          <w:lang w:val="fr-FR"/>
        </w:rPr>
        <w:t>e leur</w:t>
      </w:r>
      <w:r w:rsidR="002F2B7A">
        <w:rPr>
          <w:lang w:val="fr-FR"/>
        </w:rPr>
        <w:t xml:space="preserve"> gouvernement ou </w:t>
      </w:r>
      <w:r w:rsidR="00106E4B">
        <w:rPr>
          <w:lang w:val="fr-FR"/>
        </w:rPr>
        <w:t xml:space="preserve">de </w:t>
      </w:r>
      <w:r w:rsidR="002F2B7A">
        <w:rPr>
          <w:lang w:val="fr-FR"/>
        </w:rPr>
        <w:t xml:space="preserve">la communauté internationale. Leur dynamisme et leur énergie leur confèrent les atouts essentiels pour devenir d’importants acteurs du changement positif, capables de </w:t>
      </w:r>
      <w:r w:rsidR="00106E4B">
        <w:rPr>
          <w:lang w:val="fr-FR"/>
        </w:rPr>
        <w:t>conduire</w:t>
      </w:r>
      <w:r w:rsidR="002F2B7A">
        <w:rPr>
          <w:lang w:val="fr-FR"/>
        </w:rPr>
        <w:t xml:space="preserve"> leur communauté vers la reconstruction et le développement.</w:t>
      </w:r>
    </w:p>
    <w:p w14:paraId="5AAD26AF" w14:textId="27BCFA7C" w:rsidR="002F2B7A" w:rsidRPr="002F2B7A" w:rsidRDefault="002F2B7A" w:rsidP="003A0413">
      <w:pPr>
        <w:pStyle w:val="Para1"/>
        <w:numPr>
          <w:ilvl w:val="0"/>
          <w:numId w:val="21"/>
        </w:numPr>
        <w:tabs>
          <w:tab w:val="left" w:pos="540"/>
        </w:tabs>
        <w:spacing w:after="240"/>
        <w:ind w:left="0" w:right="0" w:firstLine="0"/>
        <w:rPr>
          <w:lang w:val="fr-FR"/>
        </w:rPr>
      </w:pPr>
      <w:r w:rsidRPr="002F2B7A">
        <w:rPr>
          <w:lang w:val="fr-FR"/>
        </w:rPr>
        <w:t>Face à l’intolérance et à la violence, les jeunes déploient souvent de nouvelles form</w:t>
      </w:r>
      <w:r w:rsidR="00106E4B">
        <w:rPr>
          <w:lang w:val="fr-FR"/>
        </w:rPr>
        <w:t>e</w:t>
      </w:r>
      <w:r w:rsidRPr="002F2B7A">
        <w:rPr>
          <w:lang w:val="fr-FR"/>
        </w:rPr>
        <w:t xml:space="preserve">s </w:t>
      </w:r>
      <w:r>
        <w:rPr>
          <w:lang w:val="fr-FR"/>
        </w:rPr>
        <w:t>d’interaction et de solidarité.</w:t>
      </w:r>
      <w:r w:rsidR="00D84D08">
        <w:rPr>
          <w:lang w:val="fr-FR"/>
        </w:rPr>
        <w:t xml:space="preserve"> Ils sont souvent davantage ouverts au changement, aux </w:t>
      </w:r>
      <w:r w:rsidR="00106E4B">
        <w:rPr>
          <w:lang w:val="fr-FR"/>
        </w:rPr>
        <w:t>remarques qui leur sont faites</w:t>
      </w:r>
      <w:r w:rsidR="00D84D08">
        <w:rPr>
          <w:lang w:val="fr-FR"/>
        </w:rPr>
        <w:t xml:space="preserve"> et à l’apprentissage, et ont tendance à être plus </w:t>
      </w:r>
      <w:r w:rsidR="00106E4B">
        <w:rPr>
          <w:lang w:val="fr-FR"/>
        </w:rPr>
        <w:t xml:space="preserve">idéalistes, novateurs et </w:t>
      </w:r>
      <w:r w:rsidR="00D84D08">
        <w:rPr>
          <w:lang w:val="fr-FR"/>
        </w:rPr>
        <w:t xml:space="preserve">tournés vers l’avenir. </w:t>
      </w:r>
      <w:r w:rsidR="00D84D08" w:rsidRPr="00D84D08">
        <w:rPr>
          <w:lang w:val="fr-FR"/>
        </w:rPr>
        <w:t xml:space="preserve">Dans les zones de conflit, </w:t>
      </w:r>
      <w:r w:rsidR="00106E4B">
        <w:rPr>
          <w:lang w:val="fr-FR"/>
        </w:rPr>
        <w:t xml:space="preserve">ils </w:t>
      </w:r>
      <w:r w:rsidR="00D84D08" w:rsidRPr="00D84D08">
        <w:rPr>
          <w:lang w:val="fr-FR"/>
        </w:rPr>
        <w:t xml:space="preserve">sont </w:t>
      </w:r>
      <w:r w:rsidR="00106E4B">
        <w:rPr>
          <w:lang w:val="fr-FR"/>
        </w:rPr>
        <w:t>généralement</w:t>
      </w:r>
      <w:r w:rsidR="00D84D08" w:rsidRPr="00D84D08">
        <w:rPr>
          <w:lang w:val="fr-FR"/>
        </w:rPr>
        <w:t xml:space="preserve"> perçus </w:t>
      </w:r>
      <w:r w:rsidR="00D84D08">
        <w:rPr>
          <w:lang w:val="fr-FR"/>
        </w:rPr>
        <w:t xml:space="preserve">soit </w:t>
      </w:r>
      <w:r w:rsidR="00D84D08" w:rsidRPr="00D84D08">
        <w:rPr>
          <w:lang w:val="fr-FR"/>
        </w:rPr>
        <w:t xml:space="preserve">comme </w:t>
      </w:r>
      <w:r w:rsidR="00D84D08">
        <w:rPr>
          <w:lang w:val="fr-FR"/>
        </w:rPr>
        <w:t xml:space="preserve">des coupables, soit comme des victimes, </w:t>
      </w:r>
      <w:r w:rsidR="00450110">
        <w:rPr>
          <w:lang w:val="fr-FR"/>
        </w:rPr>
        <w:t xml:space="preserve">leur âge ou leur sexe étant souvent un facteur </w:t>
      </w:r>
      <w:r w:rsidR="00D84D08">
        <w:rPr>
          <w:lang w:val="fr-FR"/>
        </w:rPr>
        <w:t>aggrav</w:t>
      </w:r>
      <w:r w:rsidR="00450110">
        <w:rPr>
          <w:lang w:val="fr-FR"/>
        </w:rPr>
        <w:t>ant pour leur statut</w:t>
      </w:r>
      <w:r w:rsidR="00D84D08">
        <w:rPr>
          <w:lang w:val="fr-FR"/>
        </w:rPr>
        <w:t xml:space="preserve">. Néanmoins, les faits laissent à penser que la plupart des jeunes </w:t>
      </w:r>
      <w:r w:rsidR="003D470F">
        <w:rPr>
          <w:lang w:val="fr-FR"/>
        </w:rPr>
        <w:t>sont opposés</w:t>
      </w:r>
      <w:r w:rsidR="00450110">
        <w:rPr>
          <w:lang w:val="fr-FR"/>
        </w:rPr>
        <w:t xml:space="preserve"> à </w:t>
      </w:r>
      <w:r w:rsidR="00D84D08">
        <w:rPr>
          <w:lang w:val="fr-FR"/>
        </w:rPr>
        <w:t>la violence, et</w:t>
      </w:r>
      <w:r w:rsidR="003D470F">
        <w:rPr>
          <w:lang w:val="fr-FR"/>
        </w:rPr>
        <w:t>,</w:t>
      </w:r>
      <w:r w:rsidR="00D84D08">
        <w:rPr>
          <w:lang w:val="fr-FR"/>
        </w:rPr>
        <w:t xml:space="preserve"> dans de nombreux cas, </w:t>
      </w:r>
      <w:r w:rsidR="003D470F">
        <w:rPr>
          <w:lang w:val="fr-FR"/>
        </w:rPr>
        <w:t xml:space="preserve">prennent </w:t>
      </w:r>
      <w:r w:rsidR="00450110">
        <w:rPr>
          <w:lang w:val="fr-FR"/>
        </w:rPr>
        <w:t>des initiatives</w:t>
      </w:r>
      <w:r w:rsidR="00D84D08">
        <w:rPr>
          <w:lang w:val="fr-FR"/>
        </w:rPr>
        <w:t xml:space="preserve"> pour </w:t>
      </w:r>
      <w:r w:rsidR="00450110">
        <w:rPr>
          <w:lang w:val="fr-FR"/>
        </w:rPr>
        <w:t>consolider</w:t>
      </w:r>
      <w:r w:rsidR="00D84D08">
        <w:rPr>
          <w:lang w:val="fr-FR"/>
        </w:rPr>
        <w:t xml:space="preserve"> la paix. Même si les enfants, les adolescents et les jeunes, notamment les jeunes hommes, </w:t>
      </w:r>
      <w:r w:rsidR="00450110">
        <w:rPr>
          <w:lang w:val="fr-FR"/>
        </w:rPr>
        <w:t xml:space="preserve">ont servi de </w:t>
      </w:r>
      <w:r w:rsidR="00B503EE">
        <w:rPr>
          <w:lang w:val="fr-FR"/>
        </w:rPr>
        <w:t>base</w:t>
      </w:r>
      <w:r w:rsidR="00450110">
        <w:rPr>
          <w:lang w:val="fr-FR"/>
        </w:rPr>
        <w:t xml:space="preserve"> aux pays et aux groupes armés pour co</w:t>
      </w:r>
      <w:r w:rsidR="00D84D08">
        <w:rPr>
          <w:lang w:val="fr-FR"/>
        </w:rPr>
        <w:t>nstitu</w:t>
      </w:r>
      <w:r w:rsidR="00450110">
        <w:rPr>
          <w:lang w:val="fr-FR"/>
        </w:rPr>
        <w:t>er</w:t>
      </w:r>
      <w:r w:rsidR="00D84D08">
        <w:rPr>
          <w:lang w:val="fr-FR"/>
        </w:rPr>
        <w:t xml:space="preserve"> leurs armées, ils sont fréquemment exclus des processus de prise de </w:t>
      </w:r>
      <w:r w:rsidR="00D84D08" w:rsidRPr="00B46BB6">
        <w:rPr>
          <w:lang w:val="fr-FR"/>
        </w:rPr>
        <w:t>décision</w:t>
      </w:r>
      <w:r w:rsidR="00450110" w:rsidRPr="00B46BB6">
        <w:rPr>
          <w:lang w:val="fr-FR"/>
        </w:rPr>
        <w:t>s</w:t>
      </w:r>
      <w:r w:rsidR="00D84D08">
        <w:rPr>
          <w:lang w:val="fr-FR"/>
        </w:rPr>
        <w:t xml:space="preserve">, en dépit </w:t>
      </w:r>
      <w:r w:rsidR="00F243BE">
        <w:rPr>
          <w:lang w:val="fr-FR"/>
        </w:rPr>
        <w:t xml:space="preserve">de leur nombre. En outre, la violence interpersonnelle est parmi les premières causes de mortalité chez les adolescents. </w:t>
      </w:r>
    </w:p>
    <w:p w14:paraId="733C22B8" w14:textId="2AF6DB97" w:rsidR="00F243BE" w:rsidRPr="00F243BE" w:rsidRDefault="00F243BE" w:rsidP="003A0413">
      <w:pPr>
        <w:pStyle w:val="Para1"/>
        <w:numPr>
          <w:ilvl w:val="0"/>
          <w:numId w:val="21"/>
        </w:numPr>
        <w:tabs>
          <w:tab w:val="left" w:pos="540"/>
        </w:tabs>
        <w:spacing w:after="240"/>
        <w:ind w:left="0" w:right="0" w:firstLine="0"/>
        <w:rPr>
          <w:lang w:val="fr-FR"/>
        </w:rPr>
      </w:pPr>
      <w:r w:rsidRPr="00F243BE">
        <w:rPr>
          <w:lang w:val="fr-FR"/>
        </w:rPr>
        <w:t xml:space="preserve">Afin de briser le cercle intergénérationnel de la pauvreté et de construire une base solide pour la </w:t>
      </w:r>
      <w:r w:rsidR="007E0930">
        <w:rPr>
          <w:lang w:val="fr-FR"/>
        </w:rPr>
        <w:t>croissance économique, il est né</w:t>
      </w:r>
      <w:r w:rsidRPr="00F243BE">
        <w:rPr>
          <w:lang w:val="fr-FR"/>
        </w:rPr>
        <w:t xml:space="preserve">cessaire de renforcer les capacités des adolescents </w:t>
      </w:r>
      <w:r w:rsidR="007E0930">
        <w:rPr>
          <w:lang w:val="fr-FR"/>
        </w:rPr>
        <w:t xml:space="preserve">dans les domaines </w:t>
      </w:r>
      <w:r w:rsidRPr="00F243BE">
        <w:rPr>
          <w:lang w:val="fr-FR"/>
        </w:rPr>
        <w:t xml:space="preserve">de </w:t>
      </w:r>
      <w:r w:rsidR="007E0930">
        <w:rPr>
          <w:lang w:val="fr-FR"/>
        </w:rPr>
        <w:t xml:space="preserve">la </w:t>
      </w:r>
      <w:r w:rsidRPr="00F243BE">
        <w:rPr>
          <w:lang w:val="fr-FR"/>
        </w:rPr>
        <w:t xml:space="preserve">santé, de </w:t>
      </w:r>
      <w:r w:rsidR="007E0930">
        <w:rPr>
          <w:lang w:val="fr-FR"/>
        </w:rPr>
        <w:t xml:space="preserve">la </w:t>
      </w:r>
      <w:r w:rsidRPr="00F243BE">
        <w:rPr>
          <w:lang w:val="fr-FR"/>
        </w:rPr>
        <w:t>société et d</w:t>
      </w:r>
      <w:r w:rsidR="007E0930">
        <w:rPr>
          <w:lang w:val="fr-FR"/>
        </w:rPr>
        <w:t>e l’</w:t>
      </w:r>
      <w:r w:rsidRPr="00F243BE">
        <w:rPr>
          <w:lang w:val="fr-FR"/>
        </w:rPr>
        <w:t xml:space="preserve">économie. </w:t>
      </w:r>
      <w:r w:rsidR="007E0930">
        <w:rPr>
          <w:lang w:val="fr-FR"/>
        </w:rPr>
        <w:t>D</w:t>
      </w:r>
      <w:r>
        <w:rPr>
          <w:lang w:val="fr-FR"/>
        </w:rPr>
        <w:t xml:space="preserve">onner aux jeunes, particulièrement aux adolescentes, des </w:t>
      </w:r>
      <w:r w:rsidR="007E0930">
        <w:rPr>
          <w:lang w:val="fr-FR"/>
        </w:rPr>
        <w:t>moyens</w:t>
      </w:r>
      <w:r>
        <w:rPr>
          <w:lang w:val="fr-FR"/>
        </w:rPr>
        <w:t xml:space="preserve"> économiques et les préparer à des conditions de vie décentes contribue à lutter contre la pauvreté là où </w:t>
      </w:r>
      <w:r w:rsidR="007E0930">
        <w:rPr>
          <w:lang w:val="fr-FR"/>
        </w:rPr>
        <w:t>el</w:t>
      </w:r>
      <w:r>
        <w:rPr>
          <w:lang w:val="fr-FR"/>
        </w:rPr>
        <w:t>le prend habituellement sa source. Éduquer les adolescents, prévenir les grossesses non désirées et ouvrir des opportunités de particip</w:t>
      </w:r>
      <w:r w:rsidR="007E0930">
        <w:rPr>
          <w:lang w:val="fr-FR"/>
        </w:rPr>
        <w:t>ation</w:t>
      </w:r>
      <w:r>
        <w:rPr>
          <w:lang w:val="fr-FR"/>
        </w:rPr>
        <w:t xml:space="preserve"> à la vie politique</w:t>
      </w:r>
      <w:r w:rsidR="007E0930">
        <w:rPr>
          <w:lang w:val="fr-FR"/>
        </w:rPr>
        <w:t>,</w:t>
      </w:r>
      <w:r>
        <w:rPr>
          <w:lang w:val="fr-FR"/>
        </w:rPr>
        <w:t xml:space="preserve"> </w:t>
      </w:r>
      <w:r w:rsidR="007E0930">
        <w:rPr>
          <w:lang w:val="fr-FR"/>
        </w:rPr>
        <w:t>font partie des</w:t>
      </w:r>
      <w:r>
        <w:rPr>
          <w:lang w:val="fr-FR"/>
        </w:rPr>
        <w:t xml:space="preserve"> </w:t>
      </w:r>
      <w:r w:rsidR="007E0930">
        <w:rPr>
          <w:lang w:val="fr-FR"/>
        </w:rPr>
        <w:t>mesures</w:t>
      </w:r>
      <w:r>
        <w:rPr>
          <w:lang w:val="fr-FR"/>
        </w:rPr>
        <w:t xml:space="preserve"> les plus efficaces </w:t>
      </w:r>
      <w:r w:rsidR="007E0930">
        <w:rPr>
          <w:lang w:val="fr-FR"/>
        </w:rPr>
        <w:t>pour favoriser le</w:t>
      </w:r>
      <w:r>
        <w:rPr>
          <w:lang w:val="fr-FR"/>
        </w:rPr>
        <w:t xml:space="preserve"> développement, </w:t>
      </w:r>
      <w:r w:rsidR="007E0930">
        <w:rPr>
          <w:lang w:val="fr-FR"/>
        </w:rPr>
        <w:t xml:space="preserve">constituer </w:t>
      </w:r>
      <w:r>
        <w:rPr>
          <w:lang w:val="fr-FR"/>
        </w:rPr>
        <w:t xml:space="preserve">et </w:t>
      </w:r>
      <w:r w:rsidR="007E0930">
        <w:rPr>
          <w:lang w:val="fr-FR"/>
        </w:rPr>
        <w:t>consolider</w:t>
      </w:r>
      <w:r>
        <w:rPr>
          <w:lang w:val="fr-FR"/>
        </w:rPr>
        <w:t xml:space="preserve"> le capital humain, accroître les répercussions économiques et respecter les droits de l’homme. </w:t>
      </w:r>
      <w:r w:rsidR="007E0930">
        <w:rPr>
          <w:lang w:val="fr-FR"/>
        </w:rPr>
        <w:t>V</w:t>
      </w:r>
      <w:r>
        <w:rPr>
          <w:lang w:val="fr-FR"/>
        </w:rPr>
        <w:t xml:space="preserve">eiller à ce que les jeunes aient </w:t>
      </w:r>
      <w:r w:rsidR="007E0930">
        <w:rPr>
          <w:lang w:val="fr-FR"/>
        </w:rPr>
        <w:t>un</w:t>
      </w:r>
      <w:r>
        <w:rPr>
          <w:lang w:val="fr-FR"/>
        </w:rPr>
        <w:t xml:space="preserve"> accès </w:t>
      </w:r>
      <w:r w:rsidR="007E0930">
        <w:rPr>
          <w:lang w:val="fr-FR"/>
        </w:rPr>
        <w:t xml:space="preserve">équitable </w:t>
      </w:r>
      <w:r>
        <w:rPr>
          <w:lang w:val="fr-FR"/>
        </w:rPr>
        <w:t>au marché du travail se traduit en milliards de dollars</w:t>
      </w:r>
      <w:r w:rsidR="007E0930">
        <w:rPr>
          <w:lang w:val="fr-FR"/>
        </w:rPr>
        <w:t>,</w:t>
      </w:r>
      <w:r w:rsidR="00334FAD">
        <w:rPr>
          <w:lang w:val="fr-FR"/>
        </w:rPr>
        <w:t xml:space="preserve"> qui viennent s’ajouter au produit intérieur brut des pays les plus pauvres du monde.</w:t>
      </w:r>
    </w:p>
    <w:p w14:paraId="2AF5BCD1" w14:textId="422AE0BB" w:rsidR="00FB7C56" w:rsidRPr="00397667" w:rsidRDefault="00397667" w:rsidP="003A0413">
      <w:pPr>
        <w:pStyle w:val="Para1"/>
        <w:numPr>
          <w:ilvl w:val="0"/>
          <w:numId w:val="11"/>
        </w:numPr>
        <w:tabs>
          <w:tab w:val="clear" w:pos="720"/>
          <w:tab w:val="left" w:pos="540"/>
        </w:tabs>
        <w:spacing w:after="240"/>
        <w:ind w:hanging="720"/>
        <w:rPr>
          <w:b/>
          <w:sz w:val="28"/>
          <w:lang w:val="fr-FR"/>
        </w:rPr>
      </w:pPr>
      <w:r w:rsidRPr="00397667">
        <w:rPr>
          <w:b/>
          <w:sz w:val="32"/>
          <w:lang w:val="fr-FR"/>
        </w:rPr>
        <w:lastRenderedPageBreak/>
        <w:t>La réponse des Nations Unies :</w:t>
      </w:r>
      <w:r w:rsidR="00FB7C56" w:rsidRPr="00397667">
        <w:rPr>
          <w:b/>
          <w:sz w:val="32"/>
          <w:lang w:val="fr-FR"/>
        </w:rPr>
        <w:t xml:space="preserve"> </w:t>
      </w:r>
      <w:r w:rsidRPr="00397667">
        <w:rPr>
          <w:b/>
          <w:sz w:val="32"/>
          <w:lang w:val="fr-FR"/>
        </w:rPr>
        <w:t>unis dans l’action</w:t>
      </w:r>
      <w:r>
        <w:rPr>
          <w:b/>
          <w:sz w:val="32"/>
          <w:lang w:val="fr-FR"/>
        </w:rPr>
        <w:t xml:space="preserve"> pour les jeunes</w:t>
      </w:r>
    </w:p>
    <w:p w14:paraId="01FC44F2" w14:textId="3AF11359" w:rsidR="00397667" w:rsidRPr="00033E3A" w:rsidRDefault="00033E3A" w:rsidP="003A0413">
      <w:pPr>
        <w:pStyle w:val="Para1"/>
        <w:numPr>
          <w:ilvl w:val="0"/>
          <w:numId w:val="21"/>
        </w:numPr>
        <w:tabs>
          <w:tab w:val="left" w:pos="540"/>
        </w:tabs>
        <w:spacing w:after="240"/>
        <w:ind w:left="0" w:right="0" w:firstLine="0"/>
        <w:rPr>
          <w:lang w:val="fr-FR"/>
        </w:rPr>
      </w:pPr>
      <w:r w:rsidRPr="00033E3A">
        <w:rPr>
          <w:lang w:val="fr-FR"/>
        </w:rPr>
        <w:t xml:space="preserve">En juillet 2016, en amont du Forum politique de haut niveau sur le développement durable, le </w:t>
      </w:r>
      <w:r>
        <w:rPr>
          <w:lang w:val="fr-FR"/>
        </w:rPr>
        <w:t>rapport annuel inaugural sur l’avancement des objectifs de développement durable du Secrétaire général des Nations Unies</w:t>
      </w:r>
      <w:r w:rsidR="00D95A4F" w:rsidRPr="00D95A4F">
        <w:rPr>
          <w:vertAlign w:val="superscript"/>
        </w:rPr>
        <w:footnoteReference w:id="14"/>
      </w:r>
      <w:r>
        <w:rPr>
          <w:lang w:val="fr-FR"/>
        </w:rPr>
        <w:t xml:space="preserve"> </w:t>
      </w:r>
      <w:r w:rsidR="00152805">
        <w:rPr>
          <w:lang w:val="fr-FR"/>
        </w:rPr>
        <w:t>a</w:t>
      </w:r>
      <w:r>
        <w:rPr>
          <w:lang w:val="fr-FR"/>
        </w:rPr>
        <w:t xml:space="preserve"> de nouveau souligné le rôle important </w:t>
      </w:r>
      <w:r w:rsidR="00D34DB2">
        <w:rPr>
          <w:lang w:val="fr-FR"/>
        </w:rPr>
        <w:t>joué par les</w:t>
      </w:r>
      <w:r>
        <w:rPr>
          <w:lang w:val="fr-FR"/>
        </w:rPr>
        <w:t xml:space="preserve"> jeunes en tant qu’acteurs du changement et partenaires dans la mise en œuvre </w:t>
      </w:r>
      <w:r w:rsidR="00152805">
        <w:rPr>
          <w:lang w:val="fr-FR"/>
        </w:rPr>
        <w:t>du</w:t>
      </w:r>
      <w:r>
        <w:rPr>
          <w:lang w:val="fr-FR"/>
        </w:rPr>
        <w:t xml:space="preserve"> Programme 2030, tout en </w:t>
      </w:r>
      <w:r w:rsidR="00D34DB2">
        <w:rPr>
          <w:lang w:val="fr-FR"/>
        </w:rPr>
        <w:t>rappelant</w:t>
      </w:r>
      <w:r>
        <w:rPr>
          <w:lang w:val="fr-FR"/>
        </w:rPr>
        <w:t xml:space="preserve"> les défis </w:t>
      </w:r>
      <w:r w:rsidR="00D34DB2">
        <w:rPr>
          <w:lang w:val="fr-FR"/>
        </w:rPr>
        <w:t>colossaux</w:t>
      </w:r>
      <w:r>
        <w:rPr>
          <w:lang w:val="fr-FR"/>
        </w:rPr>
        <w:t xml:space="preserve"> qu’ils doivent affronter en termes de pauvreté, d’éducation, d’emploi et de violence. </w:t>
      </w:r>
      <w:r w:rsidR="00152805">
        <w:rPr>
          <w:lang w:val="fr-FR"/>
        </w:rPr>
        <w:t>Ce</w:t>
      </w:r>
      <w:r w:rsidR="00B503EE">
        <w:rPr>
          <w:lang w:val="fr-FR"/>
        </w:rPr>
        <w:t xml:space="preserve">tte notion </w:t>
      </w:r>
      <w:r w:rsidR="00152805">
        <w:rPr>
          <w:lang w:val="fr-FR"/>
        </w:rPr>
        <w:t>a été repris</w:t>
      </w:r>
      <w:r w:rsidR="00B503EE">
        <w:rPr>
          <w:lang w:val="fr-FR"/>
        </w:rPr>
        <w:t>e</w:t>
      </w:r>
      <w:r w:rsidR="00152805">
        <w:rPr>
          <w:lang w:val="fr-FR"/>
        </w:rPr>
        <w:t xml:space="preserve"> dans la déclaration ministérielle adoptée par le </w:t>
      </w:r>
      <w:r w:rsidR="00152805" w:rsidRPr="00033E3A">
        <w:rPr>
          <w:lang w:val="fr-FR"/>
        </w:rPr>
        <w:t>Forum politique de haut niveau sur le développement durable</w:t>
      </w:r>
      <w:r w:rsidR="00152805">
        <w:rPr>
          <w:lang w:val="fr-FR"/>
        </w:rPr>
        <w:t xml:space="preserve"> en juillet 2016</w:t>
      </w:r>
      <w:r w:rsidR="0089660B">
        <w:rPr>
          <w:lang w:val="fr-FR"/>
        </w:rPr>
        <w:t xml:space="preserve">, qui </w:t>
      </w:r>
      <w:r w:rsidR="00D0343C">
        <w:rPr>
          <w:lang w:val="fr-FR"/>
        </w:rPr>
        <w:t xml:space="preserve">s’est engagé à </w:t>
      </w:r>
      <w:r w:rsidR="00CF0921">
        <w:rPr>
          <w:lang w:val="fr-FR"/>
        </w:rPr>
        <w:t xml:space="preserve">œuvrer </w:t>
      </w:r>
      <w:r w:rsidR="0089660B">
        <w:rPr>
          <w:lang w:val="fr-FR"/>
        </w:rPr>
        <w:t>« </w:t>
      </w:r>
      <w:r w:rsidR="00CF0921">
        <w:rPr>
          <w:lang w:val="fr-FR"/>
        </w:rPr>
        <w:t>à l’édifi</w:t>
      </w:r>
      <w:r w:rsidR="0002139D">
        <w:rPr>
          <w:lang w:val="fr-FR"/>
        </w:rPr>
        <w:t>cation d’un monde où les jeunes –</w:t>
      </w:r>
      <w:r w:rsidR="00CF0921">
        <w:rPr>
          <w:lang w:val="fr-FR"/>
        </w:rPr>
        <w:t xml:space="preserve"> hommes et </w:t>
      </w:r>
      <w:r w:rsidR="0089660B">
        <w:rPr>
          <w:lang w:val="fr-FR"/>
        </w:rPr>
        <w:t>femmes</w:t>
      </w:r>
      <w:r w:rsidR="0002139D">
        <w:rPr>
          <w:lang w:val="fr-FR"/>
        </w:rPr>
        <w:t xml:space="preserve"> –</w:t>
      </w:r>
      <w:r w:rsidR="0089660B">
        <w:rPr>
          <w:lang w:val="fr-FR"/>
        </w:rPr>
        <w:t xml:space="preserve"> s</w:t>
      </w:r>
      <w:r w:rsidR="00CF0921">
        <w:rPr>
          <w:lang w:val="fr-FR"/>
        </w:rPr>
        <w:t>er</w:t>
      </w:r>
      <w:r w:rsidR="0089660B">
        <w:rPr>
          <w:lang w:val="fr-FR"/>
        </w:rPr>
        <w:t xml:space="preserve">ont des </w:t>
      </w:r>
      <w:r w:rsidR="00CF0921">
        <w:rPr>
          <w:lang w:val="fr-FR"/>
        </w:rPr>
        <w:t>agents essentiels</w:t>
      </w:r>
      <w:r w:rsidR="0089660B">
        <w:rPr>
          <w:lang w:val="fr-FR"/>
        </w:rPr>
        <w:t xml:space="preserve"> du changement ».</w:t>
      </w:r>
      <w:r w:rsidR="001D65D3">
        <w:rPr>
          <w:lang w:val="fr-FR"/>
        </w:rPr>
        <w:t xml:space="preserve"> Dans sa dernière résolution </w:t>
      </w:r>
      <w:r w:rsidR="00B503EE">
        <w:rPr>
          <w:lang w:val="fr-FR"/>
        </w:rPr>
        <w:t>axée</w:t>
      </w:r>
      <w:r w:rsidR="00D0343C">
        <w:rPr>
          <w:lang w:val="fr-FR"/>
        </w:rPr>
        <w:t xml:space="preserve"> sur la jeunesse</w:t>
      </w:r>
      <w:r w:rsidR="001D65D3">
        <w:rPr>
          <w:lang w:val="fr-FR"/>
        </w:rPr>
        <w:t xml:space="preserve"> (</w:t>
      </w:r>
      <w:r w:rsidR="00DF356A">
        <w:rPr>
          <w:lang w:val="fr-FR"/>
        </w:rPr>
        <w:t>résolution </w:t>
      </w:r>
      <w:r w:rsidR="001D65D3">
        <w:rPr>
          <w:lang w:val="fr-FR"/>
        </w:rPr>
        <w:t>70/</w:t>
      </w:r>
      <w:r w:rsidR="001D65D3" w:rsidRPr="00C65C99">
        <w:rPr>
          <w:lang w:val="fr-FR"/>
        </w:rPr>
        <w:t>12</w:t>
      </w:r>
      <w:r w:rsidR="00B503EE" w:rsidRPr="00C65C99">
        <w:rPr>
          <w:lang w:val="fr-FR"/>
        </w:rPr>
        <w:t>7</w:t>
      </w:r>
      <w:r w:rsidR="001D65D3">
        <w:rPr>
          <w:lang w:val="fr-FR"/>
        </w:rPr>
        <w:t xml:space="preserve"> du 17</w:t>
      </w:r>
      <w:r w:rsidR="00D0343C">
        <w:rPr>
          <w:lang w:val="fr-FR"/>
        </w:rPr>
        <w:t> </w:t>
      </w:r>
      <w:r w:rsidR="001D65D3">
        <w:rPr>
          <w:lang w:val="fr-FR"/>
        </w:rPr>
        <w:t>décembre</w:t>
      </w:r>
      <w:r w:rsidR="00D0343C">
        <w:rPr>
          <w:lang w:val="fr-FR"/>
        </w:rPr>
        <w:t> </w:t>
      </w:r>
      <w:r w:rsidR="001D65D3">
        <w:rPr>
          <w:lang w:val="fr-FR"/>
        </w:rPr>
        <w:t xml:space="preserve">2015), l’Assemblée générale exhortait les États membres et les entités des Nations Unies à « explorer et promouvoir » la participation des jeunes, notamment </w:t>
      </w:r>
      <w:r w:rsidR="0031188E">
        <w:rPr>
          <w:lang w:val="fr-FR"/>
        </w:rPr>
        <w:t xml:space="preserve">lors de l’élaboration et de la mise en œuvre </w:t>
      </w:r>
      <w:r w:rsidR="001D65D3">
        <w:rPr>
          <w:lang w:val="fr-FR"/>
        </w:rPr>
        <w:t>des politiques, des programm</w:t>
      </w:r>
      <w:r w:rsidR="0031188E">
        <w:rPr>
          <w:lang w:val="fr-FR"/>
        </w:rPr>
        <w:t>es et des initiatives</w:t>
      </w:r>
      <w:r w:rsidR="001D65D3">
        <w:rPr>
          <w:lang w:val="fr-FR"/>
        </w:rPr>
        <w:t xml:space="preserve"> </w:t>
      </w:r>
      <w:r w:rsidR="0031188E">
        <w:rPr>
          <w:lang w:val="fr-FR"/>
        </w:rPr>
        <w:t>dans le cadre de l’exécution du</w:t>
      </w:r>
      <w:r w:rsidR="001D65D3">
        <w:rPr>
          <w:lang w:val="fr-FR"/>
        </w:rPr>
        <w:t xml:space="preserve"> Programme 2030. Les États membres n’ont cessé d’appeler à l’intensification des efforts du système des Nations Unies en faveur du développement des jeunes et ont insisté sur le fait qu’une plus grande coordination et collaboration </w:t>
      </w:r>
      <w:r w:rsidR="0031188E">
        <w:rPr>
          <w:lang w:val="fr-FR"/>
        </w:rPr>
        <w:t>parmi</w:t>
      </w:r>
      <w:r w:rsidR="001D65D3">
        <w:rPr>
          <w:lang w:val="fr-FR"/>
        </w:rPr>
        <w:t xml:space="preserve"> </w:t>
      </w:r>
      <w:r w:rsidR="0031188E">
        <w:rPr>
          <w:lang w:val="fr-FR"/>
        </w:rPr>
        <w:t>l</w:t>
      </w:r>
      <w:r w:rsidR="001D65D3">
        <w:rPr>
          <w:lang w:val="fr-FR"/>
        </w:rPr>
        <w:t>es entités des Nations Unies, ainsi qu’avec d’autres organisations régionale</w:t>
      </w:r>
      <w:r w:rsidR="0031188E">
        <w:rPr>
          <w:lang w:val="fr-FR"/>
        </w:rPr>
        <w:t>s et internationales œuvrant</w:t>
      </w:r>
      <w:r w:rsidR="001D65D3">
        <w:rPr>
          <w:lang w:val="fr-FR"/>
        </w:rPr>
        <w:t xml:space="preserve"> au nom de</w:t>
      </w:r>
      <w:r w:rsidR="0031188E">
        <w:rPr>
          <w:lang w:val="fr-FR"/>
        </w:rPr>
        <w:t>s jeunes</w:t>
      </w:r>
      <w:r w:rsidR="001D65D3">
        <w:rPr>
          <w:lang w:val="fr-FR"/>
        </w:rPr>
        <w:t xml:space="preserve">, contribuent à une plus grande efficacité du travail </w:t>
      </w:r>
      <w:r w:rsidR="0031188E">
        <w:rPr>
          <w:lang w:val="fr-FR"/>
        </w:rPr>
        <w:t xml:space="preserve">réalisé </w:t>
      </w:r>
      <w:r w:rsidR="007A1448">
        <w:rPr>
          <w:lang w:val="fr-FR"/>
        </w:rPr>
        <w:t xml:space="preserve">pour la jeunesse </w:t>
      </w:r>
      <w:r w:rsidR="0031188E">
        <w:rPr>
          <w:lang w:val="fr-FR"/>
        </w:rPr>
        <w:t xml:space="preserve">par </w:t>
      </w:r>
      <w:r w:rsidR="007A1448">
        <w:rPr>
          <w:lang w:val="fr-FR"/>
        </w:rPr>
        <w:t>l</w:t>
      </w:r>
      <w:r w:rsidR="0031188E">
        <w:rPr>
          <w:lang w:val="fr-FR"/>
        </w:rPr>
        <w:t>es Nations Unies</w:t>
      </w:r>
      <w:r w:rsidR="00E85884">
        <w:rPr>
          <w:lang w:val="fr-FR"/>
        </w:rPr>
        <w:t xml:space="preserve">. </w:t>
      </w:r>
    </w:p>
    <w:p w14:paraId="7C5C67A3" w14:textId="50AB319B" w:rsidR="002E0CB0" w:rsidRPr="002E0CB0" w:rsidRDefault="002E0CB0" w:rsidP="003A0413">
      <w:pPr>
        <w:pStyle w:val="Para1"/>
        <w:numPr>
          <w:ilvl w:val="0"/>
          <w:numId w:val="21"/>
        </w:numPr>
        <w:tabs>
          <w:tab w:val="left" w:pos="540"/>
        </w:tabs>
        <w:spacing w:after="240"/>
        <w:ind w:left="0" w:right="0" w:firstLine="0"/>
        <w:rPr>
          <w:lang w:val="fr-FR"/>
        </w:rPr>
      </w:pPr>
      <w:r w:rsidRPr="002E0CB0">
        <w:rPr>
          <w:lang w:val="fr-FR"/>
        </w:rPr>
        <w:t xml:space="preserve">En réponse à ces </w:t>
      </w:r>
      <w:r w:rsidR="0031188E">
        <w:rPr>
          <w:lang w:val="fr-FR"/>
        </w:rPr>
        <w:t xml:space="preserve">préoccupations, </w:t>
      </w:r>
      <w:r w:rsidR="0031188E" w:rsidRPr="002E0CB0">
        <w:rPr>
          <w:lang w:val="fr-FR"/>
        </w:rPr>
        <w:t>Ant</w:t>
      </w:r>
      <w:r w:rsidR="0031188E">
        <w:rPr>
          <w:lang w:val="fr-FR"/>
        </w:rPr>
        <w:t>ónio Guterres, Secrétaire géné</w:t>
      </w:r>
      <w:r w:rsidRPr="002E0CB0">
        <w:rPr>
          <w:lang w:val="fr-FR"/>
        </w:rPr>
        <w:t>ral des Nations Unies,</w:t>
      </w:r>
      <w:r>
        <w:rPr>
          <w:lang w:val="fr-FR"/>
        </w:rPr>
        <w:t xml:space="preserve"> a manifesté son engagement pour les questions relatives </w:t>
      </w:r>
      <w:r w:rsidR="007A1448">
        <w:rPr>
          <w:lang w:val="fr-FR"/>
        </w:rPr>
        <w:t>à la jeunesse</w:t>
      </w:r>
      <w:r>
        <w:rPr>
          <w:lang w:val="fr-FR"/>
        </w:rPr>
        <w:t xml:space="preserve"> et </w:t>
      </w:r>
      <w:r w:rsidR="007A1448">
        <w:rPr>
          <w:lang w:val="fr-FR"/>
        </w:rPr>
        <w:t xml:space="preserve">a pris l’initiative, </w:t>
      </w:r>
      <w:r w:rsidR="000B64FC">
        <w:rPr>
          <w:lang w:val="fr-FR"/>
        </w:rPr>
        <w:t>en avril 2017</w:t>
      </w:r>
      <w:r w:rsidR="007A1448">
        <w:rPr>
          <w:lang w:val="fr-FR"/>
        </w:rPr>
        <w:t>, de demander</w:t>
      </w:r>
      <w:r w:rsidR="000B64FC">
        <w:rPr>
          <w:lang w:val="fr-FR"/>
        </w:rPr>
        <w:t xml:space="preserve"> </w:t>
      </w:r>
      <w:r w:rsidR="00017E19">
        <w:rPr>
          <w:lang w:val="fr-FR"/>
        </w:rPr>
        <w:t xml:space="preserve">au </w:t>
      </w:r>
      <w:r>
        <w:rPr>
          <w:lang w:val="fr-FR"/>
        </w:rPr>
        <w:t>Réseau inter</w:t>
      </w:r>
      <w:r w:rsidR="00017E19">
        <w:rPr>
          <w:lang w:val="fr-FR"/>
        </w:rPr>
        <w:t>institutions</w:t>
      </w:r>
      <w:r>
        <w:rPr>
          <w:lang w:val="fr-FR"/>
        </w:rPr>
        <w:t xml:space="preserve"> des Nations Unies pour l</w:t>
      </w:r>
      <w:r w:rsidR="00017E19">
        <w:rPr>
          <w:lang w:val="fr-FR"/>
        </w:rPr>
        <w:t xml:space="preserve">’épanouissement </w:t>
      </w:r>
      <w:r>
        <w:rPr>
          <w:lang w:val="fr-FR"/>
        </w:rPr>
        <w:t xml:space="preserve">des jeunes </w:t>
      </w:r>
      <w:r w:rsidR="0097210F">
        <w:rPr>
          <w:lang w:val="fr-FR"/>
        </w:rPr>
        <w:t>d’élaborer</w:t>
      </w:r>
      <w:r>
        <w:rPr>
          <w:lang w:val="fr-FR"/>
        </w:rPr>
        <w:t xml:space="preserve"> une stratégie en faveur des adolescents et des jeunes</w:t>
      </w:r>
      <w:r w:rsidR="000B64FC">
        <w:rPr>
          <w:lang w:val="fr-FR"/>
        </w:rPr>
        <w:t xml:space="preserve">, </w:t>
      </w:r>
      <w:r w:rsidR="00017E19">
        <w:rPr>
          <w:lang w:val="fr-FR"/>
        </w:rPr>
        <w:t xml:space="preserve">en </w:t>
      </w:r>
      <w:r w:rsidR="007A1448">
        <w:rPr>
          <w:lang w:val="fr-FR"/>
        </w:rPr>
        <w:t>mettant à profit</w:t>
      </w:r>
      <w:r w:rsidR="00017E19">
        <w:rPr>
          <w:lang w:val="fr-FR"/>
        </w:rPr>
        <w:t xml:space="preserve"> </w:t>
      </w:r>
      <w:r w:rsidR="007A1448">
        <w:rPr>
          <w:lang w:val="fr-FR"/>
        </w:rPr>
        <w:t>le</w:t>
      </w:r>
      <w:r w:rsidR="000B64FC">
        <w:rPr>
          <w:lang w:val="fr-FR"/>
        </w:rPr>
        <w:t xml:space="preserve"> plan d’action pour la jeunesse à l’échelle des Nations Unies, dans le but de renforcer </w:t>
      </w:r>
      <w:r w:rsidR="00FF72DD">
        <w:rPr>
          <w:lang w:val="fr-FR"/>
        </w:rPr>
        <w:t>davantage</w:t>
      </w:r>
      <w:r w:rsidR="000B64FC">
        <w:rPr>
          <w:lang w:val="fr-FR"/>
        </w:rPr>
        <w:t xml:space="preserve"> la cohérence et la synergie des activités de l’ensemble des Nations Unies dans les domaines clés liés </w:t>
      </w:r>
      <w:r w:rsidR="00FF72DD">
        <w:rPr>
          <w:lang w:val="fr-FR"/>
        </w:rPr>
        <w:t>à la jeunesse</w:t>
      </w:r>
      <w:r w:rsidR="000B64FC">
        <w:rPr>
          <w:lang w:val="fr-FR"/>
        </w:rPr>
        <w:t xml:space="preserve">. </w:t>
      </w:r>
      <w:r w:rsidR="00B30B34">
        <w:rPr>
          <w:lang w:val="fr-FR"/>
        </w:rPr>
        <w:t>Des</w:t>
      </w:r>
      <w:r w:rsidR="000B64FC">
        <w:rPr>
          <w:lang w:val="fr-FR"/>
        </w:rPr>
        <w:t xml:space="preserve"> exemples d’efforts conjoints des </w:t>
      </w:r>
      <w:r w:rsidR="00D83E93">
        <w:rPr>
          <w:lang w:val="fr-FR"/>
        </w:rPr>
        <w:t xml:space="preserve">organismes </w:t>
      </w:r>
      <w:r w:rsidR="000B64FC">
        <w:rPr>
          <w:lang w:val="fr-FR"/>
        </w:rPr>
        <w:t xml:space="preserve">des Nations Unies </w:t>
      </w:r>
      <w:r w:rsidR="00B30B34">
        <w:rPr>
          <w:lang w:val="fr-FR"/>
        </w:rPr>
        <w:t>ayant</w:t>
      </w:r>
      <w:r w:rsidR="000B64FC">
        <w:rPr>
          <w:lang w:val="fr-FR"/>
        </w:rPr>
        <w:t xml:space="preserve"> </w:t>
      </w:r>
      <w:r w:rsidR="00FF72DD">
        <w:rPr>
          <w:lang w:val="fr-FR"/>
        </w:rPr>
        <w:t>œuvré de concert</w:t>
      </w:r>
      <w:r w:rsidR="000B64FC">
        <w:rPr>
          <w:lang w:val="fr-FR"/>
        </w:rPr>
        <w:t xml:space="preserve"> </w:t>
      </w:r>
      <w:r w:rsidR="00B30B34">
        <w:rPr>
          <w:lang w:val="fr-FR"/>
        </w:rPr>
        <w:t xml:space="preserve">pour </w:t>
      </w:r>
      <w:r w:rsidR="000B64FC">
        <w:rPr>
          <w:lang w:val="fr-FR"/>
        </w:rPr>
        <w:t xml:space="preserve">répondre aux </w:t>
      </w:r>
      <w:r w:rsidR="00B30B34">
        <w:rPr>
          <w:lang w:val="fr-FR"/>
        </w:rPr>
        <w:t>problèmes</w:t>
      </w:r>
      <w:r w:rsidR="000B64FC">
        <w:rPr>
          <w:lang w:val="fr-FR"/>
        </w:rPr>
        <w:t xml:space="preserve"> prioritaires </w:t>
      </w:r>
      <w:r w:rsidR="00B30B34">
        <w:rPr>
          <w:lang w:val="fr-FR"/>
        </w:rPr>
        <w:t>d</w:t>
      </w:r>
      <w:r w:rsidR="000B64FC">
        <w:rPr>
          <w:lang w:val="fr-FR"/>
        </w:rPr>
        <w:t>es jeunes</w:t>
      </w:r>
      <w:r w:rsidR="00FF72DD">
        <w:rPr>
          <w:lang w:val="fr-FR"/>
        </w:rPr>
        <w:t xml:space="preserve"> </w:t>
      </w:r>
      <w:r w:rsidR="00B30B34">
        <w:rPr>
          <w:lang w:val="fr-FR"/>
        </w:rPr>
        <w:t>existent déjà. C</w:t>
      </w:r>
      <w:r w:rsidR="00FF72DD">
        <w:rPr>
          <w:lang w:val="fr-FR"/>
        </w:rPr>
        <w:t xml:space="preserve">ertains sont décrits ci-après </w:t>
      </w:r>
      <w:r w:rsidR="000B64FC">
        <w:rPr>
          <w:lang w:val="fr-FR"/>
        </w:rPr>
        <w:t>(il ne s’agit en aucun cas d’une liste exhaustive).</w:t>
      </w:r>
      <w:r w:rsidR="00FF72DD">
        <w:rPr>
          <w:lang w:val="fr-FR"/>
        </w:rPr>
        <w:t xml:space="preserve"> </w:t>
      </w:r>
    </w:p>
    <w:p w14:paraId="3FE0B8A0" w14:textId="529ADC5A" w:rsidR="000B64FC" w:rsidRPr="000B64FC" w:rsidRDefault="000B64FC" w:rsidP="003A0413">
      <w:pPr>
        <w:pStyle w:val="Para1"/>
        <w:numPr>
          <w:ilvl w:val="0"/>
          <w:numId w:val="21"/>
        </w:numPr>
        <w:tabs>
          <w:tab w:val="left" w:pos="540"/>
        </w:tabs>
        <w:spacing w:after="240"/>
        <w:ind w:left="0" w:right="0" w:firstLine="0"/>
        <w:rPr>
          <w:lang w:val="fr-FR"/>
        </w:rPr>
      </w:pPr>
      <w:r w:rsidRPr="000B64FC">
        <w:rPr>
          <w:lang w:val="fr-FR"/>
        </w:rPr>
        <w:t xml:space="preserve">Étant donné l’importance </w:t>
      </w:r>
      <w:r w:rsidR="00AC5494">
        <w:rPr>
          <w:lang w:val="fr-FR"/>
        </w:rPr>
        <w:t>d’adopter le point de vue des jeunes</w:t>
      </w:r>
      <w:r w:rsidR="00AC5494" w:rsidRPr="000B64FC">
        <w:rPr>
          <w:lang w:val="fr-FR"/>
        </w:rPr>
        <w:t xml:space="preserve"> </w:t>
      </w:r>
      <w:r w:rsidR="00AC5494">
        <w:rPr>
          <w:lang w:val="fr-FR"/>
        </w:rPr>
        <w:t xml:space="preserve">pour </w:t>
      </w:r>
      <w:r w:rsidR="00FF72DD">
        <w:rPr>
          <w:lang w:val="fr-FR"/>
        </w:rPr>
        <w:t xml:space="preserve">un suivi </w:t>
      </w:r>
      <w:r w:rsidRPr="000B64FC">
        <w:rPr>
          <w:lang w:val="fr-FR"/>
        </w:rPr>
        <w:t xml:space="preserve">efficace </w:t>
      </w:r>
      <w:r w:rsidR="00FF72DD">
        <w:rPr>
          <w:lang w:val="fr-FR"/>
        </w:rPr>
        <w:t xml:space="preserve">de </w:t>
      </w:r>
      <w:r w:rsidRPr="000B64FC">
        <w:rPr>
          <w:lang w:val="fr-FR"/>
        </w:rPr>
        <w:t>la r</w:t>
      </w:r>
      <w:r w:rsidR="00FF72DD">
        <w:rPr>
          <w:lang w:val="fr-FR"/>
        </w:rPr>
        <w:t>é</w:t>
      </w:r>
      <w:r w:rsidRPr="000B64FC">
        <w:rPr>
          <w:lang w:val="fr-FR"/>
        </w:rPr>
        <w:t xml:space="preserve">alisation des objectifs </w:t>
      </w:r>
      <w:r w:rsidR="00B07CEF">
        <w:rPr>
          <w:lang w:val="fr-FR"/>
        </w:rPr>
        <w:t xml:space="preserve">de développement </w:t>
      </w:r>
      <w:r w:rsidRPr="000B64FC">
        <w:rPr>
          <w:lang w:val="fr-FR"/>
        </w:rPr>
        <w:t>durable</w:t>
      </w:r>
      <w:r w:rsidR="00B07CEF">
        <w:rPr>
          <w:lang w:val="fr-FR"/>
        </w:rPr>
        <w:t>, le PNUD, le FNUAP et le Bureau de L’Envoyé du Secrétaire général pour la Jeunesse</w:t>
      </w:r>
      <w:r w:rsidRPr="000B64FC">
        <w:rPr>
          <w:lang w:val="fr-FR"/>
        </w:rPr>
        <w:t xml:space="preserve"> </w:t>
      </w:r>
      <w:r w:rsidR="00B07CEF">
        <w:rPr>
          <w:lang w:val="fr-FR"/>
        </w:rPr>
        <w:t>ont convoqué conjointement la réunion d’un g</w:t>
      </w:r>
      <w:r w:rsidR="00FF72DD">
        <w:rPr>
          <w:lang w:val="fr-FR"/>
        </w:rPr>
        <w:t>roupe d’experts sur le thème « </w:t>
      </w:r>
      <w:r w:rsidR="00B07CEF">
        <w:rPr>
          <w:lang w:val="fr-FR"/>
        </w:rPr>
        <w:t>Mesurer la situation des jeunes dans les objectifs de développement durable »</w:t>
      </w:r>
      <w:r w:rsidR="00AC5494">
        <w:rPr>
          <w:lang w:val="fr-FR"/>
        </w:rPr>
        <w:t xml:space="preserve">. Cette initiative </w:t>
      </w:r>
      <w:r w:rsidR="00B07CEF">
        <w:rPr>
          <w:lang w:val="fr-FR"/>
        </w:rPr>
        <w:t>visa</w:t>
      </w:r>
      <w:r w:rsidR="00AC5494">
        <w:rPr>
          <w:lang w:val="fr-FR"/>
        </w:rPr>
        <w:t>it</w:t>
      </w:r>
      <w:r w:rsidR="00B07CEF">
        <w:rPr>
          <w:lang w:val="fr-FR"/>
        </w:rPr>
        <w:t xml:space="preserve"> à mobiliser </w:t>
      </w:r>
      <w:r w:rsidR="00AC5494">
        <w:rPr>
          <w:lang w:val="fr-FR"/>
        </w:rPr>
        <w:t>l’</w:t>
      </w:r>
      <w:r w:rsidR="00B07CEF">
        <w:rPr>
          <w:lang w:val="fr-FR"/>
        </w:rPr>
        <w:t xml:space="preserve">expertise et </w:t>
      </w:r>
      <w:r w:rsidR="00AC5494">
        <w:rPr>
          <w:lang w:val="fr-FR"/>
        </w:rPr>
        <w:t>l’orientation</w:t>
      </w:r>
      <w:r w:rsidR="00B07CEF">
        <w:rPr>
          <w:lang w:val="fr-FR"/>
        </w:rPr>
        <w:t xml:space="preserve"> techniques de </w:t>
      </w:r>
      <w:r w:rsidR="00CB24F4">
        <w:rPr>
          <w:lang w:val="fr-FR"/>
        </w:rPr>
        <w:t>l’ensemble des</w:t>
      </w:r>
      <w:r w:rsidR="00B07CEF">
        <w:rPr>
          <w:lang w:val="fr-FR"/>
        </w:rPr>
        <w:t xml:space="preserve"> parties </w:t>
      </w:r>
      <w:r w:rsidR="00215BC1">
        <w:rPr>
          <w:lang w:val="fr-FR"/>
        </w:rPr>
        <w:t xml:space="preserve">du système </w:t>
      </w:r>
      <w:r w:rsidR="00B07CEF">
        <w:rPr>
          <w:lang w:val="fr-FR"/>
        </w:rPr>
        <w:t xml:space="preserve">des Nations Unies et </w:t>
      </w:r>
      <w:r w:rsidR="00AC5494">
        <w:rPr>
          <w:lang w:val="fr-FR"/>
        </w:rPr>
        <w:t>d’ailleurs</w:t>
      </w:r>
      <w:r w:rsidR="00B07CEF">
        <w:rPr>
          <w:lang w:val="fr-FR"/>
        </w:rPr>
        <w:t xml:space="preserve">, </w:t>
      </w:r>
      <w:r w:rsidR="00215BC1">
        <w:rPr>
          <w:lang w:val="fr-FR"/>
        </w:rPr>
        <w:t>afin de soutenir l</w:t>
      </w:r>
      <w:r w:rsidR="00B07CEF">
        <w:rPr>
          <w:lang w:val="fr-FR"/>
        </w:rPr>
        <w:t xml:space="preserve">a </w:t>
      </w:r>
      <w:r w:rsidR="00215BC1">
        <w:rPr>
          <w:lang w:val="fr-FR"/>
        </w:rPr>
        <w:t xml:space="preserve">création éventuelle </w:t>
      </w:r>
      <w:r w:rsidR="00B07CEF">
        <w:rPr>
          <w:lang w:val="fr-FR"/>
        </w:rPr>
        <w:t xml:space="preserve">d’un outil mondial </w:t>
      </w:r>
      <w:r w:rsidR="00215BC1">
        <w:rPr>
          <w:lang w:val="fr-FR"/>
        </w:rPr>
        <w:t>permettant de</w:t>
      </w:r>
      <w:r w:rsidR="00B07CEF">
        <w:rPr>
          <w:lang w:val="fr-FR"/>
        </w:rPr>
        <w:t xml:space="preserve"> mesurer les progrès du développement et du bien-être des jeunes, </w:t>
      </w:r>
      <w:r w:rsidR="005E4B27">
        <w:rPr>
          <w:lang w:val="fr-FR"/>
        </w:rPr>
        <w:t xml:space="preserve">en suivant les données dans la durée au regard des indicateurs </w:t>
      </w:r>
      <w:r w:rsidR="00A26458">
        <w:rPr>
          <w:lang w:val="fr-FR"/>
        </w:rPr>
        <w:t>relatifs à la jeunesse</w:t>
      </w:r>
      <w:r w:rsidR="005E4B27">
        <w:rPr>
          <w:lang w:val="fr-FR"/>
        </w:rPr>
        <w:t xml:space="preserve"> contenus dans le cadre global des indicateurs des objectifs. </w:t>
      </w:r>
    </w:p>
    <w:p w14:paraId="23C8D46A" w14:textId="29854F3E" w:rsidR="005E4B27" w:rsidRPr="005E4B27" w:rsidRDefault="005E4B27" w:rsidP="000D6FCB">
      <w:pPr>
        <w:pStyle w:val="Para1"/>
        <w:numPr>
          <w:ilvl w:val="0"/>
          <w:numId w:val="21"/>
        </w:numPr>
        <w:tabs>
          <w:tab w:val="left" w:pos="540"/>
        </w:tabs>
        <w:spacing w:after="240"/>
        <w:ind w:left="0" w:right="0" w:firstLine="0"/>
        <w:rPr>
          <w:lang w:val="fr-FR"/>
        </w:rPr>
      </w:pPr>
      <w:r w:rsidRPr="005E4B27">
        <w:rPr>
          <w:lang w:val="fr-FR"/>
        </w:rPr>
        <w:t xml:space="preserve">En outre, pour soutenir cet effort, une coalition </w:t>
      </w:r>
      <w:r w:rsidR="00D83E93">
        <w:rPr>
          <w:lang w:val="fr-FR"/>
        </w:rPr>
        <w:t>d’organismes</w:t>
      </w:r>
      <w:r w:rsidR="00D83E93" w:rsidRPr="005E4B27">
        <w:rPr>
          <w:lang w:val="fr-FR"/>
        </w:rPr>
        <w:t xml:space="preserve"> </w:t>
      </w:r>
      <w:r w:rsidRPr="005E4B27">
        <w:rPr>
          <w:lang w:val="fr-FR"/>
        </w:rPr>
        <w:t>et de partenaires des Nations Unies – notamment l’Organisation des Nations Unies pour l’</w:t>
      </w:r>
      <w:r>
        <w:rPr>
          <w:lang w:val="fr-FR"/>
        </w:rPr>
        <w:t xml:space="preserve">éducation, la science et la culture (UNESCO), </w:t>
      </w:r>
      <w:r w:rsidR="00CB24F4">
        <w:rPr>
          <w:lang w:val="fr-FR"/>
        </w:rPr>
        <w:t xml:space="preserve">l’initiative </w:t>
      </w:r>
      <w:r>
        <w:rPr>
          <w:lang w:val="fr-FR"/>
        </w:rPr>
        <w:t xml:space="preserve">Global Pulse des Nations Unies, la Campagne des Nations Unies pour les objectifs de développement durable et le Partenariat mondial pour les données </w:t>
      </w:r>
      <w:r w:rsidR="003F0AA6">
        <w:rPr>
          <w:lang w:val="fr-FR"/>
        </w:rPr>
        <w:t xml:space="preserve">du </w:t>
      </w:r>
      <w:r>
        <w:rPr>
          <w:lang w:val="fr-FR"/>
        </w:rPr>
        <w:t>développement durable, l’UNICEF et le PAM </w:t>
      </w:r>
      <w:r w:rsidR="00A935C2">
        <w:rPr>
          <w:lang w:val="fr-FR"/>
        </w:rPr>
        <w:t>–</w:t>
      </w:r>
      <w:r>
        <w:rPr>
          <w:lang w:val="fr-FR"/>
        </w:rPr>
        <w:t xml:space="preserve"> </w:t>
      </w:r>
      <w:r w:rsidR="00A935C2">
        <w:rPr>
          <w:lang w:val="fr-FR"/>
        </w:rPr>
        <w:t xml:space="preserve">ont lancé l’initiative pilote « Nous, les peuples », afin de recueillir de solides données </w:t>
      </w:r>
      <w:r w:rsidR="00337E58">
        <w:rPr>
          <w:lang w:val="fr-FR"/>
        </w:rPr>
        <w:t xml:space="preserve">issues de la perception </w:t>
      </w:r>
      <w:r w:rsidR="00A935C2">
        <w:rPr>
          <w:lang w:val="fr-FR"/>
        </w:rPr>
        <w:t xml:space="preserve">des populations, y compris </w:t>
      </w:r>
      <w:r w:rsidR="00337E58">
        <w:rPr>
          <w:lang w:val="fr-FR"/>
        </w:rPr>
        <w:t>d</w:t>
      </w:r>
      <w:r w:rsidR="00A935C2">
        <w:rPr>
          <w:lang w:val="fr-FR"/>
        </w:rPr>
        <w:t>es jeunes marginalisés et difficiles à atteindre. L’objectif immédiat est de plaider pour l’intégration de</w:t>
      </w:r>
      <w:r w:rsidR="00337E58">
        <w:rPr>
          <w:lang w:val="fr-FR"/>
        </w:rPr>
        <w:t xml:space="preserve"> ces d</w:t>
      </w:r>
      <w:r w:rsidR="00A935C2">
        <w:rPr>
          <w:lang w:val="fr-FR"/>
        </w:rPr>
        <w:t xml:space="preserve">onnées dans les rapports de pays et les </w:t>
      </w:r>
      <w:r w:rsidR="00023DDE">
        <w:rPr>
          <w:lang w:val="fr-FR"/>
        </w:rPr>
        <w:t>examens</w:t>
      </w:r>
      <w:r w:rsidR="009419D2">
        <w:rPr>
          <w:lang w:val="fr-FR"/>
        </w:rPr>
        <w:t xml:space="preserve"> nationa</w:t>
      </w:r>
      <w:r w:rsidR="00023DDE">
        <w:rPr>
          <w:lang w:val="fr-FR"/>
        </w:rPr>
        <w:t>ux</w:t>
      </w:r>
      <w:r w:rsidR="009419D2">
        <w:rPr>
          <w:lang w:val="fr-FR"/>
        </w:rPr>
        <w:t xml:space="preserve"> volontaires</w:t>
      </w:r>
      <w:r w:rsidR="00A935C2">
        <w:rPr>
          <w:lang w:val="fr-FR"/>
        </w:rPr>
        <w:t xml:space="preserve"> </w:t>
      </w:r>
      <w:r w:rsidR="00337E58">
        <w:rPr>
          <w:lang w:val="fr-FR"/>
        </w:rPr>
        <w:t>portant sur l</w:t>
      </w:r>
      <w:r w:rsidR="00A935C2">
        <w:rPr>
          <w:lang w:val="fr-FR"/>
        </w:rPr>
        <w:t xml:space="preserve">es objectifs de développement </w:t>
      </w:r>
      <w:r w:rsidR="00A935C2">
        <w:rPr>
          <w:lang w:val="fr-FR"/>
        </w:rPr>
        <w:lastRenderedPageBreak/>
        <w:t>durable</w:t>
      </w:r>
      <w:r w:rsidR="009419D2">
        <w:rPr>
          <w:lang w:val="fr-FR"/>
        </w:rPr>
        <w:t>, et de montrer qu’</w:t>
      </w:r>
      <w:r w:rsidR="00023DDE">
        <w:rPr>
          <w:lang w:val="fr-FR"/>
        </w:rPr>
        <w:t>elles</w:t>
      </w:r>
      <w:r w:rsidR="009419D2">
        <w:rPr>
          <w:lang w:val="fr-FR"/>
        </w:rPr>
        <w:t xml:space="preserve"> peuvent être utilisé</w:t>
      </w:r>
      <w:r w:rsidR="00023DDE">
        <w:rPr>
          <w:lang w:val="fr-FR"/>
        </w:rPr>
        <w:t>e</w:t>
      </w:r>
      <w:r w:rsidR="009419D2">
        <w:rPr>
          <w:lang w:val="fr-FR"/>
        </w:rPr>
        <w:t xml:space="preserve">s pour </w:t>
      </w:r>
      <w:r w:rsidR="00337E58">
        <w:rPr>
          <w:lang w:val="fr-FR"/>
        </w:rPr>
        <w:t>fournir de meilleurs</w:t>
      </w:r>
      <w:r w:rsidR="009419D2">
        <w:rPr>
          <w:lang w:val="fr-FR"/>
        </w:rPr>
        <w:t xml:space="preserve"> services et modifier les normes sociales. L’objectif à long terme est d’accroître l’espace politique </w:t>
      </w:r>
      <w:r w:rsidR="00337E58">
        <w:rPr>
          <w:lang w:val="fr-FR"/>
        </w:rPr>
        <w:t>accordé</w:t>
      </w:r>
      <w:r w:rsidR="009419D2">
        <w:rPr>
          <w:lang w:val="fr-FR"/>
        </w:rPr>
        <w:t xml:space="preserve"> à l’utilisation des données </w:t>
      </w:r>
      <w:r w:rsidR="00A63EEA">
        <w:rPr>
          <w:lang w:val="fr-FR"/>
        </w:rPr>
        <w:t xml:space="preserve">fondées </w:t>
      </w:r>
      <w:r w:rsidR="00023DDE">
        <w:rPr>
          <w:lang w:val="fr-FR"/>
        </w:rPr>
        <w:t>sur la perception</w:t>
      </w:r>
      <w:r w:rsidR="009419D2">
        <w:rPr>
          <w:lang w:val="fr-FR"/>
        </w:rPr>
        <w:t xml:space="preserve">, </w:t>
      </w:r>
      <w:r w:rsidR="00023DDE">
        <w:rPr>
          <w:lang w:val="fr-FR"/>
        </w:rPr>
        <w:t>à côté des</w:t>
      </w:r>
      <w:r w:rsidR="009419D2">
        <w:rPr>
          <w:lang w:val="fr-FR"/>
        </w:rPr>
        <w:t xml:space="preserve"> données officielles, </w:t>
      </w:r>
      <w:r w:rsidR="00337E58">
        <w:rPr>
          <w:lang w:val="fr-FR"/>
        </w:rPr>
        <w:t xml:space="preserve">en vue </w:t>
      </w:r>
      <w:r w:rsidR="009419D2">
        <w:rPr>
          <w:lang w:val="fr-FR"/>
        </w:rPr>
        <w:t>d’améliorer les programmes, les politiques et l</w:t>
      </w:r>
      <w:r w:rsidR="00023DDE">
        <w:rPr>
          <w:lang w:val="fr-FR"/>
        </w:rPr>
        <w:t>es</w:t>
      </w:r>
      <w:r w:rsidR="009419D2">
        <w:rPr>
          <w:lang w:val="fr-FR"/>
        </w:rPr>
        <w:t xml:space="preserve"> prise</w:t>
      </w:r>
      <w:r w:rsidR="00023DDE">
        <w:rPr>
          <w:lang w:val="fr-FR"/>
        </w:rPr>
        <w:t>s</w:t>
      </w:r>
      <w:r w:rsidR="009419D2">
        <w:rPr>
          <w:lang w:val="fr-FR"/>
        </w:rPr>
        <w:t xml:space="preserve"> de décisions. </w:t>
      </w:r>
      <w:r w:rsidR="00337E58">
        <w:rPr>
          <w:lang w:val="fr-FR"/>
        </w:rPr>
        <w:t>L</w:t>
      </w:r>
      <w:r w:rsidR="0039676B">
        <w:rPr>
          <w:lang w:val="fr-FR"/>
        </w:rPr>
        <w:t>’</w:t>
      </w:r>
      <w:r w:rsidR="00337E58">
        <w:rPr>
          <w:lang w:val="fr-FR"/>
        </w:rPr>
        <w:t>U-Report axé sur la jeunesse de l’UNICEF et le projet mobile d’analyse et de cartographie de la vulnérabilité du PAM constitueront l</w:t>
      </w:r>
      <w:r w:rsidR="009419D2">
        <w:rPr>
          <w:lang w:val="fr-FR"/>
        </w:rPr>
        <w:t>es premiers outils mobiles déployés pour la diffusion des enquêtes et la collecte des données. Ce</w:t>
      </w:r>
      <w:r w:rsidR="0039676B">
        <w:rPr>
          <w:lang w:val="fr-FR"/>
        </w:rPr>
        <w:t xml:space="preserve"> choix </w:t>
      </w:r>
      <w:r w:rsidR="009419D2">
        <w:rPr>
          <w:lang w:val="fr-FR"/>
        </w:rPr>
        <w:t xml:space="preserve">repose sur de </w:t>
      </w:r>
      <w:r w:rsidR="0039676B">
        <w:rPr>
          <w:lang w:val="fr-FR"/>
        </w:rPr>
        <w:t xml:space="preserve">précédentes </w:t>
      </w:r>
      <w:r w:rsidR="009419D2">
        <w:rPr>
          <w:lang w:val="fr-FR"/>
        </w:rPr>
        <w:t>expériences, lors desquelles l</w:t>
      </w:r>
      <w:r w:rsidR="0039676B">
        <w:rPr>
          <w:lang w:val="fr-FR"/>
        </w:rPr>
        <w:t>’</w:t>
      </w:r>
      <w:r w:rsidR="009419D2">
        <w:rPr>
          <w:lang w:val="fr-FR"/>
        </w:rPr>
        <w:t xml:space="preserve">U-Report a été utilisé pour refléter les </w:t>
      </w:r>
      <w:r w:rsidR="0039676B">
        <w:rPr>
          <w:lang w:val="fr-FR"/>
        </w:rPr>
        <w:t>points de vue</w:t>
      </w:r>
      <w:r w:rsidR="009419D2">
        <w:rPr>
          <w:lang w:val="fr-FR"/>
        </w:rPr>
        <w:t xml:space="preserve"> des adolescents et des jeunes</w:t>
      </w:r>
      <w:r w:rsidR="0039676B">
        <w:rPr>
          <w:lang w:val="fr-FR"/>
        </w:rPr>
        <w:t xml:space="preserve">, et notamment </w:t>
      </w:r>
      <w:r w:rsidR="009419D2">
        <w:rPr>
          <w:lang w:val="fr-FR"/>
        </w:rPr>
        <w:t xml:space="preserve">pour </w:t>
      </w:r>
      <w:r w:rsidR="0039676B">
        <w:rPr>
          <w:lang w:val="fr-FR"/>
        </w:rPr>
        <w:t>intégrer leurs opinions</w:t>
      </w:r>
      <w:r w:rsidR="009419D2">
        <w:rPr>
          <w:lang w:val="fr-FR"/>
        </w:rPr>
        <w:t xml:space="preserve"> </w:t>
      </w:r>
      <w:r w:rsidR="0039676B">
        <w:rPr>
          <w:lang w:val="fr-FR"/>
        </w:rPr>
        <w:t xml:space="preserve">dans </w:t>
      </w:r>
      <w:r w:rsidR="009419D2">
        <w:rPr>
          <w:lang w:val="fr-FR"/>
        </w:rPr>
        <w:t xml:space="preserve">le rapport </w:t>
      </w:r>
      <w:r w:rsidR="006D6304">
        <w:rPr>
          <w:lang w:val="fr-FR"/>
        </w:rPr>
        <w:t>prépar</w:t>
      </w:r>
      <w:r w:rsidR="0039676B">
        <w:rPr>
          <w:lang w:val="fr-FR"/>
        </w:rPr>
        <w:t>é</w:t>
      </w:r>
      <w:r w:rsidR="000D6FCB">
        <w:rPr>
          <w:lang w:val="fr-FR"/>
        </w:rPr>
        <w:t xml:space="preserve"> par la</w:t>
      </w:r>
      <w:r w:rsidR="006D6304">
        <w:rPr>
          <w:lang w:val="fr-FR"/>
        </w:rPr>
        <w:t xml:space="preserve"> Représentant</w:t>
      </w:r>
      <w:r w:rsidR="000D6FCB">
        <w:rPr>
          <w:lang w:val="fr-FR"/>
        </w:rPr>
        <w:t>e</w:t>
      </w:r>
      <w:r w:rsidR="006D6304">
        <w:rPr>
          <w:lang w:val="fr-FR"/>
        </w:rPr>
        <w:t xml:space="preserve"> spécial</w:t>
      </w:r>
      <w:r w:rsidR="000D6FCB">
        <w:rPr>
          <w:lang w:val="fr-FR"/>
        </w:rPr>
        <w:t>e</w:t>
      </w:r>
      <w:r w:rsidR="006D6304">
        <w:rPr>
          <w:lang w:val="fr-FR"/>
        </w:rPr>
        <w:t xml:space="preserve"> du Secrétaire général des Nations Unies </w:t>
      </w:r>
      <w:r w:rsidR="000D6FCB" w:rsidRPr="000D6FCB">
        <w:rPr>
          <w:lang w:val="fr-FR"/>
        </w:rPr>
        <w:t>chargée de la question de la violence à l’encontre des enfants</w:t>
      </w:r>
      <w:r w:rsidR="002123CC" w:rsidRPr="000D6FCB">
        <w:rPr>
          <w:lang w:val="fr-FR"/>
        </w:rPr>
        <w:t>. À cette</w:t>
      </w:r>
      <w:r w:rsidR="002123CC">
        <w:rPr>
          <w:lang w:val="fr-FR"/>
        </w:rPr>
        <w:t xml:space="preserve"> occasion</w:t>
      </w:r>
      <w:r w:rsidR="006D6304">
        <w:rPr>
          <w:lang w:val="fr-FR"/>
        </w:rPr>
        <w:t xml:space="preserve">, les jeunes ont </w:t>
      </w:r>
      <w:r w:rsidR="002123CC">
        <w:rPr>
          <w:lang w:val="fr-FR"/>
        </w:rPr>
        <w:t xml:space="preserve">pu évoquer </w:t>
      </w:r>
      <w:r w:rsidR="006D6304">
        <w:rPr>
          <w:lang w:val="fr-FR"/>
        </w:rPr>
        <w:t>l</w:t>
      </w:r>
      <w:r w:rsidR="002123CC">
        <w:rPr>
          <w:lang w:val="fr-FR"/>
        </w:rPr>
        <w:t>es intimidations dont ils sont victimes en</w:t>
      </w:r>
      <w:r w:rsidR="006D6304">
        <w:rPr>
          <w:lang w:val="fr-FR"/>
        </w:rPr>
        <w:t xml:space="preserve"> </w:t>
      </w:r>
      <w:r w:rsidR="002123CC">
        <w:rPr>
          <w:lang w:val="fr-FR"/>
        </w:rPr>
        <w:t>lieu</w:t>
      </w:r>
      <w:r w:rsidR="006D6304">
        <w:rPr>
          <w:lang w:val="fr-FR"/>
        </w:rPr>
        <w:t xml:space="preserve"> sûr.</w:t>
      </w:r>
    </w:p>
    <w:p w14:paraId="1C4F90F7" w14:textId="50415F20" w:rsidR="006D6304" w:rsidRPr="00FB4177" w:rsidRDefault="006D6304" w:rsidP="003A0413">
      <w:pPr>
        <w:pStyle w:val="Para1"/>
        <w:numPr>
          <w:ilvl w:val="0"/>
          <w:numId w:val="21"/>
        </w:numPr>
        <w:tabs>
          <w:tab w:val="left" w:pos="540"/>
        </w:tabs>
        <w:spacing w:after="240"/>
        <w:ind w:left="0" w:right="0" w:firstLine="0"/>
        <w:rPr>
          <w:lang w:val="fr-FR"/>
        </w:rPr>
      </w:pPr>
      <w:r w:rsidRPr="006D6304">
        <w:rPr>
          <w:lang w:val="fr-FR"/>
        </w:rPr>
        <w:t xml:space="preserve">En collaboration avec le Département des affaires économiques et sociales et d’autres partenaires des Nations Unies, le PNUD a </w:t>
      </w:r>
      <w:r w:rsidR="00561BE1">
        <w:rPr>
          <w:lang w:val="fr-FR"/>
        </w:rPr>
        <w:t>dirigé</w:t>
      </w:r>
      <w:r w:rsidRPr="006D6304">
        <w:rPr>
          <w:lang w:val="fr-FR"/>
        </w:rPr>
        <w:t xml:space="preserve"> la toute première enqu</w:t>
      </w:r>
      <w:r>
        <w:rPr>
          <w:lang w:val="fr-FR"/>
        </w:rPr>
        <w:t xml:space="preserve">ête mondiale sur le travail </w:t>
      </w:r>
      <w:r w:rsidR="00561BE1">
        <w:rPr>
          <w:lang w:val="fr-FR"/>
        </w:rPr>
        <w:t>réalisé par l</w:t>
      </w:r>
      <w:r>
        <w:rPr>
          <w:lang w:val="fr-FR"/>
        </w:rPr>
        <w:t xml:space="preserve">es Nations Unies </w:t>
      </w:r>
      <w:r w:rsidR="00561BE1">
        <w:rPr>
          <w:lang w:val="fr-FR"/>
        </w:rPr>
        <w:t>en faveur de</w:t>
      </w:r>
      <w:r>
        <w:rPr>
          <w:lang w:val="fr-FR"/>
        </w:rPr>
        <w:t xml:space="preserve"> la jeunesse</w:t>
      </w:r>
      <w:r w:rsidR="00561BE1">
        <w:rPr>
          <w:lang w:val="fr-FR"/>
        </w:rPr>
        <w:t>, dont l</w:t>
      </w:r>
      <w:r>
        <w:rPr>
          <w:lang w:val="fr-FR"/>
        </w:rPr>
        <w:t>e rapport doit être publié en mai</w:t>
      </w:r>
      <w:r>
        <w:rPr>
          <w:rFonts w:ascii="Segoe UI Symbol" w:hAnsi="Segoe UI Symbol"/>
          <w:lang w:val="fr-FR"/>
        </w:rPr>
        <w:t> </w:t>
      </w:r>
      <w:r w:rsidRPr="006D6304">
        <w:rPr>
          <w:lang w:val="fr-FR"/>
        </w:rPr>
        <w:t xml:space="preserve">2017. </w:t>
      </w:r>
      <w:r>
        <w:rPr>
          <w:lang w:val="fr-FR"/>
        </w:rPr>
        <w:t>Le PNUD copréside également le Groupe de travail inter</w:t>
      </w:r>
      <w:r w:rsidR="00561BE1">
        <w:rPr>
          <w:lang w:val="fr-FR"/>
        </w:rPr>
        <w:t>organisations</w:t>
      </w:r>
      <w:r>
        <w:rPr>
          <w:lang w:val="fr-FR"/>
        </w:rPr>
        <w:t xml:space="preserve"> sur la jeunesse et les objectifs de développement durable </w:t>
      </w:r>
      <w:r w:rsidR="00B716E3">
        <w:rPr>
          <w:lang w:val="fr-FR"/>
        </w:rPr>
        <w:t xml:space="preserve">avec le Bureau de L’Envoyé du Secrétaire général pour la Jeunesse, qui co-coordonne chaque année le </w:t>
      </w:r>
      <w:r w:rsidR="00B716E3" w:rsidRPr="00B716E3">
        <w:rPr>
          <w:lang w:val="fr-FR"/>
        </w:rPr>
        <w:t>Forum de la jeunesse du Conseil économique et social</w:t>
      </w:r>
      <w:r w:rsidR="00B716E3">
        <w:rPr>
          <w:lang w:val="fr-FR"/>
        </w:rPr>
        <w:t xml:space="preserve">. Au cours des dernières années, </w:t>
      </w:r>
      <w:r w:rsidR="00FB4177">
        <w:rPr>
          <w:lang w:val="fr-FR"/>
        </w:rPr>
        <w:t>le</w:t>
      </w:r>
      <w:r w:rsidR="00B716E3">
        <w:rPr>
          <w:lang w:val="fr-FR"/>
        </w:rPr>
        <w:t xml:space="preserve"> Forum </w:t>
      </w:r>
      <w:r w:rsidR="00FB4177">
        <w:rPr>
          <w:lang w:val="fr-FR"/>
        </w:rPr>
        <w:t xml:space="preserve">n’a cessé d’intensifier son engagement et d’exprimer ainsi </w:t>
      </w:r>
      <w:r w:rsidR="00B716E3">
        <w:rPr>
          <w:lang w:val="fr-FR"/>
        </w:rPr>
        <w:t>l</w:t>
      </w:r>
      <w:r w:rsidR="00FB4177">
        <w:rPr>
          <w:lang w:val="fr-FR"/>
        </w:rPr>
        <w:t xml:space="preserve">a grande nécessité </w:t>
      </w:r>
      <w:r w:rsidR="00B716E3">
        <w:rPr>
          <w:lang w:val="fr-FR"/>
        </w:rPr>
        <w:t>d’</w:t>
      </w:r>
      <w:r w:rsidR="00FB4177">
        <w:rPr>
          <w:lang w:val="fr-FR"/>
        </w:rPr>
        <w:t xml:space="preserve">organiser régulièrement </w:t>
      </w:r>
      <w:r w:rsidR="00B716E3">
        <w:rPr>
          <w:lang w:val="fr-FR"/>
        </w:rPr>
        <w:t xml:space="preserve">une </w:t>
      </w:r>
      <w:r w:rsidR="00FB4177">
        <w:rPr>
          <w:lang w:val="fr-FR"/>
        </w:rPr>
        <w:t>rencontre</w:t>
      </w:r>
      <w:r w:rsidR="00B716E3">
        <w:rPr>
          <w:lang w:val="fr-FR"/>
        </w:rPr>
        <w:t xml:space="preserve"> mondiale et un dialogue </w:t>
      </w:r>
      <w:r w:rsidR="00D46472">
        <w:rPr>
          <w:lang w:val="fr-FR"/>
        </w:rPr>
        <w:t xml:space="preserve">multipartite </w:t>
      </w:r>
      <w:r w:rsidR="00D95A4F">
        <w:rPr>
          <w:lang w:val="fr-FR"/>
        </w:rPr>
        <w:t>sur les</w:t>
      </w:r>
      <w:r w:rsidR="00B716E3">
        <w:rPr>
          <w:lang w:val="fr-FR"/>
        </w:rPr>
        <w:t xml:space="preserve"> questions relatives à la jeunesse</w:t>
      </w:r>
      <w:r w:rsidR="00FB4177" w:rsidRPr="003130CA">
        <w:rPr>
          <w:vertAlign w:val="superscript"/>
        </w:rPr>
        <w:footnoteReference w:id="15"/>
      </w:r>
      <w:r w:rsidR="00D46472">
        <w:rPr>
          <w:lang w:val="fr-FR"/>
        </w:rPr>
        <w:t>.</w:t>
      </w:r>
    </w:p>
    <w:p w14:paraId="728F11CD" w14:textId="230D65A3" w:rsidR="00B716E3" w:rsidRPr="00B716E3" w:rsidRDefault="00B716E3" w:rsidP="003A0413">
      <w:pPr>
        <w:pStyle w:val="Para1"/>
        <w:numPr>
          <w:ilvl w:val="0"/>
          <w:numId w:val="21"/>
        </w:numPr>
        <w:tabs>
          <w:tab w:val="left" w:pos="540"/>
        </w:tabs>
        <w:spacing w:after="240"/>
        <w:ind w:left="0" w:right="0" w:firstLine="0"/>
        <w:rPr>
          <w:lang w:val="fr-FR"/>
        </w:rPr>
      </w:pPr>
      <w:r w:rsidRPr="00B716E3">
        <w:rPr>
          <w:lang w:val="fr-FR"/>
        </w:rPr>
        <w:t xml:space="preserve">Afin de répondre aux </w:t>
      </w:r>
      <w:r w:rsidR="00D95A4F">
        <w:rPr>
          <w:lang w:val="fr-FR"/>
        </w:rPr>
        <w:t>problèmes posés par</w:t>
      </w:r>
      <w:r>
        <w:rPr>
          <w:lang w:val="fr-FR"/>
        </w:rPr>
        <w:t xml:space="preserve"> l’emploi des jeunes, l’Initiative mondiale pour l’emploi décent des jeunes est apparu</w:t>
      </w:r>
      <w:r w:rsidR="00D95A4F">
        <w:rPr>
          <w:lang w:val="fr-FR"/>
        </w:rPr>
        <w:t>e</w:t>
      </w:r>
      <w:r>
        <w:rPr>
          <w:lang w:val="fr-FR"/>
        </w:rPr>
        <w:t xml:space="preserve"> comme l</w:t>
      </w:r>
      <w:r w:rsidR="00D95A4F">
        <w:rPr>
          <w:lang w:val="fr-FR"/>
        </w:rPr>
        <w:t xml:space="preserve">a toute </w:t>
      </w:r>
      <w:r>
        <w:rPr>
          <w:lang w:val="fr-FR"/>
        </w:rPr>
        <w:t>premi</w:t>
      </w:r>
      <w:r w:rsidR="00D95A4F">
        <w:rPr>
          <w:lang w:val="fr-FR"/>
        </w:rPr>
        <w:t>ère action globale</w:t>
      </w:r>
      <w:r>
        <w:rPr>
          <w:lang w:val="fr-FR"/>
        </w:rPr>
        <w:t xml:space="preserve"> </w:t>
      </w:r>
      <w:r w:rsidR="00D95A4F">
        <w:rPr>
          <w:lang w:val="fr-FR"/>
        </w:rPr>
        <w:t xml:space="preserve">menée à l’échelle du système </w:t>
      </w:r>
      <w:r>
        <w:rPr>
          <w:lang w:val="fr-FR"/>
        </w:rPr>
        <w:t>des Nations Unies pour promo</w:t>
      </w:r>
      <w:r w:rsidR="001519EC">
        <w:rPr>
          <w:lang w:val="fr-FR"/>
        </w:rPr>
        <w:t>uvoir</w:t>
      </w:r>
      <w:r>
        <w:rPr>
          <w:lang w:val="fr-FR"/>
        </w:rPr>
        <w:t xml:space="preserve"> l</w:t>
      </w:r>
      <w:r w:rsidR="001519EC">
        <w:rPr>
          <w:lang w:val="fr-FR"/>
        </w:rPr>
        <w:t>e travail</w:t>
      </w:r>
      <w:r>
        <w:rPr>
          <w:lang w:val="fr-FR"/>
        </w:rPr>
        <w:t xml:space="preserve"> des jeunes dans le monde. La stratégie </w:t>
      </w:r>
      <w:r w:rsidR="001519EC">
        <w:rPr>
          <w:lang w:val="fr-FR"/>
        </w:rPr>
        <w:t>mise en place à cette occasion</w:t>
      </w:r>
      <w:r w:rsidR="00A87480">
        <w:rPr>
          <w:lang w:val="fr-FR"/>
        </w:rPr>
        <w:t xml:space="preserve"> a été </w:t>
      </w:r>
      <w:r w:rsidR="00D73A2E">
        <w:rPr>
          <w:lang w:val="fr-FR"/>
        </w:rPr>
        <w:t xml:space="preserve">élaborée </w:t>
      </w:r>
      <w:r w:rsidR="00A87480">
        <w:rPr>
          <w:lang w:val="fr-FR"/>
        </w:rPr>
        <w:t>par le C</w:t>
      </w:r>
      <w:r>
        <w:rPr>
          <w:lang w:val="fr-FR"/>
        </w:rPr>
        <w:t xml:space="preserve">omité </w:t>
      </w:r>
      <w:r w:rsidR="00A87480">
        <w:rPr>
          <w:lang w:val="fr-FR"/>
        </w:rPr>
        <w:t>de haut niveau chargé d</w:t>
      </w:r>
      <w:r>
        <w:rPr>
          <w:lang w:val="fr-FR"/>
        </w:rPr>
        <w:t>es programmes</w:t>
      </w:r>
      <w:r w:rsidR="001519EC">
        <w:rPr>
          <w:lang w:val="fr-FR"/>
        </w:rPr>
        <w:t>,</w:t>
      </w:r>
      <w:r>
        <w:rPr>
          <w:lang w:val="fr-FR"/>
        </w:rPr>
        <w:t xml:space="preserve"> sous la direction </w:t>
      </w:r>
      <w:r w:rsidR="00A87480">
        <w:rPr>
          <w:lang w:val="fr-FR"/>
        </w:rPr>
        <w:t xml:space="preserve">de l’Organisation internationale du </w:t>
      </w:r>
      <w:r w:rsidR="00D73A2E">
        <w:rPr>
          <w:lang w:val="fr-FR"/>
        </w:rPr>
        <w:t>T</w:t>
      </w:r>
      <w:r w:rsidR="00A87480">
        <w:rPr>
          <w:lang w:val="fr-FR"/>
        </w:rPr>
        <w:t xml:space="preserve">ravail, </w:t>
      </w:r>
      <w:r w:rsidR="001519EC">
        <w:rPr>
          <w:lang w:val="fr-FR"/>
        </w:rPr>
        <w:t xml:space="preserve">puis </w:t>
      </w:r>
      <w:r w:rsidR="00A87480">
        <w:rPr>
          <w:lang w:val="fr-FR"/>
        </w:rPr>
        <w:t xml:space="preserve">approuvée </w:t>
      </w:r>
      <w:r w:rsidR="001519EC">
        <w:rPr>
          <w:lang w:val="fr-FR"/>
        </w:rPr>
        <w:t xml:space="preserve">en novembre 2015 </w:t>
      </w:r>
      <w:r w:rsidR="00A87480">
        <w:rPr>
          <w:lang w:val="fr-FR"/>
        </w:rPr>
        <w:t xml:space="preserve">par le Conseil des chefs de secrétariat des organismes des Nations </w:t>
      </w:r>
      <w:r w:rsidR="001519EC">
        <w:rPr>
          <w:lang w:val="fr-FR"/>
        </w:rPr>
        <w:t>U</w:t>
      </w:r>
      <w:r w:rsidR="00A87480">
        <w:rPr>
          <w:lang w:val="fr-FR"/>
        </w:rPr>
        <w:t xml:space="preserve">nies pour la coordination. Vingt-deux entités et </w:t>
      </w:r>
      <w:r w:rsidR="00D73A2E">
        <w:rPr>
          <w:lang w:val="fr-FR"/>
        </w:rPr>
        <w:t xml:space="preserve">organismes </w:t>
      </w:r>
      <w:r w:rsidR="00A87480">
        <w:rPr>
          <w:lang w:val="fr-FR"/>
        </w:rPr>
        <w:t>du système des Nations Unies (</w:t>
      </w:r>
      <w:r w:rsidR="001519EC">
        <w:rPr>
          <w:lang w:val="fr-FR"/>
        </w:rPr>
        <w:t xml:space="preserve">dont le </w:t>
      </w:r>
      <w:r w:rsidR="00A87480">
        <w:rPr>
          <w:lang w:val="fr-FR"/>
        </w:rPr>
        <w:t xml:space="preserve">PNUD, </w:t>
      </w:r>
      <w:r w:rsidR="001519EC">
        <w:rPr>
          <w:lang w:val="fr-FR"/>
        </w:rPr>
        <w:t xml:space="preserve">le FNUAP et </w:t>
      </w:r>
      <w:r w:rsidR="00A87480">
        <w:rPr>
          <w:lang w:val="fr-FR"/>
        </w:rPr>
        <w:t>ONU</w:t>
      </w:r>
      <w:r w:rsidR="008A4542">
        <w:rPr>
          <w:lang w:val="fr-FR"/>
        </w:rPr>
        <w:t>-</w:t>
      </w:r>
      <w:r w:rsidR="00A87480">
        <w:rPr>
          <w:lang w:val="fr-FR"/>
        </w:rPr>
        <w:t xml:space="preserve">Femmes) ont </w:t>
      </w:r>
      <w:r w:rsidR="001519EC">
        <w:rPr>
          <w:lang w:val="fr-FR"/>
        </w:rPr>
        <w:t>orienté</w:t>
      </w:r>
      <w:r w:rsidR="00A87480">
        <w:rPr>
          <w:lang w:val="fr-FR"/>
        </w:rPr>
        <w:t xml:space="preserve"> la conception d</w:t>
      </w:r>
      <w:r w:rsidR="001519EC">
        <w:rPr>
          <w:lang w:val="fr-FR"/>
        </w:rPr>
        <w:t>u projet</w:t>
      </w:r>
      <w:r w:rsidR="00A87480">
        <w:rPr>
          <w:lang w:val="fr-FR"/>
        </w:rPr>
        <w:t>, et exprimé leur soutien pour son développement et sa mise en œuvre</w:t>
      </w:r>
      <w:r w:rsidR="001A0EC4">
        <w:rPr>
          <w:lang w:val="fr-FR"/>
        </w:rPr>
        <w:t>. L’Initiative mondiale a pour objectif d</w:t>
      </w:r>
      <w:r w:rsidR="009D0D84">
        <w:rPr>
          <w:lang w:val="fr-FR"/>
        </w:rPr>
        <w:t xml:space="preserve">’encourager le </w:t>
      </w:r>
      <w:r w:rsidR="009D0D84" w:rsidRPr="00B46BB6">
        <w:rPr>
          <w:lang w:val="fr-FR"/>
        </w:rPr>
        <w:t>développement et la plus grande efficacité des actions réalisées au niveau des pays en faveur de l’empl</w:t>
      </w:r>
      <w:r w:rsidR="009D0D84">
        <w:rPr>
          <w:lang w:val="fr-FR"/>
        </w:rPr>
        <w:t>oi décent des jeunes</w:t>
      </w:r>
      <w:r w:rsidR="001A0EC4">
        <w:rPr>
          <w:lang w:val="fr-FR"/>
        </w:rPr>
        <w:t xml:space="preserve">, à travers des partenariats entre les multiples parties prenantes, la diffusion de politiques </w:t>
      </w:r>
      <w:r w:rsidR="00077300">
        <w:rPr>
          <w:lang w:val="fr-FR"/>
        </w:rPr>
        <w:t>reposant sur</w:t>
      </w:r>
      <w:r w:rsidR="001A0EC4">
        <w:rPr>
          <w:lang w:val="fr-FR"/>
        </w:rPr>
        <w:t xml:space="preserve"> </w:t>
      </w:r>
      <w:r w:rsidR="002123CC">
        <w:rPr>
          <w:lang w:val="fr-FR"/>
        </w:rPr>
        <w:t>des données factuelles</w:t>
      </w:r>
      <w:r w:rsidR="001A0EC4">
        <w:rPr>
          <w:lang w:val="fr-FR"/>
        </w:rPr>
        <w:t xml:space="preserve"> et le déploiement d</w:t>
      </w:r>
      <w:r w:rsidR="002C5F57">
        <w:rPr>
          <w:lang w:val="fr-FR"/>
        </w:rPr>
        <w:t xml:space="preserve">e mesures </w:t>
      </w:r>
      <w:r w:rsidR="001A0EC4">
        <w:rPr>
          <w:lang w:val="fr-FR"/>
        </w:rPr>
        <w:t xml:space="preserve">efficaces et innovantes. </w:t>
      </w:r>
      <w:r w:rsidR="001A0EC4" w:rsidRPr="001A0EC4">
        <w:rPr>
          <w:lang w:val="fr-FR"/>
        </w:rPr>
        <w:t xml:space="preserve">Conçue autour d’une alliance stratégique entre </w:t>
      </w:r>
      <w:r w:rsidR="001A0EC4">
        <w:rPr>
          <w:lang w:val="fr-FR"/>
        </w:rPr>
        <w:t xml:space="preserve">de multiples </w:t>
      </w:r>
      <w:r w:rsidR="001A0EC4" w:rsidRPr="001A0EC4">
        <w:rPr>
          <w:lang w:val="fr-FR"/>
        </w:rPr>
        <w:t>group</w:t>
      </w:r>
      <w:r w:rsidR="001A0EC4">
        <w:rPr>
          <w:lang w:val="fr-FR"/>
        </w:rPr>
        <w:t>e</w:t>
      </w:r>
      <w:r w:rsidR="001A0EC4" w:rsidRPr="001A0EC4">
        <w:rPr>
          <w:lang w:val="fr-FR"/>
        </w:rPr>
        <w:t xml:space="preserve">s </w:t>
      </w:r>
      <w:r w:rsidR="001A0EC4">
        <w:rPr>
          <w:lang w:val="fr-FR"/>
        </w:rPr>
        <w:t xml:space="preserve">de sensibilisation </w:t>
      </w:r>
      <w:r w:rsidR="002C5F57">
        <w:rPr>
          <w:lang w:val="fr-FR"/>
        </w:rPr>
        <w:t xml:space="preserve">appartenant ou </w:t>
      </w:r>
      <w:r w:rsidR="00D879F1">
        <w:rPr>
          <w:lang w:val="fr-FR"/>
        </w:rPr>
        <w:t xml:space="preserve">non </w:t>
      </w:r>
      <w:r w:rsidR="002C5F57">
        <w:rPr>
          <w:lang w:val="fr-FR"/>
        </w:rPr>
        <w:t>au</w:t>
      </w:r>
      <w:r w:rsidR="001A0EC4">
        <w:rPr>
          <w:lang w:val="fr-FR"/>
        </w:rPr>
        <w:t xml:space="preserve"> système des Nations Unies, l’Initiative mondiale vise à </w:t>
      </w:r>
      <w:r w:rsidR="005D398E">
        <w:rPr>
          <w:lang w:val="fr-FR"/>
        </w:rPr>
        <w:t>optimiser l</w:t>
      </w:r>
      <w:r w:rsidR="001A0EC4">
        <w:rPr>
          <w:lang w:val="fr-FR"/>
        </w:rPr>
        <w:t xml:space="preserve">es investissements en faveur de l’emploi des jeunes et </w:t>
      </w:r>
      <w:r w:rsidR="002C5F57">
        <w:rPr>
          <w:lang w:val="fr-FR"/>
        </w:rPr>
        <w:t xml:space="preserve">à </w:t>
      </w:r>
      <w:r w:rsidR="001A0EC4">
        <w:rPr>
          <w:lang w:val="fr-FR"/>
        </w:rPr>
        <w:t>aider les États membres à respecter le Programme 2030.</w:t>
      </w:r>
    </w:p>
    <w:p w14:paraId="7705DDE9" w14:textId="5400E04D" w:rsidR="002767B4" w:rsidRPr="002767B4" w:rsidRDefault="002767B4" w:rsidP="003A0413">
      <w:pPr>
        <w:pStyle w:val="Para1"/>
        <w:numPr>
          <w:ilvl w:val="0"/>
          <w:numId w:val="21"/>
        </w:numPr>
        <w:tabs>
          <w:tab w:val="left" w:pos="540"/>
        </w:tabs>
        <w:spacing w:after="240"/>
        <w:ind w:left="0" w:right="0" w:firstLine="0"/>
        <w:rPr>
          <w:lang w:val="fr-FR"/>
        </w:rPr>
      </w:pPr>
      <w:r w:rsidRPr="002767B4">
        <w:rPr>
          <w:lang w:val="fr-FR"/>
        </w:rPr>
        <w:t xml:space="preserve">Afin de </w:t>
      </w:r>
      <w:r w:rsidR="002C5F57">
        <w:rPr>
          <w:lang w:val="fr-FR"/>
        </w:rPr>
        <w:t>stimuler</w:t>
      </w:r>
      <w:r w:rsidRPr="002767B4">
        <w:rPr>
          <w:lang w:val="fr-FR"/>
        </w:rPr>
        <w:t xml:space="preserve"> </w:t>
      </w:r>
      <w:r w:rsidR="005D398E">
        <w:rPr>
          <w:lang w:val="fr-FR"/>
        </w:rPr>
        <w:t xml:space="preserve">l’émergence </w:t>
      </w:r>
      <w:r w:rsidR="002C5F57">
        <w:rPr>
          <w:lang w:val="fr-FR"/>
        </w:rPr>
        <w:t>d</w:t>
      </w:r>
      <w:r w:rsidR="005D398E">
        <w:rPr>
          <w:lang w:val="fr-FR"/>
        </w:rPr>
        <w:t>’</w:t>
      </w:r>
      <w:r w:rsidR="002C5F57">
        <w:rPr>
          <w:lang w:val="fr-FR"/>
        </w:rPr>
        <w:t>idées nouvelles</w:t>
      </w:r>
      <w:r w:rsidRPr="002767B4">
        <w:rPr>
          <w:lang w:val="fr-FR"/>
        </w:rPr>
        <w:t xml:space="preserve"> dans l’entrepreneuriat et </w:t>
      </w:r>
      <w:r w:rsidR="002C5F57">
        <w:rPr>
          <w:lang w:val="fr-FR"/>
        </w:rPr>
        <w:t>le développement de</w:t>
      </w:r>
      <w:r>
        <w:rPr>
          <w:lang w:val="fr-FR"/>
        </w:rPr>
        <w:t xml:space="preserve"> moyens de subsistance, le Bureau des Nations Unies pour les services d’appui aux projets (UNOPS) </w:t>
      </w:r>
      <w:r w:rsidR="002C5F57">
        <w:rPr>
          <w:lang w:val="fr-FR"/>
        </w:rPr>
        <w:t xml:space="preserve">a </w:t>
      </w:r>
      <w:r w:rsidR="002C5F57" w:rsidRPr="005D398E">
        <w:rPr>
          <w:lang w:val="fr-FR"/>
        </w:rPr>
        <w:t>lancé</w:t>
      </w:r>
      <w:r w:rsidR="002C5F57">
        <w:rPr>
          <w:lang w:val="fr-FR"/>
        </w:rPr>
        <w:t xml:space="preserve"> un programme mondial </w:t>
      </w:r>
      <w:r w:rsidR="00A24C12">
        <w:rPr>
          <w:lang w:val="fr-FR"/>
        </w:rPr>
        <w:t>dans le but d’implanter</w:t>
      </w:r>
      <w:r>
        <w:rPr>
          <w:lang w:val="fr-FR"/>
        </w:rPr>
        <w:t xml:space="preserve"> des centres d’innovation partout dans le monde. </w:t>
      </w:r>
      <w:r w:rsidR="005D398E">
        <w:rPr>
          <w:lang w:val="fr-FR"/>
        </w:rPr>
        <w:t xml:space="preserve">En collaboration avec </w:t>
      </w:r>
      <w:r>
        <w:rPr>
          <w:lang w:val="fr-FR"/>
        </w:rPr>
        <w:t>de</w:t>
      </w:r>
      <w:r w:rsidR="005D398E">
        <w:rPr>
          <w:lang w:val="fr-FR"/>
        </w:rPr>
        <w:t>s</w:t>
      </w:r>
      <w:r>
        <w:rPr>
          <w:lang w:val="fr-FR"/>
        </w:rPr>
        <w:t xml:space="preserve"> partenaires </w:t>
      </w:r>
      <w:r w:rsidR="005D398E">
        <w:rPr>
          <w:lang w:val="fr-FR"/>
        </w:rPr>
        <w:t>internationaux</w:t>
      </w:r>
      <w:r>
        <w:rPr>
          <w:lang w:val="fr-FR"/>
        </w:rPr>
        <w:t xml:space="preserve"> </w:t>
      </w:r>
      <w:r w:rsidR="00A24C12">
        <w:rPr>
          <w:lang w:val="fr-FR"/>
        </w:rPr>
        <w:t>issus du monde de l’éducation</w:t>
      </w:r>
      <w:r>
        <w:rPr>
          <w:lang w:val="fr-FR"/>
        </w:rPr>
        <w:t>, de l’incubation</w:t>
      </w:r>
      <w:r w:rsidR="00A24C12">
        <w:rPr>
          <w:lang w:val="fr-FR"/>
        </w:rPr>
        <w:t xml:space="preserve"> d’entreprise</w:t>
      </w:r>
      <w:r>
        <w:rPr>
          <w:lang w:val="fr-FR"/>
        </w:rPr>
        <w:t xml:space="preserve">, de l’investissement et de l’administration, ces centres </w:t>
      </w:r>
      <w:r w:rsidR="005D398E">
        <w:rPr>
          <w:lang w:val="fr-FR"/>
        </w:rPr>
        <w:t>ont pour vocation d’</w:t>
      </w:r>
      <w:r>
        <w:rPr>
          <w:lang w:val="fr-FR"/>
        </w:rPr>
        <w:t xml:space="preserve">encourager </w:t>
      </w:r>
      <w:r w:rsidR="00D879F1">
        <w:rPr>
          <w:lang w:val="fr-FR"/>
        </w:rPr>
        <w:t xml:space="preserve">l’entrepreneuriat, </w:t>
      </w:r>
      <w:r>
        <w:rPr>
          <w:lang w:val="fr-FR"/>
        </w:rPr>
        <w:t xml:space="preserve">les programmes d’enseignement et les initiatives </w:t>
      </w:r>
      <w:r w:rsidR="00A24C12">
        <w:rPr>
          <w:lang w:val="fr-FR"/>
        </w:rPr>
        <w:t>novatrices</w:t>
      </w:r>
      <w:r w:rsidR="00EE3875">
        <w:rPr>
          <w:lang w:val="fr-FR"/>
        </w:rPr>
        <w:t xml:space="preserve"> </w:t>
      </w:r>
      <w:r w:rsidR="00A24C12">
        <w:rPr>
          <w:lang w:val="fr-FR"/>
        </w:rPr>
        <w:t>pour</w:t>
      </w:r>
      <w:r w:rsidR="00EE3875">
        <w:rPr>
          <w:lang w:val="fr-FR"/>
        </w:rPr>
        <w:t xml:space="preserve"> la promotion des objectifs de développement durable, notamment l’objectif 9, </w:t>
      </w:r>
      <w:r w:rsidR="00A24C12">
        <w:rPr>
          <w:lang w:val="fr-FR"/>
        </w:rPr>
        <w:t xml:space="preserve">relatif à </w:t>
      </w:r>
      <w:r w:rsidR="00EE3875">
        <w:rPr>
          <w:lang w:val="fr-FR"/>
        </w:rPr>
        <w:t xml:space="preserve">l’innovation. </w:t>
      </w:r>
      <w:r w:rsidR="005D398E">
        <w:rPr>
          <w:lang w:val="fr-FR"/>
        </w:rPr>
        <w:t xml:space="preserve">Aux côtés </w:t>
      </w:r>
      <w:r w:rsidR="00EE3875">
        <w:rPr>
          <w:lang w:val="fr-FR"/>
        </w:rPr>
        <w:t xml:space="preserve">d’autres </w:t>
      </w:r>
      <w:r w:rsidR="00D879F1">
        <w:rPr>
          <w:lang w:val="fr-FR"/>
        </w:rPr>
        <w:t xml:space="preserve">organismes </w:t>
      </w:r>
      <w:r w:rsidR="00EE3875">
        <w:rPr>
          <w:lang w:val="fr-FR"/>
        </w:rPr>
        <w:t xml:space="preserve">tels que </w:t>
      </w:r>
      <w:r w:rsidR="00EE3875" w:rsidRPr="00B46BB6">
        <w:rPr>
          <w:lang w:val="fr-FR"/>
        </w:rPr>
        <w:t>le Programme des Nations Unies pour l’environnement, l’UNICEF et ONU</w:t>
      </w:r>
      <w:r w:rsidR="008A4542">
        <w:rPr>
          <w:lang w:val="fr-FR"/>
        </w:rPr>
        <w:t>-</w:t>
      </w:r>
      <w:r w:rsidR="00EE3875" w:rsidRPr="00B46BB6">
        <w:rPr>
          <w:lang w:val="fr-FR"/>
        </w:rPr>
        <w:t>Femmes, l’UNOPS</w:t>
      </w:r>
      <w:r w:rsidR="00EE3875">
        <w:rPr>
          <w:lang w:val="fr-FR"/>
        </w:rPr>
        <w:t xml:space="preserve"> s’est engagé à </w:t>
      </w:r>
      <w:r w:rsidR="00A24C12">
        <w:rPr>
          <w:lang w:val="fr-FR"/>
        </w:rPr>
        <w:t>cibler</w:t>
      </w:r>
      <w:r w:rsidR="00EE3875">
        <w:rPr>
          <w:lang w:val="fr-FR"/>
        </w:rPr>
        <w:t xml:space="preserve"> les jeunes, notamment les jeunes femmes </w:t>
      </w:r>
      <w:r w:rsidR="00EE3875">
        <w:rPr>
          <w:lang w:val="fr-FR"/>
        </w:rPr>
        <w:lastRenderedPageBreak/>
        <w:t xml:space="preserve">entrepreneurs. </w:t>
      </w:r>
      <w:r w:rsidR="00A24C12">
        <w:rPr>
          <w:lang w:val="fr-FR"/>
        </w:rPr>
        <w:t xml:space="preserve">Il </w:t>
      </w:r>
      <w:r w:rsidR="00216641">
        <w:rPr>
          <w:lang w:val="fr-FR"/>
        </w:rPr>
        <w:t>bénéficie d’une longue expérience de coopération fructueuse avec</w:t>
      </w:r>
      <w:r w:rsidR="00EE3875">
        <w:rPr>
          <w:lang w:val="fr-FR"/>
        </w:rPr>
        <w:t xml:space="preserve"> d’autres </w:t>
      </w:r>
      <w:r w:rsidR="00D879F1">
        <w:rPr>
          <w:lang w:val="fr-FR"/>
        </w:rPr>
        <w:t xml:space="preserve">organismes </w:t>
      </w:r>
      <w:r w:rsidR="00EE3875">
        <w:rPr>
          <w:lang w:val="fr-FR"/>
        </w:rPr>
        <w:t>et partenaires de développement des Nations Unies</w:t>
      </w:r>
      <w:r w:rsidR="00216641">
        <w:rPr>
          <w:lang w:val="fr-FR"/>
        </w:rPr>
        <w:t>,</w:t>
      </w:r>
      <w:r w:rsidR="00EE3875">
        <w:rPr>
          <w:lang w:val="fr-FR"/>
        </w:rPr>
        <w:t xml:space="preserve"> </w:t>
      </w:r>
      <w:r w:rsidR="008D67D2">
        <w:rPr>
          <w:lang w:val="fr-FR"/>
        </w:rPr>
        <w:t>dans</w:t>
      </w:r>
      <w:r w:rsidR="00216641">
        <w:rPr>
          <w:lang w:val="fr-FR"/>
        </w:rPr>
        <w:t xml:space="preserve"> </w:t>
      </w:r>
      <w:r w:rsidR="00EE3875">
        <w:rPr>
          <w:lang w:val="fr-FR"/>
        </w:rPr>
        <w:t xml:space="preserve">la construction d’écoles pour </w:t>
      </w:r>
      <w:r w:rsidR="00B46BB6" w:rsidRPr="00B46BB6">
        <w:rPr>
          <w:lang w:val="fr-FR"/>
        </w:rPr>
        <w:t>assurer</w:t>
      </w:r>
      <w:r w:rsidR="00B46BB6">
        <w:rPr>
          <w:lang w:val="fr-FR"/>
        </w:rPr>
        <w:t xml:space="preserve"> aux enfants l’accès à l’éducation</w:t>
      </w:r>
      <w:r w:rsidR="00EE3875">
        <w:rPr>
          <w:lang w:val="fr-FR"/>
        </w:rPr>
        <w:t xml:space="preserve"> au niveau local, notamment en Jordanie, en Serbie</w:t>
      </w:r>
      <w:r w:rsidR="00216641">
        <w:rPr>
          <w:lang w:val="fr-FR"/>
        </w:rPr>
        <w:t>,</w:t>
      </w:r>
      <w:r w:rsidR="00EE3875">
        <w:rPr>
          <w:lang w:val="fr-FR"/>
        </w:rPr>
        <w:t xml:space="preserve"> au Soudan du Sud et au Sri Lanka. L’UNOPS </w:t>
      </w:r>
      <w:r w:rsidR="00216641">
        <w:rPr>
          <w:lang w:val="fr-FR"/>
        </w:rPr>
        <w:t>s’intéresse également aux problèmes des jeunes et d</w:t>
      </w:r>
      <w:r w:rsidR="00421AC6">
        <w:rPr>
          <w:lang w:val="fr-FR"/>
        </w:rPr>
        <w:t>e l’égalité des sexes</w:t>
      </w:r>
      <w:r w:rsidR="00EE3875">
        <w:rPr>
          <w:lang w:val="fr-FR"/>
        </w:rPr>
        <w:t xml:space="preserve"> dans </w:t>
      </w:r>
      <w:r w:rsidR="00216641">
        <w:rPr>
          <w:lang w:val="fr-FR"/>
        </w:rPr>
        <w:t>le domaine d</w:t>
      </w:r>
      <w:r w:rsidR="00EE3875">
        <w:rPr>
          <w:lang w:val="fr-FR"/>
        </w:rPr>
        <w:t xml:space="preserve">es </w:t>
      </w:r>
      <w:r w:rsidR="00216641">
        <w:rPr>
          <w:lang w:val="fr-FR"/>
        </w:rPr>
        <w:t>équipements</w:t>
      </w:r>
      <w:r w:rsidR="00EE3875">
        <w:rPr>
          <w:lang w:val="fr-FR"/>
        </w:rPr>
        <w:t xml:space="preserve"> </w:t>
      </w:r>
      <w:r w:rsidR="00FB4A5A">
        <w:rPr>
          <w:lang w:val="fr-FR"/>
        </w:rPr>
        <w:t>et de</w:t>
      </w:r>
      <w:r w:rsidR="00216641">
        <w:rPr>
          <w:lang w:val="fr-FR"/>
        </w:rPr>
        <w:t>s</w:t>
      </w:r>
      <w:r w:rsidR="00FB4A5A">
        <w:rPr>
          <w:lang w:val="fr-FR"/>
        </w:rPr>
        <w:t xml:space="preserve"> services sociaux, </w:t>
      </w:r>
      <w:r w:rsidR="00216641">
        <w:rPr>
          <w:lang w:val="fr-FR"/>
        </w:rPr>
        <w:t xml:space="preserve">notamment à travers </w:t>
      </w:r>
      <w:r w:rsidR="00FB4A5A">
        <w:rPr>
          <w:lang w:val="fr-FR"/>
        </w:rPr>
        <w:t>l</w:t>
      </w:r>
      <w:r w:rsidR="005D398E">
        <w:rPr>
          <w:lang w:val="fr-FR"/>
        </w:rPr>
        <w:t xml:space="preserve">’installation </w:t>
      </w:r>
      <w:r w:rsidR="00FB4A5A">
        <w:rPr>
          <w:lang w:val="fr-FR"/>
        </w:rPr>
        <w:t xml:space="preserve">de toilettes séparées pour les filles et les garçons dans les écoles (le partage des </w:t>
      </w:r>
      <w:r w:rsidR="008D67D2">
        <w:rPr>
          <w:lang w:val="fr-FR"/>
        </w:rPr>
        <w:t>sanitaires</w:t>
      </w:r>
      <w:r w:rsidR="00FB4A5A">
        <w:rPr>
          <w:lang w:val="fr-FR"/>
        </w:rPr>
        <w:t xml:space="preserve"> étant souvent cité comme l’une des raisons de décrochage scolaire</w:t>
      </w:r>
      <w:r w:rsidR="00022F6C">
        <w:rPr>
          <w:lang w:val="fr-FR"/>
        </w:rPr>
        <w:t xml:space="preserve"> des filles</w:t>
      </w:r>
      <w:r w:rsidR="00FB4A5A">
        <w:rPr>
          <w:lang w:val="fr-FR"/>
        </w:rPr>
        <w:t xml:space="preserve"> dans de nombreux pays), ainsi que l’intégration des données relatives aux jeunes et </w:t>
      </w:r>
      <w:r w:rsidR="00421AC6">
        <w:rPr>
          <w:lang w:val="fr-FR"/>
        </w:rPr>
        <w:t>à l’égalité des sexes</w:t>
      </w:r>
      <w:r w:rsidR="00FB4A5A">
        <w:rPr>
          <w:lang w:val="fr-FR"/>
        </w:rPr>
        <w:t xml:space="preserve"> dans la conception des infrastructures</w:t>
      </w:r>
      <w:r w:rsidR="00216641">
        <w:rPr>
          <w:lang w:val="fr-FR"/>
        </w:rPr>
        <w:t>,</w:t>
      </w:r>
      <w:r w:rsidR="00FB4A5A">
        <w:rPr>
          <w:lang w:val="fr-FR"/>
        </w:rPr>
        <w:t xml:space="preserve"> pour aider les gouvernements à adopter de</w:t>
      </w:r>
      <w:r w:rsidR="00216641">
        <w:rPr>
          <w:lang w:val="fr-FR"/>
        </w:rPr>
        <w:t>s</w:t>
      </w:r>
      <w:r w:rsidR="00FB4A5A">
        <w:rPr>
          <w:lang w:val="fr-FR"/>
        </w:rPr>
        <w:t xml:space="preserve"> processus et </w:t>
      </w:r>
      <w:r w:rsidR="00216641">
        <w:rPr>
          <w:lang w:val="fr-FR"/>
        </w:rPr>
        <w:t xml:space="preserve">des </w:t>
      </w:r>
      <w:r w:rsidR="00FB4A5A">
        <w:rPr>
          <w:lang w:val="fr-FR"/>
        </w:rPr>
        <w:t xml:space="preserve">décisions </w:t>
      </w:r>
      <w:r w:rsidR="00216641">
        <w:rPr>
          <w:lang w:val="fr-FR"/>
        </w:rPr>
        <w:t>plus favorables</w:t>
      </w:r>
      <w:r w:rsidR="00FB4A5A">
        <w:rPr>
          <w:lang w:val="fr-FR"/>
        </w:rPr>
        <w:t xml:space="preserve"> </w:t>
      </w:r>
      <w:r w:rsidR="00216641">
        <w:rPr>
          <w:lang w:val="fr-FR"/>
        </w:rPr>
        <w:t>à</w:t>
      </w:r>
      <w:r w:rsidR="00FB4A5A">
        <w:rPr>
          <w:lang w:val="fr-FR"/>
        </w:rPr>
        <w:t xml:space="preserve"> l</w:t>
      </w:r>
      <w:r w:rsidR="00421AC6">
        <w:rPr>
          <w:lang w:val="fr-FR"/>
        </w:rPr>
        <w:t xml:space="preserve">’aménagement </w:t>
      </w:r>
      <w:r w:rsidR="00FB4A5A">
        <w:rPr>
          <w:lang w:val="fr-FR"/>
        </w:rPr>
        <w:t xml:space="preserve">et </w:t>
      </w:r>
      <w:r w:rsidR="00216641">
        <w:rPr>
          <w:lang w:val="fr-FR"/>
        </w:rPr>
        <w:t>au</w:t>
      </w:r>
      <w:r w:rsidR="00FB4A5A">
        <w:rPr>
          <w:lang w:val="fr-FR"/>
        </w:rPr>
        <w:t xml:space="preserve"> développement d</w:t>
      </w:r>
      <w:r w:rsidR="00216641">
        <w:rPr>
          <w:lang w:val="fr-FR"/>
        </w:rPr>
        <w:t>’</w:t>
      </w:r>
      <w:r w:rsidR="00421AC6">
        <w:rPr>
          <w:lang w:val="fr-FR"/>
        </w:rPr>
        <w:t>équipements</w:t>
      </w:r>
      <w:r w:rsidR="00FB4A5A">
        <w:rPr>
          <w:lang w:val="fr-FR"/>
        </w:rPr>
        <w:t xml:space="preserve"> durables. </w:t>
      </w:r>
    </w:p>
    <w:p w14:paraId="2D4CC954" w14:textId="40A9CBC1" w:rsidR="00FB4A5A" w:rsidRPr="00FB4A5A" w:rsidRDefault="00FB4A5A" w:rsidP="003A0413">
      <w:pPr>
        <w:pStyle w:val="Para1"/>
        <w:numPr>
          <w:ilvl w:val="0"/>
          <w:numId w:val="21"/>
        </w:numPr>
        <w:tabs>
          <w:tab w:val="left" w:pos="540"/>
        </w:tabs>
        <w:spacing w:after="240"/>
        <w:ind w:left="0" w:right="0" w:firstLine="0"/>
        <w:rPr>
          <w:lang w:val="fr-FR"/>
        </w:rPr>
      </w:pPr>
      <w:r w:rsidRPr="00FB4A5A">
        <w:rPr>
          <w:lang w:val="fr-FR"/>
        </w:rPr>
        <w:t xml:space="preserve">Pour répondre </w:t>
      </w:r>
      <w:r w:rsidR="00022F6C">
        <w:rPr>
          <w:lang w:val="fr-FR"/>
        </w:rPr>
        <w:t>aux disparités entre les</w:t>
      </w:r>
      <w:r w:rsidRPr="00FB4A5A">
        <w:rPr>
          <w:lang w:val="fr-FR"/>
        </w:rPr>
        <w:t xml:space="preserve"> sexe</w:t>
      </w:r>
      <w:r w:rsidR="00421AC6">
        <w:rPr>
          <w:lang w:val="fr-FR"/>
        </w:rPr>
        <w:t>s</w:t>
      </w:r>
      <w:r w:rsidRPr="00FB4A5A">
        <w:rPr>
          <w:lang w:val="fr-FR"/>
        </w:rPr>
        <w:t xml:space="preserve"> dans l’éducation, l’UNESCO, le FNUAP et ONU</w:t>
      </w:r>
      <w:r w:rsidR="008A4542">
        <w:rPr>
          <w:lang w:val="fr-FR"/>
        </w:rPr>
        <w:t>-</w:t>
      </w:r>
      <w:r w:rsidRPr="00FB4A5A">
        <w:rPr>
          <w:lang w:val="fr-FR"/>
        </w:rPr>
        <w:t>Femmes</w:t>
      </w:r>
      <w:r>
        <w:rPr>
          <w:lang w:val="fr-FR"/>
        </w:rPr>
        <w:t xml:space="preserve"> </w:t>
      </w:r>
      <w:r w:rsidR="008D67D2">
        <w:rPr>
          <w:lang w:val="fr-FR"/>
        </w:rPr>
        <w:t>s</w:t>
      </w:r>
      <w:r>
        <w:rPr>
          <w:lang w:val="fr-FR"/>
        </w:rPr>
        <w:t xml:space="preserve">ont </w:t>
      </w:r>
      <w:r w:rsidR="008D67D2">
        <w:rPr>
          <w:lang w:val="fr-FR"/>
        </w:rPr>
        <w:t>à l’origine</w:t>
      </w:r>
      <w:r>
        <w:rPr>
          <w:lang w:val="fr-FR"/>
        </w:rPr>
        <w:t xml:space="preserve"> </w:t>
      </w:r>
      <w:r w:rsidR="008D67D2">
        <w:rPr>
          <w:lang w:val="fr-FR"/>
        </w:rPr>
        <w:t>du</w:t>
      </w:r>
      <w:r>
        <w:rPr>
          <w:lang w:val="fr-FR"/>
        </w:rPr>
        <w:t xml:space="preserve"> Programme conjoint pour l’autonomisation des adolescentes et des jeunes femmes par l’éducation, destiné à promouvoir l’éducation et l’autonomisation des filles grâce à une approche multisectorielle. Dans le cadre du Partenariat mondial pour l’éducation des filles et des femmes </w:t>
      </w:r>
      <w:r w:rsidR="007A7A5E">
        <w:rPr>
          <w:lang w:val="fr-FR"/>
        </w:rPr>
        <w:t xml:space="preserve">(Une vie meilleure, un avenir meilleur), le Programme conjoint a pour objectif d’investir dans le secteur de l’éducation, mais également de renforcer les liens avec le secteur de la santé et d’autres secteurs pertinents afin de mieux autonomiser les femmes et les filles et de contribuer à la réalisation du Programme 2030. Sur une période initiale de cinq ans (2016-2021), il </w:t>
      </w:r>
      <w:r w:rsidR="003F4D63">
        <w:rPr>
          <w:lang w:val="fr-FR"/>
        </w:rPr>
        <w:t>entend cibler</w:t>
      </w:r>
      <w:r w:rsidR="007A7A5E">
        <w:rPr>
          <w:lang w:val="fr-FR"/>
        </w:rPr>
        <w:t xml:space="preserve"> les adolescentes (10-19 ans) et les jeunes femmes (20-24 ans) dans le plus </w:t>
      </w:r>
      <w:r w:rsidR="00421AC6">
        <w:rPr>
          <w:lang w:val="fr-FR"/>
        </w:rPr>
        <w:t xml:space="preserve">grand nombre possible </w:t>
      </w:r>
      <w:r w:rsidR="007A7A5E">
        <w:rPr>
          <w:lang w:val="fr-FR"/>
        </w:rPr>
        <w:t>de pays où les obstacles à leur éducation restent considérables.</w:t>
      </w:r>
    </w:p>
    <w:p w14:paraId="10FF180D" w14:textId="07E29AC4" w:rsidR="007A7A5E" w:rsidRPr="007A7A5E" w:rsidRDefault="007A7A5E" w:rsidP="003A0413">
      <w:pPr>
        <w:pStyle w:val="Para1"/>
        <w:numPr>
          <w:ilvl w:val="0"/>
          <w:numId w:val="21"/>
        </w:numPr>
        <w:tabs>
          <w:tab w:val="left" w:pos="540"/>
        </w:tabs>
        <w:spacing w:after="240"/>
        <w:ind w:left="0" w:right="0" w:firstLine="0"/>
        <w:rPr>
          <w:lang w:val="fr-FR"/>
        </w:rPr>
      </w:pPr>
      <w:r w:rsidRPr="007A7A5E">
        <w:rPr>
          <w:lang w:val="fr-FR"/>
        </w:rPr>
        <w:t>Reconna</w:t>
      </w:r>
      <w:r>
        <w:rPr>
          <w:lang w:val="fr-FR"/>
        </w:rPr>
        <w:t xml:space="preserve">issant aujourd’hui </w:t>
      </w:r>
      <w:r w:rsidRPr="007A7A5E">
        <w:rPr>
          <w:lang w:val="fr-FR"/>
        </w:rPr>
        <w:t>les adolescents com</w:t>
      </w:r>
      <w:r>
        <w:rPr>
          <w:lang w:val="fr-FR"/>
        </w:rPr>
        <w:t>me</w:t>
      </w:r>
      <w:r w:rsidRPr="007A7A5E">
        <w:rPr>
          <w:lang w:val="fr-FR"/>
        </w:rPr>
        <w:t xml:space="preserve"> des a</w:t>
      </w:r>
      <w:r>
        <w:rPr>
          <w:lang w:val="fr-FR"/>
        </w:rPr>
        <w:t xml:space="preserve">cteurs majeurs du changement, </w:t>
      </w:r>
      <w:r w:rsidR="003F4D63">
        <w:rPr>
          <w:lang w:val="fr-FR"/>
        </w:rPr>
        <w:t>confrontés à</w:t>
      </w:r>
      <w:r>
        <w:rPr>
          <w:lang w:val="fr-FR"/>
        </w:rPr>
        <w:t xml:space="preserve"> des besoins et des défis uniques</w:t>
      </w:r>
      <w:r w:rsidR="001906F5">
        <w:rPr>
          <w:lang w:val="fr-FR"/>
        </w:rPr>
        <w:t>, la nouvelle Stratégie mondiale pour la santé de la femme, de l’enfant et de l’adolescent</w:t>
      </w:r>
      <w:r w:rsidR="003F4D63">
        <w:rPr>
          <w:lang w:val="fr-FR"/>
        </w:rPr>
        <w:t> </w:t>
      </w:r>
      <w:r w:rsidR="001906F5">
        <w:rPr>
          <w:lang w:val="fr-FR"/>
        </w:rPr>
        <w:t xml:space="preserve">2016-2030, qui </w:t>
      </w:r>
      <w:r w:rsidR="003F4D63">
        <w:rPr>
          <w:lang w:val="fr-FR"/>
        </w:rPr>
        <w:t>s’inscrit dans</w:t>
      </w:r>
      <w:r w:rsidR="001906F5">
        <w:rPr>
          <w:lang w:val="fr-FR"/>
        </w:rPr>
        <w:t xml:space="preserve"> la campagne Chaque femme, chaque enfant, accorde désormais une attention particulière à la santé des adolescents, composante clé de </w:t>
      </w:r>
      <w:r w:rsidR="003F4D63">
        <w:rPr>
          <w:lang w:val="fr-FR"/>
        </w:rPr>
        <w:t xml:space="preserve">son </w:t>
      </w:r>
      <w:r w:rsidR="001906F5">
        <w:rPr>
          <w:lang w:val="fr-FR"/>
        </w:rPr>
        <w:t xml:space="preserve">approche axée sur le parcours de vie. En mettant les femmes, les enfants et les adolescents au cœur du programme de développement durable, </w:t>
      </w:r>
      <w:r w:rsidR="008D67D2">
        <w:rPr>
          <w:lang w:val="fr-FR"/>
        </w:rPr>
        <w:t>cette</w:t>
      </w:r>
      <w:r w:rsidR="001906F5">
        <w:rPr>
          <w:lang w:val="fr-FR"/>
        </w:rPr>
        <w:t xml:space="preserve"> stratégie fournit aux pays une feuille de route pour qu’ils puissent commencer à mettre en œuvre les objectifs de développement durable, en veillant à ce que ces groupes non seulement survivent mais aussi s’épano</w:t>
      </w:r>
      <w:r w:rsidR="003F4D63">
        <w:rPr>
          <w:lang w:val="fr-FR"/>
        </w:rPr>
        <w:t xml:space="preserve">uissent </w:t>
      </w:r>
      <w:r w:rsidR="001906F5">
        <w:rPr>
          <w:lang w:val="fr-FR"/>
        </w:rPr>
        <w:t>e</w:t>
      </w:r>
      <w:r w:rsidR="003F4D63">
        <w:rPr>
          <w:lang w:val="fr-FR"/>
        </w:rPr>
        <w:t>t transforme</w:t>
      </w:r>
      <w:r w:rsidR="001906F5">
        <w:rPr>
          <w:lang w:val="fr-FR"/>
        </w:rPr>
        <w:t>nt, à leur tour, leurs communautés. En adoptant une approche complète, fondée sur le parcours de vie, la Stratégie mondiale reconn</w:t>
      </w:r>
      <w:r w:rsidR="00B14021">
        <w:rPr>
          <w:lang w:val="fr-FR"/>
        </w:rPr>
        <w:t xml:space="preserve">aît le caractère multidimensionnel du développement humain et justifie </w:t>
      </w:r>
      <w:r w:rsidR="003F4D63">
        <w:rPr>
          <w:lang w:val="fr-FR"/>
        </w:rPr>
        <w:t>la contribution d</w:t>
      </w:r>
      <w:r w:rsidR="00B14021">
        <w:rPr>
          <w:lang w:val="fr-FR"/>
        </w:rPr>
        <w:t xml:space="preserve">es déterminants socioéconomiques de la santé et du bien-être </w:t>
      </w:r>
      <w:r w:rsidR="003F4D63">
        <w:rPr>
          <w:lang w:val="fr-FR"/>
        </w:rPr>
        <w:t>à la</w:t>
      </w:r>
      <w:r w:rsidR="00B14021">
        <w:rPr>
          <w:lang w:val="fr-FR"/>
        </w:rPr>
        <w:t xml:space="preserve"> libér</w:t>
      </w:r>
      <w:r w:rsidR="003F4D63">
        <w:rPr>
          <w:lang w:val="fr-FR"/>
        </w:rPr>
        <w:t>ation</w:t>
      </w:r>
      <w:r w:rsidR="00B14021">
        <w:rPr>
          <w:lang w:val="fr-FR"/>
        </w:rPr>
        <w:t xml:space="preserve"> </w:t>
      </w:r>
      <w:r w:rsidR="003F4D63">
        <w:rPr>
          <w:lang w:val="fr-FR"/>
        </w:rPr>
        <w:t>du</w:t>
      </w:r>
      <w:r w:rsidR="00B14021">
        <w:rPr>
          <w:lang w:val="fr-FR"/>
        </w:rPr>
        <w:t xml:space="preserve"> plein potentiel des individus et </w:t>
      </w:r>
      <w:r w:rsidR="003F4D63">
        <w:rPr>
          <w:lang w:val="fr-FR"/>
        </w:rPr>
        <w:t xml:space="preserve">à la </w:t>
      </w:r>
      <w:r w:rsidR="00B14021">
        <w:rPr>
          <w:lang w:val="fr-FR"/>
        </w:rPr>
        <w:t>constru</w:t>
      </w:r>
      <w:r w:rsidR="003F4D63">
        <w:rPr>
          <w:lang w:val="fr-FR"/>
        </w:rPr>
        <w:t>ction</w:t>
      </w:r>
      <w:r w:rsidR="00B14021">
        <w:rPr>
          <w:lang w:val="fr-FR"/>
        </w:rPr>
        <w:t xml:space="preserve"> de sociétés résilientes. </w:t>
      </w:r>
    </w:p>
    <w:p w14:paraId="6AA5D1CD" w14:textId="41D10969" w:rsidR="00B14021" w:rsidRPr="00B14021" w:rsidRDefault="00B14021" w:rsidP="003A0413">
      <w:pPr>
        <w:pStyle w:val="Para1"/>
        <w:numPr>
          <w:ilvl w:val="0"/>
          <w:numId w:val="21"/>
        </w:numPr>
        <w:tabs>
          <w:tab w:val="left" w:pos="540"/>
        </w:tabs>
        <w:spacing w:after="240"/>
        <w:ind w:left="0" w:right="0" w:firstLine="0"/>
        <w:rPr>
          <w:lang w:val="fr-FR"/>
        </w:rPr>
      </w:pPr>
      <w:r w:rsidRPr="00B14021">
        <w:rPr>
          <w:lang w:val="fr-FR"/>
        </w:rPr>
        <w:t xml:space="preserve">En 2016, le FNUAP et l’UNICEF ont </w:t>
      </w:r>
      <w:r w:rsidRPr="008D67D2">
        <w:rPr>
          <w:lang w:val="fr-FR"/>
        </w:rPr>
        <w:t>lanc</w:t>
      </w:r>
      <w:r w:rsidR="003F4D63" w:rsidRPr="008D67D2">
        <w:rPr>
          <w:lang w:val="fr-FR"/>
        </w:rPr>
        <w:t>é</w:t>
      </w:r>
      <w:r w:rsidRPr="00B14021">
        <w:rPr>
          <w:lang w:val="fr-FR"/>
        </w:rPr>
        <w:t xml:space="preserve"> le Programme mondial </w:t>
      </w:r>
      <w:r>
        <w:rPr>
          <w:lang w:val="fr-FR"/>
        </w:rPr>
        <w:t xml:space="preserve">pour accélérer </w:t>
      </w:r>
      <w:r w:rsidRPr="00B14021">
        <w:rPr>
          <w:lang w:val="fr-FR"/>
        </w:rPr>
        <w:t>l</w:t>
      </w:r>
      <w:r>
        <w:rPr>
          <w:lang w:val="fr-FR"/>
        </w:rPr>
        <w:t>’</w:t>
      </w:r>
      <w:r w:rsidRPr="00B14021">
        <w:rPr>
          <w:lang w:val="fr-FR"/>
        </w:rPr>
        <w:t xml:space="preserve">action </w:t>
      </w:r>
      <w:r>
        <w:rPr>
          <w:lang w:val="fr-FR"/>
        </w:rPr>
        <w:t xml:space="preserve">contre le mariage d’enfants, </w:t>
      </w:r>
      <w:r w:rsidR="007B66B4">
        <w:rPr>
          <w:lang w:val="fr-FR"/>
        </w:rPr>
        <w:t>qui concerne plus</w:t>
      </w:r>
      <w:r>
        <w:rPr>
          <w:lang w:val="fr-FR"/>
        </w:rPr>
        <w:t xml:space="preserve"> de 2,5 millions de filles dans 15 pays. Le programme identifie les actions existant au sein des systèmes de santé, d’éducation et de protection sociale pour combattre les principaux facteurs du mariage d’enfants, tels que le </w:t>
      </w:r>
      <w:r w:rsidRPr="00B46BB6">
        <w:rPr>
          <w:lang w:val="fr-FR"/>
        </w:rPr>
        <w:t>décrochage scolaire,</w:t>
      </w:r>
      <w:r>
        <w:rPr>
          <w:lang w:val="fr-FR"/>
        </w:rPr>
        <w:t xml:space="preserve"> les grossesses précoces et la pauvreté, et permettre à davantage de filles de profiter pleinement de leur enfance sans risque d</w:t>
      </w:r>
      <w:r w:rsidR="007B66B4">
        <w:rPr>
          <w:lang w:val="fr-FR"/>
        </w:rPr>
        <w:t xml:space="preserve">’être mariées, </w:t>
      </w:r>
      <w:r>
        <w:rPr>
          <w:lang w:val="fr-FR"/>
        </w:rPr>
        <w:t xml:space="preserve">de </w:t>
      </w:r>
      <w:r w:rsidR="009E51EB">
        <w:rPr>
          <w:lang w:val="fr-FR"/>
        </w:rPr>
        <w:t>mener</w:t>
      </w:r>
      <w:r>
        <w:rPr>
          <w:lang w:val="fr-FR"/>
        </w:rPr>
        <w:t xml:space="preserve"> une vie plus saine, plus sûre et plus autonome</w:t>
      </w:r>
      <w:r w:rsidR="00BF49CF">
        <w:rPr>
          <w:lang w:val="fr-FR"/>
        </w:rPr>
        <w:t>, de prendre des décisions concernant leur éducation, leurs relations, leur sexualité, le mariage et la procréation. En 2016, le Programme mondial a touché plus d’un million de filles</w:t>
      </w:r>
      <w:r w:rsidR="007B66B4">
        <w:rPr>
          <w:lang w:val="fr-FR"/>
        </w:rPr>
        <w:t xml:space="preserve">, en soutenant </w:t>
      </w:r>
      <w:r w:rsidR="00BF49CF">
        <w:rPr>
          <w:lang w:val="fr-FR"/>
        </w:rPr>
        <w:t xml:space="preserve">l’apprentissage des compétences essentielles et la fréquentation des écoles, et a </w:t>
      </w:r>
      <w:r w:rsidR="007B66B4">
        <w:rPr>
          <w:lang w:val="fr-FR"/>
        </w:rPr>
        <w:t xml:space="preserve">aidé </w:t>
      </w:r>
      <w:r w:rsidR="00BF49CF">
        <w:rPr>
          <w:lang w:val="fr-FR"/>
        </w:rPr>
        <w:t xml:space="preserve">plus de 7 550 écoles </w:t>
      </w:r>
      <w:r w:rsidR="007B66B4">
        <w:rPr>
          <w:lang w:val="fr-FR"/>
        </w:rPr>
        <w:t>à</w:t>
      </w:r>
      <w:r w:rsidR="00BF49CF">
        <w:rPr>
          <w:lang w:val="fr-FR"/>
        </w:rPr>
        <w:t xml:space="preserve"> améliorer la qualité de l’éducation pour les adolescentes. </w:t>
      </w:r>
    </w:p>
    <w:p w14:paraId="6953E4DC" w14:textId="4CFA8686" w:rsidR="00BF49CF" w:rsidRPr="00BF49CF" w:rsidRDefault="00BF49CF" w:rsidP="003A0413">
      <w:pPr>
        <w:pStyle w:val="Para1"/>
        <w:numPr>
          <w:ilvl w:val="0"/>
          <w:numId w:val="21"/>
        </w:numPr>
        <w:tabs>
          <w:tab w:val="left" w:pos="540"/>
        </w:tabs>
        <w:spacing w:after="240"/>
        <w:ind w:left="0" w:right="0" w:firstLine="0"/>
        <w:rPr>
          <w:lang w:val="fr-FR"/>
        </w:rPr>
      </w:pPr>
      <w:r w:rsidRPr="00BF49CF">
        <w:rPr>
          <w:lang w:val="fr-FR"/>
        </w:rPr>
        <w:t xml:space="preserve">Le rôle majeur </w:t>
      </w:r>
      <w:r w:rsidR="007B66B4">
        <w:rPr>
          <w:lang w:val="fr-FR"/>
        </w:rPr>
        <w:t>joué par l</w:t>
      </w:r>
      <w:r w:rsidRPr="00BF49CF">
        <w:rPr>
          <w:lang w:val="fr-FR"/>
        </w:rPr>
        <w:t>es jeunes dans la cons</w:t>
      </w:r>
      <w:r w:rsidR="007B66B4">
        <w:rPr>
          <w:lang w:val="fr-FR"/>
        </w:rPr>
        <w:t>olidation</w:t>
      </w:r>
      <w:r w:rsidRPr="00BF49CF">
        <w:rPr>
          <w:lang w:val="fr-FR"/>
        </w:rPr>
        <w:t xml:space="preserve"> de la paix transpara</w:t>
      </w:r>
      <w:r>
        <w:rPr>
          <w:lang w:val="fr-FR"/>
        </w:rPr>
        <w:t>ît dans la résolution 2250 du Conseil de sécurité</w:t>
      </w:r>
      <w:r w:rsidR="007B66B4">
        <w:rPr>
          <w:lang w:val="fr-FR"/>
        </w:rPr>
        <w:t>,</w:t>
      </w:r>
      <w:r>
        <w:rPr>
          <w:lang w:val="fr-FR"/>
        </w:rPr>
        <w:t xml:space="preserve"> adoptée en décembre 2015, qui reconnaît qu’une </w:t>
      </w:r>
      <w:r w:rsidR="007B66B4">
        <w:rPr>
          <w:lang w:val="fr-FR"/>
        </w:rPr>
        <w:t xml:space="preserve">population comptant un grand nombre </w:t>
      </w:r>
      <w:r>
        <w:rPr>
          <w:lang w:val="fr-FR"/>
        </w:rPr>
        <w:t xml:space="preserve">de jeunes </w:t>
      </w:r>
      <w:r w:rsidR="007B66B4">
        <w:rPr>
          <w:lang w:val="fr-FR"/>
        </w:rPr>
        <w:t>présente</w:t>
      </w:r>
      <w:r>
        <w:rPr>
          <w:lang w:val="fr-FR"/>
        </w:rPr>
        <w:t xml:space="preserve"> un dividende démographique unique qui peut contribuer à une paix durable et à la prospérité économique si des politiques inclusives sont mises en </w:t>
      </w:r>
      <w:r>
        <w:rPr>
          <w:lang w:val="fr-FR"/>
        </w:rPr>
        <w:lastRenderedPageBreak/>
        <w:t>place, avec des jeunes capables de jouer un rôle majeur et positif dans le maintien et la promotion de la paix et de la sécurité internationales.</w:t>
      </w:r>
    </w:p>
    <w:p w14:paraId="65A3C56D" w14:textId="3D3877C0" w:rsidR="0077174D" w:rsidRPr="0077174D" w:rsidRDefault="00E861F8" w:rsidP="003A0413">
      <w:pPr>
        <w:pStyle w:val="Para1"/>
        <w:numPr>
          <w:ilvl w:val="0"/>
          <w:numId w:val="21"/>
        </w:numPr>
        <w:tabs>
          <w:tab w:val="left" w:pos="540"/>
        </w:tabs>
        <w:spacing w:after="240"/>
        <w:ind w:left="0" w:right="0" w:firstLine="0"/>
        <w:rPr>
          <w:lang w:val="fr-FR"/>
        </w:rPr>
      </w:pPr>
      <w:r>
        <w:rPr>
          <w:lang w:val="fr-FR"/>
        </w:rPr>
        <w:t>Conformément à la résolution 2250 (2015) du Conseil de sécurité,</w:t>
      </w:r>
      <w:r w:rsidRPr="0077174D">
        <w:rPr>
          <w:lang w:val="fr-FR"/>
        </w:rPr>
        <w:t xml:space="preserve"> </w:t>
      </w:r>
      <w:r>
        <w:rPr>
          <w:lang w:val="fr-FR"/>
        </w:rPr>
        <w:t>l</w:t>
      </w:r>
      <w:r w:rsidR="0077174D" w:rsidRPr="0077174D">
        <w:rPr>
          <w:lang w:val="fr-FR"/>
        </w:rPr>
        <w:t xml:space="preserve">e FNUAP codirige avec le Bureau </w:t>
      </w:r>
      <w:r w:rsidR="0083707B">
        <w:rPr>
          <w:lang w:val="fr-FR"/>
        </w:rPr>
        <w:t xml:space="preserve">d’appui </w:t>
      </w:r>
      <w:r w:rsidR="0077174D" w:rsidRPr="0077174D">
        <w:rPr>
          <w:lang w:val="fr-FR"/>
        </w:rPr>
        <w:t>des Nations Unies pour la consolidation de la paix</w:t>
      </w:r>
      <w:r>
        <w:rPr>
          <w:lang w:val="fr-FR"/>
        </w:rPr>
        <w:t>,</w:t>
      </w:r>
      <w:r w:rsidR="0077174D" w:rsidRPr="0077174D">
        <w:rPr>
          <w:lang w:val="fr-FR"/>
        </w:rPr>
        <w:t xml:space="preserve"> l’étude </w:t>
      </w:r>
      <w:r w:rsidR="0077174D">
        <w:rPr>
          <w:lang w:val="fr-FR"/>
        </w:rPr>
        <w:t xml:space="preserve">des avancées concernant la jeunesse, la paix et la sécurité. </w:t>
      </w:r>
      <w:r w:rsidR="00077300">
        <w:rPr>
          <w:lang w:val="fr-FR"/>
        </w:rPr>
        <w:t>D’après</w:t>
      </w:r>
      <w:r w:rsidR="0077174D">
        <w:rPr>
          <w:lang w:val="fr-FR"/>
        </w:rPr>
        <w:t xml:space="preserve"> des recherches indépendantes </w:t>
      </w:r>
      <w:r>
        <w:rPr>
          <w:lang w:val="fr-FR"/>
        </w:rPr>
        <w:t>menées à partir de</w:t>
      </w:r>
      <w:r w:rsidR="0077174D">
        <w:rPr>
          <w:lang w:val="fr-FR"/>
        </w:rPr>
        <w:t xml:space="preserve"> </w:t>
      </w:r>
      <w:r w:rsidR="009522C6">
        <w:rPr>
          <w:lang w:val="fr-FR"/>
        </w:rPr>
        <w:t xml:space="preserve">preuves factuelles, </w:t>
      </w:r>
      <w:r w:rsidR="008D67D2">
        <w:rPr>
          <w:lang w:val="fr-FR"/>
        </w:rPr>
        <w:t xml:space="preserve">cette </w:t>
      </w:r>
      <w:r w:rsidR="009522C6">
        <w:rPr>
          <w:lang w:val="fr-FR"/>
        </w:rPr>
        <w:t>étude se</w:t>
      </w:r>
      <w:r>
        <w:rPr>
          <w:lang w:val="fr-FR"/>
        </w:rPr>
        <w:t xml:space="preserve"> veut</w:t>
      </w:r>
      <w:r w:rsidR="009522C6">
        <w:rPr>
          <w:lang w:val="fr-FR"/>
        </w:rPr>
        <w:t xml:space="preserve"> un rapport d’activité proposant un programme prospectif pour la communauté internationale. Elle est </w:t>
      </w:r>
      <w:r>
        <w:rPr>
          <w:lang w:val="fr-FR"/>
        </w:rPr>
        <w:t>dirigée</w:t>
      </w:r>
      <w:r w:rsidR="009522C6">
        <w:rPr>
          <w:lang w:val="fr-FR"/>
        </w:rPr>
        <w:t xml:space="preserve"> par un auteur indépendant, </w:t>
      </w:r>
      <w:r>
        <w:rPr>
          <w:lang w:val="fr-FR"/>
        </w:rPr>
        <w:t xml:space="preserve">assisté par </w:t>
      </w:r>
      <w:r w:rsidR="009522C6">
        <w:rPr>
          <w:lang w:val="fr-FR"/>
        </w:rPr>
        <w:t xml:space="preserve">un groupe consultatif d’experts et un Comité directeur, incluant des partenaires issus des Nations Unies et d’organisations non gouvernementales. Pour soutenir cette étude, le PNUD et le FNUAP organisent </w:t>
      </w:r>
      <w:r>
        <w:rPr>
          <w:lang w:val="fr-FR"/>
        </w:rPr>
        <w:t xml:space="preserve">conjointement </w:t>
      </w:r>
      <w:r w:rsidR="009522C6">
        <w:rPr>
          <w:lang w:val="fr-FR"/>
        </w:rPr>
        <w:t xml:space="preserve">une série de consultations régionales et nationales </w:t>
      </w:r>
      <w:r w:rsidR="003143C7">
        <w:rPr>
          <w:lang w:val="fr-FR"/>
        </w:rPr>
        <w:t xml:space="preserve">auprès de </w:t>
      </w:r>
      <w:r w:rsidR="009522C6">
        <w:rPr>
          <w:lang w:val="fr-FR"/>
        </w:rPr>
        <w:t>jeunes participant activement à la consolidation de la paix dans le monde</w:t>
      </w:r>
      <w:r w:rsidR="00561335" w:rsidRPr="003130CA">
        <w:rPr>
          <w:vertAlign w:val="superscript"/>
        </w:rPr>
        <w:footnoteReference w:id="16"/>
      </w:r>
      <w:r w:rsidR="00AD481D">
        <w:rPr>
          <w:lang w:val="fr-FR"/>
        </w:rPr>
        <w:t>.</w:t>
      </w:r>
    </w:p>
    <w:p w14:paraId="33820CDA" w14:textId="31344499" w:rsidR="009522C6" w:rsidRPr="009522C6" w:rsidRDefault="009522C6" w:rsidP="003A0413">
      <w:pPr>
        <w:pStyle w:val="Para1"/>
        <w:numPr>
          <w:ilvl w:val="0"/>
          <w:numId w:val="21"/>
        </w:numPr>
        <w:tabs>
          <w:tab w:val="left" w:pos="540"/>
        </w:tabs>
        <w:spacing w:after="240"/>
        <w:ind w:left="0" w:right="0" w:firstLine="0"/>
        <w:rPr>
          <w:lang w:val="fr-FR"/>
        </w:rPr>
      </w:pPr>
      <w:r w:rsidRPr="009522C6">
        <w:rPr>
          <w:lang w:val="fr-FR"/>
        </w:rPr>
        <w:t xml:space="preserve">Dans une étude </w:t>
      </w:r>
      <w:r w:rsidR="009E51EB">
        <w:rPr>
          <w:lang w:val="fr-FR"/>
        </w:rPr>
        <w:t>qu’il a administrée en</w:t>
      </w:r>
      <w:r w:rsidRPr="009522C6">
        <w:rPr>
          <w:lang w:val="fr-FR"/>
        </w:rPr>
        <w:t xml:space="preserve"> 2016</w:t>
      </w:r>
      <w:r w:rsidR="009E51EB">
        <w:rPr>
          <w:lang w:val="fr-FR"/>
        </w:rPr>
        <w:t xml:space="preserve">, le </w:t>
      </w:r>
      <w:r w:rsidRPr="009522C6">
        <w:rPr>
          <w:lang w:val="fr-FR"/>
        </w:rPr>
        <w:t>PNUD</w:t>
      </w:r>
      <w:r w:rsidR="009E51EB">
        <w:rPr>
          <w:lang w:val="fr-FR"/>
        </w:rPr>
        <w:t xml:space="preserve"> révèle que</w:t>
      </w:r>
      <w:r w:rsidRPr="009522C6">
        <w:rPr>
          <w:lang w:val="fr-FR"/>
        </w:rPr>
        <w:t xml:space="preserve"> 93 % de</w:t>
      </w:r>
      <w:r w:rsidR="009E51EB">
        <w:rPr>
          <w:lang w:val="fr-FR"/>
        </w:rPr>
        <w:t xml:space="preserve"> ses</w:t>
      </w:r>
      <w:r w:rsidRPr="009522C6">
        <w:rPr>
          <w:lang w:val="fr-FR"/>
        </w:rPr>
        <w:t xml:space="preserve"> bureaux de pays </w:t>
      </w:r>
      <w:r w:rsidR="009E51EB">
        <w:rPr>
          <w:lang w:val="fr-FR"/>
        </w:rPr>
        <w:t xml:space="preserve">ont </w:t>
      </w:r>
      <w:r>
        <w:rPr>
          <w:lang w:val="fr-FR"/>
        </w:rPr>
        <w:t>déclar</w:t>
      </w:r>
      <w:r w:rsidR="009E51EB">
        <w:rPr>
          <w:lang w:val="fr-FR"/>
        </w:rPr>
        <w:t>é</w:t>
      </w:r>
      <w:r>
        <w:rPr>
          <w:lang w:val="fr-FR"/>
        </w:rPr>
        <w:t xml:space="preserve"> avoir </w:t>
      </w:r>
      <w:r w:rsidR="009E51EB">
        <w:rPr>
          <w:lang w:val="fr-FR"/>
        </w:rPr>
        <w:t>incité</w:t>
      </w:r>
      <w:r>
        <w:rPr>
          <w:lang w:val="fr-FR"/>
        </w:rPr>
        <w:t xml:space="preserve"> les jeunes à </w:t>
      </w:r>
      <w:r w:rsidR="009E51EB">
        <w:rPr>
          <w:lang w:val="fr-FR"/>
        </w:rPr>
        <w:t xml:space="preserve">encourager </w:t>
      </w:r>
      <w:r>
        <w:rPr>
          <w:lang w:val="fr-FR"/>
        </w:rPr>
        <w:t xml:space="preserve">et à </w:t>
      </w:r>
      <w:r w:rsidR="009E51EB">
        <w:rPr>
          <w:lang w:val="fr-FR"/>
        </w:rPr>
        <w:t xml:space="preserve">soutenir </w:t>
      </w:r>
      <w:r>
        <w:rPr>
          <w:lang w:val="fr-FR"/>
        </w:rPr>
        <w:t>le développement et la paix</w:t>
      </w:r>
      <w:r w:rsidR="0004106D">
        <w:rPr>
          <w:lang w:val="fr-FR"/>
        </w:rPr>
        <w:t>. L’objectif 16, qui appelle à « promouvoir l’avènement de sociétés pacifiques et ouvertes à tous aux fins de développement durable, assurer l’accès de tous à la justice et mettre en place, à tous les niveaux, des institutions efficaces, responsables et ouvertes à tous », est propice à la réussite du Programme 2030 dans son ensemble, et représente une opportunité essentielle pour faire progresser l’autonomisation des jeunes en garantissant les libertés fondamentales, la responsabilisation et l’ouverture des processus de prise de décision</w:t>
      </w:r>
      <w:r w:rsidR="00B46BB6">
        <w:rPr>
          <w:lang w:val="fr-FR"/>
        </w:rPr>
        <w:t>s</w:t>
      </w:r>
      <w:r w:rsidR="0004106D">
        <w:rPr>
          <w:lang w:val="fr-FR"/>
        </w:rPr>
        <w:t xml:space="preserve"> à la participation des jeunes</w:t>
      </w:r>
      <w:r w:rsidR="00561335" w:rsidRPr="003130CA">
        <w:rPr>
          <w:vertAlign w:val="superscript"/>
        </w:rPr>
        <w:footnoteReference w:id="17"/>
      </w:r>
      <w:r w:rsidR="00AD481D">
        <w:rPr>
          <w:lang w:val="fr-FR"/>
        </w:rPr>
        <w:t>.</w:t>
      </w:r>
    </w:p>
    <w:p w14:paraId="04ED39AF" w14:textId="4207B399" w:rsidR="007C5843" w:rsidRPr="007C5843" w:rsidRDefault="0004106D" w:rsidP="003A0413">
      <w:pPr>
        <w:pStyle w:val="Para1"/>
        <w:numPr>
          <w:ilvl w:val="0"/>
          <w:numId w:val="21"/>
        </w:numPr>
        <w:tabs>
          <w:tab w:val="left" w:pos="540"/>
        </w:tabs>
        <w:spacing w:after="240"/>
        <w:ind w:left="0" w:right="0" w:firstLine="0"/>
        <w:rPr>
          <w:lang w:val="fr-FR"/>
        </w:rPr>
      </w:pPr>
      <w:r w:rsidRPr="007C5843">
        <w:rPr>
          <w:lang w:val="fr-FR"/>
        </w:rPr>
        <w:t xml:space="preserve">Lancé en 2016 lors du Sommet mondial </w:t>
      </w:r>
      <w:r w:rsidR="003E7FC1">
        <w:rPr>
          <w:lang w:val="fr-FR"/>
        </w:rPr>
        <w:t xml:space="preserve">sur l’action </w:t>
      </w:r>
      <w:r w:rsidRPr="007C5843">
        <w:rPr>
          <w:lang w:val="fr-FR"/>
        </w:rPr>
        <w:t>humanitaire organis</w:t>
      </w:r>
      <w:r w:rsidR="003E7FC1">
        <w:rPr>
          <w:lang w:val="fr-FR"/>
        </w:rPr>
        <w:t>é</w:t>
      </w:r>
      <w:r w:rsidRPr="007C5843">
        <w:rPr>
          <w:lang w:val="fr-FR"/>
        </w:rPr>
        <w:t xml:space="preserve"> par le FNUAP et la Fédération internationale de la C</w:t>
      </w:r>
      <w:r w:rsidR="00D06296">
        <w:rPr>
          <w:lang w:val="fr-FR"/>
        </w:rPr>
        <w:t>r</w:t>
      </w:r>
      <w:r w:rsidR="003E7FC1">
        <w:rPr>
          <w:lang w:val="fr-FR"/>
        </w:rPr>
        <w:t>oix rouge</w:t>
      </w:r>
      <w:r w:rsidRPr="007C5843">
        <w:rPr>
          <w:lang w:val="fr-FR"/>
        </w:rPr>
        <w:t xml:space="preserve"> en collaboration avec 49 organisations, </w:t>
      </w:r>
      <w:r w:rsidR="00D06296">
        <w:rPr>
          <w:lang w:val="fr-FR"/>
        </w:rPr>
        <w:t>don</w:t>
      </w:r>
      <w:r w:rsidRPr="007C5843">
        <w:rPr>
          <w:lang w:val="fr-FR"/>
        </w:rPr>
        <w:t xml:space="preserve">t le PNUD, l’UNICEF, le </w:t>
      </w:r>
      <w:r w:rsidR="007C5843">
        <w:rPr>
          <w:lang w:val="fr-FR"/>
        </w:rPr>
        <w:t>Haut-commissariat des Nations Unies</w:t>
      </w:r>
      <w:r w:rsidR="007C5843" w:rsidRPr="007C5843">
        <w:rPr>
          <w:lang w:val="fr-FR"/>
        </w:rPr>
        <w:t xml:space="preserve"> </w:t>
      </w:r>
      <w:r w:rsidR="007C5843">
        <w:rPr>
          <w:lang w:val="fr-FR"/>
        </w:rPr>
        <w:t>pour les réfugiés, le Programme des Nations Unies pour les établissements humains, ONU</w:t>
      </w:r>
      <w:r w:rsidR="00AD481D">
        <w:rPr>
          <w:lang w:val="fr-FR"/>
        </w:rPr>
        <w:t>-</w:t>
      </w:r>
      <w:r w:rsidR="007C5843">
        <w:rPr>
          <w:lang w:val="fr-FR"/>
        </w:rPr>
        <w:t>Femmes et le Bureau de L’Envoyé du Secrétaire général pour la Jeunesse, le Pacte en faveur de la participation des jeunes à l’action humanitaire est un engagement collectif sans précédent</w:t>
      </w:r>
      <w:r w:rsidR="00DD15CF">
        <w:rPr>
          <w:lang w:val="fr-FR"/>
        </w:rPr>
        <w:t>. Il</w:t>
      </w:r>
      <w:r w:rsidR="007C5843">
        <w:rPr>
          <w:lang w:val="fr-FR"/>
        </w:rPr>
        <w:t xml:space="preserve"> vis</w:t>
      </w:r>
      <w:r w:rsidR="00DD15CF">
        <w:rPr>
          <w:lang w:val="fr-FR"/>
        </w:rPr>
        <w:t>e</w:t>
      </w:r>
      <w:r w:rsidR="007C5843">
        <w:rPr>
          <w:lang w:val="fr-FR"/>
        </w:rPr>
        <w:t xml:space="preserve"> à garantir </w:t>
      </w:r>
      <w:r w:rsidR="003E7FC1">
        <w:rPr>
          <w:lang w:val="fr-FR"/>
        </w:rPr>
        <w:t>la prise en charge des priorités, des besoins et d</w:t>
      </w:r>
      <w:r w:rsidR="007C5843">
        <w:rPr>
          <w:lang w:val="fr-FR"/>
        </w:rPr>
        <w:t xml:space="preserve">es droits des jeunes, des filles et des garçons touchés par une catastrophe, un conflit, un déplacement forcé </w:t>
      </w:r>
      <w:r w:rsidR="003E7FC1">
        <w:rPr>
          <w:lang w:val="fr-FR"/>
        </w:rPr>
        <w:t>ou</w:t>
      </w:r>
      <w:r w:rsidR="007C5843">
        <w:rPr>
          <w:lang w:val="fr-FR"/>
        </w:rPr>
        <w:t xml:space="preserve"> d’autres crises humanitaires, </w:t>
      </w:r>
      <w:r w:rsidR="003E7FC1">
        <w:rPr>
          <w:lang w:val="fr-FR"/>
        </w:rPr>
        <w:t>ainsi que l’information, la consultation et l’engagement significatif d</w:t>
      </w:r>
      <w:r w:rsidR="007C5843">
        <w:rPr>
          <w:lang w:val="fr-FR"/>
        </w:rPr>
        <w:t xml:space="preserve">es jeunes </w:t>
      </w:r>
      <w:r w:rsidR="003E7FC1">
        <w:rPr>
          <w:lang w:val="fr-FR"/>
        </w:rPr>
        <w:t xml:space="preserve">à chaque étape </w:t>
      </w:r>
      <w:r w:rsidR="007C5843">
        <w:rPr>
          <w:lang w:val="fr-FR"/>
        </w:rPr>
        <w:t>de l’action humanitaire. Pour la première fois, le Pacte rationnalise le travail collectif réalisé par les agences des Nations Unies en faveur de</w:t>
      </w:r>
      <w:r w:rsidR="003E7FC1">
        <w:rPr>
          <w:lang w:val="fr-FR"/>
        </w:rPr>
        <w:t xml:space="preserve"> la participation des jeunes à</w:t>
      </w:r>
      <w:r w:rsidR="007C5843">
        <w:rPr>
          <w:lang w:val="fr-FR"/>
        </w:rPr>
        <w:t xml:space="preserve"> l’action humanitaire</w:t>
      </w:r>
      <w:r w:rsidR="003E7FC1">
        <w:rPr>
          <w:lang w:val="fr-FR"/>
        </w:rPr>
        <w:t>,</w:t>
      </w:r>
      <w:r w:rsidR="007C5843">
        <w:rPr>
          <w:lang w:val="fr-FR"/>
        </w:rPr>
        <w:t xml:space="preserve"> et offre une plateforme </w:t>
      </w:r>
      <w:r w:rsidR="00D06296">
        <w:rPr>
          <w:lang w:val="fr-FR"/>
        </w:rPr>
        <w:t>à travers laquelle les jeunes peuvent s’engager aux côtés des plus grands acteurs d</w:t>
      </w:r>
      <w:r w:rsidR="00DD15CF">
        <w:rPr>
          <w:lang w:val="fr-FR"/>
        </w:rPr>
        <w:t xml:space="preserve">u </w:t>
      </w:r>
      <w:r w:rsidR="00085AC9">
        <w:rPr>
          <w:lang w:val="fr-FR"/>
        </w:rPr>
        <w:t>monde</w:t>
      </w:r>
      <w:r w:rsidR="00DD15CF">
        <w:rPr>
          <w:lang w:val="fr-FR"/>
        </w:rPr>
        <w:t xml:space="preserve"> </w:t>
      </w:r>
      <w:r w:rsidR="00D06296">
        <w:rPr>
          <w:lang w:val="fr-FR"/>
        </w:rPr>
        <w:t xml:space="preserve">humanitaire aux niveaux local et </w:t>
      </w:r>
      <w:r w:rsidR="00085AC9">
        <w:rPr>
          <w:lang w:val="fr-FR"/>
        </w:rPr>
        <w:t>international</w:t>
      </w:r>
      <w:r w:rsidR="00D06296">
        <w:rPr>
          <w:lang w:val="fr-FR"/>
        </w:rPr>
        <w:t>.</w:t>
      </w:r>
    </w:p>
    <w:p w14:paraId="3EE8C209" w14:textId="75268F1E" w:rsidR="00FB7C56" w:rsidRPr="00FF17A4" w:rsidRDefault="00FB7C56" w:rsidP="003A0413">
      <w:pPr>
        <w:pStyle w:val="Para1"/>
        <w:numPr>
          <w:ilvl w:val="0"/>
          <w:numId w:val="11"/>
        </w:numPr>
        <w:tabs>
          <w:tab w:val="clear" w:pos="720"/>
          <w:tab w:val="left" w:pos="540"/>
        </w:tabs>
        <w:spacing w:after="240"/>
        <w:ind w:hanging="720"/>
        <w:rPr>
          <w:b/>
          <w:sz w:val="32"/>
        </w:rPr>
      </w:pPr>
      <w:r w:rsidRPr="00FF17A4">
        <w:rPr>
          <w:b/>
          <w:sz w:val="32"/>
        </w:rPr>
        <w:t>Conclusion</w:t>
      </w:r>
    </w:p>
    <w:p w14:paraId="386A6D57" w14:textId="511CAAC6" w:rsidR="00CA674B" w:rsidRPr="00CA674B" w:rsidRDefault="00DD15CF" w:rsidP="003A0413">
      <w:pPr>
        <w:pStyle w:val="Para1"/>
        <w:numPr>
          <w:ilvl w:val="0"/>
          <w:numId w:val="21"/>
        </w:numPr>
        <w:tabs>
          <w:tab w:val="left" w:pos="540"/>
        </w:tabs>
        <w:spacing w:after="240"/>
        <w:ind w:left="0" w:right="0" w:firstLine="0"/>
        <w:rPr>
          <w:lang w:val="fr-FR"/>
        </w:rPr>
      </w:pPr>
      <w:r>
        <w:rPr>
          <w:lang w:val="fr-FR"/>
        </w:rPr>
        <w:t xml:space="preserve">Le </w:t>
      </w:r>
      <w:r w:rsidRPr="00AF4B75">
        <w:rPr>
          <w:lang w:val="fr-FR"/>
        </w:rPr>
        <w:t xml:space="preserve">développement </w:t>
      </w:r>
      <w:r>
        <w:rPr>
          <w:lang w:val="fr-FR"/>
        </w:rPr>
        <w:t>repose sur la productivité d’</w:t>
      </w:r>
      <w:r w:rsidR="00CA674B" w:rsidRPr="00AF4B75">
        <w:rPr>
          <w:lang w:val="fr-FR"/>
        </w:rPr>
        <w:t xml:space="preserve">adultes en bonne santé, capables d’exprimer leur plein potentiel. </w:t>
      </w:r>
      <w:r>
        <w:rPr>
          <w:lang w:val="fr-FR"/>
        </w:rPr>
        <w:t>L</w:t>
      </w:r>
      <w:r w:rsidRPr="00CA674B">
        <w:rPr>
          <w:lang w:val="fr-FR"/>
        </w:rPr>
        <w:t xml:space="preserve">es gouvernements, les chercheurs et la société civile reconnaissent de plus en plus </w:t>
      </w:r>
      <w:r>
        <w:rPr>
          <w:lang w:val="fr-FR"/>
        </w:rPr>
        <w:t>que l</w:t>
      </w:r>
      <w:r w:rsidR="00CA674B" w:rsidRPr="00CA674B">
        <w:rPr>
          <w:lang w:val="fr-FR"/>
        </w:rPr>
        <w:t xml:space="preserve">a transition vers l’âge adulte requiert un investissement ciblé. </w:t>
      </w:r>
      <w:r>
        <w:rPr>
          <w:lang w:val="fr-FR"/>
        </w:rPr>
        <w:t>L’</w:t>
      </w:r>
      <w:r w:rsidR="00CA674B">
        <w:rPr>
          <w:lang w:val="fr-FR"/>
        </w:rPr>
        <w:t xml:space="preserve">enseignement, </w:t>
      </w:r>
      <w:r>
        <w:rPr>
          <w:lang w:val="fr-FR"/>
        </w:rPr>
        <w:t xml:space="preserve">la formation, l’information et </w:t>
      </w:r>
      <w:r w:rsidR="00357D47">
        <w:rPr>
          <w:lang w:val="fr-FR"/>
        </w:rPr>
        <w:t>l</w:t>
      </w:r>
      <w:r w:rsidR="00CA674B">
        <w:rPr>
          <w:lang w:val="fr-FR"/>
        </w:rPr>
        <w:t xml:space="preserve">es services </w:t>
      </w:r>
      <w:r w:rsidR="00357D47">
        <w:rPr>
          <w:lang w:val="fr-FR"/>
        </w:rPr>
        <w:t>médicaux</w:t>
      </w:r>
      <w:r w:rsidR="00CA674B">
        <w:rPr>
          <w:lang w:val="fr-FR"/>
        </w:rPr>
        <w:t xml:space="preserve"> de </w:t>
      </w:r>
      <w:r w:rsidR="00275A07">
        <w:rPr>
          <w:lang w:val="fr-FR"/>
        </w:rPr>
        <w:t xml:space="preserve">grande </w:t>
      </w:r>
      <w:r w:rsidR="00CA674B">
        <w:rPr>
          <w:lang w:val="fr-FR"/>
        </w:rPr>
        <w:t xml:space="preserve">qualité, ainsi </w:t>
      </w:r>
      <w:r w:rsidR="00085AC9">
        <w:rPr>
          <w:lang w:val="fr-FR"/>
        </w:rPr>
        <w:t xml:space="preserve">que </w:t>
      </w:r>
      <w:r w:rsidR="00CA674B">
        <w:rPr>
          <w:lang w:val="fr-FR"/>
        </w:rPr>
        <w:t xml:space="preserve">la protection d’autres droits de l’homme et les opportunités de participer de manière significative </w:t>
      </w:r>
      <w:r>
        <w:rPr>
          <w:lang w:val="fr-FR"/>
        </w:rPr>
        <w:t>aux</w:t>
      </w:r>
      <w:r w:rsidR="00CA674B">
        <w:rPr>
          <w:lang w:val="fr-FR"/>
        </w:rPr>
        <w:t xml:space="preserve"> prises de décision</w:t>
      </w:r>
      <w:r>
        <w:rPr>
          <w:lang w:val="fr-FR"/>
        </w:rPr>
        <w:t>s</w:t>
      </w:r>
      <w:r w:rsidR="00CA674B">
        <w:rPr>
          <w:lang w:val="fr-FR"/>
        </w:rPr>
        <w:t xml:space="preserve">, constituent les tremplins </w:t>
      </w:r>
      <w:r>
        <w:rPr>
          <w:lang w:val="fr-FR"/>
        </w:rPr>
        <w:t>indispensables</w:t>
      </w:r>
      <w:r w:rsidR="00CA674B">
        <w:rPr>
          <w:lang w:val="fr-FR"/>
        </w:rPr>
        <w:t xml:space="preserve"> pour passer de l’enfance à l’âge adulte.</w:t>
      </w:r>
    </w:p>
    <w:p w14:paraId="4EF2413D" w14:textId="7BD8AFB1" w:rsidR="00CA674B" w:rsidRPr="00CA674B" w:rsidRDefault="00CA674B" w:rsidP="003A0413">
      <w:pPr>
        <w:pStyle w:val="Para1"/>
        <w:numPr>
          <w:ilvl w:val="0"/>
          <w:numId w:val="21"/>
        </w:numPr>
        <w:tabs>
          <w:tab w:val="left" w:pos="540"/>
        </w:tabs>
        <w:spacing w:after="240"/>
        <w:ind w:left="0" w:right="0" w:firstLine="0"/>
        <w:rPr>
          <w:lang w:val="fr-FR"/>
        </w:rPr>
      </w:pPr>
      <w:r w:rsidRPr="00CA674B">
        <w:rPr>
          <w:lang w:val="fr-FR"/>
        </w:rPr>
        <w:lastRenderedPageBreak/>
        <w:t xml:space="preserve">Le système des Nations Unies </w:t>
      </w:r>
      <w:r w:rsidR="00672AC1">
        <w:rPr>
          <w:lang w:val="fr-FR"/>
        </w:rPr>
        <w:t xml:space="preserve">s’est engagé à </w:t>
      </w:r>
      <w:r w:rsidRPr="00CA674B">
        <w:rPr>
          <w:lang w:val="fr-FR"/>
        </w:rPr>
        <w:t>travaille</w:t>
      </w:r>
      <w:r w:rsidR="00672AC1">
        <w:rPr>
          <w:lang w:val="fr-FR"/>
        </w:rPr>
        <w:t>r</w:t>
      </w:r>
      <w:r w:rsidRPr="00CA674B">
        <w:rPr>
          <w:lang w:val="fr-FR"/>
        </w:rPr>
        <w:t xml:space="preserve"> avec les </w:t>
      </w:r>
      <w:r>
        <w:rPr>
          <w:lang w:val="fr-FR"/>
        </w:rPr>
        <w:t xml:space="preserve">États membres et les autres parties prenantes pour soutenir les efforts nationaux </w:t>
      </w:r>
      <w:r w:rsidR="00357D47">
        <w:rPr>
          <w:lang w:val="fr-FR"/>
        </w:rPr>
        <w:t>d’</w:t>
      </w:r>
      <w:r>
        <w:rPr>
          <w:lang w:val="fr-FR"/>
        </w:rPr>
        <w:t xml:space="preserve">investissement </w:t>
      </w:r>
      <w:r w:rsidR="00357D47">
        <w:rPr>
          <w:lang w:val="fr-FR"/>
        </w:rPr>
        <w:t>en faveur</w:t>
      </w:r>
      <w:r>
        <w:rPr>
          <w:lang w:val="fr-FR"/>
        </w:rPr>
        <w:t xml:space="preserve"> </w:t>
      </w:r>
      <w:r w:rsidR="00357D47">
        <w:rPr>
          <w:lang w:val="fr-FR"/>
        </w:rPr>
        <w:t>d</w:t>
      </w:r>
      <w:r>
        <w:rPr>
          <w:lang w:val="fr-FR"/>
        </w:rPr>
        <w:t xml:space="preserve">es adolescents et </w:t>
      </w:r>
      <w:r w:rsidR="00357D47">
        <w:rPr>
          <w:lang w:val="fr-FR"/>
        </w:rPr>
        <w:t>d</w:t>
      </w:r>
      <w:r>
        <w:rPr>
          <w:lang w:val="fr-FR"/>
        </w:rPr>
        <w:t xml:space="preserve">es jeunes </w:t>
      </w:r>
      <w:r w:rsidR="00357D47">
        <w:rPr>
          <w:lang w:val="fr-FR"/>
        </w:rPr>
        <w:t>en vue du</w:t>
      </w:r>
      <w:r>
        <w:rPr>
          <w:lang w:val="fr-FR"/>
        </w:rPr>
        <w:t xml:space="preserve"> développement durable, </w:t>
      </w:r>
      <w:r w:rsidR="00672AC1">
        <w:rPr>
          <w:lang w:val="fr-FR"/>
        </w:rPr>
        <w:t xml:space="preserve">en permettant aux pays de </w:t>
      </w:r>
      <w:r w:rsidR="00357D47">
        <w:rPr>
          <w:lang w:val="fr-FR"/>
        </w:rPr>
        <w:t>récolter les fruits</w:t>
      </w:r>
      <w:r w:rsidR="00672AC1">
        <w:rPr>
          <w:lang w:val="fr-FR"/>
        </w:rPr>
        <w:t xml:space="preserve"> du dividende démographique et de </w:t>
      </w:r>
      <w:r w:rsidR="00357D47">
        <w:rPr>
          <w:lang w:val="fr-FR"/>
        </w:rPr>
        <w:t>défendre</w:t>
      </w:r>
      <w:r w:rsidR="00672AC1">
        <w:rPr>
          <w:lang w:val="fr-FR"/>
        </w:rPr>
        <w:t xml:space="preserve"> les droits de l’homme ainsi que la paix et la sécurité. Les Nations Unies collabor</w:t>
      </w:r>
      <w:r w:rsidR="00357D47">
        <w:rPr>
          <w:lang w:val="fr-FR"/>
        </w:rPr>
        <w:t>ent</w:t>
      </w:r>
      <w:r w:rsidR="00672AC1">
        <w:rPr>
          <w:lang w:val="fr-FR"/>
        </w:rPr>
        <w:t xml:space="preserve"> </w:t>
      </w:r>
      <w:r w:rsidR="00357D47">
        <w:rPr>
          <w:lang w:val="fr-FR"/>
        </w:rPr>
        <w:t xml:space="preserve">de plusieurs manières </w:t>
      </w:r>
      <w:r w:rsidR="00672AC1">
        <w:rPr>
          <w:lang w:val="fr-FR"/>
        </w:rPr>
        <w:t>avec les États membres</w:t>
      </w:r>
      <w:r w:rsidR="00357D47">
        <w:rPr>
          <w:lang w:val="fr-FR"/>
        </w:rPr>
        <w:t>,</w:t>
      </w:r>
      <w:r w:rsidR="00672AC1">
        <w:rPr>
          <w:lang w:val="fr-FR"/>
        </w:rPr>
        <w:t xml:space="preserve"> en partenariat avec de</w:t>
      </w:r>
      <w:r w:rsidR="00357D47">
        <w:rPr>
          <w:lang w:val="fr-FR"/>
        </w:rPr>
        <w:t>s</w:t>
      </w:r>
      <w:r w:rsidR="00672AC1">
        <w:rPr>
          <w:lang w:val="fr-FR"/>
        </w:rPr>
        <w:t xml:space="preserve"> jeunes</w:t>
      </w:r>
      <w:r w:rsidR="00085AC9">
        <w:rPr>
          <w:lang w:val="fr-FR"/>
        </w:rPr>
        <w:t>,</w:t>
      </w:r>
      <w:r w:rsidR="00357D47">
        <w:rPr>
          <w:lang w:val="fr-FR"/>
        </w:rPr>
        <w:t xml:space="preserve"> hommes et</w:t>
      </w:r>
      <w:r w:rsidR="00672AC1">
        <w:rPr>
          <w:lang w:val="fr-FR"/>
        </w:rPr>
        <w:t xml:space="preserve"> femmes :</w:t>
      </w:r>
    </w:p>
    <w:p w14:paraId="4366C74C" w14:textId="7C1D2B5B" w:rsidR="00672AC1" w:rsidRPr="00672AC1" w:rsidRDefault="00672AC1" w:rsidP="003A0413">
      <w:pPr>
        <w:pStyle w:val="Para1"/>
        <w:numPr>
          <w:ilvl w:val="0"/>
          <w:numId w:val="20"/>
        </w:numPr>
        <w:tabs>
          <w:tab w:val="clear" w:pos="720"/>
          <w:tab w:val="left" w:pos="900"/>
        </w:tabs>
        <w:spacing w:after="240"/>
        <w:ind w:left="0" w:right="0" w:firstLine="360"/>
        <w:rPr>
          <w:lang w:val="fr-FR"/>
        </w:rPr>
      </w:pPr>
      <w:r w:rsidRPr="00672AC1">
        <w:rPr>
          <w:lang w:val="fr-FR"/>
        </w:rPr>
        <w:t xml:space="preserve">Elles </w:t>
      </w:r>
      <w:r w:rsidR="008926A5">
        <w:rPr>
          <w:lang w:val="fr-FR"/>
        </w:rPr>
        <w:t>aident</w:t>
      </w:r>
      <w:r w:rsidRPr="00672AC1">
        <w:rPr>
          <w:lang w:val="fr-FR"/>
        </w:rPr>
        <w:t xml:space="preserve"> les gouvernements </w:t>
      </w:r>
      <w:r w:rsidR="008926A5">
        <w:rPr>
          <w:lang w:val="fr-FR"/>
        </w:rPr>
        <w:t>à intégrer</w:t>
      </w:r>
      <w:r w:rsidRPr="00672AC1">
        <w:rPr>
          <w:lang w:val="fr-FR"/>
        </w:rPr>
        <w:t xml:space="preserve"> les objectifs de dévelop</w:t>
      </w:r>
      <w:r w:rsidR="00357D47">
        <w:rPr>
          <w:lang w:val="fr-FR"/>
        </w:rPr>
        <w:t>pement durable dans leurs straté</w:t>
      </w:r>
      <w:r w:rsidRPr="00672AC1">
        <w:rPr>
          <w:lang w:val="fr-FR"/>
        </w:rPr>
        <w:t xml:space="preserve">gies locales et nationales, </w:t>
      </w:r>
      <w:r w:rsidR="008926A5">
        <w:rPr>
          <w:lang w:val="fr-FR"/>
        </w:rPr>
        <w:t>et favorisent l’engagement des adolescents et d</w:t>
      </w:r>
      <w:r w:rsidRPr="00672AC1">
        <w:rPr>
          <w:lang w:val="fr-FR"/>
        </w:rPr>
        <w:t>es jeunes</w:t>
      </w:r>
      <w:r w:rsidR="008926A5">
        <w:rPr>
          <w:lang w:val="fr-FR"/>
        </w:rPr>
        <w:t xml:space="preserve"> à travers la création </w:t>
      </w:r>
      <w:r w:rsidRPr="00672AC1">
        <w:rPr>
          <w:lang w:val="fr-FR"/>
        </w:rPr>
        <w:t>d</w:t>
      </w:r>
      <w:r w:rsidR="008926A5">
        <w:rPr>
          <w:lang w:val="fr-FR"/>
        </w:rPr>
        <w:t>’</w:t>
      </w:r>
      <w:r w:rsidRPr="00672AC1">
        <w:rPr>
          <w:lang w:val="fr-FR"/>
        </w:rPr>
        <w:t>espaces formels tels que les plateformes nationales pour la jeunesse, afin d</w:t>
      </w:r>
      <w:r w:rsidR="008926A5">
        <w:rPr>
          <w:lang w:val="fr-FR"/>
        </w:rPr>
        <w:t xml:space="preserve">e leur </w:t>
      </w:r>
      <w:r w:rsidRPr="00672AC1">
        <w:rPr>
          <w:lang w:val="fr-FR"/>
        </w:rPr>
        <w:t xml:space="preserve">offrir des opportunités </w:t>
      </w:r>
      <w:r w:rsidR="008926A5">
        <w:rPr>
          <w:lang w:val="fr-FR"/>
        </w:rPr>
        <w:t>durables</w:t>
      </w:r>
      <w:r w:rsidRPr="00672AC1">
        <w:rPr>
          <w:lang w:val="fr-FR"/>
        </w:rPr>
        <w:t xml:space="preserve"> de prendre part aux discussions, de recueillir des preuves, </w:t>
      </w:r>
      <w:r>
        <w:rPr>
          <w:lang w:val="fr-FR"/>
        </w:rPr>
        <w:t>d’influer sur les décisions, les priorités de développement et les affectations budgétaires ;</w:t>
      </w:r>
    </w:p>
    <w:p w14:paraId="6D15C05D" w14:textId="31549366" w:rsidR="00672AC1" w:rsidRPr="00672AC1" w:rsidRDefault="00672AC1" w:rsidP="003A0413">
      <w:pPr>
        <w:pStyle w:val="Para1"/>
        <w:numPr>
          <w:ilvl w:val="0"/>
          <w:numId w:val="20"/>
        </w:numPr>
        <w:tabs>
          <w:tab w:val="clear" w:pos="720"/>
          <w:tab w:val="left" w:pos="900"/>
        </w:tabs>
        <w:spacing w:after="240"/>
        <w:ind w:left="0" w:right="0" w:firstLine="360"/>
        <w:rPr>
          <w:lang w:val="fr-FR"/>
        </w:rPr>
      </w:pPr>
      <w:r w:rsidRPr="00672AC1">
        <w:rPr>
          <w:lang w:val="fr-FR"/>
        </w:rPr>
        <w:t xml:space="preserve">Elles identifient les obstacles </w:t>
      </w:r>
      <w:r w:rsidR="008926A5">
        <w:rPr>
          <w:lang w:val="fr-FR"/>
        </w:rPr>
        <w:t>afin d’ac</w:t>
      </w:r>
      <w:r w:rsidRPr="00672AC1">
        <w:rPr>
          <w:lang w:val="fr-FR"/>
        </w:rPr>
        <w:t xml:space="preserve">célérer les progrès concernant les objectifs et les cibles, et </w:t>
      </w:r>
      <w:r w:rsidR="008926A5">
        <w:rPr>
          <w:lang w:val="fr-FR"/>
        </w:rPr>
        <w:t>de</w:t>
      </w:r>
      <w:r w:rsidRPr="00672AC1">
        <w:rPr>
          <w:lang w:val="fr-FR"/>
        </w:rPr>
        <w:t xml:space="preserve"> définir des </w:t>
      </w:r>
      <w:r w:rsidR="00820E5C">
        <w:rPr>
          <w:lang w:val="fr-FR"/>
        </w:rPr>
        <w:t>actions</w:t>
      </w:r>
      <w:r w:rsidR="008926A5">
        <w:rPr>
          <w:lang w:val="fr-FR"/>
        </w:rPr>
        <w:t xml:space="preserve"> efficaces pour obtenir</w:t>
      </w:r>
      <w:r w:rsidRPr="00672AC1">
        <w:rPr>
          <w:lang w:val="fr-FR"/>
        </w:rPr>
        <w:t xml:space="preserve"> des résultats </w:t>
      </w:r>
      <w:r>
        <w:rPr>
          <w:lang w:val="fr-FR"/>
        </w:rPr>
        <w:t xml:space="preserve">sur plusieurs fronts, </w:t>
      </w:r>
      <w:r w:rsidR="00820E5C">
        <w:rPr>
          <w:lang w:val="fr-FR"/>
        </w:rPr>
        <w:t>notamment celles qui privilégient</w:t>
      </w:r>
      <w:r>
        <w:rPr>
          <w:lang w:val="fr-FR"/>
        </w:rPr>
        <w:t xml:space="preserve"> l’inclusion des adolescents et des jeunes ou qui </w:t>
      </w:r>
      <w:r w:rsidR="00820E5C">
        <w:rPr>
          <w:lang w:val="fr-FR"/>
        </w:rPr>
        <w:t>favorisent</w:t>
      </w:r>
      <w:r w:rsidR="00077796">
        <w:rPr>
          <w:lang w:val="fr-FR"/>
        </w:rPr>
        <w:t xml:space="preserve"> une plus grande participation et un plus grand engagement civique </w:t>
      </w:r>
      <w:r w:rsidR="00820E5C">
        <w:rPr>
          <w:lang w:val="fr-FR"/>
        </w:rPr>
        <w:t>de leur part</w:t>
      </w:r>
      <w:r w:rsidR="00077796">
        <w:rPr>
          <w:lang w:val="fr-FR"/>
        </w:rPr>
        <w:t> ;</w:t>
      </w:r>
    </w:p>
    <w:p w14:paraId="6E7E90BC" w14:textId="001D1BEC" w:rsidR="00077796" w:rsidRPr="00077796" w:rsidRDefault="00077796" w:rsidP="003A0413">
      <w:pPr>
        <w:pStyle w:val="Para1"/>
        <w:numPr>
          <w:ilvl w:val="0"/>
          <w:numId w:val="20"/>
        </w:numPr>
        <w:tabs>
          <w:tab w:val="clear" w:pos="720"/>
          <w:tab w:val="left" w:pos="900"/>
        </w:tabs>
        <w:spacing w:after="240"/>
        <w:ind w:left="0" w:right="0" w:firstLine="360"/>
        <w:rPr>
          <w:lang w:val="fr-FR"/>
        </w:rPr>
      </w:pPr>
      <w:r w:rsidRPr="00077796">
        <w:rPr>
          <w:lang w:val="fr-FR"/>
        </w:rPr>
        <w:t xml:space="preserve">Elles </w:t>
      </w:r>
      <w:r w:rsidR="00820E5C">
        <w:rPr>
          <w:lang w:val="fr-FR"/>
        </w:rPr>
        <w:t>apportent</w:t>
      </w:r>
      <w:r w:rsidRPr="00077796">
        <w:rPr>
          <w:lang w:val="fr-FR"/>
        </w:rPr>
        <w:t xml:space="preserve"> des conseils politiques </w:t>
      </w:r>
      <w:r>
        <w:rPr>
          <w:lang w:val="fr-FR"/>
        </w:rPr>
        <w:t xml:space="preserve">et une assistance technique </w:t>
      </w:r>
      <w:r w:rsidRPr="00077796">
        <w:rPr>
          <w:lang w:val="fr-FR"/>
        </w:rPr>
        <w:t xml:space="preserve">efficaces, </w:t>
      </w:r>
      <w:r w:rsidR="00820E5C">
        <w:rPr>
          <w:lang w:val="fr-FR"/>
        </w:rPr>
        <w:t>adaptés à</w:t>
      </w:r>
      <w:r>
        <w:rPr>
          <w:lang w:val="fr-FR"/>
        </w:rPr>
        <w:t xml:space="preserve"> la demande, </w:t>
      </w:r>
      <w:r w:rsidR="00F90BE3">
        <w:rPr>
          <w:lang w:val="fr-FR"/>
        </w:rPr>
        <w:t>à la spécificité d</w:t>
      </w:r>
      <w:r>
        <w:rPr>
          <w:lang w:val="fr-FR"/>
        </w:rPr>
        <w:t xml:space="preserve">u contexte et </w:t>
      </w:r>
      <w:r w:rsidR="007F08D3">
        <w:rPr>
          <w:lang w:val="fr-FR"/>
        </w:rPr>
        <w:t xml:space="preserve">fondés </w:t>
      </w:r>
      <w:r>
        <w:rPr>
          <w:lang w:val="fr-FR"/>
        </w:rPr>
        <w:t xml:space="preserve">sur des éléments factuels, en s’appuyant sur l’étendue des connaissances </w:t>
      </w:r>
      <w:r w:rsidR="00F90BE3">
        <w:rPr>
          <w:lang w:val="fr-FR"/>
        </w:rPr>
        <w:t xml:space="preserve">acquises </w:t>
      </w:r>
      <w:r>
        <w:rPr>
          <w:lang w:val="fr-FR"/>
        </w:rPr>
        <w:t xml:space="preserve">et une longue expérience de la </w:t>
      </w:r>
      <w:r w:rsidR="00F90BE3">
        <w:rPr>
          <w:lang w:val="fr-FR"/>
        </w:rPr>
        <w:t xml:space="preserve">mise en œuvre de </w:t>
      </w:r>
      <w:r>
        <w:rPr>
          <w:lang w:val="fr-FR"/>
        </w:rPr>
        <w:t>programm</w:t>
      </w:r>
      <w:r w:rsidR="00F90BE3">
        <w:rPr>
          <w:lang w:val="fr-FR"/>
        </w:rPr>
        <w:t>es</w:t>
      </w:r>
      <w:r>
        <w:rPr>
          <w:lang w:val="fr-FR"/>
        </w:rPr>
        <w:t xml:space="preserve"> dans le monde ; </w:t>
      </w:r>
    </w:p>
    <w:p w14:paraId="6D3DEB2B" w14:textId="4610BB41" w:rsidR="00077796" w:rsidRPr="00077796" w:rsidRDefault="00E36B3C" w:rsidP="003A0413">
      <w:pPr>
        <w:pStyle w:val="Para1"/>
        <w:numPr>
          <w:ilvl w:val="0"/>
          <w:numId w:val="20"/>
        </w:numPr>
        <w:tabs>
          <w:tab w:val="clear" w:pos="720"/>
          <w:tab w:val="left" w:pos="900"/>
        </w:tabs>
        <w:spacing w:after="240"/>
        <w:ind w:left="0" w:right="0" w:firstLine="360"/>
        <w:rPr>
          <w:lang w:val="fr-FR"/>
        </w:rPr>
      </w:pPr>
      <w:r>
        <w:rPr>
          <w:lang w:val="fr-FR"/>
        </w:rPr>
        <w:t>En œuvrant au maintien du contrôle et de la transparence aux côtés des parlements, des groupes de jeunes et des institutions pertinentes,</w:t>
      </w:r>
      <w:r w:rsidRPr="00077796">
        <w:rPr>
          <w:lang w:val="fr-FR"/>
        </w:rPr>
        <w:t xml:space="preserve"> </w:t>
      </w:r>
      <w:r>
        <w:rPr>
          <w:lang w:val="fr-FR"/>
        </w:rPr>
        <w:t>e</w:t>
      </w:r>
      <w:r w:rsidR="00077796" w:rsidRPr="00077796">
        <w:rPr>
          <w:lang w:val="fr-FR"/>
        </w:rPr>
        <w:t>lles soutiennent les gouvernements et les parties prenantes dans leurs efforts pour produire</w:t>
      </w:r>
      <w:r w:rsidR="00F90BE3">
        <w:rPr>
          <w:lang w:val="fr-FR"/>
        </w:rPr>
        <w:t xml:space="preserve"> les données de </w:t>
      </w:r>
      <w:r w:rsidR="00264CCA">
        <w:rPr>
          <w:lang w:val="fr-FR"/>
        </w:rPr>
        <w:t xml:space="preserve">grande </w:t>
      </w:r>
      <w:r w:rsidR="00F90BE3">
        <w:rPr>
          <w:lang w:val="fr-FR"/>
        </w:rPr>
        <w:t>qualité né</w:t>
      </w:r>
      <w:r w:rsidR="00077796" w:rsidRPr="00077796">
        <w:rPr>
          <w:lang w:val="fr-FR"/>
        </w:rPr>
        <w:t xml:space="preserve">cessaires </w:t>
      </w:r>
      <w:r w:rsidR="00085AC9">
        <w:rPr>
          <w:lang w:val="fr-FR"/>
        </w:rPr>
        <w:t>afin d’</w:t>
      </w:r>
      <w:r w:rsidR="00F90BE3">
        <w:rPr>
          <w:lang w:val="fr-FR"/>
        </w:rPr>
        <w:t xml:space="preserve">appréhender </w:t>
      </w:r>
      <w:r w:rsidR="00077796">
        <w:rPr>
          <w:lang w:val="fr-FR"/>
        </w:rPr>
        <w:t>la ré</w:t>
      </w:r>
      <w:r w:rsidR="00F90BE3">
        <w:rPr>
          <w:lang w:val="fr-FR"/>
        </w:rPr>
        <w:t>alité profonde du développement au sein de la jeunesse</w:t>
      </w:r>
      <w:r w:rsidR="00077796">
        <w:rPr>
          <w:lang w:val="fr-FR"/>
        </w:rPr>
        <w:t xml:space="preserve">, </w:t>
      </w:r>
      <w:r w:rsidR="00085AC9">
        <w:rPr>
          <w:lang w:val="fr-FR"/>
        </w:rPr>
        <w:t xml:space="preserve">de </w:t>
      </w:r>
      <w:r w:rsidR="00077796">
        <w:rPr>
          <w:lang w:val="fr-FR"/>
        </w:rPr>
        <w:t xml:space="preserve">mesurer et suivre les progrès </w:t>
      </w:r>
      <w:r w:rsidR="00F90BE3">
        <w:rPr>
          <w:lang w:val="fr-FR"/>
        </w:rPr>
        <w:t xml:space="preserve">réalisés dans l’amélioration de l’épanouissement </w:t>
      </w:r>
      <w:r w:rsidR="00077796">
        <w:rPr>
          <w:lang w:val="fr-FR"/>
        </w:rPr>
        <w:t>et du bien-être des adolescents et des jeunes</w:t>
      </w:r>
      <w:r>
        <w:rPr>
          <w:lang w:val="fr-FR"/>
        </w:rPr>
        <w:t> </w:t>
      </w:r>
      <w:r w:rsidR="00077796">
        <w:rPr>
          <w:lang w:val="fr-FR"/>
        </w:rPr>
        <w:t>;</w:t>
      </w:r>
    </w:p>
    <w:p w14:paraId="749B1138" w14:textId="0420DA02" w:rsidR="00077796" w:rsidRPr="00077796" w:rsidRDefault="00077796" w:rsidP="003A0413">
      <w:pPr>
        <w:pStyle w:val="Para1"/>
        <w:numPr>
          <w:ilvl w:val="0"/>
          <w:numId w:val="20"/>
        </w:numPr>
        <w:tabs>
          <w:tab w:val="clear" w:pos="720"/>
          <w:tab w:val="left" w:pos="900"/>
        </w:tabs>
        <w:spacing w:after="240"/>
        <w:ind w:left="0" w:right="0" w:firstLine="360"/>
        <w:rPr>
          <w:lang w:val="fr-FR"/>
        </w:rPr>
      </w:pPr>
      <w:r w:rsidRPr="00077796">
        <w:rPr>
          <w:lang w:val="fr-FR"/>
        </w:rPr>
        <w:t>Elle</w:t>
      </w:r>
      <w:r w:rsidR="00023EBB">
        <w:rPr>
          <w:lang w:val="fr-FR"/>
        </w:rPr>
        <w:t>s</w:t>
      </w:r>
      <w:r w:rsidRPr="00077796">
        <w:rPr>
          <w:lang w:val="fr-FR"/>
        </w:rPr>
        <w:t xml:space="preserve"> fournissent des preuves </w:t>
      </w:r>
      <w:r w:rsidR="00E833C0">
        <w:rPr>
          <w:lang w:val="fr-FR"/>
        </w:rPr>
        <w:t>de la rentabilité de certaines approches et des effets durables qu’elles produisent sur la participation des adolescents et des jeunes à la vie civique et économique, sur leur apprentissage, ainsi que sur leur santé et leur bien-être</w:t>
      </w:r>
      <w:r w:rsidR="00023EBB">
        <w:rPr>
          <w:lang w:val="fr-FR"/>
        </w:rPr>
        <w:t> ;</w:t>
      </w:r>
    </w:p>
    <w:p w14:paraId="41E933B4" w14:textId="4B8A76E8" w:rsidR="00023EBB" w:rsidRPr="00023EBB" w:rsidRDefault="00023EBB" w:rsidP="003A0413">
      <w:pPr>
        <w:pStyle w:val="Para1"/>
        <w:numPr>
          <w:ilvl w:val="0"/>
          <w:numId w:val="20"/>
        </w:numPr>
        <w:tabs>
          <w:tab w:val="clear" w:pos="720"/>
          <w:tab w:val="left" w:pos="900"/>
        </w:tabs>
        <w:spacing w:after="240"/>
        <w:ind w:left="0" w:right="0" w:firstLine="360"/>
        <w:rPr>
          <w:lang w:val="fr-FR"/>
        </w:rPr>
      </w:pPr>
      <w:r>
        <w:rPr>
          <w:lang w:val="fr-FR"/>
        </w:rPr>
        <w:t xml:space="preserve">Elles établissent des partenariats avec des organisations </w:t>
      </w:r>
      <w:r w:rsidR="00E833C0">
        <w:rPr>
          <w:lang w:val="fr-FR"/>
        </w:rPr>
        <w:t xml:space="preserve">issues </w:t>
      </w:r>
      <w:r>
        <w:rPr>
          <w:lang w:val="fr-FR"/>
        </w:rPr>
        <w:t>du monde universitaire et de la société civile</w:t>
      </w:r>
      <w:r w:rsidR="00E833C0">
        <w:rPr>
          <w:lang w:val="fr-FR"/>
        </w:rPr>
        <w:t>,</w:t>
      </w:r>
      <w:r>
        <w:rPr>
          <w:lang w:val="fr-FR"/>
        </w:rPr>
        <w:t xml:space="preserve"> afin de réaliser des études innovantes </w:t>
      </w:r>
      <w:r w:rsidR="00E833C0">
        <w:rPr>
          <w:lang w:val="fr-FR"/>
        </w:rPr>
        <w:t xml:space="preserve">en vue d’acquérir </w:t>
      </w:r>
      <w:r>
        <w:rPr>
          <w:lang w:val="fr-FR"/>
        </w:rPr>
        <w:t xml:space="preserve">de nouvelles </w:t>
      </w:r>
      <w:r w:rsidR="00E833C0">
        <w:rPr>
          <w:lang w:val="fr-FR"/>
        </w:rPr>
        <w:t>connaissances</w:t>
      </w:r>
      <w:r>
        <w:rPr>
          <w:lang w:val="fr-FR"/>
        </w:rPr>
        <w:t xml:space="preserve"> </w:t>
      </w:r>
      <w:r w:rsidR="00E833C0">
        <w:rPr>
          <w:lang w:val="fr-FR"/>
        </w:rPr>
        <w:t>sur</w:t>
      </w:r>
      <w:r>
        <w:rPr>
          <w:lang w:val="fr-FR"/>
        </w:rPr>
        <w:t xml:space="preserve"> la jeunesse, en re</w:t>
      </w:r>
      <w:r w:rsidR="000117DF">
        <w:rPr>
          <w:lang w:val="fr-FR"/>
        </w:rPr>
        <w:t>groupant</w:t>
      </w:r>
      <w:r>
        <w:rPr>
          <w:lang w:val="fr-FR"/>
        </w:rPr>
        <w:t xml:space="preserve"> les </w:t>
      </w:r>
      <w:r w:rsidR="000117DF">
        <w:rPr>
          <w:lang w:val="fr-FR"/>
        </w:rPr>
        <w:t>données</w:t>
      </w:r>
      <w:r>
        <w:rPr>
          <w:lang w:val="fr-FR"/>
        </w:rPr>
        <w:t xml:space="preserve"> locales, nationales et mondiales pour combler les </w:t>
      </w:r>
      <w:r w:rsidR="000117DF">
        <w:rPr>
          <w:lang w:val="fr-FR"/>
        </w:rPr>
        <w:t>lacunes</w:t>
      </w:r>
      <w:r>
        <w:rPr>
          <w:lang w:val="fr-FR"/>
        </w:rPr>
        <w:t xml:space="preserve"> dans les domaines émergents de la participation et du développement des adolescents et des jeunes, tels que l</w:t>
      </w:r>
      <w:r w:rsidR="000117DF">
        <w:rPr>
          <w:lang w:val="fr-FR"/>
        </w:rPr>
        <w:t>es</w:t>
      </w:r>
      <w:r>
        <w:rPr>
          <w:lang w:val="fr-FR"/>
        </w:rPr>
        <w:t xml:space="preserve"> recherche</w:t>
      </w:r>
      <w:r w:rsidR="000117DF">
        <w:rPr>
          <w:lang w:val="fr-FR"/>
        </w:rPr>
        <w:t>s</w:t>
      </w:r>
      <w:r>
        <w:rPr>
          <w:lang w:val="fr-FR"/>
        </w:rPr>
        <w:t xml:space="preserve"> </w:t>
      </w:r>
      <w:r w:rsidR="000117DF">
        <w:rPr>
          <w:lang w:val="fr-FR"/>
        </w:rPr>
        <w:t xml:space="preserve">portant </w:t>
      </w:r>
      <w:r>
        <w:rPr>
          <w:lang w:val="fr-FR"/>
        </w:rPr>
        <w:t>sur les jeunes et la consolidation de la paix, et sur le financement en faveur des adolescents et des jeunes ;</w:t>
      </w:r>
    </w:p>
    <w:p w14:paraId="09231A48" w14:textId="0AEC7898" w:rsidR="00023EBB" w:rsidRPr="00023EBB" w:rsidRDefault="00023EBB" w:rsidP="003A0413">
      <w:pPr>
        <w:pStyle w:val="Para1"/>
        <w:numPr>
          <w:ilvl w:val="0"/>
          <w:numId w:val="20"/>
        </w:numPr>
        <w:tabs>
          <w:tab w:val="clear" w:pos="720"/>
          <w:tab w:val="left" w:pos="900"/>
        </w:tabs>
        <w:spacing w:after="240"/>
        <w:ind w:left="0" w:right="0" w:firstLine="360"/>
        <w:rPr>
          <w:lang w:val="fr-FR"/>
        </w:rPr>
      </w:pPr>
      <w:r w:rsidRPr="00023EBB">
        <w:rPr>
          <w:lang w:val="fr-FR"/>
        </w:rPr>
        <w:t xml:space="preserve">Elles encouragent </w:t>
      </w:r>
      <w:r w:rsidR="000117DF">
        <w:rPr>
          <w:lang w:val="fr-FR"/>
        </w:rPr>
        <w:t xml:space="preserve">la création </w:t>
      </w:r>
      <w:r w:rsidRPr="00023EBB">
        <w:rPr>
          <w:lang w:val="fr-FR"/>
        </w:rPr>
        <w:t>d</w:t>
      </w:r>
      <w:r w:rsidR="000117DF">
        <w:rPr>
          <w:lang w:val="fr-FR"/>
        </w:rPr>
        <w:t>’</w:t>
      </w:r>
      <w:r w:rsidRPr="00023EBB">
        <w:rPr>
          <w:lang w:val="fr-FR"/>
        </w:rPr>
        <w:t>espaces spécifiques pour le dialogue, les consultations et les campagnes sur les réseaux sociaux</w:t>
      </w:r>
      <w:r w:rsidR="00264CCA">
        <w:rPr>
          <w:lang w:val="fr-FR"/>
        </w:rPr>
        <w:t xml:space="preserve"> à l’échelle nationale</w:t>
      </w:r>
      <w:r w:rsidRPr="00023EBB">
        <w:rPr>
          <w:lang w:val="fr-FR"/>
        </w:rPr>
        <w:t xml:space="preserve">, atteignant </w:t>
      </w:r>
      <w:r w:rsidR="000117DF">
        <w:rPr>
          <w:lang w:val="fr-FR"/>
        </w:rPr>
        <w:t xml:space="preserve">ainsi </w:t>
      </w:r>
      <w:r w:rsidRPr="00023EBB">
        <w:rPr>
          <w:lang w:val="fr-FR"/>
        </w:rPr>
        <w:t>les plus marginalisés et favorisant le r</w:t>
      </w:r>
      <w:r>
        <w:rPr>
          <w:lang w:val="fr-FR"/>
        </w:rPr>
        <w:t>ôle des jeunes en tant qu’acteurs du changement ;</w:t>
      </w:r>
    </w:p>
    <w:p w14:paraId="6A7D83B1" w14:textId="6D02B966" w:rsidR="00BA6B12" w:rsidRPr="00BA6B12" w:rsidRDefault="00BA6B12" w:rsidP="003A0413">
      <w:pPr>
        <w:pStyle w:val="Para1"/>
        <w:numPr>
          <w:ilvl w:val="0"/>
          <w:numId w:val="20"/>
        </w:numPr>
        <w:tabs>
          <w:tab w:val="clear" w:pos="720"/>
          <w:tab w:val="left" w:pos="900"/>
        </w:tabs>
        <w:spacing w:after="240"/>
        <w:ind w:left="0" w:right="0" w:firstLine="360"/>
        <w:rPr>
          <w:lang w:val="fr-FR"/>
        </w:rPr>
      </w:pPr>
      <w:r w:rsidRPr="00BA6B12">
        <w:rPr>
          <w:lang w:val="fr-FR"/>
        </w:rPr>
        <w:t xml:space="preserve">Elles </w:t>
      </w:r>
      <w:r w:rsidR="000117DF">
        <w:rPr>
          <w:lang w:val="fr-FR"/>
        </w:rPr>
        <w:t>multiplient</w:t>
      </w:r>
      <w:r w:rsidRPr="00BA6B12">
        <w:rPr>
          <w:lang w:val="fr-FR"/>
        </w:rPr>
        <w:t xml:space="preserve"> les programmes adaptés à l’</w:t>
      </w:r>
      <w:r>
        <w:rPr>
          <w:lang w:val="fr-FR"/>
        </w:rPr>
        <w:t>âge et au sexe</w:t>
      </w:r>
      <w:r w:rsidR="000117DF">
        <w:rPr>
          <w:lang w:val="fr-FR"/>
        </w:rPr>
        <w:t>,</w:t>
      </w:r>
      <w:r>
        <w:rPr>
          <w:lang w:val="fr-FR"/>
        </w:rPr>
        <w:t xml:space="preserve"> qui contribuent à la protection, à la santé et au développement des jeunes</w:t>
      </w:r>
      <w:r w:rsidR="00E36B3C">
        <w:rPr>
          <w:lang w:val="fr-FR"/>
        </w:rPr>
        <w:t>,</w:t>
      </w:r>
      <w:r>
        <w:rPr>
          <w:lang w:val="fr-FR"/>
        </w:rPr>
        <w:t xml:space="preserve"> hommes et femmes, filles et garçons, et respectent les droits et les besoins des adolescents et des jeunes les plus difficiles </w:t>
      </w:r>
      <w:r w:rsidR="000117DF">
        <w:rPr>
          <w:lang w:val="fr-FR"/>
        </w:rPr>
        <w:t>à atteindre</w:t>
      </w:r>
      <w:r>
        <w:rPr>
          <w:lang w:val="fr-FR"/>
        </w:rPr>
        <w:t>, notamment les adolescentes ;</w:t>
      </w:r>
    </w:p>
    <w:p w14:paraId="51F48B53" w14:textId="55B725A1" w:rsidR="00BA6B12" w:rsidRPr="00BA6B12" w:rsidRDefault="00BA6B12" w:rsidP="003A0413">
      <w:pPr>
        <w:pStyle w:val="Para1"/>
        <w:numPr>
          <w:ilvl w:val="0"/>
          <w:numId w:val="20"/>
        </w:numPr>
        <w:tabs>
          <w:tab w:val="clear" w:pos="720"/>
          <w:tab w:val="left" w:pos="900"/>
        </w:tabs>
        <w:spacing w:after="240"/>
        <w:ind w:left="0" w:right="0" w:firstLine="360"/>
        <w:rPr>
          <w:lang w:val="fr-FR"/>
        </w:rPr>
      </w:pPr>
      <w:r w:rsidRPr="00BA6B12">
        <w:rPr>
          <w:lang w:val="fr-FR"/>
        </w:rPr>
        <w:lastRenderedPageBreak/>
        <w:t>Elles soutiennent l’</w:t>
      </w:r>
      <w:r w:rsidR="00933E00">
        <w:rPr>
          <w:lang w:val="fr-FR"/>
        </w:rPr>
        <w:t>action</w:t>
      </w:r>
      <w:r w:rsidRPr="00BA6B12">
        <w:rPr>
          <w:lang w:val="fr-FR"/>
        </w:rPr>
        <w:t xml:space="preserve">, la participation politique et les partenariats </w:t>
      </w:r>
      <w:r w:rsidR="00933E00">
        <w:rPr>
          <w:lang w:val="fr-FR"/>
        </w:rPr>
        <w:t xml:space="preserve">systématiques </w:t>
      </w:r>
      <w:r w:rsidRPr="00BA6B12">
        <w:rPr>
          <w:lang w:val="fr-FR"/>
        </w:rPr>
        <w:t>avec les adolescents et les jeunes, notamment dans le cadre de l’action humanitaire et de la consolidation de la paix.</w:t>
      </w:r>
    </w:p>
    <w:p w14:paraId="128E475A" w14:textId="53CB1C36" w:rsidR="00BA6B12" w:rsidRPr="00BA6B12" w:rsidRDefault="00BA6B12" w:rsidP="003A0413">
      <w:pPr>
        <w:pStyle w:val="Para1"/>
        <w:numPr>
          <w:ilvl w:val="0"/>
          <w:numId w:val="21"/>
        </w:numPr>
        <w:tabs>
          <w:tab w:val="left" w:pos="540"/>
        </w:tabs>
        <w:spacing w:after="240"/>
        <w:ind w:left="0" w:right="0" w:firstLine="0"/>
        <w:rPr>
          <w:lang w:val="fr-FR"/>
        </w:rPr>
      </w:pPr>
      <w:r w:rsidRPr="00BA6B12">
        <w:rPr>
          <w:lang w:val="fr-FR"/>
        </w:rPr>
        <w:t>De nombreux pays ont adopté ou sont en train d’adopter des prog</w:t>
      </w:r>
      <w:r w:rsidR="00E36B3C">
        <w:rPr>
          <w:lang w:val="fr-FR"/>
        </w:rPr>
        <w:t>rammes et des politiques destiné</w:t>
      </w:r>
      <w:r w:rsidRPr="00BA6B12">
        <w:rPr>
          <w:lang w:val="fr-FR"/>
        </w:rPr>
        <w:t>s à optimiser les</w:t>
      </w:r>
      <w:r>
        <w:rPr>
          <w:lang w:val="fr-FR"/>
        </w:rPr>
        <w:t xml:space="preserve"> </w:t>
      </w:r>
      <w:r w:rsidRPr="00BA6B12">
        <w:rPr>
          <w:lang w:val="fr-FR"/>
        </w:rPr>
        <w:t>investissements</w:t>
      </w:r>
      <w:r>
        <w:rPr>
          <w:lang w:val="fr-FR"/>
        </w:rPr>
        <w:t xml:space="preserve"> en faveur des adolescents et des jeunes. Toutefois, la plupart </w:t>
      </w:r>
      <w:r w:rsidR="00F3458A">
        <w:rPr>
          <w:lang w:val="fr-FR"/>
        </w:rPr>
        <w:t>doivent encore élaborer</w:t>
      </w:r>
      <w:r>
        <w:rPr>
          <w:lang w:val="fr-FR"/>
        </w:rPr>
        <w:t xml:space="preserve"> des politiques globales et financ</w:t>
      </w:r>
      <w:r w:rsidR="00F3458A">
        <w:rPr>
          <w:lang w:val="fr-FR"/>
        </w:rPr>
        <w:t>er</w:t>
      </w:r>
      <w:r>
        <w:rPr>
          <w:lang w:val="fr-FR"/>
        </w:rPr>
        <w:t xml:space="preserve"> des programmes </w:t>
      </w:r>
      <w:r w:rsidR="00F3458A">
        <w:rPr>
          <w:lang w:val="fr-FR"/>
        </w:rPr>
        <w:t>susceptibles d’</w:t>
      </w:r>
      <w:r>
        <w:rPr>
          <w:lang w:val="fr-FR"/>
        </w:rPr>
        <w:t xml:space="preserve">atteindre les adolescents les plus laissés </w:t>
      </w:r>
      <w:r w:rsidR="00F3458A">
        <w:rPr>
          <w:lang w:val="fr-FR"/>
        </w:rPr>
        <w:t>pour compte</w:t>
      </w:r>
      <w:r>
        <w:rPr>
          <w:lang w:val="fr-FR"/>
        </w:rPr>
        <w:t xml:space="preserve">. Il faut </w:t>
      </w:r>
      <w:r w:rsidR="00F3458A">
        <w:rPr>
          <w:lang w:val="fr-FR"/>
        </w:rPr>
        <w:t xml:space="preserve">davantage </w:t>
      </w:r>
      <w:r>
        <w:rPr>
          <w:lang w:val="fr-FR"/>
        </w:rPr>
        <w:t xml:space="preserve">orienter </w:t>
      </w:r>
      <w:r w:rsidR="00F3458A">
        <w:rPr>
          <w:lang w:val="fr-FR"/>
        </w:rPr>
        <w:t xml:space="preserve">les </w:t>
      </w:r>
      <w:r>
        <w:rPr>
          <w:lang w:val="fr-FR"/>
        </w:rPr>
        <w:t xml:space="preserve">efforts vers la défense des priorités des jeunes : utiliser des données </w:t>
      </w:r>
      <w:r w:rsidR="00DD0DBA">
        <w:rPr>
          <w:lang w:val="fr-FR"/>
        </w:rPr>
        <w:t xml:space="preserve">ventilées </w:t>
      </w:r>
      <w:r w:rsidR="00264CCA">
        <w:rPr>
          <w:lang w:val="fr-FR"/>
        </w:rPr>
        <w:t xml:space="preserve">reposant </w:t>
      </w:r>
      <w:r w:rsidR="00DD0DBA">
        <w:rPr>
          <w:lang w:val="fr-FR"/>
        </w:rPr>
        <w:t>sur l’âge et le sexe ; influencer les politiques gouvernementales ; renforcer les institutions nationales afin de répondre aux priorités de</w:t>
      </w:r>
      <w:r w:rsidR="00F3458A">
        <w:rPr>
          <w:lang w:val="fr-FR"/>
        </w:rPr>
        <w:t xml:space="preserve"> la </w:t>
      </w:r>
      <w:r w:rsidR="00DD0DBA">
        <w:rPr>
          <w:lang w:val="fr-FR"/>
        </w:rPr>
        <w:t>jeunes</w:t>
      </w:r>
      <w:r w:rsidR="00F3458A">
        <w:rPr>
          <w:lang w:val="fr-FR"/>
        </w:rPr>
        <w:t>se</w:t>
      </w:r>
      <w:r w:rsidR="00DD0DBA">
        <w:rPr>
          <w:lang w:val="fr-FR"/>
        </w:rPr>
        <w:t xml:space="preserve"> </w:t>
      </w:r>
      <w:r w:rsidR="00264CCA">
        <w:rPr>
          <w:lang w:val="fr-FR"/>
        </w:rPr>
        <w:t xml:space="preserve">dans les contextes </w:t>
      </w:r>
      <w:r w:rsidR="00664377">
        <w:rPr>
          <w:lang w:val="fr-FR"/>
        </w:rPr>
        <w:t>humanitaires, de</w:t>
      </w:r>
      <w:r w:rsidR="00DD0DBA">
        <w:rPr>
          <w:lang w:val="fr-FR"/>
        </w:rPr>
        <w:t xml:space="preserve"> développement et de consolidation de la paix ; investir les ressources nationales pour renforcer les capacités des jeunes ; et responsabiliser les communautés pour qu’elles </w:t>
      </w:r>
      <w:r w:rsidR="00F3458A">
        <w:rPr>
          <w:lang w:val="fr-FR"/>
        </w:rPr>
        <w:t>les prennent en compte</w:t>
      </w:r>
      <w:r w:rsidR="00DD0DBA">
        <w:rPr>
          <w:lang w:val="fr-FR"/>
        </w:rPr>
        <w:t>.</w:t>
      </w:r>
    </w:p>
    <w:p w14:paraId="3528EAFD" w14:textId="647F995A" w:rsidR="00DD0DBA" w:rsidRPr="00DD0DBA" w:rsidRDefault="00DD0DBA" w:rsidP="003A0413">
      <w:pPr>
        <w:pStyle w:val="Para1"/>
        <w:numPr>
          <w:ilvl w:val="0"/>
          <w:numId w:val="21"/>
        </w:numPr>
        <w:tabs>
          <w:tab w:val="left" w:pos="540"/>
        </w:tabs>
        <w:spacing w:after="240"/>
        <w:ind w:left="0" w:right="0" w:firstLine="0"/>
        <w:rPr>
          <w:lang w:val="fr-FR"/>
        </w:rPr>
      </w:pPr>
      <w:r w:rsidRPr="00DD0DBA">
        <w:rPr>
          <w:lang w:val="fr-FR"/>
        </w:rPr>
        <w:t>Les adolescents et les jeunes s’épanouiront lorsqu’ils pourront bénéficier de ces investissement</w:t>
      </w:r>
      <w:r>
        <w:rPr>
          <w:lang w:val="fr-FR"/>
        </w:rPr>
        <w:t>s</w:t>
      </w:r>
      <w:r w:rsidRPr="00DD0DBA">
        <w:rPr>
          <w:lang w:val="fr-FR"/>
        </w:rPr>
        <w:t xml:space="preserve">. </w:t>
      </w:r>
      <w:r>
        <w:rPr>
          <w:lang w:val="fr-FR"/>
        </w:rPr>
        <w:t xml:space="preserve">Ils seront </w:t>
      </w:r>
      <w:r w:rsidR="009511C2">
        <w:rPr>
          <w:lang w:val="fr-FR"/>
        </w:rPr>
        <w:t>à même</w:t>
      </w:r>
      <w:r>
        <w:rPr>
          <w:lang w:val="fr-FR"/>
        </w:rPr>
        <w:t xml:space="preserve"> de développer les valeurs, les compétences et les comportements sains qui leur confèrent la résistance nécessaire pour pouvoir prendre pleinement part à leurs sociétés et contribuer à construire et à maintenir la paix au niveau national et mondial. En retour, cette nouvelle génération soutiendra la précédente </w:t>
      </w:r>
      <w:r w:rsidR="004215CC">
        <w:rPr>
          <w:lang w:val="fr-FR"/>
        </w:rPr>
        <w:t xml:space="preserve">quand elle vieillira, et </w:t>
      </w:r>
      <w:r w:rsidR="009511C2">
        <w:rPr>
          <w:lang w:val="fr-FR"/>
        </w:rPr>
        <w:t>formera</w:t>
      </w:r>
      <w:r w:rsidR="004215CC">
        <w:rPr>
          <w:lang w:val="fr-FR"/>
        </w:rPr>
        <w:t xml:space="preserve"> également la suivante, afin qu’elle puisse à son tour atteindre son plein potentiel et participer efficacement à la vie de sa communauté, soumise à un monde globalisé en rapide mutation. </w:t>
      </w:r>
      <w:r w:rsidR="009511C2">
        <w:rPr>
          <w:lang w:val="fr-FR"/>
        </w:rPr>
        <w:t>E</w:t>
      </w:r>
      <w:r w:rsidR="004215CC">
        <w:rPr>
          <w:lang w:val="fr-FR"/>
        </w:rPr>
        <w:t>nsemble</w:t>
      </w:r>
      <w:r w:rsidR="009511C2">
        <w:rPr>
          <w:lang w:val="fr-FR"/>
        </w:rPr>
        <w:t>,</w:t>
      </w:r>
      <w:r w:rsidR="004215CC">
        <w:rPr>
          <w:lang w:val="fr-FR"/>
        </w:rPr>
        <w:t xml:space="preserve"> ces investissements </w:t>
      </w:r>
      <w:r w:rsidR="009511C2">
        <w:rPr>
          <w:lang w:val="fr-FR"/>
        </w:rPr>
        <w:t>permettront</w:t>
      </w:r>
      <w:r w:rsidR="004215CC">
        <w:rPr>
          <w:lang w:val="fr-FR"/>
        </w:rPr>
        <w:t xml:space="preserve"> </w:t>
      </w:r>
      <w:r w:rsidR="009511C2">
        <w:rPr>
          <w:lang w:val="fr-FR"/>
        </w:rPr>
        <w:t>aux</w:t>
      </w:r>
      <w:r w:rsidR="004215CC">
        <w:rPr>
          <w:lang w:val="fr-FR"/>
        </w:rPr>
        <w:t xml:space="preserve"> pays de libérer le potentiel d’une jeune génération</w:t>
      </w:r>
      <w:r w:rsidR="009511C2">
        <w:rPr>
          <w:lang w:val="fr-FR"/>
        </w:rPr>
        <w:t xml:space="preserve"> et d’</w:t>
      </w:r>
      <w:r w:rsidR="004215CC">
        <w:rPr>
          <w:lang w:val="fr-FR"/>
        </w:rPr>
        <w:t xml:space="preserve">accélérer </w:t>
      </w:r>
      <w:r w:rsidR="009511C2">
        <w:rPr>
          <w:lang w:val="fr-FR"/>
        </w:rPr>
        <w:t xml:space="preserve">ainsi </w:t>
      </w:r>
      <w:r w:rsidR="004215CC">
        <w:rPr>
          <w:lang w:val="fr-FR"/>
        </w:rPr>
        <w:t xml:space="preserve">le développement national, </w:t>
      </w:r>
      <w:r w:rsidR="009511C2">
        <w:rPr>
          <w:lang w:val="fr-FR"/>
        </w:rPr>
        <w:t xml:space="preserve">de </w:t>
      </w:r>
      <w:r w:rsidR="004215CC">
        <w:rPr>
          <w:lang w:val="fr-FR"/>
        </w:rPr>
        <w:t xml:space="preserve">stimuler la croissance économique, </w:t>
      </w:r>
      <w:r w:rsidR="009511C2">
        <w:rPr>
          <w:lang w:val="fr-FR"/>
        </w:rPr>
        <w:t xml:space="preserve">de </w:t>
      </w:r>
      <w:r w:rsidR="004215CC">
        <w:rPr>
          <w:lang w:val="fr-FR"/>
        </w:rPr>
        <w:t xml:space="preserve">promouvoir les droits de l’homme, </w:t>
      </w:r>
      <w:r w:rsidR="009511C2">
        <w:rPr>
          <w:lang w:val="fr-FR"/>
        </w:rPr>
        <w:t xml:space="preserve">de </w:t>
      </w:r>
      <w:r w:rsidR="004215CC">
        <w:rPr>
          <w:lang w:val="fr-FR"/>
        </w:rPr>
        <w:t xml:space="preserve">mettre fin aux discriminations et </w:t>
      </w:r>
      <w:r w:rsidR="009511C2">
        <w:rPr>
          <w:lang w:val="fr-FR"/>
        </w:rPr>
        <w:t xml:space="preserve">de </w:t>
      </w:r>
      <w:r w:rsidR="004215CC">
        <w:rPr>
          <w:lang w:val="fr-FR"/>
        </w:rPr>
        <w:t xml:space="preserve">construire des sociétés durables et pacifiques. </w:t>
      </w:r>
    </w:p>
    <w:p w14:paraId="39047962" w14:textId="32062493" w:rsidR="004215CC" w:rsidRPr="004215CC" w:rsidRDefault="004215CC" w:rsidP="003A0413">
      <w:pPr>
        <w:pStyle w:val="Para1"/>
        <w:numPr>
          <w:ilvl w:val="0"/>
          <w:numId w:val="21"/>
        </w:numPr>
        <w:tabs>
          <w:tab w:val="left" w:pos="540"/>
        </w:tabs>
        <w:spacing w:after="240"/>
        <w:ind w:left="0" w:right="0" w:firstLine="0"/>
        <w:rPr>
          <w:lang w:val="fr-FR"/>
        </w:rPr>
      </w:pPr>
      <w:r>
        <w:rPr>
          <w:lang w:val="fr-FR"/>
        </w:rPr>
        <w:t>L</w:t>
      </w:r>
      <w:r w:rsidRPr="004215CC">
        <w:rPr>
          <w:lang w:val="fr-FR"/>
        </w:rPr>
        <w:t>’approche du système des Nations Unies en faveur de l’engagement et du partenariat avec les jeunes en tant qu’acteurs du changement</w:t>
      </w:r>
      <w:r>
        <w:rPr>
          <w:lang w:val="fr-FR"/>
        </w:rPr>
        <w:t xml:space="preserve"> est étayée par la </w:t>
      </w:r>
      <w:r w:rsidR="009511C2">
        <w:rPr>
          <w:lang w:val="fr-FR"/>
        </w:rPr>
        <w:t>conviction</w:t>
      </w:r>
      <w:r>
        <w:rPr>
          <w:lang w:val="fr-FR"/>
        </w:rPr>
        <w:t xml:space="preserve"> qu’une participation significative de la jeunesse n’est pas seulement un droit en soi – dès leur autonomisation, les jeunes </w:t>
      </w:r>
      <w:r w:rsidR="00625458">
        <w:rPr>
          <w:lang w:val="fr-FR"/>
        </w:rPr>
        <w:t>intensifieront</w:t>
      </w:r>
      <w:r>
        <w:rPr>
          <w:lang w:val="fr-FR"/>
        </w:rPr>
        <w:t xml:space="preserve"> les progrès et </w:t>
      </w:r>
      <w:r w:rsidR="00625458">
        <w:rPr>
          <w:lang w:val="fr-FR"/>
        </w:rPr>
        <w:t>pérenniseront</w:t>
      </w:r>
      <w:r>
        <w:rPr>
          <w:lang w:val="fr-FR"/>
        </w:rPr>
        <w:t xml:space="preserve"> les </w:t>
      </w:r>
      <w:r w:rsidR="00625458">
        <w:rPr>
          <w:lang w:val="fr-FR"/>
        </w:rPr>
        <w:t>effets</w:t>
      </w:r>
      <w:r>
        <w:rPr>
          <w:lang w:val="fr-FR"/>
        </w:rPr>
        <w:t xml:space="preserve"> d</w:t>
      </w:r>
      <w:r w:rsidR="00625458">
        <w:rPr>
          <w:lang w:val="fr-FR"/>
        </w:rPr>
        <w:t>u</w:t>
      </w:r>
      <w:r>
        <w:rPr>
          <w:lang w:val="fr-FR"/>
        </w:rPr>
        <w:t xml:space="preserve"> développement</w:t>
      </w:r>
      <w:r w:rsidR="00491E3B">
        <w:rPr>
          <w:lang w:val="fr-FR"/>
        </w:rPr>
        <w:t xml:space="preserve">. Avec un environnement propice, </w:t>
      </w:r>
      <w:r w:rsidR="00625458">
        <w:rPr>
          <w:lang w:val="fr-FR"/>
        </w:rPr>
        <w:t>ils</w:t>
      </w:r>
      <w:r w:rsidR="00491E3B">
        <w:rPr>
          <w:lang w:val="fr-FR"/>
        </w:rPr>
        <w:t xml:space="preserve"> peuvent avoir un </w:t>
      </w:r>
      <w:r w:rsidR="00077300">
        <w:rPr>
          <w:lang w:val="fr-FR"/>
        </w:rPr>
        <w:t xml:space="preserve">effet </w:t>
      </w:r>
      <w:r w:rsidR="00491E3B">
        <w:rPr>
          <w:lang w:val="fr-FR"/>
        </w:rPr>
        <w:t xml:space="preserve">transformateur sur le développement et la paix, en garantissant que des institutions efficaces, réceptives et responsables </w:t>
      </w:r>
      <w:r w:rsidR="00625458">
        <w:rPr>
          <w:lang w:val="fr-FR"/>
        </w:rPr>
        <w:t>accompliront l’ensemble d</w:t>
      </w:r>
      <w:r w:rsidR="00491E3B">
        <w:rPr>
          <w:lang w:val="fr-FR"/>
        </w:rPr>
        <w:t>es objectifs de développement durable.</w:t>
      </w:r>
    </w:p>
    <w:p w14:paraId="078A4C02" w14:textId="291BD914" w:rsidR="002E2AAC" w:rsidRPr="00B10634" w:rsidRDefault="002E2AAC" w:rsidP="003A0413">
      <w:pPr>
        <w:spacing w:after="240"/>
        <w:jc w:val="center"/>
      </w:pPr>
      <w:r w:rsidRPr="00B10634">
        <w:t>_______________</w:t>
      </w:r>
    </w:p>
    <w:sectPr w:rsidR="002E2AAC" w:rsidRPr="00B10634" w:rsidSect="00BA6EDA">
      <w:headerReference w:type="default" r:id="rId17"/>
      <w:footerReference w:type="even" r:id="rId18"/>
      <w:footerReference w:type="default" r:id="rId19"/>
      <w:headerReference w:type="first" r:id="rId20"/>
      <w:pgSz w:w="12240" w:h="15840"/>
      <w:pgMar w:top="994" w:right="1296" w:bottom="1080" w:left="129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9048" w14:textId="77777777" w:rsidR="002C0A2C" w:rsidRDefault="002C0A2C" w:rsidP="00627EB6">
      <w:r>
        <w:separator/>
      </w:r>
    </w:p>
  </w:endnote>
  <w:endnote w:type="continuationSeparator" w:id="0">
    <w:p w14:paraId="59C47BCC" w14:textId="77777777" w:rsidR="002C0A2C" w:rsidRDefault="002C0A2C" w:rsidP="00627EB6">
      <w:r>
        <w:continuationSeparator/>
      </w:r>
    </w:p>
  </w:endnote>
  <w:endnote w:type="continuationNotice" w:id="1">
    <w:p w14:paraId="3A9671D4" w14:textId="77777777" w:rsidR="002C0A2C" w:rsidRDefault="002C0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AEA3" w14:textId="461BD4AF" w:rsidR="00BA6EDA" w:rsidRPr="00BA6EDA" w:rsidRDefault="002C0A2C">
    <w:pPr>
      <w:pStyle w:val="Footer"/>
      <w:rPr>
        <w:sz w:val="20"/>
      </w:rPr>
    </w:pPr>
    <w:sdt>
      <w:sdtPr>
        <w:rPr>
          <w:sz w:val="20"/>
        </w:rPr>
        <w:id w:val="-1061714894"/>
        <w:docPartObj>
          <w:docPartGallery w:val="Page Numbers (Bottom of Page)"/>
          <w:docPartUnique/>
        </w:docPartObj>
      </w:sdtPr>
      <w:sdtEndPr>
        <w:rPr>
          <w:noProof/>
        </w:rPr>
      </w:sdtEndPr>
      <w:sdtContent>
        <w:r w:rsidR="00BA6EDA" w:rsidRPr="00BA6EDA">
          <w:rPr>
            <w:sz w:val="20"/>
          </w:rPr>
          <w:fldChar w:fldCharType="begin"/>
        </w:r>
        <w:r w:rsidR="00BA6EDA" w:rsidRPr="00BA6EDA">
          <w:rPr>
            <w:sz w:val="20"/>
          </w:rPr>
          <w:instrText xml:space="preserve"> PAGE   \* MERGEFORMAT </w:instrText>
        </w:r>
        <w:r w:rsidR="00BA6EDA" w:rsidRPr="00BA6EDA">
          <w:rPr>
            <w:sz w:val="20"/>
          </w:rPr>
          <w:fldChar w:fldCharType="separate"/>
        </w:r>
        <w:r w:rsidR="00670830">
          <w:rPr>
            <w:noProof/>
            <w:sz w:val="20"/>
          </w:rPr>
          <w:t>2</w:t>
        </w:r>
        <w:r w:rsidR="00BA6EDA" w:rsidRPr="00BA6EDA">
          <w:rPr>
            <w:noProof/>
            <w:sz w:val="20"/>
          </w:rPr>
          <w:fldChar w:fldCharType="end"/>
        </w:r>
      </w:sdtContent>
    </w:sdt>
    <w:r w:rsidR="00BA6EDA" w:rsidRPr="00BA6EDA">
      <w:rPr>
        <w:noProof/>
        <w:sz w:val="20"/>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2B36B" w14:textId="36D97ED9" w:rsidR="00BA6EDA" w:rsidRPr="00BA6EDA" w:rsidRDefault="002C0A2C" w:rsidP="00BA6EDA">
    <w:pPr>
      <w:pStyle w:val="Footer"/>
      <w:jc w:val="right"/>
      <w:rPr>
        <w:sz w:val="20"/>
      </w:rPr>
    </w:pPr>
    <w:sdt>
      <w:sdtPr>
        <w:rPr>
          <w:sz w:val="20"/>
        </w:rPr>
        <w:id w:val="-220755442"/>
        <w:docPartObj>
          <w:docPartGallery w:val="Page Numbers (Bottom of Page)"/>
          <w:docPartUnique/>
        </w:docPartObj>
      </w:sdtPr>
      <w:sdtEndPr>
        <w:rPr>
          <w:noProof/>
        </w:rPr>
      </w:sdtEndPr>
      <w:sdtContent>
        <w:r w:rsidR="00BA6EDA" w:rsidRPr="00BA6EDA">
          <w:rPr>
            <w:sz w:val="20"/>
          </w:rPr>
          <w:fldChar w:fldCharType="begin"/>
        </w:r>
        <w:r w:rsidR="00BA6EDA" w:rsidRPr="00BA6EDA">
          <w:rPr>
            <w:sz w:val="20"/>
          </w:rPr>
          <w:instrText xml:space="preserve"> PAGE   \* MERGEFORMAT </w:instrText>
        </w:r>
        <w:r w:rsidR="00BA6EDA" w:rsidRPr="00BA6EDA">
          <w:rPr>
            <w:sz w:val="20"/>
          </w:rPr>
          <w:fldChar w:fldCharType="separate"/>
        </w:r>
        <w:r w:rsidR="00670830">
          <w:rPr>
            <w:noProof/>
            <w:sz w:val="20"/>
          </w:rPr>
          <w:t>13</w:t>
        </w:r>
        <w:r w:rsidR="00BA6EDA" w:rsidRPr="00BA6EDA">
          <w:rPr>
            <w:noProof/>
            <w:sz w:val="20"/>
          </w:rPr>
          <w:fldChar w:fldCharType="end"/>
        </w:r>
      </w:sdtContent>
    </w:sdt>
    <w:r w:rsidR="00BA6EDA" w:rsidRPr="00BA6EDA">
      <w:rPr>
        <w:noProof/>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2960" w14:textId="77777777" w:rsidR="002C0A2C" w:rsidRDefault="002C0A2C" w:rsidP="00627EB6">
      <w:r>
        <w:separator/>
      </w:r>
    </w:p>
  </w:footnote>
  <w:footnote w:type="continuationSeparator" w:id="0">
    <w:p w14:paraId="3C542ACE" w14:textId="77777777" w:rsidR="002C0A2C" w:rsidRDefault="002C0A2C" w:rsidP="00627EB6">
      <w:r>
        <w:continuationSeparator/>
      </w:r>
    </w:p>
  </w:footnote>
  <w:footnote w:type="continuationNotice" w:id="1">
    <w:p w14:paraId="4ED70BDD" w14:textId="77777777" w:rsidR="002C0A2C" w:rsidRDefault="002C0A2C"/>
  </w:footnote>
  <w:footnote w:id="2">
    <w:p w14:paraId="3F7B9C2D" w14:textId="268EAF4A" w:rsidR="00856267" w:rsidRPr="00D8591D" w:rsidRDefault="00856267" w:rsidP="0098642B">
      <w:pPr>
        <w:pStyle w:val="FootnoteText"/>
        <w:ind w:right="18"/>
        <w:rPr>
          <w:sz w:val="17"/>
          <w:szCs w:val="17"/>
          <w:lang w:val="fr-FR"/>
        </w:rPr>
      </w:pPr>
      <w:r w:rsidRPr="00077300">
        <w:rPr>
          <w:rStyle w:val="FootnoteReference"/>
          <w:sz w:val="17"/>
          <w:szCs w:val="17"/>
        </w:rPr>
        <w:footnoteRef/>
      </w:r>
      <w:r w:rsidRPr="00077300">
        <w:rPr>
          <w:sz w:val="17"/>
          <w:szCs w:val="17"/>
        </w:rPr>
        <w:t xml:space="preserve"> PNUD Fast Facts on Young People as Partners in the Implementation of the 2030 Agenda (2016).</w:t>
      </w:r>
      <w:r w:rsidRPr="00FD10A0">
        <w:rPr>
          <w:sz w:val="17"/>
          <w:szCs w:val="17"/>
        </w:rPr>
        <w:t xml:space="preserve"> </w:t>
      </w:r>
      <w:r w:rsidRPr="00D8591D">
        <w:rPr>
          <w:sz w:val="17"/>
          <w:szCs w:val="17"/>
          <w:lang w:val="fr-FR"/>
        </w:rPr>
        <w:t xml:space="preserve">Voir </w:t>
      </w:r>
      <w:hyperlink r:id="rId1" w:history="1">
        <w:r w:rsidRPr="00D8591D">
          <w:rPr>
            <w:rStyle w:val="Hyperlink"/>
            <w:sz w:val="17"/>
            <w:szCs w:val="17"/>
            <w:u w:val="none"/>
            <w:lang w:val="fr-FR"/>
          </w:rPr>
          <w:t>www.undp.org/youth</w:t>
        </w:r>
      </w:hyperlink>
      <w:r w:rsidRPr="00D8591D">
        <w:rPr>
          <w:sz w:val="17"/>
          <w:szCs w:val="17"/>
          <w:lang w:val="fr-FR"/>
        </w:rPr>
        <w:t>.</w:t>
      </w:r>
    </w:p>
  </w:footnote>
  <w:footnote w:id="3">
    <w:p w14:paraId="571FB196" w14:textId="75B82A90" w:rsidR="00856267" w:rsidRPr="00077300" w:rsidRDefault="00856267" w:rsidP="006D0D87">
      <w:pPr>
        <w:pStyle w:val="FootnoteText"/>
        <w:ind w:right="-72"/>
        <w:rPr>
          <w:sz w:val="17"/>
          <w:szCs w:val="17"/>
          <w:lang w:val="fr-FR"/>
        </w:rPr>
      </w:pPr>
      <w:r w:rsidRPr="00FD10A0">
        <w:rPr>
          <w:rStyle w:val="FootnoteReference"/>
          <w:sz w:val="17"/>
          <w:szCs w:val="17"/>
        </w:rPr>
        <w:footnoteRef/>
      </w:r>
      <w:r w:rsidRPr="006B274E">
        <w:rPr>
          <w:sz w:val="17"/>
          <w:szCs w:val="17"/>
          <w:lang w:val="fr-FR"/>
        </w:rPr>
        <w:t xml:space="preserve"> Le pouvoir d</w:t>
      </w:r>
      <w:r>
        <w:rPr>
          <w:sz w:val="17"/>
          <w:szCs w:val="17"/>
          <w:lang w:val="fr-FR"/>
        </w:rPr>
        <w:t>e</w:t>
      </w:r>
      <w:r w:rsidRPr="006B274E">
        <w:rPr>
          <w:sz w:val="17"/>
          <w:szCs w:val="17"/>
          <w:lang w:val="fr-FR"/>
        </w:rPr>
        <w:t xml:space="preserve">1,8 milliard d’adolescents et de jeunes et la transformation de l’avenir – </w:t>
      </w:r>
      <w:r w:rsidRPr="00077300">
        <w:rPr>
          <w:sz w:val="17"/>
          <w:szCs w:val="17"/>
          <w:lang w:val="fr-FR"/>
        </w:rPr>
        <w:t>État de la population mondiale, FNUAP 2014.</w:t>
      </w:r>
    </w:p>
  </w:footnote>
  <w:footnote w:id="4">
    <w:p w14:paraId="1A45DAC2" w14:textId="0513961B" w:rsidR="00856267" w:rsidRPr="00077300" w:rsidRDefault="00856267" w:rsidP="001C604F">
      <w:pPr>
        <w:ind w:right="-72"/>
        <w:contextualSpacing/>
        <w:rPr>
          <w:sz w:val="17"/>
          <w:szCs w:val="17"/>
          <w:lang w:val="fr-FR"/>
        </w:rPr>
      </w:pPr>
      <w:r w:rsidRPr="00077300">
        <w:rPr>
          <w:sz w:val="17"/>
          <w:szCs w:val="17"/>
          <w:vertAlign w:val="superscript"/>
        </w:rPr>
        <w:footnoteRef/>
      </w:r>
      <w:r w:rsidRPr="00077300">
        <w:rPr>
          <w:sz w:val="17"/>
          <w:szCs w:val="17"/>
        </w:rPr>
        <w:t xml:space="preserve"> « Global burden of diseases, injuries, and risk factors for young people’s health during 1990-2013: a systematic analysis for the Global Burden of Disease Study 2013 ». </w:t>
      </w:r>
      <w:r w:rsidRPr="00077300">
        <w:rPr>
          <w:sz w:val="17"/>
          <w:szCs w:val="17"/>
          <w:lang w:val="fr-FR"/>
        </w:rPr>
        <w:t>Lancet 2016.</w:t>
      </w:r>
    </w:p>
  </w:footnote>
  <w:footnote w:id="5">
    <w:p w14:paraId="65D719D7" w14:textId="5B724932" w:rsidR="00856267" w:rsidRPr="00077300" w:rsidRDefault="00856267" w:rsidP="00292F7C">
      <w:pPr>
        <w:ind w:right="-72"/>
        <w:contextualSpacing/>
        <w:rPr>
          <w:sz w:val="17"/>
          <w:szCs w:val="17"/>
          <w:lang w:val="fr-FR"/>
        </w:rPr>
      </w:pPr>
      <w:r w:rsidRPr="00077300">
        <w:rPr>
          <w:sz w:val="17"/>
          <w:szCs w:val="17"/>
          <w:vertAlign w:val="superscript"/>
        </w:rPr>
        <w:footnoteRef/>
      </w:r>
      <w:r w:rsidRPr="00077300">
        <w:rPr>
          <w:sz w:val="17"/>
          <w:szCs w:val="17"/>
          <w:lang w:val="fr-FR"/>
        </w:rPr>
        <w:t xml:space="preserve"> Estimations fondées sur des données à l’échelle de la population extraites du Programme commun de suivi 2015.</w:t>
      </w:r>
    </w:p>
  </w:footnote>
  <w:footnote w:id="6">
    <w:p w14:paraId="27CDC02C" w14:textId="5ADA4644" w:rsidR="00856267" w:rsidRPr="00AF345B" w:rsidRDefault="00856267" w:rsidP="00292F7C">
      <w:pPr>
        <w:ind w:right="-72"/>
        <w:contextualSpacing/>
        <w:rPr>
          <w:sz w:val="17"/>
          <w:szCs w:val="17"/>
          <w:lang w:val="fr-FR"/>
        </w:rPr>
      </w:pPr>
      <w:r w:rsidRPr="00077300">
        <w:rPr>
          <w:sz w:val="17"/>
          <w:szCs w:val="17"/>
          <w:vertAlign w:val="superscript"/>
        </w:rPr>
        <w:footnoteRef/>
      </w:r>
      <w:r w:rsidRPr="00077300">
        <w:rPr>
          <w:sz w:val="17"/>
          <w:szCs w:val="17"/>
        </w:rPr>
        <w:t xml:space="preserve"> « Global burden of diseases, injuries, and risk factors for young people’s health during 1990-2013: a systematic analysis for the Global Burden of Disease Study 2013</w:t>
      </w:r>
      <w:r w:rsidRPr="00B2216D">
        <w:rPr>
          <w:sz w:val="17"/>
          <w:szCs w:val="17"/>
        </w:rPr>
        <w:t xml:space="preserve"> ». </w:t>
      </w:r>
      <w:r w:rsidRPr="001C604F">
        <w:rPr>
          <w:sz w:val="17"/>
          <w:szCs w:val="17"/>
          <w:lang w:val="fr-FR"/>
        </w:rPr>
        <w:t>Lancet 2016.</w:t>
      </w:r>
    </w:p>
  </w:footnote>
  <w:footnote w:id="7">
    <w:p w14:paraId="3FB715DA" w14:textId="71EBD0EA" w:rsidR="00856267" w:rsidRPr="00082763" w:rsidRDefault="00856267" w:rsidP="00A737B0">
      <w:pPr>
        <w:pStyle w:val="FootnoteText"/>
        <w:ind w:right="-72"/>
        <w:rPr>
          <w:sz w:val="17"/>
          <w:szCs w:val="17"/>
          <w:lang w:val="fr-FR"/>
        </w:rPr>
      </w:pPr>
      <w:r w:rsidRPr="00082763">
        <w:rPr>
          <w:sz w:val="17"/>
          <w:szCs w:val="17"/>
          <w:vertAlign w:val="superscript"/>
        </w:rPr>
        <w:footnoteRef/>
      </w:r>
      <w:r w:rsidRPr="00082763">
        <w:rPr>
          <w:sz w:val="17"/>
          <w:szCs w:val="17"/>
          <w:vertAlign w:val="superscript"/>
          <w:lang w:val="fr-FR"/>
        </w:rPr>
        <w:t xml:space="preserve"> </w:t>
      </w:r>
      <w:r w:rsidRPr="00082763">
        <w:rPr>
          <w:sz w:val="17"/>
          <w:szCs w:val="17"/>
          <w:lang w:val="fr-FR"/>
        </w:rPr>
        <w:t>Le pouvoir d</w:t>
      </w:r>
      <w:r w:rsidR="00D74FC7" w:rsidRPr="00082763">
        <w:rPr>
          <w:sz w:val="17"/>
          <w:szCs w:val="17"/>
          <w:lang w:val="fr-FR"/>
        </w:rPr>
        <w:t>e</w:t>
      </w:r>
      <w:r w:rsidRPr="00082763">
        <w:rPr>
          <w:sz w:val="17"/>
          <w:szCs w:val="17"/>
          <w:lang w:val="fr-FR"/>
        </w:rPr>
        <w:t>1,8 milliard d’adolescents et de jeunes et la transformation de l’avenir – État de la population mondiale, FNUAP 2014.</w:t>
      </w:r>
    </w:p>
  </w:footnote>
  <w:footnote w:id="8">
    <w:p w14:paraId="52B32F75" w14:textId="054AAB44" w:rsidR="00856267" w:rsidRPr="00082763" w:rsidRDefault="00856267" w:rsidP="00160523">
      <w:pPr>
        <w:tabs>
          <w:tab w:val="left" w:pos="5837"/>
        </w:tabs>
        <w:ind w:right="-72"/>
        <w:contextualSpacing/>
        <w:rPr>
          <w:sz w:val="17"/>
          <w:szCs w:val="17"/>
          <w:lang w:val="fr-FR"/>
        </w:rPr>
      </w:pPr>
      <w:r w:rsidRPr="00082763">
        <w:rPr>
          <w:sz w:val="17"/>
          <w:szCs w:val="17"/>
          <w:vertAlign w:val="superscript"/>
        </w:rPr>
        <w:footnoteRef/>
      </w:r>
      <w:r w:rsidRPr="00082763">
        <w:rPr>
          <w:sz w:val="17"/>
          <w:szCs w:val="17"/>
          <w:lang w:val="fr-FR"/>
        </w:rPr>
        <w:t xml:space="preserve"> Document de l’Équipe de direction mondiale (GMT) de l’UNICEF sur les programmes relatifs aux adolescents, 2016.</w:t>
      </w:r>
    </w:p>
  </w:footnote>
  <w:footnote w:id="9">
    <w:p w14:paraId="7FABE67D" w14:textId="0F26B7EF" w:rsidR="00856267" w:rsidRPr="009E5D1E" w:rsidRDefault="00856267" w:rsidP="009E5D1E">
      <w:pPr>
        <w:contextualSpacing/>
        <w:rPr>
          <w:sz w:val="17"/>
          <w:szCs w:val="17"/>
          <w:lang w:val="fr-FR"/>
        </w:rPr>
      </w:pPr>
      <w:r w:rsidRPr="00082763">
        <w:rPr>
          <w:sz w:val="17"/>
          <w:szCs w:val="17"/>
          <w:vertAlign w:val="superscript"/>
        </w:rPr>
        <w:footnoteRef/>
      </w:r>
      <w:r w:rsidRPr="00082763">
        <w:rPr>
          <w:sz w:val="17"/>
          <w:szCs w:val="17"/>
          <w:lang w:val="fr-FR"/>
        </w:rPr>
        <w:t xml:space="preserve"> </w:t>
      </w:r>
      <w:r w:rsidRPr="00082763">
        <w:rPr>
          <w:i/>
          <w:iCs/>
          <w:sz w:val="17"/>
          <w:szCs w:val="17"/>
          <w:lang w:val="fr-FR"/>
        </w:rPr>
        <w:t>Rapport mondial de suivi sur l’éducation</w:t>
      </w:r>
      <w:r w:rsidRPr="00082763">
        <w:rPr>
          <w:sz w:val="17"/>
          <w:szCs w:val="17"/>
          <w:lang w:val="fr-FR"/>
        </w:rPr>
        <w:t>, Résumé sur l’égalité entre les sexes, 2015.</w:t>
      </w:r>
    </w:p>
  </w:footnote>
  <w:footnote w:id="10">
    <w:p w14:paraId="16FB1C49" w14:textId="77777777" w:rsidR="00856267" w:rsidRPr="00FD10A0" w:rsidRDefault="00856267" w:rsidP="002C0245">
      <w:pPr>
        <w:pStyle w:val="FootnoteText"/>
        <w:rPr>
          <w:sz w:val="17"/>
          <w:szCs w:val="17"/>
        </w:rPr>
      </w:pPr>
      <w:r w:rsidRPr="00FD10A0">
        <w:rPr>
          <w:rStyle w:val="FootnoteReference"/>
          <w:sz w:val="17"/>
          <w:szCs w:val="17"/>
        </w:rPr>
        <w:footnoteRef/>
      </w:r>
      <w:r w:rsidRPr="00FD10A0">
        <w:rPr>
          <w:sz w:val="17"/>
          <w:szCs w:val="17"/>
        </w:rPr>
        <w:t xml:space="preserve"> World Employment and Social Outlook 2016: Trends for Youth. </w:t>
      </w:r>
    </w:p>
  </w:footnote>
  <w:footnote w:id="11">
    <w:p w14:paraId="4FCF497D" w14:textId="1E2E4B8F" w:rsidR="00856267" w:rsidRPr="00C70F87" w:rsidRDefault="00856267" w:rsidP="00C70F87">
      <w:pPr>
        <w:contextualSpacing/>
        <w:rPr>
          <w:sz w:val="17"/>
          <w:szCs w:val="17"/>
          <w:lang w:val="fr-FR"/>
        </w:rPr>
      </w:pPr>
      <w:r w:rsidRPr="00FD10A0">
        <w:rPr>
          <w:sz w:val="17"/>
          <w:szCs w:val="17"/>
          <w:vertAlign w:val="superscript"/>
        </w:rPr>
        <w:footnoteRef/>
      </w:r>
      <w:r w:rsidRPr="00C70F87">
        <w:rPr>
          <w:sz w:val="17"/>
          <w:szCs w:val="17"/>
          <w:lang w:val="fr-FR"/>
        </w:rPr>
        <w:t xml:space="preserve"> </w:t>
      </w:r>
      <w:r>
        <w:rPr>
          <w:i/>
          <w:iCs/>
          <w:sz w:val="17"/>
          <w:szCs w:val="17"/>
          <w:lang w:val="fr-FR"/>
        </w:rPr>
        <w:t>Rapport mondial de suivi sur l’éducation</w:t>
      </w:r>
      <w:r w:rsidRPr="00C70F87">
        <w:rPr>
          <w:sz w:val="17"/>
          <w:szCs w:val="17"/>
          <w:lang w:val="fr-FR"/>
        </w:rPr>
        <w:t xml:space="preserve">, </w:t>
      </w:r>
      <w:r>
        <w:rPr>
          <w:sz w:val="17"/>
          <w:szCs w:val="17"/>
          <w:lang w:val="fr-FR"/>
        </w:rPr>
        <w:t>Jeunes et compétences</w:t>
      </w:r>
      <w:r w:rsidRPr="00C70F87">
        <w:rPr>
          <w:sz w:val="17"/>
          <w:szCs w:val="17"/>
          <w:lang w:val="fr-FR"/>
        </w:rPr>
        <w:t>, 2012.</w:t>
      </w:r>
    </w:p>
  </w:footnote>
  <w:footnote w:id="12">
    <w:p w14:paraId="463863A5" w14:textId="1BE8950B" w:rsidR="00856267" w:rsidRPr="00C70F87" w:rsidRDefault="00856267" w:rsidP="00C70F87">
      <w:pPr>
        <w:contextualSpacing/>
        <w:rPr>
          <w:sz w:val="17"/>
          <w:szCs w:val="17"/>
          <w:lang w:val="fr-FR"/>
        </w:rPr>
      </w:pPr>
      <w:r w:rsidRPr="00FD10A0">
        <w:rPr>
          <w:sz w:val="17"/>
          <w:szCs w:val="17"/>
          <w:vertAlign w:val="superscript"/>
        </w:rPr>
        <w:footnoteRef/>
      </w:r>
      <w:r w:rsidRPr="00C70F87">
        <w:rPr>
          <w:sz w:val="17"/>
          <w:szCs w:val="17"/>
          <w:lang w:val="fr-FR"/>
        </w:rPr>
        <w:t xml:space="preserve"> </w:t>
      </w:r>
      <w:r w:rsidRPr="00AF345B">
        <w:rPr>
          <w:sz w:val="17"/>
          <w:szCs w:val="17"/>
          <w:lang w:val="fr-FR"/>
        </w:rPr>
        <w:t xml:space="preserve">Document </w:t>
      </w:r>
      <w:r>
        <w:rPr>
          <w:sz w:val="17"/>
          <w:szCs w:val="17"/>
          <w:lang w:val="fr-FR"/>
        </w:rPr>
        <w:t>de l’Équipe de direction mondiale (GMT) de l’</w:t>
      </w:r>
      <w:r w:rsidRPr="00AF345B">
        <w:rPr>
          <w:sz w:val="17"/>
          <w:szCs w:val="17"/>
          <w:lang w:val="fr-FR"/>
        </w:rPr>
        <w:t>UNICEF</w:t>
      </w:r>
      <w:r>
        <w:rPr>
          <w:sz w:val="17"/>
          <w:szCs w:val="17"/>
          <w:lang w:val="fr-FR"/>
        </w:rPr>
        <w:t xml:space="preserve"> sur les programmes relatifs aux adolescents</w:t>
      </w:r>
      <w:r w:rsidRPr="00AF345B">
        <w:rPr>
          <w:sz w:val="17"/>
          <w:szCs w:val="17"/>
          <w:lang w:val="fr-FR"/>
        </w:rPr>
        <w:t>, 2016</w:t>
      </w:r>
      <w:r w:rsidRPr="00C70F87">
        <w:rPr>
          <w:sz w:val="17"/>
          <w:szCs w:val="17"/>
          <w:lang w:val="fr-FR"/>
        </w:rPr>
        <w:t>.</w:t>
      </w:r>
    </w:p>
  </w:footnote>
  <w:footnote w:id="13">
    <w:p w14:paraId="3989A7B0" w14:textId="1181D076" w:rsidR="00856267" w:rsidRPr="00A96C15" w:rsidRDefault="00856267" w:rsidP="00A96C15">
      <w:pPr>
        <w:contextualSpacing/>
        <w:rPr>
          <w:sz w:val="17"/>
          <w:szCs w:val="17"/>
          <w:lang w:val="fr-FR"/>
        </w:rPr>
      </w:pPr>
      <w:r w:rsidRPr="00FD10A0">
        <w:rPr>
          <w:sz w:val="17"/>
          <w:szCs w:val="17"/>
          <w:vertAlign w:val="superscript"/>
        </w:rPr>
        <w:footnoteRef/>
      </w:r>
      <w:r w:rsidRPr="00A96C15">
        <w:rPr>
          <w:sz w:val="17"/>
          <w:szCs w:val="17"/>
          <w:lang w:val="fr-FR"/>
        </w:rPr>
        <w:t xml:space="preserve"> </w:t>
      </w:r>
      <w:r>
        <w:rPr>
          <w:i/>
          <w:iCs/>
          <w:sz w:val="17"/>
          <w:szCs w:val="17"/>
          <w:lang w:val="fr-FR"/>
        </w:rPr>
        <w:t>Rapport mondial de suivi sur l’éducation</w:t>
      </w:r>
      <w:r w:rsidRPr="00C70F87">
        <w:rPr>
          <w:sz w:val="17"/>
          <w:szCs w:val="17"/>
          <w:lang w:val="fr-FR"/>
        </w:rPr>
        <w:t xml:space="preserve">, </w:t>
      </w:r>
      <w:r>
        <w:rPr>
          <w:sz w:val="17"/>
          <w:szCs w:val="17"/>
          <w:lang w:val="fr-FR"/>
        </w:rPr>
        <w:t>Jeunes et compétences</w:t>
      </w:r>
      <w:r w:rsidRPr="00C70F87">
        <w:rPr>
          <w:sz w:val="17"/>
          <w:szCs w:val="17"/>
          <w:lang w:val="fr-FR"/>
        </w:rPr>
        <w:t>, 2012</w:t>
      </w:r>
      <w:r>
        <w:rPr>
          <w:sz w:val="17"/>
          <w:szCs w:val="17"/>
          <w:lang w:val="fr-FR"/>
        </w:rPr>
        <w:t>.</w:t>
      </w:r>
    </w:p>
  </w:footnote>
  <w:footnote w:id="14">
    <w:p w14:paraId="291E53BC" w14:textId="3C81C428" w:rsidR="00856267" w:rsidRPr="00D95A4F" w:rsidRDefault="00856267" w:rsidP="00D95A4F">
      <w:pPr>
        <w:pStyle w:val="FootnoteText"/>
        <w:rPr>
          <w:sz w:val="17"/>
          <w:szCs w:val="17"/>
          <w:lang w:val="fr-FR"/>
        </w:rPr>
      </w:pPr>
      <w:r w:rsidRPr="00FD10A0">
        <w:rPr>
          <w:rStyle w:val="FootnoteReference"/>
          <w:sz w:val="17"/>
          <w:szCs w:val="17"/>
        </w:rPr>
        <w:footnoteRef/>
      </w:r>
      <w:r w:rsidRPr="00D95A4F">
        <w:rPr>
          <w:sz w:val="17"/>
          <w:szCs w:val="17"/>
          <w:lang w:val="fr-FR"/>
        </w:rPr>
        <w:t xml:space="preserve"> </w:t>
      </w:r>
      <w:hyperlink r:id="rId2" w:history="1">
        <w:r w:rsidRPr="00D95A4F">
          <w:rPr>
            <w:rStyle w:val="Hyperlink"/>
            <w:sz w:val="17"/>
            <w:szCs w:val="17"/>
            <w:u w:val="none"/>
            <w:lang w:val="fr-FR"/>
          </w:rPr>
          <w:t>Rapport sur les objectifs de développement durable 2016</w:t>
        </w:r>
      </w:hyperlink>
      <w:r w:rsidRPr="00D95A4F">
        <w:rPr>
          <w:sz w:val="17"/>
          <w:szCs w:val="17"/>
          <w:lang w:val="fr-FR"/>
        </w:rPr>
        <w:t>.</w:t>
      </w:r>
    </w:p>
  </w:footnote>
  <w:footnote w:id="15">
    <w:p w14:paraId="5496803D" w14:textId="77777777" w:rsidR="00856267" w:rsidRPr="00765602" w:rsidRDefault="00856267" w:rsidP="00FB4177">
      <w:pPr>
        <w:pStyle w:val="FootnoteText"/>
        <w:rPr>
          <w:sz w:val="17"/>
          <w:szCs w:val="17"/>
          <w:lang w:val="fr-FR"/>
        </w:rPr>
      </w:pPr>
      <w:r w:rsidRPr="00FD10A0">
        <w:rPr>
          <w:rStyle w:val="FootnoteReference"/>
          <w:sz w:val="17"/>
          <w:szCs w:val="17"/>
        </w:rPr>
        <w:footnoteRef/>
      </w:r>
      <w:r w:rsidRPr="00765602">
        <w:rPr>
          <w:sz w:val="17"/>
          <w:szCs w:val="17"/>
          <w:lang w:val="fr-FR"/>
        </w:rPr>
        <w:t xml:space="preserve"> </w:t>
      </w:r>
      <w:hyperlink r:id="rId3" w:history="1">
        <w:r w:rsidRPr="00765602">
          <w:rPr>
            <w:rStyle w:val="Hyperlink"/>
            <w:sz w:val="17"/>
            <w:szCs w:val="17"/>
            <w:u w:val="none"/>
            <w:lang w:val="fr-FR"/>
          </w:rPr>
          <w:t>https://www.un.org/ecosoc/sites/www.un.org.ecosoc/files/files/en/president/2017/ecosoc-presidential-statement-2017.pdf</w:t>
        </w:r>
      </w:hyperlink>
      <w:r w:rsidRPr="00765602">
        <w:rPr>
          <w:rStyle w:val="Hyperlink"/>
          <w:sz w:val="17"/>
          <w:szCs w:val="17"/>
          <w:u w:val="none"/>
          <w:lang w:val="fr-FR"/>
        </w:rPr>
        <w:t>.</w:t>
      </w:r>
    </w:p>
  </w:footnote>
  <w:footnote w:id="16">
    <w:p w14:paraId="68F091DA" w14:textId="5F061BCB" w:rsidR="00856267" w:rsidRPr="00D65F52" w:rsidRDefault="00856267" w:rsidP="00561335">
      <w:pPr>
        <w:pStyle w:val="FootnoteText"/>
        <w:tabs>
          <w:tab w:val="left" w:pos="6216"/>
        </w:tabs>
        <w:rPr>
          <w:sz w:val="17"/>
          <w:szCs w:val="17"/>
          <w:lang w:val="fr-FR"/>
        </w:rPr>
      </w:pPr>
      <w:r w:rsidRPr="00D65F52">
        <w:rPr>
          <w:rStyle w:val="FootnoteReference"/>
          <w:sz w:val="17"/>
          <w:szCs w:val="17"/>
        </w:rPr>
        <w:footnoteRef/>
      </w:r>
      <w:r w:rsidRPr="00D65F52">
        <w:rPr>
          <w:sz w:val="17"/>
          <w:szCs w:val="17"/>
          <w:lang w:val="fr-FR"/>
        </w:rPr>
        <w:t xml:space="preserve"> </w:t>
      </w:r>
      <w:hyperlink r:id="rId4" w:history="1">
        <w:r w:rsidRPr="00D65F52">
          <w:rPr>
            <w:rStyle w:val="Hyperlink"/>
            <w:sz w:val="17"/>
            <w:szCs w:val="17"/>
            <w:u w:val="none"/>
            <w:lang w:val="fr-FR"/>
          </w:rPr>
          <w:t>https://www.youth4peace.info/ProgressStudy/RegionalConsultations</w:t>
        </w:r>
      </w:hyperlink>
      <w:r w:rsidRPr="00D65F52">
        <w:rPr>
          <w:sz w:val="17"/>
          <w:szCs w:val="17"/>
          <w:lang w:val="fr-FR"/>
        </w:rPr>
        <w:t>.</w:t>
      </w:r>
    </w:p>
  </w:footnote>
  <w:footnote w:id="17">
    <w:p w14:paraId="5CCFE38B" w14:textId="200AEB80" w:rsidR="00856267" w:rsidRPr="00D65F52" w:rsidRDefault="00856267" w:rsidP="00561335">
      <w:pPr>
        <w:pStyle w:val="FootnoteText"/>
        <w:rPr>
          <w:sz w:val="17"/>
          <w:szCs w:val="17"/>
        </w:rPr>
      </w:pPr>
      <w:r w:rsidRPr="00D65F52">
        <w:rPr>
          <w:rStyle w:val="FootnoteReference"/>
          <w:sz w:val="17"/>
          <w:szCs w:val="17"/>
        </w:rPr>
        <w:footnoteRef/>
      </w:r>
      <w:r w:rsidRPr="00D65F52">
        <w:rPr>
          <w:rStyle w:val="FootnoteReference"/>
          <w:sz w:val="17"/>
          <w:szCs w:val="17"/>
        </w:rPr>
        <w:t xml:space="preserve"> </w:t>
      </w:r>
      <w:hyperlink r:id="rId5" w:history="1">
        <w:r w:rsidR="00B46BB6" w:rsidRPr="00D65F52">
          <w:rPr>
            <w:rStyle w:val="Hyperlink"/>
            <w:sz w:val="17"/>
            <w:szCs w:val="17"/>
            <w:u w:val="none"/>
          </w:rPr>
          <w:t>Youth Global Programme for Sustainable Development and Peace – Youth-GPS (2016-2020)</w:t>
        </w:r>
      </w:hyperlink>
      <w:r w:rsidR="00716817" w:rsidRPr="00D65F52">
        <w:rPr>
          <w:sz w:val="17"/>
          <w:szCs w:val="17"/>
        </w:rPr>
        <w:t>.</w:t>
      </w:r>
      <w:r w:rsidRPr="00D65F52">
        <w:rPr>
          <w:sz w:val="17"/>
          <w:szCs w:val="17"/>
        </w:rPr>
        <w:t xml:space="preserve"> </w:t>
      </w:r>
    </w:p>
    <w:p w14:paraId="5A2F9025" w14:textId="5DF94C10" w:rsidR="00856267" w:rsidRPr="00B245EF" w:rsidRDefault="002C0A2C" w:rsidP="00561335">
      <w:pPr>
        <w:pStyle w:val="FootnoteText"/>
        <w:rPr>
          <w:sz w:val="17"/>
          <w:szCs w:val="17"/>
        </w:rPr>
      </w:pPr>
      <w:hyperlink r:id="rId6"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63C7" w14:textId="77777777" w:rsidR="00856267" w:rsidRPr="00FB7C56" w:rsidRDefault="00856267" w:rsidP="00FB7C56">
    <w:pPr>
      <w:pStyle w:val="Header"/>
      <w:spacing w:after="24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8A60D" w14:textId="690F801E" w:rsidR="00856267" w:rsidRDefault="00856267" w:rsidP="00C956E9">
    <w:pPr>
      <w:pStyle w:val="Header"/>
      <w:tabs>
        <w:tab w:val="clear" w:pos="4680"/>
        <w:tab w:val="clear" w:pos="9360"/>
        <w:tab w:val="left" w:pos="30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0CAA"/>
    <w:multiLevelType w:val="hybridMultilevel"/>
    <w:tmpl w:val="E6E45958"/>
    <w:lvl w:ilvl="0" w:tplc="9C2E1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D2C0A"/>
    <w:multiLevelType w:val="multilevel"/>
    <w:tmpl w:val="949EEE86"/>
    <w:lvl w:ilvl="0">
      <w:start w:val="1"/>
      <w:numFmt w:val="lowerLetter"/>
      <w:lvlText w:val="(%1)"/>
      <w:lvlJc w:val="left"/>
      <w:pPr>
        <w:ind w:left="720" w:firstLine="360"/>
      </w:pPr>
      <w:rPr>
        <w:rFont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F05496"/>
    <w:multiLevelType w:val="hybridMultilevel"/>
    <w:tmpl w:val="7B943B54"/>
    <w:lvl w:ilvl="0" w:tplc="83E21918">
      <w:start w:val="1"/>
      <w:numFmt w:val="bullet"/>
      <w:lvlText w:val="-"/>
      <w:lvlJc w:val="left"/>
      <w:pPr>
        <w:tabs>
          <w:tab w:val="num" w:pos="720"/>
        </w:tabs>
        <w:ind w:left="720" w:hanging="360"/>
      </w:pPr>
      <w:rPr>
        <w:rFonts w:ascii="Times New Roman" w:hAnsi="Times New Roman" w:hint="default"/>
      </w:rPr>
    </w:lvl>
    <w:lvl w:ilvl="1" w:tplc="F1F032BE" w:tentative="1">
      <w:start w:val="1"/>
      <w:numFmt w:val="bullet"/>
      <w:lvlText w:val="-"/>
      <w:lvlJc w:val="left"/>
      <w:pPr>
        <w:tabs>
          <w:tab w:val="num" w:pos="1440"/>
        </w:tabs>
        <w:ind w:left="1440" w:hanging="360"/>
      </w:pPr>
      <w:rPr>
        <w:rFonts w:ascii="Times New Roman" w:hAnsi="Times New Roman" w:hint="default"/>
      </w:rPr>
    </w:lvl>
    <w:lvl w:ilvl="2" w:tplc="EE92089E" w:tentative="1">
      <w:start w:val="1"/>
      <w:numFmt w:val="bullet"/>
      <w:lvlText w:val="-"/>
      <w:lvlJc w:val="left"/>
      <w:pPr>
        <w:tabs>
          <w:tab w:val="num" w:pos="2160"/>
        </w:tabs>
        <w:ind w:left="2160" w:hanging="360"/>
      </w:pPr>
      <w:rPr>
        <w:rFonts w:ascii="Times New Roman" w:hAnsi="Times New Roman" w:hint="default"/>
      </w:rPr>
    </w:lvl>
    <w:lvl w:ilvl="3" w:tplc="1688A46E" w:tentative="1">
      <w:start w:val="1"/>
      <w:numFmt w:val="bullet"/>
      <w:lvlText w:val="-"/>
      <w:lvlJc w:val="left"/>
      <w:pPr>
        <w:tabs>
          <w:tab w:val="num" w:pos="2880"/>
        </w:tabs>
        <w:ind w:left="2880" w:hanging="360"/>
      </w:pPr>
      <w:rPr>
        <w:rFonts w:ascii="Times New Roman" w:hAnsi="Times New Roman" w:hint="default"/>
      </w:rPr>
    </w:lvl>
    <w:lvl w:ilvl="4" w:tplc="AB2E781C" w:tentative="1">
      <w:start w:val="1"/>
      <w:numFmt w:val="bullet"/>
      <w:lvlText w:val="-"/>
      <w:lvlJc w:val="left"/>
      <w:pPr>
        <w:tabs>
          <w:tab w:val="num" w:pos="3600"/>
        </w:tabs>
        <w:ind w:left="3600" w:hanging="360"/>
      </w:pPr>
      <w:rPr>
        <w:rFonts w:ascii="Times New Roman" w:hAnsi="Times New Roman" w:hint="default"/>
      </w:rPr>
    </w:lvl>
    <w:lvl w:ilvl="5" w:tplc="45A081BE" w:tentative="1">
      <w:start w:val="1"/>
      <w:numFmt w:val="bullet"/>
      <w:lvlText w:val="-"/>
      <w:lvlJc w:val="left"/>
      <w:pPr>
        <w:tabs>
          <w:tab w:val="num" w:pos="4320"/>
        </w:tabs>
        <w:ind w:left="4320" w:hanging="360"/>
      </w:pPr>
      <w:rPr>
        <w:rFonts w:ascii="Times New Roman" w:hAnsi="Times New Roman" w:hint="default"/>
      </w:rPr>
    </w:lvl>
    <w:lvl w:ilvl="6" w:tplc="FF46C040" w:tentative="1">
      <w:start w:val="1"/>
      <w:numFmt w:val="bullet"/>
      <w:lvlText w:val="-"/>
      <w:lvlJc w:val="left"/>
      <w:pPr>
        <w:tabs>
          <w:tab w:val="num" w:pos="5040"/>
        </w:tabs>
        <w:ind w:left="5040" w:hanging="360"/>
      </w:pPr>
      <w:rPr>
        <w:rFonts w:ascii="Times New Roman" w:hAnsi="Times New Roman" w:hint="default"/>
      </w:rPr>
    </w:lvl>
    <w:lvl w:ilvl="7" w:tplc="03785522" w:tentative="1">
      <w:start w:val="1"/>
      <w:numFmt w:val="bullet"/>
      <w:lvlText w:val="-"/>
      <w:lvlJc w:val="left"/>
      <w:pPr>
        <w:tabs>
          <w:tab w:val="num" w:pos="5760"/>
        </w:tabs>
        <w:ind w:left="5760" w:hanging="360"/>
      </w:pPr>
      <w:rPr>
        <w:rFonts w:ascii="Times New Roman" w:hAnsi="Times New Roman" w:hint="default"/>
      </w:rPr>
    </w:lvl>
    <w:lvl w:ilvl="8" w:tplc="56905AC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906EBC"/>
    <w:multiLevelType w:val="hybridMultilevel"/>
    <w:tmpl w:val="E16EF314"/>
    <w:lvl w:ilvl="0" w:tplc="E37000D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D6D01"/>
    <w:multiLevelType w:val="multilevel"/>
    <w:tmpl w:val="618238F4"/>
    <w:lvl w:ilvl="0">
      <w:start w:val="1"/>
      <w:numFmt w:val="lowerLetter"/>
      <w:pStyle w:val="Paraa"/>
      <w:lvlText w:val="(%1)"/>
      <w:lvlJc w:val="left"/>
      <w:pPr>
        <w:ind w:left="720" w:firstLine="360"/>
      </w:pPr>
      <w:rPr>
        <w:rFonts w:hint="default"/>
        <w:b w:val="0"/>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C424C3"/>
    <w:multiLevelType w:val="hybridMultilevel"/>
    <w:tmpl w:val="31A2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0B41D8"/>
    <w:multiLevelType w:val="hybridMultilevel"/>
    <w:tmpl w:val="6AC20EAC"/>
    <w:lvl w:ilvl="0" w:tplc="2B828BEE">
      <w:start w:val="1"/>
      <w:numFmt w:val="upperRoman"/>
      <w:lvlText w:val="%1."/>
      <w:lvlJc w:val="left"/>
      <w:pPr>
        <w:ind w:left="720" w:hanging="360"/>
      </w:pPr>
      <w:rPr>
        <w:rFont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135B1"/>
    <w:multiLevelType w:val="hybridMultilevel"/>
    <w:tmpl w:val="8492664C"/>
    <w:lvl w:ilvl="0" w:tplc="FC968C62">
      <w:start w:val="3"/>
      <w:numFmt w:val="upperRoman"/>
      <w:lvlText w:val="%1."/>
      <w:lvlJc w:val="left"/>
      <w:pPr>
        <w:ind w:left="1080" w:hanging="720"/>
      </w:pPr>
      <w:rPr>
        <w:rFonts w:eastAsia="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37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EE38C1"/>
    <w:multiLevelType w:val="hybridMultilevel"/>
    <w:tmpl w:val="179AB850"/>
    <w:lvl w:ilvl="0" w:tplc="77162702">
      <w:start w:val="1"/>
      <w:numFmt w:val="upperRoman"/>
      <w:lvlText w:val="%1."/>
      <w:lvlJc w:val="left"/>
      <w:pPr>
        <w:ind w:left="1080" w:hanging="720"/>
      </w:pPr>
      <w:rPr>
        <w:rFonts w:ascii="Times New Roman Bold" w:eastAsia="Times New Roman" w:hAnsi="Times New Roman Bol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A6881"/>
    <w:multiLevelType w:val="hybridMultilevel"/>
    <w:tmpl w:val="F34430D2"/>
    <w:lvl w:ilvl="0" w:tplc="A15CD6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05751"/>
    <w:multiLevelType w:val="hybridMultilevel"/>
    <w:tmpl w:val="E95ABC7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7D5575FC"/>
    <w:multiLevelType w:val="hybridMultilevel"/>
    <w:tmpl w:val="50CCFE26"/>
    <w:lvl w:ilvl="0" w:tplc="E37000D4">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
  </w:num>
  <w:num w:numId="2">
    <w:abstractNumId w:val="12"/>
  </w:num>
  <w:num w:numId="3">
    <w:abstractNumId w:val="1"/>
  </w:num>
  <w:num w:numId="4">
    <w:abstractNumId w:val="2"/>
  </w:num>
  <w:num w:numId="5">
    <w:abstractNumId w:val="9"/>
  </w:num>
  <w:num w:numId="6">
    <w:abstractNumId w:val="7"/>
  </w:num>
  <w:num w:numId="7">
    <w:abstractNumId w:val="4"/>
  </w:num>
  <w:num w:numId="8">
    <w:abstractNumId w:val="5"/>
  </w:num>
  <w:num w:numId="9">
    <w:abstractNumId w:val="11"/>
  </w:num>
  <w:num w:numId="10">
    <w:abstractNumId w:val="0"/>
  </w:num>
  <w:num w:numId="11">
    <w:abstractNumId w:val="6"/>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CD"/>
    <w:rsid w:val="00005E19"/>
    <w:rsid w:val="000117DF"/>
    <w:rsid w:val="00011AC5"/>
    <w:rsid w:val="00016ECA"/>
    <w:rsid w:val="00017E19"/>
    <w:rsid w:val="00021040"/>
    <w:rsid w:val="0002139D"/>
    <w:rsid w:val="00021719"/>
    <w:rsid w:val="0002247E"/>
    <w:rsid w:val="00022F6C"/>
    <w:rsid w:val="00023DDE"/>
    <w:rsid w:val="00023EBB"/>
    <w:rsid w:val="00027F44"/>
    <w:rsid w:val="00033E3A"/>
    <w:rsid w:val="0004087F"/>
    <w:rsid w:val="0004106D"/>
    <w:rsid w:val="00045CFB"/>
    <w:rsid w:val="000537B2"/>
    <w:rsid w:val="00064AA5"/>
    <w:rsid w:val="0006553F"/>
    <w:rsid w:val="0006614B"/>
    <w:rsid w:val="000662CA"/>
    <w:rsid w:val="00077300"/>
    <w:rsid w:val="00077796"/>
    <w:rsid w:val="000817FF"/>
    <w:rsid w:val="00081BFA"/>
    <w:rsid w:val="00082763"/>
    <w:rsid w:val="0008405E"/>
    <w:rsid w:val="00085AC9"/>
    <w:rsid w:val="00087A1B"/>
    <w:rsid w:val="0009295D"/>
    <w:rsid w:val="00096552"/>
    <w:rsid w:val="000B28E8"/>
    <w:rsid w:val="000B4A67"/>
    <w:rsid w:val="000B511A"/>
    <w:rsid w:val="000B5606"/>
    <w:rsid w:val="000B621F"/>
    <w:rsid w:val="000B64FC"/>
    <w:rsid w:val="000B69C3"/>
    <w:rsid w:val="000B7173"/>
    <w:rsid w:val="000C5BE8"/>
    <w:rsid w:val="000C5EB6"/>
    <w:rsid w:val="000D0092"/>
    <w:rsid w:val="000D0896"/>
    <w:rsid w:val="000D6FCB"/>
    <w:rsid w:val="000D7712"/>
    <w:rsid w:val="000E0900"/>
    <w:rsid w:val="000E0F5F"/>
    <w:rsid w:val="000E6117"/>
    <w:rsid w:val="000E6BD8"/>
    <w:rsid w:val="000E713A"/>
    <w:rsid w:val="000E7C66"/>
    <w:rsid w:val="000F2566"/>
    <w:rsid w:val="000F52AC"/>
    <w:rsid w:val="000F6E90"/>
    <w:rsid w:val="001012C4"/>
    <w:rsid w:val="00101988"/>
    <w:rsid w:val="00106E4B"/>
    <w:rsid w:val="00107F1F"/>
    <w:rsid w:val="0011232E"/>
    <w:rsid w:val="001165A1"/>
    <w:rsid w:val="001239BD"/>
    <w:rsid w:val="00123A43"/>
    <w:rsid w:val="001279EB"/>
    <w:rsid w:val="00130687"/>
    <w:rsid w:val="00142183"/>
    <w:rsid w:val="00143CBF"/>
    <w:rsid w:val="00146753"/>
    <w:rsid w:val="001519EC"/>
    <w:rsid w:val="00152805"/>
    <w:rsid w:val="00153884"/>
    <w:rsid w:val="00160523"/>
    <w:rsid w:val="001606B2"/>
    <w:rsid w:val="001618BD"/>
    <w:rsid w:val="00162D39"/>
    <w:rsid w:val="0016471F"/>
    <w:rsid w:val="00165147"/>
    <w:rsid w:val="00166648"/>
    <w:rsid w:val="001709CD"/>
    <w:rsid w:val="00174A36"/>
    <w:rsid w:val="00175085"/>
    <w:rsid w:val="001765A0"/>
    <w:rsid w:val="00184520"/>
    <w:rsid w:val="00187EFC"/>
    <w:rsid w:val="001906F5"/>
    <w:rsid w:val="0019164A"/>
    <w:rsid w:val="00193BA0"/>
    <w:rsid w:val="00194C35"/>
    <w:rsid w:val="00196947"/>
    <w:rsid w:val="001A0EC4"/>
    <w:rsid w:val="001B4299"/>
    <w:rsid w:val="001B5411"/>
    <w:rsid w:val="001B5DAE"/>
    <w:rsid w:val="001B67AB"/>
    <w:rsid w:val="001B724E"/>
    <w:rsid w:val="001C0A57"/>
    <w:rsid w:val="001C604F"/>
    <w:rsid w:val="001C6539"/>
    <w:rsid w:val="001D4D8D"/>
    <w:rsid w:val="001D65D3"/>
    <w:rsid w:val="001D66AA"/>
    <w:rsid w:val="001E286E"/>
    <w:rsid w:val="001E6E37"/>
    <w:rsid w:val="001F0786"/>
    <w:rsid w:val="001F23EA"/>
    <w:rsid w:val="001F689B"/>
    <w:rsid w:val="001F6F85"/>
    <w:rsid w:val="00201701"/>
    <w:rsid w:val="00210B81"/>
    <w:rsid w:val="00211CB1"/>
    <w:rsid w:val="002123CC"/>
    <w:rsid w:val="00213DB1"/>
    <w:rsid w:val="00215BC1"/>
    <w:rsid w:val="00216641"/>
    <w:rsid w:val="00222078"/>
    <w:rsid w:val="00230BA9"/>
    <w:rsid w:val="0023102E"/>
    <w:rsid w:val="00237DEF"/>
    <w:rsid w:val="0024506A"/>
    <w:rsid w:val="0024548D"/>
    <w:rsid w:val="002505CD"/>
    <w:rsid w:val="002550B6"/>
    <w:rsid w:val="00263B6C"/>
    <w:rsid w:val="00264CBB"/>
    <w:rsid w:val="00264CCA"/>
    <w:rsid w:val="00266F48"/>
    <w:rsid w:val="00274164"/>
    <w:rsid w:val="00275A07"/>
    <w:rsid w:val="002767B4"/>
    <w:rsid w:val="00276DA1"/>
    <w:rsid w:val="00287251"/>
    <w:rsid w:val="00290D08"/>
    <w:rsid w:val="00292F7C"/>
    <w:rsid w:val="002942A0"/>
    <w:rsid w:val="00297A47"/>
    <w:rsid w:val="002A02D0"/>
    <w:rsid w:val="002A62D4"/>
    <w:rsid w:val="002A6F0F"/>
    <w:rsid w:val="002B397A"/>
    <w:rsid w:val="002B58E9"/>
    <w:rsid w:val="002B6615"/>
    <w:rsid w:val="002B684B"/>
    <w:rsid w:val="002B6E01"/>
    <w:rsid w:val="002C0245"/>
    <w:rsid w:val="002C0A2C"/>
    <w:rsid w:val="002C1804"/>
    <w:rsid w:val="002C4704"/>
    <w:rsid w:val="002C5F57"/>
    <w:rsid w:val="002D076A"/>
    <w:rsid w:val="002D2710"/>
    <w:rsid w:val="002D290A"/>
    <w:rsid w:val="002D3CBF"/>
    <w:rsid w:val="002D63CD"/>
    <w:rsid w:val="002D6855"/>
    <w:rsid w:val="002E022D"/>
    <w:rsid w:val="002E0CB0"/>
    <w:rsid w:val="002E2AAC"/>
    <w:rsid w:val="002E3582"/>
    <w:rsid w:val="002E4751"/>
    <w:rsid w:val="002E5133"/>
    <w:rsid w:val="002E69C7"/>
    <w:rsid w:val="002E7D4E"/>
    <w:rsid w:val="002F0472"/>
    <w:rsid w:val="002F09A6"/>
    <w:rsid w:val="002F2B7A"/>
    <w:rsid w:val="00300929"/>
    <w:rsid w:val="00307642"/>
    <w:rsid w:val="0031188E"/>
    <w:rsid w:val="00311F00"/>
    <w:rsid w:val="00312D9E"/>
    <w:rsid w:val="003130CA"/>
    <w:rsid w:val="003143C7"/>
    <w:rsid w:val="00314A8C"/>
    <w:rsid w:val="003169CF"/>
    <w:rsid w:val="0031789F"/>
    <w:rsid w:val="00324CB8"/>
    <w:rsid w:val="00334FAD"/>
    <w:rsid w:val="00337E58"/>
    <w:rsid w:val="00340D35"/>
    <w:rsid w:val="00357D47"/>
    <w:rsid w:val="00363D33"/>
    <w:rsid w:val="00363E2E"/>
    <w:rsid w:val="00366ABC"/>
    <w:rsid w:val="00371194"/>
    <w:rsid w:val="00371C9C"/>
    <w:rsid w:val="003728EB"/>
    <w:rsid w:val="00383E38"/>
    <w:rsid w:val="00391853"/>
    <w:rsid w:val="0039676B"/>
    <w:rsid w:val="00397667"/>
    <w:rsid w:val="003A0413"/>
    <w:rsid w:val="003A3FAA"/>
    <w:rsid w:val="003B4E4C"/>
    <w:rsid w:val="003C49E7"/>
    <w:rsid w:val="003C55F4"/>
    <w:rsid w:val="003D0E6C"/>
    <w:rsid w:val="003D46D1"/>
    <w:rsid w:val="003D470F"/>
    <w:rsid w:val="003D5CCA"/>
    <w:rsid w:val="003D5F62"/>
    <w:rsid w:val="003E3655"/>
    <w:rsid w:val="003E44DA"/>
    <w:rsid w:val="003E7FC1"/>
    <w:rsid w:val="003F0AA6"/>
    <w:rsid w:val="003F4D63"/>
    <w:rsid w:val="003F7A07"/>
    <w:rsid w:val="00403E47"/>
    <w:rsid w:val="00406E28"/>
    <w:rsid w:val="00406FC5"/>
    <w:rsid w:val="00410133"/>
    <w:rsid w:val="00415916"/>
    <w:rsid w:val="00420A6D"/>
    <w:rsid w:val="004215CC"/>
    <w:rsid w:val="00421AC6"/>
    <w:rsid w:val="00426C83"/>
    <w:rsid w:val="00450110"/>
    <w:rsid w:val="004543D9"/>
    <w:rsid w:val="00462490"/>
    <w:rsid w:val="00476D5E"/>
    <w:rsid w:val="00481887"/>
    <w:rsid w:val="00483A1F"/>
    <w:rsid w:val="00485A44"/>
    <w:rsid w:val="00491087"/>
    <w:rsid w:val="00491E3B"/>
    <w:rsid w:val="00496526"/>
    <w:rsid w:val="004A76B5"/>
    <w:rsid w:val="004B0D6E"/>
    <w:rsid w:val="004B604D"/>
    <w:rsid w:val="004C0078"/>
    <w:rsid w:val="004C7DB0"/>
    <w:rsid w:val="004D1C0A"/>
    <w:rsid w:val="004D3CC9"/>
    <w:rsid w:val="004D6B86"/>
    <w:rsid w:val="004E30B0"/>
    <w:rsid w:val="0050142A"/>
    <w:rsid w:val="00501CD1"/>
    <w:rsid w:val="005065AE"/>
    <w:rsid w:val="005179B5"/>
    <w:rsid w:val="00526976"/>
    <w:rsid w:val="00537002"/>
    <w:rsid w:val="00544E39"/>
    <w:rsid w:val="0054753D"/>
    <w:rsid w:val="0054759B"/>
    <w:rsid w:val="00551C13"/>
    <w:rsid w:val="00555121"/>
    <w:rsid w:val="00561335"/>
    <w:rsid w:val="00561A2B"/>
    <w:rsid w:val="00561BE1"/>
    <w:rsid w:val="00561D23"/>
    <w:rsid w:val="0056634C"/>
    <w:rsid w:val="005663F9"/>
    <w:rsid w:val="00570A23"/>
    <w:rsid w:val="00574F52"/>
    <w:rsid w:val="00580F41"/>
    <w:rsid w:val="00590F05"/>
    <w:rsid w:val="005A1964"/>
    <w:rsid w:val="005A7350"/>
    <w:rsid w:val="005B34A1"/>
    <w:rsid w:val="005B77C0"/>
    <w:rsid w:val="005D0394"/>
    <w:rsid w:val="005D19BA"/>
    <w:rsid w:val="005D398E"/>
    <w:rsid w:val="005E4B27"/>
    <w:rsid w:val="006008BB"/>
    <w:rsid w:val="006029D5"/>
    <w:rsid w:val="00605688"/>
    <w:rsid w:val="00607F4F"/>
    <w:rsid w:val="00614A05"/>
    <w:rsid w:val="00614E89"/>
    <w:rsid w:val="006253CD"/>
    <w:rsid w:val="00625458"/>
    <w:rsid w:val="00627322"/>
    <w:rsid w:val="00627EB6"/>
    <w:rsid w:val="00635B22"/>
    <w:rsid w:val="00635B87"/>
    <w:rsid w:val="00635FB0"/>
    <w:rsid w:val="00636288"/>
    <w:rsid w:val="00640217"/>
    <w:rsid w:val="006402F2"/>
    <w:rsid w:val="00641C6F"/>
    <w:rsid w:val="00646A4D"/>
    <w:rsid w:val="006510C9"/>
    <w:rsid w:val="006523C0"/>
    <w:rsid w:val="0065406D"/>
    <w:rsid w:val="006602F4"/>
    <w:rsid w:val="0066391C"/>
    <w:rsid w:val="00664377"/>
    <w:rsid w:val="006658CC"/>
    <w:rsid w:val="00670830"/>
    <w:rsid w:val="00671B2A"/>
    <w:rsid w:val="00672AC1"/>
    <w:rsid w:val="00676B08"/>
    <w:rsid w:val="00692A0F"/>
    <w:rsid w:val="0069722A"/>
    <w:rsid w:val="006A1660"/>
    <w:rsid w:val="006A168E"/>
    <w:rsid w:val="006B08A8"/>
    <w:rsid w:val="006B0F7C"/>
    <w:rsid w:val="006B244E"/>
    <w:rsid w:val="006B274E"/>
    <w:rsid w:val="006B4DB7"/>
    <w:rsid w:val="006B5529"/>
    <w:rsid w:val="006C10D5"/>
    <w:rsid w:val="006C1193"/>
    <w:rsid w:val="006C2E01"/>
    <w:rsid w:val="006C5AD0"/>
    <w:rsid w:val="006D069A"/>
    <w:rsid w:val="006D0D87"/>
    <w:rsid w:val="006D2554"/>
    <w:rsid w:val="006D2F92"/>
    <w:rsid w:val="006D59CD"/>
    <w:rsid w:val="006D6304"/>
    <w:rsid w:val="006F1814"/>
    <w:rsid w:val="006F4B0D"/>
    <w:rsid w:val="00706A7D"/>
    <w:rsid w:val="00706FC7"/>
    <w:rsid w:val="007124BF"/>
    <w:rsid w:val="00716817"/>
    <w:rsid w:val="00720215"/>
    <w:rsid w:val="007242CB"/>
    <w:rsid w:val="00726038"/>
    <w:rsid w:val="00735207"/>
    <w:rsid w:val="007411CE"/>
    <w:rsid w:val="00746451"/>
    <w:rsid w:val="00756580"/>
    <w:rsid w:val="0076138A"/>
    <w:rsid w:val="0076190D"/>
    <w:rsid w:val="00763AF1"/>
    <w:rsid w:val="00765602"/>
    <w:rsid w:val="0077174D"/>
    <w:rsid w:val="007734FB"/>
    <w:rsid w:val="00773590"/>
    <w:rsid w:val="007813FC"/>
    <w:rsid w:val="00784F60"/>
    <w:rsid w:val="00785FF6"/>
    <w:rsid w:val="007878F9"/>
    <w:rsid w:val="007918E9"/>
    <w:rsid w:val="00791927"/>
    <w:rsid w:val="00792C0B"/>
    <w:rsid w:val="00797189"/>
    <w:rsid w:val="007A1448"/>
    <w:rsid w:val="007A42D8"/>
    <w:rsid w:val="007A7A5E"/>
    <w:rsid w:val="007B3528"/>
    <w:rsid w:val="007B60B4"/>
    <w:rsid w:val="007B66B4"/>
    <w:rsid w:val="007C3538"/>
    <w:rsid w:val="007C4C4C"/>
    <w:rsid w:val="007C5843"/>
    <w:rsid w:val="007D05E2"/>
    <w:rsid w:val="007D0FC0"/>
    <w:rsid w:val="007D27F8"/>
    <w:rsid w:val="007E0930"/>
    <w:rsid w:val="007E09C6"/>
    <w:rsid w:val="007E0F1D"/>
    <w:rsid w:val="007E1BCF"/>
    <w:rsid w:val="007E25A3"/>
    <w:rsid w:val="007E53B4"/>
    <w:rsid w:val="007E7C92"/>
    <w:rsid w:val="007F08D3"/>
    <w:rsid w:val="007F5257"/>
    <w:rsid w:val="00806AD6"/>
    <w:rsid w:val="00814949"/>
    <w:rsid w:val="00814B2E"/>
    <w:rsid w:val="0081576D"/>
    <w:rsid w:val="00820E5C"/>
    <w:rsid w:val="0082220F"/>
    <w:rsid w:val="00825BFD"/>
    <w:rsid w:val="00826720"/>
    <w:rsid w:val="008271DD"/>
    <w:rsid w:val="00827EDB"/>
    <w:rsid w:val="00832DD8"/>
    <w:rsid w:val="0083707B"/>
    <w:rsid w:val="008441C6"/>
    <w:rsid w:val="008522D3"/>
    <w:rsid w:val="00853101"/>
    <w:rsid w:val="0085424B"/>
    <w:rsid w:val="00856267"/>
    <w:rsid w:val="008577C4"/>
    <w:rsid w:val="00862E03"/>
    <w:rsid w:val="00870B39"/>
    <w:rsid w:val="008755F7"/>
    <w:rsid w:val="0088370B"/>
    <w:rsid w:val="008926A5"/>
    <w:rsid w:val="008948AA"/>
    <w:rsid w:val="0089660B"/>
    <w:rsid w:val="008A4542"/>
    <w:rsid w:val="008B345D"/>
    <w:rsid w:val="008B4DF1"/>
    <w:rsid w:val="008B686E"/>
    <w:rsid w:val="008B7E8E"/>
    <w:rsid w:val="008C1A3D"/>
    <w:rsid w:val="008C3245"/>
    <w:rsid w:val="008C3448"/>
    <w:rsid w:val="008D20F7"/>
    <w:rsid w:val="008D67D2"/>
    <w:rsid w:val="008F624F"/>
    <w:rsid w:val="008F76B0"/>
    <w:rsid w:val="00917856"/>
    <w:rsid w:val="00917D83"/>
    <w:rsid w:val="00924723"/>
    <w:rsid w:val="00925167"/>
    <w:rsid w:val="00925F9E"/>
    <w:rsid w:val="009306DB"/>
    <w:rsid w:val="00932FE1"/>
    <w:rsid w:val="00933013"/>
    <w:rsid w:val="0093366A"/>
    <w:rsid w:val="00933E00"/>
    <w:rsid w:val="00940E76"/>
    <w:rsid w:val="009419D2"/>
    <w:rsid w:val="009511C2"/>
    <w:rsid w:val="009522C6"/>
    <w:rsid w:val="00953B94"/>
    <w:rsid w:val="00955171"/>
    <w:rsid w:val="00956BF6"/>
    <w:rsid w:val="00962D98"/>
    <w:rsid w:val="00962EF3"/>
    <w:rsid w:val="009704B5"/>
    <w:rsid w:val="0097210F"/>
    <w:rsid w:val="00972D0F"/>
    <w:rsid w:val="00980B04"/>
    <w:rsid w:val="00982AFC"/>
    <w:rsid w:val="009843F7"/>
    <w:rsid w:val="0098642B"/>
    <w:rsid w:val="00996E44"/>
    <w:rsid w:val="009A25BA"/>
    <w:rsid w:val="009B361A"/>
    <w:rsid w:val="009C093F"/>
    <w:rsid w:val="009C5E10"/>
    <w:rsid w:val="009D0D84"/>
    <w:rsid w:val="009E1EF1"/>
    <w:rsid w:val="009E37E6"/>
    <w:rsid w:val="009E51EB"/>
    <w:rsid w:val="009E5D1E"/>
    <w:rsid w:val="009E5F88"/>
    <w:rsid w:val="009F4AAD"/>
    <w:rsid w:val="009F4D5D"/>
    <w:rsid w:val="009F5265"/>
    <w:rsid w:val="009F6FB2"/>
    <w:rsid w:val="00A00BFB"/>
    <w:rsid w:val="00A07C34"/>
    <w:rsid w:val="00A1003E"/>
    <w:rsid w:val="00A10530"/>
    <w:rsid w:val="00A123C5"/>
    <w:rsid w:val="00A13F71"/>
    <w:rsid w:val="00A14D1E"/>
    <w:rsid w:val="00A20389"/>
    <w:rsid w:val="00A22A4A"/>
    <w:rsid w:val="00A24C12"/>
    <w:rsid w:val="00A26458"/>
    <w:rsid w:val="00A54163"/>
    <w:rsid w:val="00A56AE3"/>
    <w:rsid w:val="00A56F09"/>
    <w:rsid w:val="00A63EEA"/>
    <w:rsid w:val="00A737B0"/>
    <w:rsid w:val="00A76B61"/>
    <w:rsid w:val="00A76CE3"/>
    <w:rsid w:val="00A7762F"/>
    <w:rsid w:val="00A77DD5"/>
    <w:rsid w:val="00A84F7C"/>
    <w:rsid w:val="00A85962"/>
    <w:rsid w:val="00A87480"/>
    <w:rsid w:val="00A935C2"/>
    <w:rsid w:val="00A96C15"/>
    <w:rsid w:val="00A96DEF"/>
    <w:rsid w:val="00AA2972"/>
    <w:rsid w:val="00AB0FE2"/>
    <w:rsid w:val="00AB2727"/>
    <w:rsid w:val="00AB36D4"/>
    <w:rsid w:val="00AC1D56"/>
    <w:rsid w:val="00AC39A3"/>
    <w:rsid w:val="00AC4743"/>
    <w:rsid w:val="00AC5494"/>
    <w:rsid w:val="00AC63D4"/>
    <w:rsid w:val="00AC75E3"/>
    <w:rsid w:val="00AD07E7"/>
    <w:rsid w:val="00AD3DCF"/>
    <w:rsid w:val="00AD481D"/>
    <w:rsid w:val="00AD4E95"/>
    <w:rsid w:val="00AD62C5"/>
    <w:rsid w:val="00AE1B9A"/>
    <w:rsid w:val="00AE36E7"/>
    <w:rsid w:val="00AF085C"/>
    <w:rsid w:val="00AF345B"/>
    <w:rsid w:val="00AF4B75"/>
    <w:rsid w:val="00B0216E"/>
    <w:rsid w:val="00B0438F"/>
    <w:rsid w:val="00B058CC"/>
    <w:rsid w:val="00B07CEF"/>
    <w:rsid w:val="00B10634"/>
    <w:rsid w:val="00B133D2"/>
    <w:rsid w:val="00B134F4"/>
    <w:rsid w:val="00B14021"/>
    <w:rsid w:val="00B151F8"/>
    <w:rsid w:val="00B2216D"/>
    <w:rsid w:val="00B23846"/>
    <w:rsid w:val="00B245EF"/>
    <w:rsid w:val="00B30B34"/>
    <w:rsid w:val="00B32A3E"/>
    <w:rsid w:val="00B364F2"/>
    <w:rsid w:val="00B37569"/>
    <w:rsid w:val="00B375D0"/>
    <w:rsid w:val="00B43860"/>
    <w:rsid w:val="00B464B3"/>
    <w:rsid w:val="00B464DA"/>
    <w:rsid w:val="00B4650C"/>
    <w:rsid w:val="00B46BB6"/>
    <w:rsid w:val="00B503EE"/>
    <w:rsid w:val="00B51AF0"/>
    <w:rsid w:val="00B56D0A"/>
    <w:rsid w:val="00B56D71"/>
    <w:rsid w:val="00B62CF3"/>
    <w:rsid w:val="00B66E68"/>
    <w:rsid w:val="00B716E3"/>
    <w:rsid w:val="00B8539D"/>
    <w:rsid w:val="00B86CCE"/>
    <w:rsid w:val="00B91249"/>
    <w:rsid w:val="00B93418"/>
    <w:rsid w:val="00B97839"/>
    <w:rsid w:val="00B97F71"/>
    <w:rsid w:val="00BA07FD"/>
    <w:rsid w:val="00BA59D1"/>
    <w:rsid w:val="00BA6B12"/>
    <w:rsid w:val="00BA6EDA"/>
    <w:rsid w:val="00BB7541"/>
    <w:rsid w:val="00BB7892"/>
    <w:rsid w:val="00BC507C"/>
    <w:rsid w:val="00BD2067"/>
    <w:rsid w:val="00BD5460"/>
    <w:rsid w:val="00BD6676"/>
    <w:rsid w:val="00BD704C"/>
    <w:rsid w:val="00BE328E"/>
    <w:rsid w:val="00BF39DD"/>
    <w:rsid w:val="00BF49CF"/>
    <w:rsid w:val="00BF570F"/>
    <w:rsid w:val="00BF6534"/>
    <w:rsid w:val="00C01051"/>
    <w:rsid w:val="00C01B08"/>
    <w:rsid w:val="00C01C1E"/>
    <w:rsid w:val="00C03222"/>
    <w:rsid w:val="00C035D9"/>
    <w:rsid w:val="00C07699"/>
    <w:rsid w:val="00C15A95"/>
    <w:rsid w:val="00C25951"/>
    <w:rsid w:val="00C26B13"/>
    <w:rsid w:val="00C3278F"/>
    <w:rsid w:val="00C35CB2"/>
    <w:rsid w:val="00C42AD5"/>
    <w:rsid w:val="00C42FC9"/>
    <w:rsid w:val="00C43584"/>
    <w:rsid w:val="00C44F5C"/>
    <w:rsid w:val="00C54542"/>
    <w:rsid w:val="00C60AA4"/>
    <w:rsid w:val="00C62534"/>
    <w:rsid w:val="00C62FF4"/>
    <w:rsid w:val="00C640B0"/>
    <w:rsid w:val="00C65C99"/>
    <w:rsid w:val="00C70F87"/>
    <w:rsid w:val="00C735B9"/>
    <w:rsid w:val="00C75A8B"/>
    <w:rsid w:val="00C76102"/>
    <w:rsid w:val="00C92EB2"/>
    <w:rsid w:val="00C956E9"/>
    <w:rsid w:val="00C96705"/>
    <w:rsid w:val="00C9721D"/>
    <w:rsid w:val="00CA2C2C"/>
    <w:rsid w:val="00CA2F7E"/>
    <w:rsid w:val="00CA52D1"/>
    <w:rsid w:val="00CA674B"/>
    <w:rsid w:val="00CA7430"/>
    <w:rsid w:val="00CB24F4"/>
    <w:rsid w:val="00CB4551"/>
    <w:rsid w:val="00CB75F5"/>
    <w:rsid w:val="00CC507A"/>
    <w:rsid w:val="00CC6DE2"/>
    <w:rsid w:val="00CC7BA8"/>
    <w:rsid w:val="00CD078D"/>
    <w:rsid w:val="00CD64D2"/>
    <w:rsid w:val="00CD706C"/>
    <w:rsid w:val="00CE4837"/>
    <w:rsid w:val="00CF0921"/>
    <w:rsid w:val="00CF15DC"/>
    <w:rsid w:val="00CF6592"/>
    <w:rsid w:val="00CF77FB"/>
    <w:rsid w:val="00D0197E"/>
    <w:rsid w:val="00D0343C"/>
    <w:rsid w:val="00D055D0"/>
    <w:rsid w:val="00D06296"/>
    <w:rsid w:val="00D07416"/>
    <w:rsid w:val="00D10EFE"/>
    <w:rsid w:val="00D1558B"/>
    <w:rsid w:val="00D16FBD"/>
    <w:rsid w:val="00D3018B"/>
    <w:rsid w:val="00D33BF2"/>
    <w:rsid w:val="00D34DB2"/>
    <w:rsid w:val="00D37D61"/>
    <w:rsid w:val="00D42579"/>
    <w:rsid w:val="00D4545C"/>
    <w:rsid w:val="00D46472"/>
    <w:rsid w:val="00D51009"/>
    <w:rsid w:val="00D60972"/>
    <w:rsid w:val="00D65F52"/>
    <w:rsid w:val="00D73A2E"/>
    <w:rsid w:val="00D74FC7"/>
    <w:rsid w:val="00D753DB"/>
    <w:rsid w:val="00D83359"/>
    <w:rsid w:val="00D83E93"/>
    <w:rsid w:val="00D84D08"/>
    <w:rsid w:val="00D84F4C"/>
    <w:rsid w:val="00D8591D"/>
    <w:rsid w:val="00D86196"/>
    <w:rsid w:val="00D879F1"/>
    <w:rsid w:val="00D943FB"/>
    <w:rsid w:val="00D951DA"/>
    <w:rsid w:val="00D95A4F"/>
    <w:rsid w:val="00D9607A"/>
    <w:rsid w:val="00D974A7"/>
    <w:rsid w:val="00D97520"/>
    <w:rsid w:val="00DA26A0"/>
    <w:rsid w:val="00DA2C5D"/>
    <w:rsid w:val="00DA4385"/>
    <w:rsid w:val="00DA4510"/>
    <w:rsid w:val="00DA77D4"/>
    <w:rsid w:val="00DC0DF2"/>
    <w:rsid w:val="00DC1439"/>
    <w:rsid w:val="00DD0CCD"/>
    <w:rsid w:val="00DD0DBA"/>
    <w:rsid w:val="00DD15CF"/>
    <w:rsid w:val="00DD374A"/>
    <w:rsid w:val="00DD645C"/>
    <w:rsid w:val="00DE5E9E"/>
    <w:rsid w:val="00DF02B6"/>
    <w:rsid w:val="00DF1752"/>
    <w:rsid w:val="00DF1C9D"/>
    <w:rsid w:val="00DF34DD"/>
    <w:rsid w:val="00DF356A"/>
    <w:rsid w:val="00DF76AE"/>
    <w:rsid w:val="00E008F1"/>
    <w:rsid w:val="00E153A2"/>
    <w:rsid w:val="00E15B1A"/>
    <w:rsid w:val="00E2020C"/>
    <w:rsid w:val="00E222F0"/>
    <w:rsid w:val="00E22F83"/>
    <w:rsid w:val="00E234DD"/>
    <w:rsid w:val="00E23886"/>
    <w:rsid w:val="00E26D4A"/>
    <w:rsid w:val="00E3165F"/>
    <w:rsid w:val="00E33A26"/>
    <w:rsid w:val="00E36B3C"/>
    <w:rsid w:val="00E40152"/>
    <w:rsid w:val="00E4234F"/>
    <w:rsid w:val="00E43B05"/>
    <w:rsid w:val="00E55F45"/>
    <w:rsid w:val="00E56BF1"/>
    <w:rsid w:val="00E62E86"/>
    <w:rsid w:val="00E66628"/>
    <w:rsid w:val="00E7045D"/>
    <w:rsid w:val="00E714A8"/>
    <w:rsid w:val="00E72209"/>
    <w:rsid w:val="00E833C0"/>
    <w:rsid w:val="00E85884"/>
    <w:rsid w:val="00E861F8"/>
    <w:rsid w:val="00E902EB"/>
    <w:rsid w:val="00E97770"/>
    <w:rsid w:val="00E97CC7"/>
    <w:rsid w:val="00EA1E2E"/>
    <w:rsid w:val="00EA4460"/>
    <w:rsid w:val="00EA769E"/>
    <w:rsid w:val="00EB28AB"/>
    <w:rsid w:val="00EC0A40"/>
    <w:rsid w:val="00EC3982"/>
    <w:rsid w:val="00EC419A"/>
    <w:rsid w:val="00ED1696"/>
    <w:rsid w:val="00ED4328"/>
    <w:rsid w:val="00ED679A"/>
    <w:rsid w:val="00ED6E7D"/>
    <w:rsid w:val="00ED750C"/>
    <w:rsid w:val="00EE10A9"/>
    <w:rsid w:val="00EE3875"/>
    <w:rsid w:val="00EE7226"/>
    <w:rsid w:val="00EE77C5"/>
    <w:rsid w:val="00EF3013"/>
    <w:rsid w:val="00EF3275"/>
    <w:rsid w:val="00EF5872"/>
    <w:rsid w:val="00EF5CF8"/>
    <w:rsid w:val="00F07C52"/>
    <w:rsid w:val="00F07FDB"/>
    <w:rsid w:val="00F1517B"/>
    <w:rsid w:val="00F237DF"/>
    <w:rsid w:val="00F23A53"/>
    <w:rsid w:val="00F243BE"/>
    <w:rsid w:val="00F25896"/>
    <w:rsid w:val="00F31C0E"/>
    <w:rsid w:val="00F31D30"/>
    <w:rsid w:val="00F3458A"/>
    <w:rsid w:val="00F36241"/>
    <w:rsid w:val="00F5520E"/>
    <w:rsid w:val="00F55BF6"/>
    <w:rsid w:val="00F577FB"/>
    <w:rsid w:val="00F7065A"/>
    <w:rsid w:val="00F7338D"/>
    <w:rsid w:val="00F83DF2"/>
    <w:rsid w:val="00F90B69"/>
    <w:rsid w:val="00F90BE3"/>
    <w:rsid w:val="00F9704A"/>
    <w:rsid w:val="00FA14EC"/>
    <w:rsid w:val="00FA2475"/>
    <w:rsid w:val="00FA311B"/>
    <w:rsid w:val="00FA49C4"/>
    <w:rsid w:val="00FA5237"/>
    <w:rsid w:val="00FA575B"/>
    <w:rsid w:val="00FB4177"/>
    <w:rsid w:val="00FB49FD"/>
    <w:rsid w:val="00FB4A5A"/>
    <w:rsid w:val="00FB6BAC"/>
    <w:rsid w:val="00FB7C56"/>
    <w:rsid w:val="00FC538C"/>
    <w:rsid w:val="00FD10A0"/>
    <w:rsid w:val="00FD7291"/>
    <w:rsid w:val="00FF17A4"/>
    <w:rsid w:val="00FF349D"/>
    <w:rsid w:val="00FF5056"/>
    <w:rsid w:val="00FF72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DA038"/>
  <w15:docId w15:val="{B7999D6E-49F6-49F1-9A84-0A88B421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01"/>
    <w:pPr>
      <w:spacing w:after="0" w:line="240" w:lineRule="auto"/>
    </w:pPr>
    <w:rPr>
      <w:rFonts w:ascii="Times New Roman" w:eastAsia="Times New Roman" w:hAnsi="Times New Roman" w:cs="Times New Roman"/>
      <w:bCs/>
      <w:sz w:val="24"/>
      <w:szCs w:val="28"/>
      <w:lang w:val="en-GB"/>
    </w:rPr>
  </w:style>
  <w:style w:type="paragraph" w:styleId="Heading1">
    <w:name w:val="heading 1"/>
    <w:basedOn w:val="ListParagraph"/>
    <w:next w:val="Normal"/>
    <w:link w:val="Heading1Char"/>
    <w:qFormat/>
    <w:rsid w:val="00162D39"/>
    <w:pPr>
      <w:tabs>
        <w:tab w:val="left" w:pos="720"/>
      </w:tabs>
      <w:spacing w:before="240" w:after="120"/>
      <w:ind w:left="180"/>
      <w:contextualSpacing w:val="0"/>
      <w:jc w:val="both"/>
      <w:outlineLvl w:val="0"/>
    </w:pPr>
    <w:rPr>
      <w:b/>
      <w:bCs w:val="0"/>
      <w:sz w:val="28"/>
    </w:rPr>
  </w:style>
  <w:style w:type="paragraph" w:styleId="Heading2">
    <w:name w:val="heading 2"/>
    <w:basedOn w:val="Normal"/>
    <w:next w:val="Normal"/>
    <w:link w:val="Heading2Char"/>
    <w:qFormat/>
    <w:rsid w:val="00201701"/>
    <w:pPr>
      <w:keepNext/>
      <w:spacing w:before="240" w:after="60"/>
      <w:outlineLvl w:val="1"/>
    </w:pPr>
    <w:rPr>
      <w:rFonts w:cs="Arial"/>
      <w:b/>
      <w:iCs/>
    </w:rPr>
  </w:style>
  <w:style w:type="paragraph" w:styleId="Heading3">
    <w:name w:val="heading 3"/>
    <w:basedOn w:val="Normal"/>
    <w:next w:val="Normal"/>
    <w:link w:val="Heading3Char"/>
    <w:qFormat/>
    <w:rsid w:val="00311F00"/>
    <w:pPr>
      <w:keepNext/>
      <w:spacing w:before="240" w:after="60"/>
      <w:outlineLvl w:val="2"/>
    </w:pPr>
    <w:rPr>
      <w:rFonts w:cs="Arial"/>
      <w:b/>
      <w:szCs w:val="26"/>
    </w:rPr>
  </w:style>
  <w:style w:type="paragraph" w:styleId="Heading4">
    <w:name w:val="heading 4"/>
    <w:basedOn w:val="Normal"/>
    <w:next w:val="Normal"/>
    <w:link w:val="Heading4Char"/>
    <w:qFormat/>
    <w:rsid w:val="00311F00"/>
    <w:pPr>
      <w:keepNext/>
      <w:spacing w:before="240" w:after="60"/>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D39"/>
    <w:rPr>
      <w:rFonts w:ascii="Times New Roman" w:eastAsia="Times New Roman" w:hAnsi="Times New Roman" w:cs="Times New Roman"/>
      <w:b/>
      <w:sz w:val="28"/>
      <w:szCs w:val="28"/>
      <w:lang w:val="en-GB"/>
    </w:rPr>
  </w:style>
  <w:style w:type="character" w:customStyle="1" w:styleId="Heading2Char">
    <w:name w:val="Heading 2 Char"/>
    <w:basedOn w:val="DefaultParagraphFont"/>
    <w:link w:val="Heading2"/>
    <w:rsid w:val="00201701"/>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1F00"/>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311F00"/>
    <w:rPr>
      <w:rFonts w:ascii="Times New Roman" w:eastAsia="Times New Roman" w:hAnsi="Times New Roman" w:cs="Times New Roman"/>
      <w:b/>
      <w:bCs/>
      <w:sz w:val="20"/>
      <w:szCs w:val="28"/>
    </w:rPr>
  </w:style>
  <w:style w:type="paragraph" w:styleId="PlainText">
    <w:name w:val="Plain Text"/>
    <w:basedOn w:val="Normal"/>
    <w:link w:val="PlainTextChar"/>
    <w:uiPriority w:val="99"/>
    <w:unhideWhenUsed/>
    <w:rsid w:val="001709CD"/>
    <w:rPr>
      <w:rFonts w:ascii="Consolas" w:eastAsia="Calibri" w:hAnsi="Consolas"/>
      <w:bCs w:val="0"/>
      <w:sz w:val="21"/>
      <w:szCs w:val="21"/>
    </w:rPr>
  </w:style>
  <w:style w:type="character" w:customStyle="1" w:styleId="PlainTextChar">
    <w:name w:val="Plain Text Char"/>
    <w:basedOn w:val="DefaultParagraphFont"/>
    <w:link w:val="PlainText"/>
    <w:uiPriority w:val="99"/>
    <w:rsid w:val="001709CD"/>
    <w:rPr>
      <w:rFonts w:ascii="Consolas" w:eastAsia="Calibri" w:hAnsi="Consolas" w:cs="Times New Roman"/>
      <w:sz w:val="21"/>
      <w:szCs w:val="21"/>
    </w:rPr>
  </w:style>
  <w:style w:type="paragraph" w:styleId="Header">
    <w:name w:val="header"/>
    <w:basedOn w:val="Normal"/>
    <w:link w:val="HeaderChar"/>
    <w:uiPriority w:val="99"/>
    <w:unhideWhenUsed/>
    <w:rsid w:val="00627EB6"/>
    <w:pPr>
      <w:tabs>
        <w:tab w:val="center" w:pos="4680"/>
        <w:tab w:val="right" w:pos="9360"/>
      </w:tabs>
    </w:pPr>
  </w:style>
  <w:style w:type="character" w:customStyle="1" w:styleId="HeaderChar">
    <w:name w:val="Header Char"/>
    <w:basedOn w:val="DefaultParagraphFont"/>
    <w:link w:val="Header"/>
    <w:uiPriority w:val="99"/>
    <w:rsid w:val="00627EB6"/>
    <w:rPr>
      <w:rFonts w:ascii="Garamond" w:eastAsia="Times New Roman" w:hAnsi="Garamond" w:cs="Times New Roman"/>
      <w:bCs/>
      <w:sz w:val="28"/>
      <w:szCs w:val="28"/>
    </w:rPr>
  </w:style>
  <w:style w:type="paragraph" w:styleId="Footer">
    <w:name w:val="footer"/>
    <w:basedOn w:val="Normal"/>
    <w:link w:val="FooterChar"/>
    <w:uiPriority w:val="99"/>
    <w:unhideWhenUsed/>
    <w:rsid w:val="00627EB6"/>
    <w:pPr>
      <w:tabs>
        <w:tab w:val="center" w:pos="4680"/>
        <w:tab w:val="right" w:pos="9360"/>
      </w:tabs>
    </w:pPr>
  </w:style>
  <w:style w:type="character" w:customStyle="1" w:styleId="FooterChar">
    <w:name w:val="Footer Char"/>
    <w:basedOn w:val="DefaultParagraphFont"/>
    <w:link w:val="Footer"/>
    <w:uiPriority w:val="99"/>
    <w:rsid w:val="00627EB6"/>
    <w:rPr>
      <w:rFonts w:ascii="Garamond" w:eastAsia="Times New Roman" w:hAnsi="Garamond" w:cs="Times New Roman"/>
      <w:bCs/>
      <w:sz w:val="28"/>
      <w:szCs w:val="28"/>
    </w:rPr>
  </w:style>
  <w:style w:type="paragraph" w:styleId="BalloonText">
    <w:name w:val="Balloon Text"/>
    <w:basedOn w:val="Normal"/>
    <w:link w:val="BalloonTextChar"/>
    <w:uiPriority w:val="99"/>
    <w:semiHidden/>
    <w:unhideWhenUsed/>
    <w:rsid w:val="00BF39DD"/>
    <w:rPr>
      <w:rFonts w:ascii="Tahoma" w:hAnsi="Tahoma" w:cs="Tahoma"/>
      <w:sz w:val="16"/>
      <w:szCs w:val="16"/>
    </w:rPr>
  </w:style>
  <w:style w:type="character" w:customStyle="1" w:styleId="BalloonTextChar">
    <w:name w:val="Balloon Text Char"/>
    <w:basedOn w:val="DefaultParagraphFont"/>
    <w:link w:val="BalloonText"/>
    <w:uiPriority w:val="99"/>
    <w:semiHidden/>
    <w:rsid w:val="00BF39DD"/>
    <w:rPr>
      <w:rFonts w:ascii="Tahoma" w:eastAsia="Times New Roman" w:hAnsi="Tahoma" w:cs="Tahoma"/>
      <w:bCs/>
      <w:sz w:val="16"/>
      <w:szCs w:val="16"/>
    </w:rPr>
  </w:style>
  <w:style w:type="paragraph" w:styleId="ListParagraph">
    <w:name w:val="List Paragraph"/>
    <w:basedOn w:val="Normal"/>
    <w:link w:val="ListParagraphChar"/>
    <w:uiPriority w:val="34"/>
    <w:qFormat/>
    <w:rsid w:val="00D974A7"/>
    <w:pPr>
      <w:ind w:left="720"/>
      <w:contextualSpacing/>
    </w:pPr>
  </w:style>
  <w:style w:type="character" w:styleId="CommentReference">
    <w:name w:val="annotation reference"/>
    <w:basedOn w:val="DefaultParagraphFont"/>
    <w:uiPriority w:val="99"/>
    <w:semiHidden/>
    <w:unhideWhenUsed/>
    <w:rsid w:val="009306DB"/>
    <w:rPr>
      <w:sz w:val="16"/>
      <w:szCs w:val="16"/>
    </w:rPr>
  </w:style>
  <w:style w:type="paragraph" w:styleId="CommentText">
    <w:name w:val="annotation text"/>
    <w:basedOn w:val="Normal"/>
    <w:link w:val="CommentTextChar"/>
    <w:uiPriority w:val="99"/>
    <w:semiHidden/>
    <w:unhideWhenUsed/>
    <w:rsid w:val="009306DB"/>
    <w:rPr>
      <w:sz w:val="20"/>
      <w:szCs w:val="20"/>
    </w:rPr>
  </w:style>
  <w:style w:type="character" w:customStyle="1" w:styleId="CommentTextChar">
    <w:name w:val="Comment Text Char"/>
    <w:basedOn w:val="DefaultParagraphFont"/>
    <w:link w:val="CommentText"/>
    <w:uiPriority w:val="99"/>
    <w:semiHidden/>
    <w:rsid w:val="009306DB"/>
    <w:rPr>
      <w:rFonts w:ascii="Garamond" w:eastAsia="Times New Roman" w:hAnsi="Garamond" w:cs="Times New Roman"/>
      <w:bCs/>
      <w:sz w:val="20"/>
      <w:szCs w:val="20"/>
    </w:rPr>
  </w:style>
  <w:style w:type="paragraph" w:styleId="CommentSubject">
    <w:name w:val="annotation subject"/>
    <w:basedOn w:val="CommentText"/>
    <w:next w:val="CommentText"/>
    <w:link w:val="CommentSubjectChar"/>
    <w:uiPriority w:val="99"/>
    <w:semiHidden/>
    <w:unhideWhenUsed/>
    <w:rsid w:val="009306DB"/>
    <w:rPr>
      <w:b/>
    </w:rPr>
  </w:style>
  <w:style w:type="character" w:customStyle="1" w:styleId="CommentSubjectChar">
    <w:name w:val="Comment Subject Char"/>
    <w:basedOn w:val="CommentTextChar"/>
    <w:link w:val="CommentSubject"/>
    <w:uiPriority w:val="99"/>
    <w:semiHidden/>
    <w:rsid w:val="009306DB"/>
    <w:rPr>
      <w:rFonts w:ascii="Garamond" w:eastAsia="Times New Roman" w:hAnsi="Garamond" w:cs="Times New Roman"/>
      <w:b/>
      <w:bCs/>
      <w:sz w:val="20"/>
      <w:szCs w:val="20"/>
    </w:rPr>
  </w:style>
  <w:style w:type="paragraph" w:styleId="FootnoteText">
    <w:name w:val="footnote text"/>
    <w:basedOn w:val="Normal"/>
    <w:link w:val="FootnoteTextChar"/>
    <w:uiPriority w:val="99"/>
    <w:semiHidden/>
    <w:unhideWhenUsed/>
    <w:rsid w:val="00096552"/>
    <w:rPr>
      <w:sz w:val="20"/>
      <w:szCs w:val="20"/>
    </w:rPr>
  </w:style>
  <w:style w:type="character" w:customStyle="1" w:styleId="FootnoteTextChar">
    <w:name w:val="Footnote Text Char"/>
    <w:basedOn w:val="DefaultParagraphFont"/>
    <w:link w:val="FootnoteText"/>
    <w:uiPriority w:val="99"/>
    <w:semiHidden/>
    <w:rsid w:val="00096552"/>
    <w:rPr>
      <w:rFonts w:ascii="Garamond" w:eastAsia="Times New Roman" w:hAnsi="Garamond" w:cs="Times New Roman"/>
      <w:bCs/>
      <w:sz w:val="20"/>
      <w:szCs w:val="20"/>
    </w:rPr>
  </w:style>
  <w:style w:type="character" w:styleId="FootnoteReference">
    <w:name w:val="footnote reference"/>
    <w:basedOn w:val="DefaultParagraphFont"/>
    <w:uiPriority w:val="99"/>
    <w:semiHidden/>
    <w:unhideWhenUsed/>
    <w:rsid w:val="00096552"/>
    <w:rPr>
      <w:vertAlign w:val="superscript"/>
    </w:rPr>
  </w:style>
  <w:style w:type="paragraph" w:styleId="EndnoteText">
    <w:name w:val="endnote text"/>
    <w:basedOn w:val="Normal"/>
    <w:link w:val="EndnoteTextChar"/>
    <w:uiPriority w:val="99"/>
    <w:semiHidden/>
    <w:unhideWhenUsed/>
    <w:rsid w:val="0024506A"/>
    <w:rPr>
      <w:sz w:val="20"/>
      <w:szCs w:val="20"/>
    </w:rPr>
  </w:style>
  <w:style w:type="character" w:customStyle="1" w:styleId="EndnoteTextChar">
    <w:name w:val="Endnote Text Char"/>
    <w:basedOn w:val="DefaultParagraphFont"/>
    <w:link w:val="EndnoteText"/>
    <w:uiPriority w:val="99"/>
    <w:semiHidden/>
    <w:rsid w:val="0024506A"/>
    <w:rPr>
      <w:rFonts w:ascii="Garamond" w:eastAsia="Times New Roman" w:hAnsi="Garamond" w:cs="Times New Roman"/>
      <w:bCs/>
      <w:sz w:val="20"/>
      <w:szCs w:val="20"/>
    </w:rPr>
  </w:style>
  <w:style w:type="character" w:styleId="EndnoteReference">
    <w:name w:val="endnote reference"/>
    <w:basedOn w:val="DefaultParagraphFont"/>
    <w:uiPriority w:val="99"/>
    <w:semiHidden/>
    <w:unhideWhenUsed/>
    <w:rsid w:val="0024506A"/>
    <w:rPr>
      <w:vertAlign w:val="superscript"/>
    </w:rPr>
  </w:style>
  <w:style w:type="paragraph" w:customStyle="1" w:styleId="Para1">
    <w:name w:val="Para 1"/>
    <w:basedOn w:val="ListParagraph"/>
    <w:link w:val="Para1Char"/>
    <w:qFormat/>
    <w:rsid w:val="00162D39"/>
    <w:pPr>
      <w:tabs>
        <w:tab w:val="left" w:pos="720"/>
      </w:tabs>
      <w:spacing w:after="120"/>
      <w:ind w:left="0" w:right="288"/>
      <w:contextualSpacing w:val="0"/>
      <w:jc w:val="both"/>
    </w:pPr>
    <w:rPr>
      <w:bCs w:val="0"/>
      <w:szCs w:val="24"/>
    </w:rPr>
  </w:style>
  <w:style w:type="paragraph" w:customStyle="1" w:styleId="Footnote">
    <w:name w:val="Footnote"/>
    <w:basedOn w:val="Normal"/>
    <w:link w:val="FootnoteChar"/>
    <w:qFormat/>
    <w:rsid w:val="00201701"/>
    <w:rPr>
      <w:sz w:val="20"/>
      <w:szCs w:val="20"/>
    </w:rPr>
  </w:style>
  <w:style w:type="character" w:customStyle="1" w:styleId="ListParagraphChar">
    <w:name w:val="List Paragraph Char"/>
    <w:basedOn w:val="DefaultParagraphFont"/>
    <w:link w:val="ListParagraph"/>
    <w:uiPriority w:val="34"/>
    <w:rsid w:val="00DC0DF2"/>
    <w:rPr>
      <w:rFonts w:ascii="Garamond" w:eastAsia="Times New Roman" w:hAnsi="Garamond" w:cs="Times New Roman"/>
      <w:bCs/>
      <w:sz w:val="28"/>
      <w:szCs w:val="28"/>
    </w:rPr>
  </w:style>
  <w:style w:type="character" w:customStyle="1" w:styleId="Para1Char">
    <w:name w:val="Para 1 Char"/>
    <w:basedOn w:val="ListParagraphChar"/>
    <w:link w:val="Para1"/>
    <w:rsid w:val="00162D39"/>
    <w:rPr>
      <w:rFonts w:ascii="Times New Roman" w:eastAsia="Times New Roman" w:hAnsi="Times New Roman" w:cs="Times New Roman"/>
      <w:bCs w:val="0"/>
      <w:sz w:val="24"/>
      <w:szCs w:val="24"/>
      <w:lang w:val="en-GB"/>
    </w:rPr>
  </w:style>
  <w:style w:type="character" w:styleId="Hyperlink">
    <w:name w:val="Hyperlink"/>
    <w:basedOn w:val="DefaultParagraphFont"/>
    <w:uiPriority w:val="99"/>
    <w:unhideWhenUsed/>
    <w:rsid w:val="00FB7C56"/>
    <w:rPr>
      <w:color w:val="0000FF" w:themeColor="hyperlink"/>
      <w:u w:val="single"/>
    </w:rPr>
  </w:style>
  <w:style w:type="character" w:customStyle="1" w:styleId="FootnoteChar">
    <w:name w:val="Footnote Char"/>
    <w:basedOn w:val="DefaultParagraphFont"/>
    <w:link w:val="Footnote"/>
    <w:rsid w:val="00201701"/>
    <w:rPr>
      <w:rFonts w:ascii="Times New Roman" w:eastAsia="Times New Roman" w:hAnsi="Times New Roman" w:cs="Times New Roman"/>
      <w:bCs/>
      <w:sz w:val="20"/>
      <w:szCs w:val="20"/>
    </w:rPr>
  </w:style>
  <w:style w:type="paragraph" w:customStyle="1" w:styleId="Paraa">
    <w:name w:val="Para (a)"/>
    <w:basedOn w:val="Para1"/>
    <w:link w:val="ParaaChar"/>
    <w:qFormat/>
    <w:rsid w:val="00BA59D1"/>
    <w:pPr>
      <w:numPr>
        <w:numId w:val="7"/>
      </w:numPr>
      <w:tabs>
        <w:tab w:val="clear" w:pos="720"/>
        <w:tab w:val="left" w:pos="900"/>
      </w:tabs>
      <w:ind w:left="360" w:firstLine="0"/>
    </w:pPr>
  </w:style>
  <w:style w:type="character" w:customStyle="1" w:styleId="ParaaChar">
    <w:name w:val="Para (a) Char"/>
    <w:basedOn w:val="Para1Char"/>
    <w:link w:val="Paraa"/>
    <w:rsid w:val="00BA59D1"/>
    <w:rPr>
      <w:rFonts w:ascii="Times New Roman" w:eastAsia="Times New Roman" w:hAnsi="Times New Roman" w:cs="Times New Roman"/>
      <w:bCs w:val="0"/>
      <w:sz w:val="24"/>
      <w:szCs w:val="24"/>
      <w:lang w:val="en-GB"/>
    </w:rPr>
  </w:style>
  <w:style w:type="character" w:styleId="FollowedHyperlink">
    <w:name w:val="FollowedHyperlink"/>
    <w:basedOn w:val="DefaultParagraphFont"/>
    <w:uiPriority w:val="99"/>
    <w:semiHidden/>
    <w:unhideWhenUsed/>
    <w:rsid w:val="00B464DA"/>
    <w:rPr>
      <w:color w:val="800080" w:themeColor="followedHyperlink"/>
      <w:u w:val="single"/>
    </w:rPr>
  </w:style>
  <w:style w:type="character" w:customStyle="1" w:styleId="Mention1">
    <w:name w:val="Mention1"/>
    <w:basedOn w:val="DefaultParagraphFont"/>
    <w:uiPriority w:val="99"/>
    <w:semiHidden/>
    <w:unhideWhenUsed/>
    <w:rsid w:val="00DD374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nfpa.org.ua/i/print_logo.p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cosoc/sites/www.un.org.ecosoc/files/files/en/president/2017/ecosoc-presidential-statement-2017.pdf" TargetMode="External"/><Relationship Id="rId2" Type="http://schemas.openxmlformats.org/officeDocument/2006/relationships/hyperlink" Target="https://unstats.un.org/sdgs/report/2016/The%20Sustainable%20Development%20Goals%20Report%202016_French.pdf" TargetMode="External"/><Relationship Id="rId1" Type="http://schemas.openxmlformats.org/officeDocument/2006/relationships/hyperlink" Target="http://www.undp.org/youth" TargetMode="External"/><Relationship Id="rId6" Type="http://schemas.openxmlformats.org/officeDocument/2006/relationships/hyperlink" Target="http://www.undp.org/content/undp/en/home/librarypage/democratic-governance/Youth-GPS.html" TargetMode="External"/><Relationship Id="rId5" Type="http://schemas.openxmlformats.org/officeDocument/2006/relationships/hyperlink" Target="http://www.undp.org/content/undp/en/home/librarypage/democratic-governance/Youth-GPS.html" TargetMode="External"/><Relationship Id="rId4" Type="http://schemas.openxmlformats.org/officeDocument/2006/relationships/hyperlink" Target="https://www.youth4peace.info/ProgressStudy/Regional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8339-2743-4E92-9AC4-B073DA03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6808</Words>
  <Characters>38812</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45529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Horst Rutsch</dc:creator>
  <cp:lastModifiedBy>Svetlana Iazykova</cp:lastModifiedBy>
  <cp:revision>2</cp:revision>
  <cp:lastPrinted>2012-10-11T08:26:00Z</cp:lastPrinted>
  <dcterms:created xsi:type="dcterms:W3CDTF">2017-05-25T14:44:00Z</dcterms:created>
  <dcterms:modified xsi:type="dcterms:W3CDTF">2017-05-25T14:44:00Z</dcterms:modified>
</cp:coreProperties>
</file>