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9BFC0" w14:textId="77777777" w:rsidR="00957BA1" w:rsidRPr="00541456" w:rsidRDefault="00630232" w:rsidP="00957BA1">
      <w:pPr>
        <w:pStyle w:val="Heading3"/>
        <w:jc w:val="left"/>
        <w:rPr>
          <w:rFonts w:asciiTheme="minorHAnsi" w:hAnsiTheme="minorHAnsi"/>
          <w:sz w:val="22"/>
          <w:szCs w:val="22"/>
        </w:rPr>
      </w:pPr>
      <w:bookmarkStart w:id="0" w:name="_GoBack"/>
      <w:bookmarkEnd w:id="0"/>
      <w:r w:rsidRPr="00541456">
        <w:rPr>
          <w:rFonts w:asciiTheme="minorHAnsi" w:hAnsiTheme="minorHAnsi"/>
          <w:sz w:val="22"/>
          <w:szCs w:val="22"/>
        </w:rPr>
        <w:t>Country:</w:t>
      </w:r>
      <w:r w:rsidRPr="00541456">
        <w:rPr>
          <w:rFonts w:asciiTheme="minorHAnsi" w:hAnsiTheme="minorHAnsi"/>
          <w:sz w:val="22"/>
          <w:szCs w:val="22"/>
        </w:rPr>
        <w:tab/>
      </w:r>
      <w:r w:rsidRPr="00541456">
        <w:rPr>
          <w:rFonts w:asciiTheme="minorHAnsi" w:hAnsiTheme="minorHAnsi"/>
          <w:sz w:val="22"/>
          <w:szCs w:val="22"/>
        </w:rPr>
        <w:tab/>
      </w:r>
      <w:r w:rsidRPr="00541456">
        <w:rPr>
          <w:rFonts w:asciiTheme="minorHAnsi" w:hAnsiTheme="minorHAnsi"/>
          <w:sz w:val="22"/>
          <w:szCs w:val="22"/>
        </w:rPr>
        <w:tab/>
      </w:r>
      <w:r w:rsidR="005B6890">
        <w:rPr>
          <w:rFonts w:asciiTheme="minorHAnsi" w:hAnsiTheme="minorHAnsi"/>
          <w:b/>
          <w:sz w:val="22"/>
          <w:szCs w:val="22"/>
        </w:rPr>
        <w:t>Peru</w:t>
      </w:r>
    </w:p>
    <w:p w14:paraId="453E14CC" w14:textId="77777777" w:rsidR="00957BA1" w:rsidRPr="00541456" w:rsidRDefault="00957BA1" w:rsidP="00957BA1">
      <w:pPr>
        <w:pStyle w:val="Heading3"/>
        <w:rPr>
          <w:rFonts w:asciiTheme="minorHAnsi" w:hAnsiTheme="minorHAnsi"/>
          <w:sz w:val="22"/>
          <w:szCs w:val="22"/>
        </w:rPr>
      </w:pPr>
    </w:p>
    <w:p w14:paraId="79B0AD19" w14:textId="77777777" w:rsidR="00957BA1" w:rsidRPr="00541456" w:rsidRDefault="00957BA1" w:rsidP="009E43E5">
      <w:pPr>
        <w:pStyle w:val="Heading3"/>
        <w:rPr>
          <w:rFonts w:asciiTheme="minorHAnsi" w:hAnsiTheme="minorHAnsi"/>
          <w:b/>
          <w:bCs w:val="0"/>
          <w:sz w:val="22"/>
          <w:szCs w:val="22"/>
        </w:rPr>
      </w:pPr>
      <w:r w:rsidRPr="00541456">
        <w:rPr>
          <w:rFonts w:asciiTheme="minorHAnsi" w:hAnsiTheme="minorHAnsi"/>
          <w:b/>
          <w:bCs w:val="0"/>
          <w:sz w:val="22"/>
          <w:szCs w:val="22"/>
        </w:rPr>
        <w:t>COUNTRY PROGRAMME PERFORMANCE SUMMARY</w:t>
      </w:r>
    </w:p>
    <w:p w14:paraId="09ED93DE" w14:textId="77777777" w:rsidR="00957BA1" w:rsidRPr="00541456" w:rsidRDefault="00957BA1" w:rsidP="00957BA1">
      <w:pPr>
        <w:pStyle w:val="Heading3"/>
        <w:rPr>
          <w:rFonts w:asciiTheme="minorHAnsi" w:hAnsiTheme="minorHAnsi"/>
          <w:b/>
          <w:sz w:val="22"/>
          <w:szCs w:val="22"/>
        </w:rPr>
      </w:pPr>
    </w:p>
    <w:p w14:paraId="7A4E61D2" w14:textId="26B81A1D" w:rsidR="00957BA1" w:rsidRPr="00FF6C89" w:rsidRDefault="00630232" w:rsidP="00957BA1">
      <w:pPr>
        <w:pStyle w:val="Heading3"/>
        <w:jc w:val="left"/>
        <w:rPr>
          <w:rFonts w:asciiTheme="minorHAnsi" w:hAnsiTheme="minorHAnsi"/>
          <w:b/>
          <w:sz w:val="22"/>
          <w:szCs w:val="22"/>
          <w:lang w:val="es-PE"/>
        </w:rPr>
      </w:pPr>
      <w:r w:rsidRPr="00FF6C89">
        <w:rPr>
          <w:rFonts w:asciiTheme="minorHAnsi" w:hAnsiTheme="minorHAnsi"/>
          <w:sz w:val="22"/>
          <w:szCs w:val="22"/>
          <w:lang w:val="es-PE"/>
        </w:rPr>
        <w:t xml:space="preserve">Reporting period: </w:t>
      </w:r>
      <w:r w:rsidRPr="00FF6C89">
        <w:rPr>
          <w:rFonts w:asciiTheme="minorHAnsi" w:hAnsiTheme="minorHAnsi"/>
          <w:sz w:val="22"/>
          <w:szCs w:val="22"/>
          <w:lang w:val="es-PE"/>
        </w:rPr>
        <w:tab/>
      </w:r>
      <w:r w:rsidR="005B6890" w:rsidRPr="00FF6C89">
        <w:rPr>
          <w:rFonts w:asciiTheme="minorHAnsi" w:hAnsiTheme="minorHAnsi"/>
          <w:b/>
          <w:sz w:val="22"/>
          <w:szCs w:val="22"/>
          <w:lang w:val="es-PE"/>
        </w:rPr>
        <w:t>2012</w:t>
      </w:r>
      <w:r w:rsidRPr="00FF6C89">
        <w:rPr>
          <w:rFonts w:asciiTheme="minorHAnsi" w:hAnsiTheme="minorHAnsi"/>
          <w:b/>
          <w:sz w:val="22"/>
          <w:szCs w:val="22"/>
          <w:lang w:val="es-PE"/>
        </w:rPr>
        <w:t>-</w:t>
      </w:r>
      <w:r w:rsidR="00B45788" w:rsidRPr="00FF6C89">
        <w:rPr>
          <w:rFonts w:asciiTheme="minorHAnsi" w:hAnsiTheme="minorHAnsi"/>
          <w:b/>
          <w:sz w:val="22"/>
          <w:szCs w:val="22"/>
          <w:lang w:val="es-PE"/>
        </w:rPr>
        <w:t>20</w:t>
      </w:r>
      <w:r w:rsidR="005B6890" w:rsidRPr="00FF6C89">
        <w:rPr>
          <w:rFonts w:asciiTheme="minorHAnsi" w:hAnsiTheme="minorHAnsi"/>
          <w:b/>
          <w:sz w:val="22"/>
          <w:szCs w:val="22"/>
          <w:lang w:val="es-PE"/>
        </w:rPr>
        <w:t>16</w:t>
      </w:r>
    </w:p>
    <w:p w14:paraId="2C0B9BA5" w14:textId="77777777" w:rsidR="00957BA1" w:rsidRPr="00FF6C89" w:rsidRDefault="00957BA1" w:rsidP="00957BA1">
      <w:pPr>
        <w:pStyle w:val="Heading3"/>
        <w:rPr>
          <w:rFonts w:asciiTheme="minorHAnsi" w:hAnsiTheme="minorHAnsi"/>
          <w:sz w:val="22"/>
          <w:szCs w:val="22"/>
          <w:lang w:val="es-PE"/>
        </w:rPr>
      </w:pPr>
    </w:p>
    <w:p w14:paraId="545EC136" w14:textId="77777777" w:rsidR="00957BA1" w:rsidRPr="00FF6C89" w:rsidRDefault="00957BA1" w:rsidP="00FF7842">
      <w:pPr>
        <w:rPr>
          <w:rFonts w:asciiTheme="minorHAnsi" w:hAnsiTheme="minorHAnsi"/>
          <w:sz w:val="22"/>
          <w:szCs w:val="22"/>
          <w:lang w:val="es-PE"/>
        </w:rPr>
      </w:pPr>
    </w:p>
    <w:p w14:paraId="52271E44" w14:textId="77777777" w:rsidR="00957BA1" w:rsidRPr="00FF6C89" w:rsidRDefault="00957BA1" w:rsidP="00FF7842">
      <w:pPr>
        <w:pStyle w:val="Heading3"/>
        <w:jc w:val="left"/>
        <w:rPr>
          <w:rFonts w:asciiTheme="minorHAnsi" w:hAnsiTheme="minorHAnsi"/>
          <w:b/>
          <w:bCs w:val="0"/>
          <w:sz w:val="22"/>
          <w:szCs w:val="22"/>
          <w:lang w:val="es-PE"/>
        </w:rPr>
      </w:pPr>
      <w:r w:rsidRPr="00FF6C89">
        <w:rPr>
          <w:rFonts w:asciiTheme="minorHAnsi" w:hAnsiTheme="minorHAnsi"/>
          <w:b/>
          <w:bCs w:val="0"/>
          <w:sz w:val="22"/>
          <w:szCs w:val="22"/>
          <w:lang w:val="es-PE"/>
        </w:rPr>
        <w:t>I.  EXECUTIVE SUMMARY</w:t>
      </w:r>
    </w:p>
    <w:p w14:paraId="41C0F4E3" w14:textId="77777777" w:rsidR="00957BA1" w:rsidRPr="00FF6C89" w:rsidRDefault="00957BA1" w:rsidP="00FF7842">
      <w:pPr>
        <w:pStyle w:val="BodyText2"/>
        <w:rPr>
          <w:rFonts w:asciiTheme="minorHAnsi" w:hAnsiTheme="minorHAnsi"/>
          <w:color w:val="000000"/>
          <w:sz w:val="22"/>
          <w:szCs w:val="22"/>
          <w:lang w:val="es-PE"/>
        </w:rPr>
      </w:pPr>
    </w:p>
    <w:p w14:paraId="60B9B213" w14:textId="07F6A77B" w:rsidR="00414B10" w:rsidRPr="00F318B6" w:rsidRDefault="000B1D58" w:rsidP="00F318B6">
      <w:pPr>
        <w:jc w:val="both"/>
        <w:rPr>
          <w:rFonts w:asciiTheme="minorHAnsi" w:hAnsiTheme="minorHAnsi" w:cs="Tahoma"/>
          <w:sz w:val="22"/>
          <w:szCs w:val="22"/>
          <w:lang w:val="es-AR"/>
        </w:rPr>
      </w:pPr>
      <w:r w:rsidRPr="00017E59">
        <w:rPr>
          <w:rFonts w:asciiTheme="minorHAnsi" w:hAnsiTheme="minorHAnsi" w:cs="Tahoma"/>
          <w:sz w:val="22"/>
          <w:szCs w:val="22"/>
          <w:lang w:val="es-AR"/>
        </w:rPr>
        <w:t xml:space="preserve">El </w:t>
      </w:r>
      <w:r w:rsidR="00FF7842" w:rsidRPr="00017E59">
        <w:rPr>
          <w:rFonts w:asciiTheme="minorHAnsi" w:hAnsiTheme="minorHAnsi" w:cs="Tahoma"/>
          <w:sz w:val="22"/>
          <w:szCs w:val="22"/>
          <w:lang w:val="es-AR"/>
        </w:rPr>
        <w:t xml:space="preserve">Programa </w:t>
      </w:r>
      <w:r w:rsidR="00017E59">
        <w:rPr>
          <w:rFonts w:asciiTheme="minorHAnsi" w:hAnsiTheme="minorHAnsi" w:cs="Tahoma"/>
          <w:sz w:val="22"/>
          <w:szCs w:val="22"/>
          <w:lang w:val="es-AR"/>
        </w:rPr>
        <w:t>de</w:t>
      </w:r>
      <w:r w:rsidR="006465EE" w:rsidRPr="00017E59">
        <w:rPr>
          <w:rFonts w:asciiTheme="minorHAnsi" w:hAnsiTheme="minorHAnsi" w:cs="Tahoma"/>
          <w:sz w:val="22"/>
          <w:szCs w:val="22"/>
          <w:lang w:val="es-AR"/>
        </w:rPr>
        <w:t xml:space="preserve"> </w:t>
      </w:r>
      <w:r w:rsidR="0044726D" w:rsidRPr="00017E59">
        <w:rPr>
          <w:rFonts w:asciiTheme="minorHAnsi" w:hAnsiTheme="minorHAnsi" w:cs="Tahoma"/>
          <w:sz w:val="22"/>
          <w:szCs w:val="22"/>
          <w:lang w:val="es-AR"/>
        </w:rPr>
        <w:t>País 2012</w:t>
      </w:r>
      <w:r w:rsidR="00FF7842" w:rsidRPr="00017E59">
        <w:rPr>
          <w:rFonts w:asciiTheme="minorHAnsi" w:hAnsiTheme="minorHAnsi" w:cs="Tahoma"/>
          <w:sz w:val="22"/>
          <w:szCs w:val="22"/>
          <w:lang w:val="es-AR"/>
        </w:rPr>
        <w:t>-</w:t>
      </w:r>
      <w:r w:rsidR="00B45788" w:rsidRPr="00017E59">
        <w:rPr>
          <w:rFonts w:asciiTheme="minorHAnsi" w:hAnsiTheme="minorHAnsi" w:cs="Tahoma"/>
          <w:sz w:val="22"/>
          <w:szCs w:val="22"/>
          <w:lang w:val="es-AR"/>
        </w:rPr>
        <w:t>1</w:t>
      </w:r>
      <w:r w:rsidR="0044726D" w:rsidRPr="00017E59">
        <w:rPr>
          <w:rFonts w:asciiTheme="minorHAnsi" w:hAnsiTheme="minorHAnsi" w:cs="Tahoma"/>
          <w:sz w:val="22"/>
          <w:szCs w:val="22"/>
          <w:lang w:val="es-AR"/>
        </w:rPr>
        <w:t>6</w:t>
      </w:r>
      <w:r w:rsidR="000870EF" w:rsidRPr="00017E59">
        <w:rPr>
          <w:rFonts w:asciiTheme="minorHAnsi" w:hAnsiTheme="minorHAnsi" w:cs="Tahoma"/>
          <w:sz w:val="22"/>
          <w:szCs w:val="22"/>
          <w:lang w:val="es-AR"/>
        </w:rPr>
        <w:t xml:space="preserve"> </w:t>
      </w:r>
      <w:r w:rsidR="00CE66D9">
        <w:rPr>
          <w:rFonts w:asciiTheme="minorHAnsi" w:hAnsiTheme="minorHAnsi" w:cs="Tahoma"/>
          <w:sz w:val="22"/>
          <w:szCs w:val="22"/>
          <w:lang w:val="es-AR"/>
        </w:rPr>
        <w:t xml:space="preserve">se implementó </w:t>
      </w:r>
      <w:r w:rsidR="00EE7032">
        <w:rPr>
          <w:rFonts w:asciiTheme="minorHAnsi" w:hAnsiTheme="minorHAnsi" w:cs="Tahoma"/>
          <w:sz w:val="22"/>
          <w:szCs w:val="22"/>
          <w:lang w:val="es-AR"/>
        </w:rPr>
        <w:t xml:space="preserve">a través </w:t>
      </w:r>
      <w:r w:rsidR="00CE66D9">
        <w:rPr>
          <w:rFonts w:asciiTheme="minorHAnsi" w:hAnsiTheme="minorHAnsi" w:cs="Tahoma"/>
          <w:sz w:val="22"/>
          <w:szCs w:val="22"/>
          <w:lang w:val="es-AR"/>
        </w:rPr>
        <w:t xml:space="preserve">de </w:t>
      </w:r>
      <w:r w:rsidR="00307C12">
        <w:rPr>
          <w:rFonts w:asciiTheme="minorHAnsi" w:hAnsiTheme="minorHAnsi" w:cs="Tahoma"/>
          <w:sz w:val="22"/>
          <w:szCs w:val="22"/>
          <w:lang w:val="es-AR"/>
        </w:rPr>
        <w:t>tres</w:t>
      </w:r>
      <w:r w:rsidR="001D6D33" w:rsidRPr="00017E59">
        <w:rPr>
          <w:rFonts w:asciiTheme="minorHAnsi" w:hAnsiTheme="minorHAnsi" w:cs="Tahoma"/>
          <w:sz w:val="22"/>
          <w:szCs w:val="22"/>
          <w:lang w:val="es-AR"/>
        </w:rPr>
        <w:t xml:space="preserve"> </w:t>
      </w:r>
      <w:r w:rsidRPr="00017E59">
        <w:rPr>
          <w:rFonts w:asciiTheme="minorHAnsi" w:hAnsiTheme="minorHAnsi" w:cs="Tahoma"/>
          <w:sz w:val="22"/>
          <w:szCs w:val="22"/>
          <w:lang w:val="es-AR"/>
        </w:rPr>
        <w:t>áreas programáticas (</w:t>
      </w:r>
      <w:r w:rsidR="00EE7032">
        <w:rPr>
          <w:rFonts w:asciiTheme="minorHAnsi" w:hAnsiTheme="minorHAnsi" w:cs="Tahoma"/>
          <w:sz w:val="22"/>
          <w:szCs w:val="22"/>
          <w:lang w:val="es-AR"/>
        </w:rPr>
        <w:t xml:space="preserve">(i) </w:t>
      </w:r>
      <w:r w:rsidRPr="00017E59">
        <w:rPr>
          <w:rFonts w:asciiTheme="minorHAnsi" w:hAnsiTheme="minorHAnsi" w:cs="Tahoma"/>
          <w:sz w:val="22"/>
          <w:szCs w:val="22"/>
          <w:lang w:val="es-AR"/>
        </w:rPr>
        <w:t xml:space="preserve">Gobernabilidad Democrática, </w:t>
      </w:r>
      <w:r w:rsidR="00EE7032">
        <w:rPr>
          <w:rFonts w:asciiTheme="minorHAnsi" w:hAnsiTheme="minorHAnsi" w:cs="Tahoma"/>
          <w:sz w:val="22"/>
          <w:szCs w:val="22"/>
          <w:lang w:val="es-AR"/>
        </w:rPr>
        <w:t xml:space="preserve">(ii) </w:t>
      </w:r>
      <w:r w:rsidR="00017E59" w:rsidRPr="00017E59">
        <w:rPr>
          <w:rFonts w:asciiTheme="minorHAnsi" w:hAnsiTheme="minorHAnsi" w:cs="Tahoma"/>
          <w:sz w:val="22"/>
          <w:szCs w:val="22"/>
          <w:lang w:val="es-AR"/>
        </w:rPr>
        <w:t>Reducción de la pobreza y Objetivos de Desarrollo del Milenio,</w:t>
      </w:r>
      <w:r w:rsidRPr="00017E59">
        <w:rPr>
          <w:rFonts w:asciiTheme="minorHAnsi" w:hAnsiTheme="minorHAnsi" w:cs="Tahoma"/>
          <w:sz w:val="22"/>
          <w:szCs w:val="22"/>
          <w:lang w:val="es-AR"/>
        </w:rPr>
        <w:t xml:space="preserve"> </w:t>
      </w:r>
      <w:r w:rsidR="00307C12">
        <w:rPr>
          <w:rFonts w:asciiTheme="minorHAnsi" w:hAnsiTheme="minorHAnsi" w:cs="Tahoma"/>
          <w:sz w:val="22"/>
          <w:szCs w:val="22"/>
          <w:lang w:val="es-AR"/>
        </w:rPr>
        <w:t xml:space="preserve">y </w:t>
      </w:r>
      <w:r w:rsidR="00EE7032">
        <w:rPr>
          <w:rFonts w:asciiTheme="minorHAnsi" w:hAnsiTheme="minorHAnsi" w:cs="Tahoma"/>
          <w:sz w:val="22"/>
          <w:szCs w:val="22"/>
          <w:lang w:val="es-AR"/>
        </w:rPr>
        <w:t xml:space="preserve">(iii) </w:t>
      </w:r>
      <w:r w:rsidR="00017E59" w:rsidRPr="00017E59">
        <w:rPr>
          <w:rFonts w:asciiTheme="minorHAnsi" w:hAnsiTheme="minorHAnsi" w:cs="Tahoma"/>
          <w:sz w:val="22"/>
          <w:szCs w:val="22"/>
          <w:lang w:val="es-AR"/>
        </w:rPr>
        <w:t xml:space="preserve">Prevención de las </w:t>
      </w:r>
      <w:r w:rsidR="00A5431E">
        <w:rPr>
          <w:rFonts w:asciiTheme="minorHAnsi" w:hAnsiTheme="minorHAnsi" w:cs="Tahoma"/>
          <w:sz w:val="22"/>
          <w:szCs w:val="22"/>
          <w:lang w:val="es-AR"/>
        </w:rPr>
        <w:t>crisis y recuperación posterior</w:t>
      </w:r>
      <w:r w:rsidR="00307C12">
        <w:rPr>
          <w:rFonts w:asciiTheme="minorHAnsi" w:hAnsiTheme="minorHAnsi" w:cs="Tahoma"/>
          <w:sz w:val="22"/>
          <w:szCs w:val="22"/>
          <w:lang w:val="es-AR"/>
        </w:rPr>
        <w:t xml:space="preserve">. </w:t>
      </w:r>
      <w:r w:rsidR="00017E59" w:rsidRPr="00017E59">
        <w:rPr>
          <w:rFonts w:asciiTheme="minorHAnsi" w:hAnsiTheme="minorHAnsi" w:cs="Tahoma"/>
          <w:sz w:val="22"/>
          <w:szCs w:val="22"/>
          <w:lang w:val="es-AR"/>
        </w:rPr>
        <w:t>Medio ambiente y desarrollo sostenible</w:t>
      </w:r>
      <w:r w:rsidRPr="00017E59">
        <w:rPr>
          <w:rFonts w:asciiTheme="minorHAnsi" w:hAnsiTheme="minorHAnsi" w:cs="Tahoma"/>
          <w:sz w:val="22"/>
          <w:szCs w:val="22"/>
          <w:lang w:val="es-AR"/>
        </w:rPr>
        <w:t>)</w:t>
      </w:r>
      <w:r w:rsidR="00CE66D9">
        <w:rPr>
          <w:rFonts w:asciiTheme="minorHAnsi" w:hAnsiTheme="minorHAnsi" w:cs="Tahoma"/>
          <w:sz w:val="22"/>
          <w:szCs w:val="22"/>
          <w:lang w:val="es-AR"/>
        </w:rPr>
        <w:t xml:space="preserve"> alineadas con las prioridades nacionales del Plan de Desarrollo Nacional (Plan Bicentenario) y con los compromisos adquiridos por el país en el marco de las Naciones Unidas, incluyendo los </w:t>
      </w:r>
      <w:r w:rsidR="001C7CB0">
        <w:rPr>
          <w:rFonts w:asciiTheme="minorHAnsi" w:hAnsiTheme="minorHAnsi" w:cs="Tahoma"/>
          <w:sz w:val="22"/>
          <w:szCs w:val="22"/>
          <w:lang w:val="es-AR"/>
        </w:rPr>
        <w:t>Objetivos de Desarrollo del Milenio</w:t>
      </w:r>
      <w:r w:rsidRPr="00017E59">
        <w:rPr>
          <w:rFonts w:asciiTheme="minorHAnsi" w:hAnsiTheme="minorHAnsi" w:cs="Tahoma"/>
          <w:sz w:val="22"/>
          <w:szCs w:val="22"/>
          <w:lang w:val="es-AR"/>
        </w:rPr>
        <w:t>.</w:t>
      </w:r>
      <w:r w:rsidR="00F318B6">
        <w:rPr>
          <w:rFonts w:asciiTheme="minorHAnsi" w:hAnsiTheme="minorHAnsi" w:cs="Tahoma"/>
          <w:sz w:val="22"/>
          <w:szCs w:val="22"/>
          <w:lang w:val="es-AR"/>
        </w:rPr>
        <w:t xml:space="preserve"> </w:t>
      </w:r>
    </w:p>
    <w:p w14:paraId="4EF16894" w14:textId="77777777" w:rsidR="00414B10" w:rsidRPr="0084799A" w:rsidRDefault="00414B10" w:rsidP="006465EE">
      <w:pPr>
        <w:widowControl/>
        <w:jc w:val="both"/>
        <w:rPr>
          <w:rFonts w:asciiTheme="minorHAnsi" w:hAnsiTheme="minorHAnsi"/>
          <w:sz w:val="22"/>
          <w:szCs w:val="22"/>
          <w:highlight w:val="yellow"/>
          <w:lang w:val="es-AR"/>
        </w:rPr>
      </w:pPr>
    </w:p>
    <w:p w14:paraId="43D7B7A6" w14:textId="56512D66" w:rsidR="00D55D76" w:rsidRDefault="00CE66D9" w:rsidP="00832745">
      <w:pPr>
        <w:widowControl/>
        <w:jc w:val="both"/>
        <w:rPr>
          <w:rFonts w:asciiTheme="minorHAnsi" w:hAnsiTheme="minorHAnsi"/>
          <w:sz w:val="22"/>
          <w:szCs w:val="22"/>
          <w:lang w:val="es-PA"/>
        </w:rPr>
      </w:pPr>
      <w:r>
        <w:rPr>
          <w:rFonts w:asciiTheme="minorHAnsi" w:hAnsiTheme="minorHAnsi"/>
          <w:sz w:val="22"/>
          <w:szCs w:val="22"/>
          <w:lang w:val="es-AR"/>
        </w:rPr>
        <w:t>S</w:t>
      </w:r>
      <w:r w:rsidR="000B1D58" w:rsidRPr="00E935AA">
        <w:rPr>
          <w:rFonts w:asciiTheme="minorHAnsi" w:hAnsiTheme="minorHAnsi"/>
          <w:sz w:val="22"/>
          <w:szCs w:val="22"/>
          <w:lang w:val="es-AR"/>
        </w:rPr>
        <w:t>e destaca</w:t>
      </w:r>
      <w:r>
        <w:rPr>
          <w:rFonts w:asciiTheme="minorHAnsi" w:hAnsiTheme="minorHAnsi"/>
          <w:sz w:val="22"/>
          <w:szCs w:val="22"/>
          <w:lang w:val="es-AR"/>
        </w:rPr>
        <w:t xml:space="preserve"> los siguientes</w:t>
      </w:r>
      <w:r w:rsidR="000B1D58" w:rsidRPr="00E935AA">
        <w:rPr>
          <w:rFonts w:asciiTheme="minorHAnsi" w:hAnsiTheme="minorHAnsi"/>
          <w:sz w:val="22"/>
          <w:szCs w:val="22"/>
          <w:lang w:val="es-AR"/>
        </w:rPr>
        <w:t xml:space="preserve"> resultados: </w:t>
      </w:r>
      <w:r w:rsidR="00137A2E">
        <w:rPr>
          <w:rFonts w:asciiTheme="minorHAnsi" w:hAnsiTheme="minorHAnsi"/>
          <w:sz w:val="22"/>
          <w:szCs w:val="22"/>
          <w:lang w:val="es-AR"/>
        </w:rPr>
        <w:t xml:space="preserve">(i) el </w:t>
      </w:r>
      <w:r w:rsidR="00EE7032">
        <w:rPr>
          <w:rFonts w:asciiTheme="minorHAnsi" w:hAnsiTheme="minorHAnsi"/>
          <w:sz w:val="22"/>
          <w:szCs w:val="22"/>
          <w:lang w:val="es-AR"/>
        </w:rPr>
        <w:t xml:space="preserve">mejoramiento </w:t>
      </w:r>
      <w:r w:rsidR="009076B8">
        <w:rPr>
          <w:rFonts w:asciiTheme="minorHAnsi" w:hAnsiTheme="minorHAnsi"/>
          <w:sz w:val="22"/>
          <w:szCs w:val="22"/>
          <w:lang w:val="es-AR"/>
        </w:rPr>
        <w:t>del</w:t>
      </w:r>
      <w:r w:rsidR="00F318B6">
        <w:rPr>
          <w:rFonts w:asciiTheme="minorHAnsi" w:hAnsiTheme="minorHAnsi"/>
          <w:sz w:val="22"/>
          <w:szCs w:val="22"/>
          <w:lang w:val="es-AR"/>
        </w:rPr>
        <w:t xml:space="preserve"> </w:t>
      </w:r>
      <w:r w:rsidR="00AB5C71" w:rsidRPr="00E935AA">
        <w:rPr>
          <w:rFonts w:asciiTheme="minorHAnsi" w:hAnsiTheme="minorHAnsi"/>
          <w:sz w:val="22"/>
          <w:szCs w:val="22"/>
          <w:lang w:val="es-AR"/>
        </w:rPr>
        <w:t xml:space="preserve">acceso a la justicia a través de la </w:t>
      </w:r>
      <w:r w:rsidR="00EE7032">
        <w:rPr>
          <w:rFonts w:asciiTheme="minorHAnsi" w:hAnsiTheme="minorHAnsi"/>
          <w:sz w:val="22"/>
          <w:szCs w:val="22"/>
          <w:lang w:val="es-AR"/>
        </w:rPr>
        <w:t xml:space="preserve">reducción de barreras económicas y culturales por medio de la </w:t>
      </w:r>
      <w:r>
        <w:rPr>
          <w:rFonts w:asciiTheme="minorHAnsi" w:hAnsiTheme="minorHAnsi"/>
          <w:sz w:val="22"/>
          <w:szCs w:val="22"/>
          <w:lang w:val="es-AR"/>
        </w:rPr>
        <w:t>creación de distritos judiciales (1)</w:t>
      </w:r>
      <w:r w:rsidR="00137A2E">
        <w:rPr>
          <w:rFonts w:asciiTheme="minorHAnsi" w:hAnsiTheme="minorHAnsi"/>
          <w:sz w:val="22"/>
          <w:szCs w:val="22"/>
          <w:lang w:val="es-AR"/>
        </w:rPr>
        <w:t xml:space="preserve">; (ii) </w:t>
      </w:r>
      <w:r>
        <w:rPr>
          <w:rFonts w:asciiTheme="minorHAnsi" w:hAnsiTheme="minorHAnsi"/>
          <w:sz w:val="22"/>
          <w:szCs w:val="22"/>
          <w:lang w:val="es-AR"/>
        </w:rPr>
        <w:t xml:space="preserve">la </w:t>
      </w:r>
      <w:r w:rsidR="00AB5C71" w:rsidRPr="00E935AA">
        <w:rPr>
          <w:rFonts w:asciiTheme="minorHAnsi" w:hAnsiTheme="minorHAnsi"/>
          <w:sz w:val="22"/>
          <w:szCs w:val="22"/>
          <w:lang w:val="es-AR"/>
        </w:rPr>
        <w:t>capacitación de jue</w:t>
      </w:r>
      <w:r>
        <w:rPr>
          <w:rFonts w:asciiTheme="minorHAnsi" w:hAnsiTheme="minorHAnsi"/>
          <w:sz w:val="22"/>
          <w:szCs w:val="22"/>
          <w:lang w:val="es-AR"/>
        </w:rPr>
        <w:t>c</w:t>
      </w:r>
      <w:r w:rsidR="00AB5C71" w:rsidRPr="00E935AA">
        <w:rPr>
          <w:rFonts w:asciiTheme="minorHAnsi" w:hAnsiTheme="minorHAnsi"/>
          <w:sz w:val="22"/>
          <w:szCs w:val="22"/>
          <w:lang w:val="es-AR"/>
        </w:rPr>
        <w:t>es de paz</w:t>
      </w:r>
      <w:r w:rsidR="009076B8">
        <w:rPr>
          <w:rFonts w:asciiTheme="minorHAnsi" w:hAnsiTheme="minorHAnsi"/>
          <w:sz w:val="22"/>
          <w:szCs w:val="22"/>
          <w:lang w:val="es-PE"/>
        </w:rPr>
        <w:t xml:space="preserve">; </w:t>
      </w:r>
      <w:r w:rsidR="00E935AA" w:rsidRPr="00E935AA">
        <w:rPr>
          <w:rFonts w:asciiTheme="minorHAnsi" w:hAnsiTheme="minorHAnsi"/>
          <w:sz w:val="22"/>
          <w:szCs w:val="22"/>
          <w:lang w:val="es-AR"/>
        </w:rPr>
        <w:t xml:space="preserve">el fortalecimiento de las capacidades </w:t>
      </w:r>
      <w:r w:rsidR="00307C12">
        <w:rPr>
          <w:rFonts w:asciiTheme="minorHAnsi" w:hAnsiTheme="minorHAnsi"/>
          <w:sz w:val="22"/>
          <w:szCs w:val="22"/>
          <w:lang w:val="es-AR"/>
        </w:rPr>
        <w:t xml:space="preserve">gubernamentales </w:t>
      </w:r>
      <w:r w:rsidR="00E935AA" w:rsidRPr="00E935AA">
        <w:rPr>
          <w:rFonts w:asciiTheme="minorHAnsi" w:hAnsiTheme="minorHAnsi"/>
          <w:sz w:val="22"/>
          <w:szCs w:val="22"/>
          <w:lang w:val="es-AR"/>
        </w:rPr>
        <w:t>para el diálogo democrático para la gestión y pr</w:t>
      </w:r>
      <w:r w:rsidR="00D55D76">
        <w:rPr>
          <w:rFonts w:asciiTheme="minorHAnsi" w:hAnsiTheme="minorHAnsi"/>
          <w:sz w:val="22"/>
          <w:szCs w:val="22"/>
          <w:lang w:val="es-AR"/>
        </w:rPr>
        <w:t>evención de conflictos sociales</w:t>
      </w:r>
      <w:r w:rsidR="00137A2E">
        <w:rPr>
          <w:rFonts w:asciiTheme="minorHAnsi" w:hAnsiTheme="minorHAnsi"/>
          <w:sz w:val="22"/>
          <w:szCs w:val="22"/>
          <w:lang w:val="es-AR"/>
        </w:rPr>
        <w:t xml:space="preserve">; </w:t>
      </w:r>
      <w:r w:rsidR="00137A2E">
        <w:rPr>
          <w:rFonts w:asciiTheme="minorHAnsi" w:hAnsiTheme="minorHAnsi"/>
          <w:sz w:val="22"/>
          <w:szCs w:val="22"/>
          <w:lang w:val="es-PE"/>
        </w:rPr>
        <w:t xml:space="preserve">(iii) </w:t>
      </w:r>
      <w:r>
        <w:rPr>
          <w:rFonts w:asciiTheme="minorHAnsi" w:hAnsiTheme="minorHAnsi"/>
          <w:sz w:val="22"/>
          <w:szCs w:val="22"/>
          <w:lang w:val="es-PE"/>
        </w:rPr>
        <w:t xml:space="preserve">la creación del Ministerio de Desarrollo e Inclusión Social (MIDIS) y la formulación de la </w:t>
      </w:r>
      <w:r w:rsidR="00137A2E">
        <w:rPr>
          <w:rFonts w:asciiTheme="minorHAnsi" w:hAnsiTheme="minorHAnsi"/>
          <w:sz w:val="22"/>
          <w:szCs w:val="22"/>
          <w:lang w:val="es-PE"/>
        </w:rPr>
        <w:t>E</w:t>
      </w:r>
      <w:r>
        <w:rPr>
          <w:rFonts w:asciiTheme="minorHAnsi" w:hAnsiTheme="minorHAnsi"/>
          <w:sz w:val="22"/>
          <w:szCs w:val="22"/>
          <w:lang w:val="es-PE"/>
        </w:rPr>
        <w:t xml:space="preserve">strategia </w:t>
      </w:r>
      <w:r w:rsidR="00137A2E">
        <w:rPr>
          <w:rFonts w:asciiTheme="minorHAnsi" w:hAnsiTheme="minorHAnsi"/>
          <w:sz w:val="22"/>
          <w:szCs w:val="22"/>
          <w:lang w:val="es-PE"/>
        </w:rPr>
        <w:t>N</w:t>
      </w:r>
      <w:r>
        <w:rPr>
          <w:rFonts w:asciiTheme="minorHAnsi" w:hAnsiTheme="minorHAnsi"/>
          <w:sz w:val="22"/>
          <w:szCs w:val="22"/>
          <w:lang w:val="es-PE"/>
        </w:rPr>
        <w:t xml:space="preserve">acional de </w:t>
      </w:r>
      <w:r w:rsidR="00137A2E">
        <w:rPr>
          <w:rFonts w:asciiTheme="minorHAnsi" w:hAnsiTheme="minorHAnsi"/>
          <w:sz w:val="22"/>
          <w:szCs w:val="22"/>
          <w:lang w:val="es-PE"/>
        </w:rPr>
        <w:t>D</w:t>
      </w:r>
      <w:r>
        <w:rPr>
          <w:rFonts w:asciiTheme="minorHAnsi" w:hAnsiTheme="minorHAnsi"/>
          <w:sz w:val="22"/>
          <w:szCs w:val="22"/>
          <w:lang w:val="es-PE"/>
        </w:rPr>
        <w:t xml:space="preserve">esarrollo e </w:t>
      </w:r>
      <w:r w:rsidR="00137A2E">
        <w:rPr>
          <w:rFonts w:asciiTheme="minorHAnsi" w:hAnsiTheme="minorHAnsi"/>
          <w:sz w:val="22"/>
          <w:szCs w:val="22"/>
          <w:lang w:val="es-PE"/>
        </w:rPr>
        <w:t>I</w:t>
      </w:r>
      <w:r>
        <w:rPr>
          <w:rFonts w:asciiTheme="minorHAnsi" w:hAnsiTheme="minorHAnsi"/>
          <w:sz w:val="22"/>
          <w:szCs w:val="22"/>
          <w:lang w:val="es-PE"/>
        </w:rPr>
        <w:t xml:space="preserve">nclusión </w:t>
      </w:r>
      <w:r w:rsidR="00137A2E">
        <w:rPr>
          <w:rFonts w:asciiTheme="minorHAnsi" w:hAnsiTheme="minorHAnsi"/>
          <w:sz w:val="22"/>
          <w:szCs w:val="22"/>
          <w:lang w:val="es-PE"/>
        </w:rPr>
        <w:t>S</w:t>
      </w:r>
      <w:r>
        <w:rPr>
          <w:rFonts w:asciiTheme="minorHAnsi" w:hAnsiTheme="minorHAnsi"/>
          <w:sz w:val="22"/>
          <w:szCs w:val="22"/>
          <w:lang w:val="es-PE"/>
        </w:rPr>
        <w:t>ocial “Incluir para Cre</w:t>
      </w:r>
      <w:r w:rsidR="00D55D76">
        <w:rPr>
          <w:rFonts w:asciiTheme="minorHAnsi" w:hAnsiTheme="minorHAnsi"/>
          <w:sz w:val="22"/>
          <w:szCs w:val="22"/>
          <w:lang w:val="es-PE"/>
        </w:rPr>
        <w:t>cer”</w:t>
      </w:r>
      <w:r w:rsidR="00137A2E">
        <w:rPr>
          <w:rFonts w:asciiTheme="minorHAnsi" w:hAnsiTheme="minorHAnsi"/>
          <w:sz w:val="22"/>
          <w:szCs w:val="22"/>
          <w:lang w:val="es-PE"/>
        </w:rPr>
        <w:t>; (iv)</w:t>
      </w:r>
      <w:r w:rsidR="006F454A">
        <w:rPr>
          <w:rFonts w:asciiTheme="minorHAnsi" w:hAnsiTheme="minorHAnsi"/>
          <w:sz w:val="22"/>
          <w:szCs w:val="22"/>
          <w:lang w:val="es-PE"/>
        </w:rPr>
        <w:t xml:space="preserve"> </w:t>
      </w:r>
      <w:r w:rsidR="00425945">
        <w:rPr>
          <w:rFonts w:asciiTheme="minorHAnsi" w:hAnsiTheme="minorHAnsi"/>
          <w:sz w:val="22"/>
          <w:szCs w:val="22"/>
          <w:lang w:val="es-PE"/>
        </w:rPr>
        <w:t xml:space="preserve">la organización de la </w:t>
      </w:r>
      <w:r w:rsidR="00425945" w:rsidRPr="00425945">
        <w:rPr>
          <w:rFonts w:asciiTheme="minorHAnsi" w:hAnsiTheme="minorHAnsi"/>
          <w:sz w:val="22"/>
          <w:szCs w:val="22"/>
          <w:lang w:val="es-PE"/>
        </w:rPr>
        <w:t>COP20</w:t>
      </w:r>
      <w:r w:rsidR="006F454A">
        <w:rPr>
          <w:rFonts w:asciiTheme="minorHAnsi" w:hAnsiTheme="minorHAnsi"/>
          <w:sz w:val="22"/>
          <w:szCs w:val="22"/>
          <w:lang w:val="es-PE"/>
        </w:rPr>
        <w:t xml:space="preserve"> por medio de la cual el PNUD se </w:t>
      </w:r>
      <w:r w:rsidR="00425945">
        <w:rPr>
          <w:rFonts w:asciiTheme="minorHAnsi" w:hAnsiTheme="minorHAnsi"/>
          <w:sz w:val="22"/>
          <w:szCs w:val="22"/>
          <w:lang w:val="es-PE"/>
        </w:rPr>
        <w:t>posicion</w:t>
      </w:r>
      <w:r w:rsidR="006F454A">
        <w:rPr>
          <w:rFonts w:asciiTheme="minorHAnsi" w:hAnsiTheme="minorHAnsi"/>
          <w:sz w:val="22"/>
          <w:szCs w:val="22"/>
          <w:lang w:val="es-PE"/>
        </w:rPr>
        <w:t xml:space="preserve">ó </w:t>
      </w:r>
      <w:r w:rsidR="00425945">
        <w:rPr>
          <w:rFonts w:asciiTheme="minorHAnsi" w:hAnsiTheme="minorHAnsi"/>
          <w:sz w:val="22"/>
          <w:szCs w:val="22"/>
          <w:lang w:val="es-PE"/>
        </w:rPr>
        <w:t>como un aliado estratégico del Ministerio del Ambiente (MINAM)</w:t>
      </w:r>
      <w:r w:rsidR="00137A2E">
        <w:rPr>
          <w:rFonts w:asciiTheme="minorHAnsi" w:hAnsiTheme="minorHAnsi"/>
          <w:sz w:val="22"/>
          <w:szCs w:val="22"/>
          <w:lang w:val="es-PE"/>
        </w:rPr>
        <w:t>. Por otro lado, s</w:t>
      </w:r>
      <w:r w:rsidR="00B975FB">
        <w:rPr>
          <w:rFonts w:asciiTheme="minorHAnsi" w:hAnsiTheme="minorHAnsi"/>
          <w:sz w:val="22"/>
          <w:szCs w:val="22"/>
          <w:lang w:val="es-PE"/>
        </w:rPr>
        <w:t xml:space="preserve">e ha logrado la transversalización del enfoque de género en </w:t>
      </w:r>
      <w:r w:rsidR="00137A2E">
        <w:rPr>
          <w:rFonts w:asciiTheme="minorHAnsi" w:hAnsiTheme="minorHAnsi"/>
          <w:sz w:val="22"/>
          <w:szCs w:val="22"/>
          <w:lang w:val="es-PE"/>
        </w:rPr>
        <w:t xml:space="preserve">todas las áreas programáticas, lo cual se puede apreciar en diversos proyectos suscritos por el PNUD, entre los que resaltan los siguientes proyectos: inclusión financiera (COFIDE); integración de género en iniciativas de cambio climático (MINAM); reforma electoral (plataforma electoral); </w:t>
      </w:r>
      <w:r w:rsidR="00201698">
        <w:rPr>
          <w:rFonts w:asciiTheme="minorHAnsi" w:hAnsiTheme="minorHAnsi"/>
          <w:sz w:val="22"/>
          <w:szCs w:val="22"/>
          <w:lang w:val="es-PE"/>
        </w:rPr>
        <w:t>l</w:t>
      </w:r>
      <w:r w:rsidR="00B975FB">
        <w:rPr>
          <w:rFonts w:asciiTheme="minorHAnsi" w:hAnsiTheme="minorHAnsi"/>
          <w:sz w:val="22"/>
          <w:szCs w:val="22"/>
          <w:lang w:val="es-PE"/>
        </w:rPr>
        <w:t xml:space="preserve"> y gestión de riegos de desastres</w:t>
      </w:r>
      <w:r w:rsidR="00201698">
        <w:rPr>
          <w:rFonts w:asciiTheme="minorHAnsi" w:hAnsiTheme="minorHAnsi"/>
          <w:sz w:val="22"/>
          <w:szCs w:val="22"/>
          <w:lang w:val="es-PE"/>
        </w:rPr>
        <w:t xml:space="preserve"> (DIPECHO).</w:t>
      </w:r>
      <w:r w:rsidR="00137A2E">
        <w:rPr>
          <w:rFonts w:asciiTheme="minorHAnsi" w:hAnsiTheme="minorHAnsi"/>
          <w:sz w:val="22"/>
          <w:szCs w:val="22"/>
          <w:lang w:val="es-PE"/>
        </w:rPr>
        <w:t xml:space="preserve"> E</w:t>
      </w:r>
      <w:r w:rsidR="00B975FB">
        <w:rPr>
          <w:rFonts w:asciiTheme="minorHAnsi" w:hAnsiTheme="minorHAnsi"/>
          <w:sz w:val="22"/>
          <w:szCs w:val="22"/>
          <w:lang w:val="es-PE"/>
        </w:rPr>
        <w:t xml:space="preserve">n la generación de espacios </w:t>
      </w:r>
      <w:r w:rsidR="00B975FB" w:rsidRPr="00B975FB">
        <w:rPr>
          <w:rFonts w:asciiTheme="minorHAnsi" w:hAnsiTheme="minorHAnsi"/>
          <w:sz w:val="22"/>
          <w:szCs w:val="22"/>
          <w:lang w:val="es-PE"/>
        </w:rPr>
        <w:t>para promover la participación de mujeres en el escenario político, s</w:t>
      </w:r>
      <w:r w:rsidR="00D55D76" w:rsidRPr="00B975FB">
        <w:rPr>
          <w:rFonts w:asciiTheme="minorHAnsi" w:hAnsiTheme="minorHAnsi"/>
          <w:sz w:val="22"/>
          <w:szCs w:val="22"/>
          <w:lang w:val="es-PE"/>
        </w:rPr>
        <w:t xml:space="preserve">e </w:t>
      </w:r>
      <w:r w:rsidR="00137A2E">
        <w:rPr>
          <w:rFonts w:asciiTheme="minorHAnsi" w:hAnsiTheme="minorHAnsi"/>
          <w:sz w:val="22"/>
          <w:szCs w:val="22"/>
          <w:lang w:val="es-PE"/>
        </w:rPr>
        <w:t xml:space="preserve">contribuyó con la capacitación de mujeres </w:t>
      </w:r>
      <w:r w:rsidR="00D55D76" w:rsidRPr="00B975FB">
        <w:rPr>
          <w:rFonts w:asciiTheme="minorHAnsi" w:hAnsiTheme="minorHAnsi"/>
          <w:sz w:val="22"/>
          <w:szCs w:val="22"/>
          <w:lang w:val="es-PE"/>
        </w:rPr>
        <w:t>candidatas</w:t>
      </w:r>
      <w:r w:rsidR="00137A2E">
        <w:rPr>
          <w:rFonts w:asciiTheme="minorHAnsi" w:hAnsiTheme="minorHAnsi"/>
          <w:sz w:val="22"/>
          <w:szCs w:val="22"/>
          <w:lang w:val="es-PE"/>
        </w:rPr>
        <w:t xml:space="preserve"> a nivel subnacional en 2104</w:t>
      </w:r>
      <w:r w:rsidR="00D55D76" w:rsidRPr="00B975FB">
        <w:rPr>
          <w:rFonts w:asciiTheme="minorHAnsi" w:hAnsiTheme="minorHAnsi"/>
          <w:sz w:val="22"/>
          <w:szCs w:val="22"/>
          <w:lang w:val="es-PE"/>
        </w:rPr>
        <w:t xml:space="preserve">, </w:t>
      </w:r>
      <w:r w:rsidR="00832745">
        <w:rPr>
          <w:rFonts w:asciiTheme="minorHAnsi" w:hAnsiTheme="minorHAnsi"/>
          <w:sz w:val="22"/>
          <w:szCs w:val="22"/>
          <w:lang w:val="es-PE"/>
        </w:rPr>
        <w:t>conjuntamente con ONU Mujeres,</w:t>
      </w:r>
      <w:r w:rsidR="00B975FB">
        <w:rPr>
          <w:rFonts w:asciiTheme="minorHAnsi" w:hAnsiTheme="minorHAnsi"/>
          <w:sz w:val="22"/>
          <w:szCs w:val="22"/>
          <w:lang w:val="es-PE"/>
        </w:rPr>
        <w:t xml:space="preserve"> UNFPA,</w:t>
      </w:r>
      <w:r w:rsidR="00832745">
        <w:rPr>
          <w:rFonts w:asciiTheme="minorHAnsi" w:hAnsiTheme="minorHAnsi"/>
          <w:sz w:val="22"/>
          <w:szCs w:val="22"/>
          <w:lang w:val="es-PE"/>
        </w:rPr>
        <w:t xml:space="preserve"> Jurado Nacional de Elecciones,</w:t>
      </w:r>
      <w:r w:rsidR="00137A2E">
        <w:rPr>
          <w:rFonts w:asciiTheme="minorHAnsi" w:hAnsiTheme="minorHAnsi"/>
          <w:sz w:val="22"/>
          <w:szCs w:val="22"/>
          <w:lang w:val="es-PE"/>
        </w:rPr>
        <w:t xml:space="preserve"> Organización Nacional de Procesos Electorales y organización</w:t>
      </w:r>
      <w:r w:rsidR="00832745">
        <w:rPr>
          <w:rFonts w:asciiTheme="minorHAnsi" w:hAnsiTheme="minorHAnsi"/>
          <w:sz w:val="22"/>
          <w:szCs w:val="22"/>
          <w:lang w:val="es-PE"/>
        </w:rPr>
        <w:t xml:space="preserve"> Transparencia. </w:t>
      </w:r>
      <w:r w:rsidR="00137A2E">
        <w:rPr>
          <w:rFonts w:asciiTheme="minorHAnsi" w:hAnsiTheme="minorHAnsi"/>
          <w:sz w:val="22"/>
          <w:szCs w:val="22"/>
          <w:lang w:val="es-PE"/>
        </w:rPr>
        <w:t>El PNUD t</w:t>
      </w:r>
      <w:r w:rsidR="00B975FB">
        <w:rPr>
          <w:rFonts w:asciiTheme="minorHAnsi" w:hAnsiTheme="minorHAnsi"/>
          <w:sz w:val="22"/>
          <w:szCs w:val="22"/>
          <w:lang w:val="es-PE"/>
        </w:rPr>
        <w:t xml:space="preserve">ambién </w:t>
      </w:r>
      <w:r w:rsidR="00832745">
        <w:rPr>
          <w:rFonts w:asciiTheme="minorHAnsi" w:hAnsiTheme="minorHAnsi"/>
          <w:sz w:val="22"/>
          <w:szCs w:val="22"/>
          <w:lang w:val="es-PE"/>
        </w:rPr>
        <w:t>apoyo la actualización del informe</w:t>
      </w:r>
      <w:r w:rsidR="00137A2E">
        <w:rPr>
          <w:rFonts w:asciiTheme="minorHAnsi" w:hAnsiTheme="minorHAnsi"/>
          <w:sz w:val="22"/>
          <w:szCs w:val="22"/>
          <w:lang w:val="es-PE"/>
        </w:rPr>
        <w:t xml:space="preserve"> del Equipo de País de las Naciones Unidas para la </w:t>
      </w:r>
      <w:r w:rsidR="00832745">
        <w:rPr>
          <w:rFonts w:asciiTheme="minorHAnsi" w:hAnsiTheme="minorHAnsi"/>
          <w:sz w:val="22"/>
          <w:szCs w:val="22"/>
          <w:lang w:val="es-PE"/>
        </w:rPr>
        <w:t xml:space="preserve">CEDAW </w:t>
      </w:r>
      <w:r w:rsidR="00137A2E">
        <w:rPr>
          <w:rFonts w:asciiTheme="minorHAnsi" w:hAnsiTheme="minorHAnsi"/>
          <w:sz w:val="22"/>
          <w:szCs w:val="22"/>
          <w:lang w:val="es-PE"/>
        </w:rPr>
        <w:t xml:space="preserve">en </w:t>
      </w:r>
      <w:r w:rsidR="00B975FB">
        <w:rPr>
          <w:rFonts w:asciiTheme="minorHAnsi" w:hAnsiTheme="minorHAnsi"/>
          <w:sz w:val="22"/>
          <w:szCs w:val="22"/>
          <w:lang w:val="es-PE"/>
        </w:rPr>
        <w:t>2014</w:t>
      </w:r>
      <w:r w:rsidR="00137A2E">
        <w:rPr>
          <w:rFonts w:asciiTheme="minorHAnsi" w:hAnsiTheme="minorHAnsi"/>
          <w:sz w:val="22"/>
          <w:szCs w:val="22"/>
          <w:lang w:val="es-PE"/>
        </w:rPr>
        <w:t xml:space="preserve">; y la </w:t>
      </w:r>
      <w:r w:rsidR="00B975FB">
        <w:rPr>
          <w:rFonts w:asciiTheme="minorHAnsi" w:hAnsiTheme="minorHAnsi"/>
          <w:sz w:val="22"/>
          <w:szCs w:val="22"/>
          <w:lang w:val="es-PE"/>
        </w:rPr>
        <w:t>elaboración del</w:t>
      </w:r>
      <w:r w:rsidR="00832745">
        <w:rPr>
          <w:rFonts w:asciiTheme="minorHAnsi" w:hAnsiTheme="minorHAnsi"/>
          <w:sz w:val="22"/>
          <w:szCs w:val="22"/>
          <w:lang w:val="es-PE"/>
        </w:rPr>
        <w:t xml:space="preserve"> primer informe </w:t>
      </w:r>
      <w:r w:rsidR="00D55D76" w:rsidRPr="00832745">
        <w:rPr>
          <w:rFonts w:asciiTheme="minorHAnsi" w:hAnsiTheme="minorHAnsi"/>
          <w:sz w:val="22"/>
          <w:szCs w:val="22"/>
          <w:lang w:val="es-PA"/>
        </w:rPr>
        <w:t xml:space="preserve">defensorial sobre </w:t>
      </w:r>
      <w:r w:rsidR="00137A2E">
        <w:rPr>
          <w:rFonts w:asciiTheme="minorHAnsi" w:hAnsiTheme="minorHAnsi"/>
          <w:sz w:val="22"/>
          <w:szCs w:val="22"/>
          <w:lang w:val="es-PA"/>
        </w:rPr>
        <w:t xml:space="preserve">el </w:t>
      </w:r>
      <w:r w:rsidR="00D55D76" w:rsidRPr="00832745">
        <w:rPr>
          <w:rFonts w:asciiTheme="minorHAnsi" w:hAnsiTheme="minorHAnsi"/>
          <w:sz w:val="22"/>
          <w:szCs w:val="22"/>
          <w:lang w:val="es-PA"/>
        </w:rPr>
        <w:t>derecho a la salud LGTBI e identidad trans</w:t>
      </w:r>
      <w:r w:rsidR="00137A2E">
        <w:rPr>
          <w:rFonts w:asciiTheme="minorHAnsi" w:hAnsiTheme="minorHAnsi"/>
          <w:sz w:val="22"/>
          <w:szCs w:val="22"/>
          <w:lang w:val="es-PA"/>
        </w:rPr>
        <w:t>.</w:t>
      </w:r>
      <w:r w:rsidR="00D55D76" w:rsidRPr="00832745">
        <w:rPr>
          <w:rFonts w:asciiTheme="minorHAnsi" w:hAnsiTheme="minorHAnsi"/>
          <w:sz w:val="22"/>
          <w:szCs w:val="22"/>
          <w:lang w:val="es-PA"/>
        </w:rPr>
        <w:t xml:space="preserve"> </w:t>
      </w:r>
    </w:p>
    <w:p w14:paraId="58BA265C" w14:textId="77777777" w:rsidR="00832745" w:rsidRPr="00832745" w:rsidRDefault="00832745" w:rsidP="00832745">
      <w:pPr>
        <w:widowControl/>
        <w:jc w:val="both"/>
        <w:rPr>
          <w:rFonts w:asciiTheme="minorHAnsi" w:hAnsiTheme="minorHAnsi"/>
          <w:sz w:val="22"/>
          <w:szCs w:val="22"/>
          <w:lang w:val="es-PE"/>
        </w:rPr>
      </w:pPr>
    </w:p>
    <w:p w14:paraId="7A05FEC6" w14:textId="77777777" w:rsidR="000B1D58" w:rsidRPr="001D6D33" w:rsidRDefault="000B1D58" w:rsidP="00FF7842">
      <w:pPr>
        <w:pStyle w:val="ListParagraph"/>
        <w:ind w:left="1800"/>
        <w:jc w:val="both"/>
        <w:rPr>
          <w:rFonts w:asciiTheme="minorHAnsi" w:hAnsiTheme="minorHAnsi"/>
          <w:sz w:val="22"/>
          <w:szCs w:val="22"/>
          <w:lang w:val="es-PE"/>
        </w:rPr>
      </w:pPr>
    </w:p>
    <w:p w14:paraId="530BFB59" w14:textId="77777777" w:rsidR="00957BA1" w:rsidRPr="001D6D33" w:rsidRDefault="00957BA1" w:rsidP="00FF7842">
      <w:pPr>
        <w:pStyle w:val="BodyText2"/>
        <w:jc w:val="center"/>
        <w:rPr>
          <w:rFonts w:asciiTheme="minorHAnsi" w:hAnsiTheme="minorHAnsi"/>
          <w:b/>
          <w:sz w:val="22"/>
          <w:szCs w:val="22"/>
          <w:lang w:val="es-PE"/>
        </w:rPr>
      </w:pPr>
    </w:p>
    <w:p w14:paraId="0DB66445" w14:textId="77777777" w:rsidR="00957BA1" w:rsidRPr="001D6D33" w:rsidRDefault="00957BA1" w:rsidP="00FF7842">
      <w:pPr>
        <w:pStyle w:val="BodyText2"/>
        <w:jc w:val="center"/>
        <w:rPr>
          <w:rFonts w:asciiTheme="minorHAnsi" w:hAnsiTheme="minorHAnsi"/>
          <w:b/>
          <w:sz w:val="22"/>
          <w:szCs w:val="22"/>
          <w:lang w:val="es-PE"/>
        </w:rPr>
      </w:pPr>
    </w:p>
    <w:p w14:paraId="293163DD" w14:textId="77777777" w:rsidR="00957BA1" w:rsidRPr="001D6D33" w:rsidRDefault="00957BA1" w:rsidP="00FF7842">
      <w:pPr>
        <w:pStyle w:val="BodyText2"/>
        <w:jc w:val="center"/>
        <w:rPr>
          <w:rFonts w:asciiTheme="minorHAnsi" w:hAnsiTheme="minorHAnsi"/>
          <w:b/>
          <w:sz w:val="22"/>
          <w:szCs w:val="22"/>
          <w:lang w:val="es-PE"/>
        </w:rPr>
      </w:pPr>
    </w:p>
    <w:p w14:paraId="66D0E2FC" w14:textId="77777777" w:rsidR="00957BA1" w:rsidRPr="001D6D33" w:rsidRDefault="00957BA1" w:rsidP="00FF7842">
      <w:pPr>
        <w:pStyle w:val="BodyText2"/>
        <w:jc w:val="center"/>
        <w:rPr>
          <w:rFonts w:asciiTheme="minorHAnsi" w:hAnsiTheme="minorHAnsi"/>
          <w:b/>
          <w:sz w:val="22"/>
          <w:szCs w:val="22"/>
          <w:lang w:val="es-PE"/>
        </w:rPr>
      </w:pPr>
    </w:p>
    <w:p w14:paraId="76A0C53F" w14:textId="77777777" w:rsidR="00957BA1" w:rsidRPr="001D6D33" w:rsidRDefault="00957BA1" w:rsidP="00FF7842">
      <w:pPr>
        <w:pStyle w:val="BodyText2"/>
        <w:jc w:val="center"/>
        <w:rPr>
          <w:rFonts w:asciiTheme="minorHAnsi" w:hAnsiTheme="minorHAnsi"/>
          <w:b/>
          <w:sz w:val="22"/>
          <w:szCs w:val="22"/>
          <w:lang w:val="es-PE"/>
        </w:rPr>
        <w:sectPr w:rsidR="00957BA1" w:rsidRPr="001D6D33">
          <w:footerReference w:type="default" r:id="rId8"/>
          <w:endnotePr>
            <w:numFmt w:val="decimal"/>
          </w:endnotePr>
          <w:pgSz w:w="11907" w:h="16840" w:code="9"/>
          <w:pgMar w:top="1440" w:right="1440" w:bottom="1440" w:left="1440" w:header="720" w:footer="720" w:gutter="0"/>
          <w:cols w:space="720"/>
        </w:sectPr>
      </w:pPr>
    </w:p>
    <w:p w14:paraId="10BBEAB7" w14:textId="77777777" w:rsidR="00957BA1" w:rsidRPr="00541456" w:rsidRDefault="00541456" w:rsidP="00957BA1">
      <w:pPr>
        <w:pStyle w:val="Heading3"/>
        <w:jc w:val="left"/>
        <w:rPr>
          <w:rFonts w:asciiTheme="minorHAnsi" w:hAnsiTheme="minorHAnsi"/>
          <w:b/>
          <w:bCs w:val="0"/>
          <w:sz w:val="22"/>
          <w:szCs w:val="22"/>
        </w:rPr>
      </w:pPr>
      <w:r w:rsidRPr="00541456">
        <w:rPr>
          <w:rFonts w:asciiTheme="minorHAnsi" w:hAnsiTheme="minorHAnsi"/>
          <w:b/>
          <w:bCs w:val="0"/>
          <w:sz w:val="22"/>
          <w:szCs w:val="22"/>
        </w:rPr>
        <w:lastRenderedPageBreak/>
        <w:t>II: COUNTRY PROGRAMME PERFORMANCE SUMMARY</w:t>
      </w:r>
      <w:r w:rsidR="007D4039">
        <w:rPr>
          <w:rFonts w:asciiTheme="minorHAnsi" w:hAnsiTheme="minorHAnsi"/>
          <w:b/>
          <w:bCs w:val="0"/>
          <w:sz w:val="22"/>
          <w:szCs w:val="22"/>
        </w:rPr>
        <w:t xml:space="preserve">                                                                                         </w:t>
      </w:r>
    </w:p>
    <w:p w14:paraId="14282674" w14:textId="77777777" w:rsidR="00957BA1" w:rsidRPr="005C43BF" w:rsidRDefault="00957BA1" w:rsidP="007D4039">
      <w:pPr>
        <w:pStyle w:val="BodyText2"/>
        <w:ind w:right="-215"/>
        <w:jc w:val="center"/>
        <w:rPr>
          <w:rFonts w:asciiTheme="minorHAnsi" w:hAnsiTheme="minorHAnsi"/>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4394"/>
        <w:gridCol w:w="4962"/>
      </w:tblGrid>
      <w:tr w:rsidR="00957BA1" w:rsidRPr="00806D80" w14:paraId="544F198D" w14:textId="77777777" w:rsidTr="00FB3FE5">
        <w:trPr>
          <w:trHeight w:val="324"/>
        </w:trPr>
        <w:tc>
          <w:tcPr>
            <w:tcW w:w="2977" w:type="dxa"/>
            <w:tcBorders>
              <w:right w:val="nil"/>
            </w:tcBorders>
            <w:shd w:val="clear" w:color="auto" w:fill="FFC000"/>
            <w:vAlign w:val="center"/>
          </w:tcPr>
          <w:p w14:paraId="6357FDEA" w14:textId="77777777" w:rsidR="00957BA1" w:rsidRPr="00806D80" w:rsidRDefault="00957BA1" w:rsidP="007D4039">
            <w:pPr>
              <w:pStyle w:val="BodyText2"/>
              <w:rPr>
                <w:rFonts w:asciiTheme="minorHAnsi" w:hAnsiTheme="minorHAnsi"/>
                <w:b/>
                <w:sz w:val="22"/>
                <w:szCs w:val="22"/>
              </w:rPr>
            </w:pPr>
            <w:r w:rsidRPr="00806D80">
              <w:rPr>
                <w:rFonts w:asciiTheme="minorHAnsi" w:hAnsiTheme="minorHAnsi"/>
                <w:b/>
                <w:sz w:val="22"/>
                <w:szCs w:val="22"/>
              </w:rPr>
              <w:t>Country information</w:t>
            </w:r>
          </w:p>
        </w:tc>
        <w:tc>
          <w:tcPr>
            <w:tcW w:w="11057" w:type="dxa"/>
            <w:gridSpan w:val="3"/>
            <w:tcBorders>
              <w:left w:val="nil"/>
            </w:tcBorders>
            <w:shd w:val="clear" w:color="auto" w:fill="FFC000"/>
            <w:vAlign w:val="center"/>
          </w:tcPr>
          <w:p w14:paraId="41B4E8AD" w14:textId="77777777" w:rsidR="00957BA1" w:rsidRPr="00806D80" w:rsidRDefault="00957BA1" w:rsidP="007D4039">
            <w:pPr>
              <w:pStyle w:val="BodyText2"/>
              <w:rPr>
                <w:rFonts w:asciiTheme="minorHAnsi" w:hAnsiTheme="minorHAnsi"/>
                <w:b/>
                <w:sz w:val="22"/>
                <w:szCs w:val="22"/>
              </w:rPr>
            </w:pPr>
          </w:p>
        </w:tc>
      </w:tr>
      <w:tr w:rsidR="00957BA1" w:rsidRPr="00806D80" w14:paraId="40F0FF35" w14:textId="77777777" w:rsidTr="00265522">
        <w:trPr>
          <w:trHeight w:val="413"/>
        </w:trPr>
        <w:tc>
          <w:tcPr>
            <w:tcW w:w="14034" w:type="dxa"/>
            <w:gridSpan w:val="4"/>
            <w:shd w:val="clear" w:color="auto" w:fill="F2F2F2" w:themeFill="background1" w:themeFillShade="F2"/>
            <w:vAlign w:val="center"/>
          </w:tcPr>
          <w:p w14:paraId="799414DB" w14:textId="77777777" w:rsidR="00957BA1" w:rsidRPr="00806D80" w:rsidRDefault="00957BA1" w:rsidP="004624D8">
            <w:pPr>
              <w:pStyle w:val="BodyText2"/>
              <w:rPr>
                <w:rFonts w:asciiTheme="minorHAnsi" w:hAnsiTheme="minorHAnsi"/>
                <w:b/>
                <w:sz w:val="22"/>
                <w:szCs w:val="22"/>
              </w:rPr>
            </w:pPr>
            <w:r w:rsidRPr="00806D80">
              <w:rPr>
                <w:rFonts w:asciiTheme="minorHAnsi" w:hAnsiTheme="minorHAnsi"/>
                <w:b/>
                <w:sz w:val="22"/>
                <w:szCs w:val="22"/>
              </w:rPr>
              <w:t xml:space="preserve">Country name: </w:t>
            </w:r>
            <w:r w:rsidR="00F877BB">
              <w:rPr>
                <w:rFonts w:asciiTheme="minorHAnsi" w:hAnsiTheme="minorHAnsi"/>
                <w:sz w:val="22"/>
                <w:szCs w:val="22"/>
              </w:rPr>
              <w:t>Peru</w:t>
            </w:r>
          </w:p>
        </w:tc>
      </w:tr>
      <w:tr w:rsidR="00957BA1" w:rsidRPr="00806D80" w14:paraId="32E7D8A2" w14:textId="77777777" w:rsidTr="00265522">
        <w:trPr>
          <w:trHeight w:val="434"/>
        </w:trPr>
        <w:tc>
          <w:tcPr>
            <w:tcW w:w="14034" w:type="dxa"/>
            <w:gridSpan w:val="4"/>
            <w:shd w:val="clear" w:color="auto" w:fill="F2F2F2" w:themeFill="background1" w:themeFillShade="F2"/>
            <w:vAlign w:val="center"/>
          </w:tcPr>
          <w:p w14:paraId="787B7296" w14:textId="5BB56BB1" w:rsidR="00957BA1" w:rsidRPr="00806D80" w:rsidRDefault="00957BA1" w:rsidP="00281281">
            <w:pPr>
              <w:pStyle w:val="BodyText2"/>
              <w:rPr>
                <w:rFonts w:asciiTheme="minorHAnsi" w:hAnsiTheme="minorHAnsi"/>
                <w:b/>
                <w:sz w:val="22"/>
                <w:szCs w:val="22"/>
              </w:rPr>
            </w:pPr>
            <w:r w:rsidRPr="00806D80">
              <w:rPr>
                <w:rFonts w:asciiTheme="minorHAnsi" w:hAnsiTheme="minorHAnsi"/>
                <w:b/>
                <w:sz w:val="22"/>
                <w:szCs w:val="22"/>
              </w:rPr>
              <w:t xml:space="preserve">Current country programme period: </w:t>
            </w:r>
            <w:r w:rsidR="00231513">
              <w:rPr>
                <w:rFonts w:asciiTheme="minorHAnsi" w:hAnsiTheme="minorHAnsi"/>
                <w:sz w:val="22"/>
                <w:szCs w:val="22"/>
              </w:rPr>
              <w:t>2012 -2016</w:t>
            </w:r>
          </w:p>
        </w:tc>
      </w:tr>
      <w:tr w:rsidR="00957BA1" w:rsidRPr="00811EE3" w14:paraId="71EB0098" w14:textId="77777777" w:rsidTr="00FB3FE5">
        <w:trPr>
          <w:trHeight w:val="477"/>
        </w:trPr>
        <w:tc>
          <w:tcPr>
            <w:tcW w:w="2977" w:type="dxa"/>
            <w:shd w:val="clear" w:color="auto" w:fill="BFBFBF" w:themeFill="background1" w:themeFillShade="BF"/>
            <w:vAlign w:val="center"/>
          </w:tcPr>
          <w:p w14:paraId="036E8750" w14:textId="77777777" w:rsidR="00957BA1" w:rsidRPr="00811EE3" w:rsidRDefault="00957BA1" w:rsidP="00980D8C">
            <w:pPr>
              <w:pStyle w:val="BodyText2"/>
              <w:jc w:val="center"/>
              <w:rPr>
                <w:rFonts w:asciiTheme="minorHAnsi" w:hAnsiTheme="minorHAnsi"/>
                <w:b/>
              </w:rPr>
            </w:pPr>
            <w:r w:rsidRPr="00811EE3">
              <w:rPr>
                <w:rFonts w:asciiTheme="minorHAnsi" w:hAnsiTheme="minorHAnsi"/>
                <w:b/>
              </w:rPr>
              <w:t>Outcomes</w:t>
            </w:r>
          </w:p>
        </w:tc>
        <w:tc>
          <w:tcPr>
            <w:tcW w:w="1701" w:type="dxa"/>
            <w:shd w:val="clear" w:color="auto" w:fill="BFBFBF" w:themeFill="background1" w:themeFillShade="BF"/>
            <w:vAlign w:val="center"/>
          </w:tcPr>
          <w:p w14:paraId="4249ADFA" w14:textId="77777777" w:rsidR="00957BA1" w:rsidRPr="00811EE3" w:rsidRDefault="00957BA1" w:rsidP="00980D8C">
            <w:pPr>
              <w:pStyle w:val="BodyText2"/>
              <w:jc w:val="center"/>
              <w:rPr>
                <w:rFonts w:asciiTheme="minorHAnsi" w:hAnsiTheme="minorHAnsi"/>
                <w:b/>
              </w:rPr>
            </w:pPr>
            <w:r w:rsidRPr="00811EE3">
              <w:rPr>
                <w:rFonts w:asciiTheme="minorHAnsi" w:hAnsiTheme="minorHAnsi"/>
                <w:b/>
              </w:rPr>
              <w:t>Total Expenditure</w:t>
            </w:r>
          </w:p>
        </w:tc>
        <w:tc>
          <w:tcPr>
            <w:tcW w:w="4394" w:type="dxa"/>
            <w:tcBorders>
              <w:left w:val="single" w:sz="4" w:space="0" w:color="auto"/>
            </w:tcBorders>
            <w:shd w:val="clear" w:color="auto" w:fill="BFBFBF" w:themeFill="background1" w:themeFillShade="BF"/>
            <w:vAlign w:val="center"/>
          </w:tcPr>
          <w:p w14:paraId="1FA42637" w14:textId="77777777" w:rsidR="00957BA1" w:rsidRPr="00811EE3" w:rsidRDefault="00957BA1" w:rsidP="00980D8C">
            <w:pPr>
              <w:pStyle w:val="BodyText2"/>
              <w:jc w:val="center"/>
              <w:rPr>
                <w:rFonts w:asciiTheme="minorHAnsi" w:hAnsiTheme="minorHAnsi"/>
                <w:b/>
              </w:rPr>
            </w:pPr>
            <w:r w:rsidRPr="00811EE3">
              <w:rPr>
                <w:rFonts w:asciiTheme="minorHAnsi" w:hAnsiTheme="minorHAnsi"/>
                <w:b/>
              </w:rPr>
              <w:t>Key Indicators of outcome</w:t>
            </w:r>
          </w:p>
        </w:tc>
        <w:tc>
          <w:tcPr>
            <w:tcW w:w="4962" w:type="dxa"/>
            <w:shd w:val="clear" w:color="auto" w:fill="BFBFBF" w:themeFill="background1" w:themeFillShade="BF"/>
            <w:vAlign w:val="center"/>
          </w:tcPr>
          <w:p w14:paraId="775AD003" w14:textId="77777777" w:rsidR="00957BA1" w:rsidRPr="00811EE3" w:rsidRDefault="00957BA1" w:rsidP="00980D8C">
            <w:pPr>
              <w:pStyle w:val="BodyText2"/>
              <w:jc w:val="center"/>
              <w:rPr>
                <w:rFonts w:asciiTheme="minorHAnsi" w:hAnsiTheme="minorHAnsi"/>
                <w:b/>
              </w:rPr>
            </w:pPr>
            <w:r w:rsidRPr="00811EE3">
              <w:rPr>
                <w:rFonts w:asciiTheme="minorHAnsi" w:hAnsiTheme="minorHAnsi"/>
                <w:b/>
              </w:rPr>
              <w:t>Progress made against key indicators</w:t>
            </w:r>
          </w:p>
        </w:tc>
      </w:tr>
      <w:tr w:rsidR="00957BA1" w:rsidRPr="001B524E" w14:paraId="70C63AF2" w14:textId="77777777" w:rsidTr="00FB3FE5">
        <w:tc>
          <w:tcPr>
            <w:tcW w:w="2977" w:type="dxa"/>
            <w:tcBorders>
              <w:bottom w:val="single" w:sz="4" w:space="0" w:color="auto"/>
            </w:tcBorders>
            <w:shd w:val="clear" w:color="auto" w:fill="8EAADB" w:themeFill="accent5" w:themeFillTint="99"/>
          </w:tcPr>
          <w:p w14:paraId="5F82AAA6" w14:textId="77777777" w:rsidR="001F7C4A" w:rsidRPr="00A879E1" w:rsidRDefault="00957BA1" w:rsidP="00CF0C4B">
            <w:pPr>
              <w:widowControl/>
              <w:autoSpaceDE w:val="0"/>
              <w:autoSpaceDN w:val="0"/>
              <w:adjustRightInd w:val="0"/>
              <w:jc w:val="both"/>
              <w:rPr>
                <w:rFonts w:asciiTheme="minorHAnsi" w:hAnsiTheme="minorHAnsi" w:cs="Helvetica-Bold"/>
                <w:b/>
                <w:bCs/>
                <w:sz w:val="20"/>
                <w:lang w:val="es-AR"/>
              </w:rPr>
            </w:pPr>
            <w:r w:rsidRPr="00A879E1">
              <w:rPr>
                <w:rFonts w:asciiTheme="minorHAnsi" w:hAnsiTheme="minorHAnsi" w:cs="Helvetica-Bold"/>
                <w:b/>
                <w:bCs/>
                <w:sz w:val="20"/>
                <w:lang w:val="es-AR"/>
              </w:rPr>
              <w:t>OUTCOME 1</w:t>
            </w:r>
          </w:p>
          <w:p w14:paraId="32D97DA5" w14:textId="77777777" w:rsidR="00957BA1" w:rsidRPr="00811EE3" w:rsidRDefault="00231513" w:rsidP="002E3302">
            <w:pPr>
              <w:pStyle w:val="BodyText2"/>
              <w:jc w:val="both"/>
              <w:rPr>
                <w:rFonts w:asciiTheme="minorHAnsi" w:hAnsiTheme="minorHAnsi"/>
                <w:b/>
                <w:lang w:val="es-AR"/>
              </w:rPr>
            </w:pPr>
            <w:r>
              <w:rPr>
                <w:rFonts w:asciiTheme="minorHAnsi" w:hAnsiTheme="minorHAnsi"/>
                <w:b/>
                <w:lang w:val="es-AR"/>
              </w:rPr>
              <w:t xml:space="preserve">1. </w:t>
            </w:r>
            <w:r w:rsidR="002E3302">
              <w:rPr>
                <w:rFonts w:asciiTheme="minorHAnsi" w:hAnsiTheme="minorHAnsi"/>
                <w:b/>
                <w:lang w:val="es-AR"/>
              </w:rPr>
              <w:t>Gobernabilidad democrática</w:t>
            </w:r>
          </w:p>
        </w:tc>
        <w:tc>
          <w:tcPr>
            <w:tcW w:w="1701" w:type="dxa"/>
            <w:tcBorders>
              <w:bottom w:val="single" w:sz="4" w:space="0" w:color="auto"/>
            </w:tcBorders>
            <w:shd w:val="clear" w:color="auto" w:fill="auto"/>
          </w:tcPr>
          <w:p w14:paraId="69D10A61" w14:textId="77777777" w:rsidR="00CA5C29" w:rsidRPr="00C53966" w:rsidRDefault="00DE11BA" w:rsidP="00CA5C29">
            <w:pPr>
              <w:pStyle w:val="BodyText2"/>
              <w:jc w:val="right"/>
              <w:rPr>
                <w:rFonts w:ascii="Calibri" w:hAnsi="Calibri"/>
                <w:color w:val="000000"/>
                <w:lang w:val="es-PE"/>
              </w:rPr>
            </w:pPr>
            <w:r w:rsidRPr="00C53966">
              <w:rPr>
                <w:rFonts w:asciiTheme="minorHAnsi" w:hAnsiTheme="minorHAnsi"/>
                <w:lang w:val="es-PE"/>
              </w:rPr>
              <w:t>$</w:t>
            </w:r>
            <w:r w:rsidR="007D4039" w:rsidRPr="00C53966">
              <w:rPr>
                <w:rFonts w:asciiTheme="minorHAnsi" w:hAnsiTheme="minorHAnsi"/>
                <w:lang w:val="es-PE"/>
              </w:rPr>
              <w:t xml:space="preserve"> </w:t>
            </w:r>
            <w:r w:rsidR="00CA5C29">
              <w:rPr>
                <w:rFonts w:ascii="Calibri" w:hAnsi="Calibri"/>
                <w:color w:val="000000"/>
                <w:szCs w:val="22"/>
                <w:lang w:val="es-AR" w:eastAsia="es-AR"/>
              </w:rPr>
              <w:t>93’</w:t>
            </w:r>
            <w:r w:rsidR="00CA5C29" w:rsidRPr="00A93DD7">
              <w:rPr>
                <w:rFonts w:ascii="Calibri" w:hAnsi="Calibri"/>
                <w:color w:val="000000"/>
                <w:szCs w:val="22"/>
                <w:lang w:val="es-AR" w:eastAsia="es-AR"/>
              </w:rPr>
              <w:t>011,052.44</w:t>
            </w:r>
            <w:r w:rsidR="00CA5C29" w:rsidRPr="00C53966">
              <w:rPr>
                <w:rFonts w:ascii="Calibri" w:hAnsi="Calibri"/>
                <w:color w:val="000000"/>
                <w:lang w:val="es-PE"/>
              </w:rPr>
              <w:t xml:space="preserve"> </w:t>
            </w:r>
          </w:p>
          <w:p w14:paraId="57E94882" w14:textId="6185EC8F" w:rsidR="00CA5C29" w:rsidRDefault="00CA5C29" w:rsidP="004267A9">
            <w:pPr>
              <w:pStyle w:val="BodyText2"/>
              <w:jc w:val="right"/>
              <w:rPr>
                <w:rFonts w:ascii="Calibri" w:hAnsi="Calibri"/>
                <w:color w:val="000000"/>
                <w:lang w:val="es-PE"/>
              </w:rPr>
            </w:pPr>
          </w:p>
          <w:p w14:paraId="49599CBD" w14:textId="77777777" w:rsidR="00957BA1" w:rsidRPr="00C53966" w:rsidRDefault="00957BA1" w:rsidP="00CA5C29">
            <w:pPr>
              <w:pStyle w:val="BodyText2"/>
              <w:jc w:val="right"/>
              <w:rPr>
                <w:rFonts w:asciiTheme="minorHAnsi" w:hAnsiTheme="minorHAnsi"/>
                <w:lang w:val="es-PE"/>
              </w:rPr>
            </w:pPr>
          </w:p>
        </w:tc>
        <w:tc>
          <w:tcPr>
            <w:tcW w:w="4394" w:type="dxa"/>
            <w:tcBorders>
              <w:left w:val="single" w:sz="4" w:space="0" w:color="auto"/>
              <w:bottom w:val="single" w:sz="4" w:space="0" w:color="auto"/>
            </w:tcBorders>
          </w:tcPr>
          <w:p w14:paraId="0DDED462" w14:textId="77777777" w:rsidR="00957BA1" w:rsidRDefault="00C53966" w:rsidP="002E3302">
            <w:pPr>
              <w:pStyle w:val="Default"/>
              <w:numPr>
                <w:ilvl w:val="0"/>
                <w:numId w:val="34"/>
              </w:numPr>
              <w:tabs>
                <w:tab w:val="left" w:pos="176"/>
              </w:tabs>
              <w:ind w:left="34" w:firstLine="0"/>
              <w:jc w:val="both"/>
              <w:rPr>
                <w:rFonts w:asciiTheme="minorHAnsi" w:hAnsiTheme="minorHAnsi"/>
                <w:sz w:val="20"/>
                <w:szCs w:val="20"/>
                <w:lang w:val="es-AR"/>
              </w:rPr>
            </w:pPr>
            <w:r w:rsidRPr="00C53966">
              <w:rPr>
                <w:rFonts w:asciiTheme="minorHAnsi" w:hAnsiTheme="minorHAnsi"/>
                <w:sz w:val="20"/>
                <w:szCs w:val="20"/>
                <w:lang w:val="es-AR"/>
              </w:rPr>
              <w:t xml:space="preserve">Número de sectores </w:t>
            </w:r>
            <w:r>
              <w:rPr>
                <w:rFonts w:asciiTheme="minorHAnsi" w:hAnsiTheme="minorHAnsi"/>
                <w:sz w:val="20"/>
                <w:szCs w:val="20"/>
                <w:lang w:val="es-AR"/>
              </w:rPr>
              <w:t>y gobiernos regionales</w:t>
            </w:r>
            <w:r w:rsidR="002E3302">
              <w:rPr>
                <w:rFonts w:asciiTheme="minorHAnsi" w:hAnsiTheme="minorHAnsi"/>
                <w:sz w:val="20"/>
                <w:szCs w:val="20"/>
                <w:lang w:val="es-AR"/>
              </w:rPr>
              <w:t xml:space="preserve"> que consideran la promoción de los derechos humanos, del diálogo democrático, de la seguridad ciudadana y del fortalecimiento de los partidos políticos en sus estrategias y políticas.</w:t>
            </w:r>
          </w:p>
          <w:p w14:paraId="38865F49" w14:textId="77777777" w:rsidR="002E3302" w:rsidRPr="00C53966" w:rsidRDefault="002E3302" w:rsidP="002E3302">
            <w:pPr>
              <w:pStyle w:val="Default"/>
              <w:numPr>
                <w:ilvl w:val="0"/>
                <w:numId w:val="34"/>
              </w:numPr>
              <w:tabs>
                <w:tab w:val="left" w:pos="176"/>
              </w:tabs>
              <w:ind w:left="34" w:firstLine="0"/>
              <w:jc w:val="both"/>
              <w:rPr>
                <w:rFonts w:asciiTheme="minorHAnsi" w:hAnsiTheme="minorHAnsi"/>
                <w:sz w:val="20"/>
                <w:szCs w:val="20"/>
                <w:lang w:val="es-AR"/>
              </w:rPr>
            </w:pPr>
            <w:r>
              <w:rPr>
                <w:rFonts w:asciiTheme="minorHAnsi" w:hAnsiTheme="minorHAnsi"/>
                <w:sz w:val="20"/>
                <w:szCs w:val="20"/>
                <w:lang w:val="es-AR"/>
              </w:rPr>
              <w:t>Número de sectores de la administración pública e instancias descentralizadas que formulan políticas sociales en zonas prioritarias y que cuentan con programas y/o políticas de modernización de la gestión pública, y de promoción</w:t>
            </w:r>
            <w:r w:rsidR="00DC585F">
              <w:rPr>
                <w:rFonts w:asciiTheme="minorHAnsi" w:hAnsiTheme="minorHAnsi"/>
                <w:sz w:val="20"/>
                <w:szCs w:val="20"/>
                <w:lang w:val="es-AR"/>
              </w:rPr>
              <w:t xml:space="preserve"> de la ética y la transparencia en la gestión pública</w:t>
            </w:r>
            <w:r>
              <w:rPr>
                <w:rFonts w:asciiTheme="minorHAnsi" w:hAnsiTheme="minorHAnsi"/>
                <w:sz w:val="20"/>
                <w:szCs w:val="20"/>
                <w:lang w:val="es-AR"/>
              </w:rPr>
              <w:t>.</w:t>
            </w:r>
          </w:p>
        </w:tc>
        <w:tc>
          <w:tcPr>
            <w:tcW w:w="4962" w:type="dxa"/>
            <w:tcBorders>
              <w:bottom w:val="single" w:sz="4" w:space="0" w:color="auto"/>
            </w:tcBorders>
            <w:shd w:val="clear" w:color="auto" w:fill="auto"/>
          </w:tcPr>
          <w:p w14:paraId="74E2C704" w14:textId="5A82C53C" w:rsidR="006F454A" w:rsidRDefault="00281281" w:rsidP="00281281">
            <w:pPr>
              <w:pStyle w:val="Default"/>
              <w:numPr>
                <w:ilvl w:val="0"/>
                <w:numId w:val="3"/>
              </w:numPr>
              <w:tabs>
                <w:tab w:val="left" w:pos="175"/>
              </w:tabs>
              <w:ind w:left="176" w:hanging="176"/>
              <w:jc w:val="both"/>
              <w:rPr>
                <w:rFonts w:asciiTheme="minorHAnsi" w:hAnsiTheme="minorHAnsi"/>
                <w:sz w:val="20"/>
                <w:szCs w:val="20"/>
                <w:lang w:val="es-AR"/>
              </w:rPr>
            </w:pPr>
            <w:r w:rsidRPr="00281281">
              <w:rPr>
                <w:rFonts w:asciiTheme="minorHAnsi" w:hAnsiTheme="minorHAnsi"/>
                <w:sz w:val="20"/>
                <w:szCs w:val="20"/>
                <w:lang w:val="es-AR"/>
              </w:rPr>
              <w:t>Apoyo al diseño del P</w:t>
            </w:r>
            <w:r>
              <w:rPr>
                <w:rFonts w:asciiTheme="minorHAnsi" w:hAnsiTheme="minorHAnsi"/>
                <w:sz w:val="20"/>
                <w:szCs w:val="20"/>
                <w:lang w:val="es-AR"/>
              </w:rPr>
              <w:t xml:space="preserve">lan </w:t>
            </w:r>
            <w:r w:rsidRPr="00281281">
              <w:rPr>
                <w:rFonts w:asciiTheme="minorHAnsi" w:hAnsiTheme="minorHAnsi"/>
                <w:sz w:val="20"/>
                <w:szCs w:val="20"/>
                <w:lang w:val="es-AR"/>
              </w:rPr>
              <w:t>N</w:t>
            </w:r>
            <w:r>
              <w:rPr>
                <w:rFonts w:asciiTheme="minorHAnsi" w:hAnsiTheme="minorHAnsi"/>
                <w:sz w:val="20"/>
                <w:szCs w:val="20"/>
                <w:lang w:val="es-AR"/>
              </w:rPr>
              <w:t xml:space="preserve">acional de </w:t>
            </w:r>
            <w:r w:rsidRPr="00281281">
              <w:rPr>
                <w:rFonts w:asciiTheme="minorHAnsi" w:hAnsiTheme="minorHAnsi"/>
                <w:sz w:val="20"/>
                <w:szCs w:val="20"/>
                <w:lang w:val="es-AR"/>
              </w:rPr>
              <w:t>D</w:t>
            </w:r>
            <w:r>
              <w:rPr>
                <w:rFonts w:asciiTheme="minorHAnsi" w:hAnsiTheme="minorHAnsi"/>
                <w:sz w:val="20"/>
                <w:szCs w:val="20"/>
                <w:lang w:val="es-AR"/>
              </w:rPr>
              <w:t xml:space="preserve">erechos </w:t>
            </w:r>
            <w:r w:rsidRPr="00281281">
              <w:rPr>
                <w:rFonts w:asciiTheme="minorHAnsi" w:hAnsiTheme="minorHAnsi"/>
                <w:sz w:val="20"/>
                <w:szCs w:val="20"/>
                <w:lang w:val="es-AR"/>
              </w:rPr>
              <w:t>H</w:t>
            </w:r>
            <w:r>
              <w:rPr>
                <w:rFonts w:asciiTheme="minorHAnsi" w:hAnsiTheme="minorHAnsi"/>
                <w:sz w:val="20"/>
                <w:szCs w:val="20"/>
                <w:lang w:val="es-AR"/>
              </w:rPr>
              <w:t>umanos</w:t>
            </w:r>
            <w:r w:rsidR="006F454A">
              <w:rPr>
                <w:rFonts w:asciiTheme="minorHAnsi" w:hAnsiTheme="minorHAnsi"/>
                <w:sz w:val="20"/>
                <w:szCs w:val="20"/>
                <w:lang w:val="es-AR"/>
              </w:rPr>
              <w:t xml:space="preserve"> y de</w:t>
            </w:r>
            <w:r w:rsidR="005F7DE9">
              <w:rPr>
                <w:rFonts w:asciiTheme="minorHAnsi" w:hAnsiTheme="minorHAnsi"/>
                <w:sz w:val="20"/>
                <w:szCs w:val="20"/>
                <w:lang w:val="es-AR"/>
              </w:rPr>
              <w:t>l Plan Nacional para el Desarrollo de A</w:t>
            </w:r>
            <w:r w:rsidRPr="00281281">
              <w:rPr>
                <w:rFonts w:asciiTheme="minorHAnsi" w:hAnsiTheme="minorHAnsi"/>
                <w:sz w:val="20"/>
                <w:szCs w:val="20"/>
                <w:lang w:val="es-AR"/>
              </w:rPr>
              <w:t>fr</w:t>
            </w:r>
            <w:r>
              <w:rPr>
                <w:rFonts w:asciiTheme="minorHAnsi" w:hAnsiTheme="minorHAnsi"/>
                <w:sz w:val="20"/>
                <w:szCs w:val="20"/>
                <w:lang w:val="es-AR"/>
              </w:rPr>
              <w:t>operuanos</w:t>
            </w:r>
            <w:r w:rsidR="006F454A">
              <w:rPr>
                <w:rFonts w:asciiTheme="minorHAnsi" w:hAnsiTheme="minorHAnsi"/>
                <w:sz w:val="20"/>
                <w:szCs w:val="20"/>
                <w:lang w:val="es-AR"/>
              </w:rPr>
              <w:t>.</w:t>
            </w:r>
          </w:p>
          <w:p w14:paraId="6A21C8F0" w14:textId="46754E63" w:rsidR="00957BA1" w:rsidRDefault="006F454A" w:rsidP="00281281">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 xml:space="preserve">Construcción, equipamiento e inauguración del </w:t>
            </w:r>
            <w:r w:rsidR="00281281" w:rsidRPr="00281281">
              <w:rPr>
                <w:rFonts w:asciiTheme="minorHAnsi" w:hAnsiTheme="minorHAnsi"/>
                <w:sz w:val="20"/>
                <w:szCs w:val="20"/>
                <w:lang w:val="es-AR"/>
              </w:rPr>
              <w:t>Lugar de la memoria</w:t>
            </w:r>
            <w:r>
              <w:rPr>
                <w:rFonts w:asciiTheme="minorHAnsi" w:hAnsiTheme="minorHAnsi"/>
                <w:sz w:val="20"/>
                <w:szCs w:val="20"/>
                <w:lang w:val="es-AR"/>
              </w:rPr>
              <w:t xml:space="preserve">, </w:t>
            </w:r>
            <w:r w:rsidR="00307C12">
              <w:rPr>
                <w:rFonts w:asciiTheme="minorHAnsi" w:hAnsiTheme="minorHAnsi"/>
                <w:sz w:val="20"/>
                <w:szCs w:val="20"/>
                <w:lang w:val="es-AR"/>
              </w:rPr>
              <w:t>tolerancia y reconciliación social</w:t>
            </w:r>
            <w:r>
              <w:rPr>
                <w:rFonts w:asciiTheme="minorHAnsi" w:hAnsiTheme="minorHAnsi"/>
                <w:sz w:val="20"/>
                <w:szCs w:val="20"/>
                <w:lang w:val="es-AR"/>
              </w:rPr>
              <w:t>.</w:t>
            </w:r>
          </w:p>
          <w:p w14:paraId="3BB2215A" w14:textId="14DA2394" w:rsidR="00281281" w:rsidRDefault="00281281" w:rsidP="00281281">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Impulso de d</w:t>
            </w:r>
            <w:r w:rsidRPr="00281281">
              <w:rPr>
                <w:rFonts w:asciiTheme="minorHAnsi" w:hAnsiTheme="minorHAnsi"/>
                <w:sz w:val="20"/>
                <w:szCs w:val="20"/>
                <w:lang w:val="es-AR"/>
              </w:rPr>
              <w:t>iálogos por</w:t>
            </w:r>
            <w:r>
              <w:rPr>
                <w:rFonts w:asciiTheme="minorHAnsi" w:hAnsiTheme="minorHAnsi"/>
                <w:sz w:val="20"/>
                <w:szCs w:val="20"/>
                <w:lang w:val="es-AR"/>
              </w:rPr>
              <w:t xml:space="preserve"> la</w:t>
            </w:r>
            <w:r w:rsidRPr="00281281">
              <w:rPr>
                <w:rFonts w:asciiTheme="minorHAnsi" w:hAnsiTheme="minorHAnsi"/>
                <w:sz w:val="20"/>
                <w:szCs w:val="20"/>
                <w:lang w:val="es-AR"/>
              </w:rPr>
              <w:t xml:space="preserve"> Reforma</w:t>
            </w:r>
            <w:r>
              <w:rPr>
                <w:rFonts w:asciiTheme="minorHAnsi" w:hAnsiTheme="minorHAnsi"/>
                <w:sz w:val="20"/>
                <w:szCs w:val="20"/>
                <w:lang w:val="es-AR"/>
              </w:rPr>
              <w:t xml:space="preserve"> Electoral, capacitación de candidatas, t</w:t>
            </w:r>
            <w:r w:rsidRPr="00281281">
              <w:rPr>
                <w:rFonts w:asciiTheme="minorHAnsi" w:hAnsiTheme="minorHAnsi"/>
                <w:sz w:val="20"/>
                <w:szCs w:val="20"/>
                <w:lang w:val="es-AR"/>
              </w:rPr>
              <w:t>rabajo con Jóvenes, mujeres y afroperuanos</w:t>
            </w:r>
            <w:r w:rsidR="00307C12">
              <w:rPr>
                <w:rFonts w:asciiTheme="minorHAnsi" w:hAnsiTheme="minorHAnsi"/>
                <w:sz w:val="20"/>
                <w:szCs w:val="20"/>
                <w:lang w:val="es-AR"/>
              </w:rPr>
              <w:t xml:space="preserve"> para fomentar su participación política.</w:t>
            </w:r>
            <w:r>
              <w:rPr>
                <w:rFonts w:asciiTheme="minorHAnsi" w:hAnsiTheme="minorHAnsi"/>
                <w:sz w:val="20"/>
                <w:szCs w:val="20"/>
                <w:lang w:val="es-AR"/>
              </w:rPr>
              <w:t>.</w:t>
            </w:r>
          </w:p>
          <w:p w14:paraId="16024964" w14:textId="24853E69" w:rsidR="00281281" w:rsidRPr="00811EE3" w:rsidRDefault="00281281" w:rsidP="00281281">
            <w:pPr>
              <w:pStyle w:val="Default"/>
              <w:numPr>
                <w:ilvl w:val="0"/>
                <w:numId w:val="3"/>
              </w:numPr>
              <w:tabs>
                <w:tab w:val="left" w:pos="175"/>
              </w:tabs>
              <w:ind w:left="176" w:hanging="176"/>
              <w:jc w:val="both"/>
              <w:rPr>
                <w:rFonts w:asciiTheme="minorHAnsi" w:hAnsiTheme="minorHAnsi"/>
                <w:sz w:val="20"/>
                <w:szCs w:val="20"/>
                <w:lang w:val="es-AR"/>
              </w:rPr>
            </w:pPr>
            <w:r w:rsidRPr="00281281">
              <w:rPr>
                <w:rFonts w:asciiTheme="minorHAnsi" w:hAnsiTheme="minorHAnsi"/>
                <w:sz w:val="20"/>
                <w:szCs w:val="20"/>
                <w:lang w:val="es-PE"/>
              </w:rPr>
              <w:t>10 instituciones, en los distintos niveles de gobierno, implementan estrategias y/o planes para fortalecer la profesionalización, transparencia, la ética y la lucha contra la corrupción</w:t>
            </w:r>
            <w:r w:rsidR="00A5431E">
              <w:rPr>
                <w:rFonts w:asciiTheme="minorHAnsi" w:hAnsiTheme="minorHAnsi"/>
                <w:sz w:val="20"/>
                <w:szCs w:val="20"/>
                <w:lang w:val="es-PE"/>
              </w:rPr>
              <w:t>.</w:t>
            </w:r>
          </w:p>
        </w:tc>
      </w:tr>
      <w:tr w:rsidR="00957BA1" w:rsidRPr="001B524E" w14:paraId="629AF9CC" w14:textId="77777777" w:rsidTr="00265522">
        <w:tc>
          <w:tcPr>
            <w:tcW w:w="14034" w:type="dxa"/>
            <w:gridSpan w:val="4"/>
          </w:tcPr>
          <w:p w14:paraId="7FD049E6" w14:textId="18FBA3A3" w:rsidR="004624D8" w:rsidRDefault="004624D8" w:rsidP="00980D8C">
            <w:pPr>
              <w:pStyle w:val="BodyText2"/>
              <w:rPr>
                <w:rFonts w:asciiTheme="minorHAnsi" w:hAnsiTheme="minorHAnsi"/>
                <w:b/>
                <w:lang w:val="es-AR"/>
              </w:rPr>
            </w:pPr>
          </w:p>
          <w:p w14:paraId="74B003A6" w14:textId="77777777" w:rsidR="001F7C4A" w:rsidRPr="008633A2" w:rsidRDefault="001F7C4A" w:rsidP="00980D8C">
            <w:pPr>
              <w:pStyle w:val="BodyText2"/>
              <w:rPr>
                <w:rFonts w:asciiTheme="minorHAnsi" w:hAnsiTheme="minorHAnsi"/>
                <w:b/>
                <w:lang w:val="es-AR"/>
              </w:rPr>
            </w:pPr>
            <w:r w:rsidRPr="008633A2">
              <w:rPr>
                <w:rFonts w:asciiTheme="minorHAnsi" w:hAnsiTheme="minorHAnsi"/>
                <w:b/>
                <w:lang w:val="es-AR"/>
              </w:rPr>
              <w:t>UNDP Contribution:</w:t>
            </w:r>
          </w:p>
          <w:p w14:paraId="1F88E454" w14:textId="77777777" w:rsidR="001F7C4A" w:rsidRPr="008633A2" w:rsidRDefault="001F7C4A" w:rsidP="00980D8C">
            <w:pPr>
              <w:pStyle w:val="BodyText2"/>
              <w:rPr>
                <w:rFonts w:asciiTheme="minorHAnsi" w:hAnsiTheme="minorHAnsi"/>
                <w:u w:val="single"/>
                <w:lang w:val="es-AR"/>
              </w:rPr>
            </w:pPr>
          </w:p>
          <w:p w14:paraId="61AC2914" w14:textId="77777777" w:rsidR="001F7C4A" w:rsidRPr="008633A2" w:rsidRDefault="001F7C4A" w:rsidP="00980D8C">
            <w:pPr>
              <w:pStyle w:val="BodyText2"/>
              <w:rPr>
                <w:rFonts w:asciiTheme="minorHAnsi" w:hAnsiTheme="minorHAnsi"/>
                <w:lang w:val="es-AR"/>
              </w:rPr>
            </w:pPr>
            <w:r w:rsidRPr="008633A2">
              <w:rPr>
                <w:rFonts w:asciiTheme="minorHAnsi" w:hAnsiTheme="minorHAnsi"/>
                <w:u w:val="single"/>
                <w:lang w:val="es-AR"/>
              </w:rPr>
              <w:t>CP Outputs</w:t>
            </w:r>
            <w:r w:rsidRPr="008633A2">
              <w:rPr>
                <w:rFonts w:asciiTheme="minorHAnsi" w:hAnsiTheme="minorHAnsi"/>
                <w:lang w:val="es-AR"/>
              </w:rPr>
              <w:t xml:space="preserve">: </w:t>
            </w:r>
          </w:p>
          <w:p w14:paraId="24B0D7CF" w14:textId="77777777" w:rsidR="00C063C8" w:rsidRPr="008633A2" w:rsidRDefault="00C063C8" w:rsidP="00980D8C">
            <w:pPr>
              <w:pStyle w:val="BodyText2"/>
              <w:rPr>
                <w:rFonts w:asciiTheme="minorHAnsi" w:hAnsiTheme="minorHAnsi"/>
                <w:lang w:val="es-AR"/>
              </w:rPr>
            </w:pPr>
          </w:p>
          <w:p w14:paraId="2F53D71F" w14:textId="7AAEE24F" w:rsidR="0015763C" w:rsidRDefault="002E3302" w:rsidP="00F809C5">
            <w:pPr>
              <w:pStyle w:val="Default"/>
              <w:jc w:val="both"/>
              <w:rPr>
                <w:rFonts w:asciiTheme="minorHAnsi" w:hAnsiTheme="minorHAnsi"/>
                <w:sz w:val="20"/>
                <w:szCs w:val="20"/>
                <w:lang w:val="es-AR"/>
              </w:rPr>
            </w:pPr>
            <w:r>
              <w:rPr>
                <w:rFonts w:asciiTheme="minorHAnsi" w:hAnsiTheme="minorHAnsi"/>
                <w:sz w:val="20"/>
                <w:szCs w:val="20"/>
                <w:lang w:val="es-AR"/>
              </w:rPr>
              <w:t>1. Se ha formulado estrategias</w:t>
            </w:r>
            <w:r w:rsidR="006F454A">
              <w:rPr>
                <w:rFonts w:asciiTheme="minorHAnsi" w:hAnsiTheme="minorHAnsi"/>
                <w:sz w:val="20"/>
                <w:szCs w:val="20"/>
                <w:lang w:val="es-AR"/>
              </w:rPr>
              <w:t xml:space="preserve"> para la </w:t>
            </w:r>
            <w:r>
              <w:rPr>
                <w:rFonts w:asciiTheme="minorHAnsi" w:hAnsiTheme="minorHAnsi"/>
                <w:sz w:val="20"/>
                <w:szCs w:val="20"/>
                <w:lang w:val="es-AR"/>
              </w:rPr>
              <w:t xml:space="preserve">promoción de los derechos humanos y </w:t>
            </w:r>
            <w:r w:rsidRPr="00B12283">
              <w:rPr>
                <w:rFonts w:asciiTheme="minorHAnsi" w:hAnsiTheme="minorHAnsi"/>
                <w:sz w:val="20"/>
                <w:szCs w:val="20"/>
                <w:lang w:val="es-AR"/>
              </w:rPr>
              <w:t>el diálogo social</w:t>
            </w:r>
            <w:r w:rsidR="00A539CC">
              <w:rPr>
                <w:rFonts w:asciiTheme="minorHAnsi" w:hAnsiTheme="minorHAnsi"/>
                <w:sz w:val="20"/>
                <w:szCs w:val="20"/>
                <w:lang w:val="es-AR"/>
              </w:rPr>
              <w:t>;</w:t>
            </w:r>
            <w:r>
              <w:rPr>
                <w:rFonts w:asciiTheme="minorHAnsi" w:hAnsiTheme="minorHAnsi"/>
                <w:sz w:val="20"/>
                <w:szCs w:val="20"/>
                <w:lang w:val="es-AR"/>
              </w:rPr>
              <w:t xml:space="preserve"> se ha </w:t>
            </w:r>
            <w:r w:rsidR="00FF6C89">
              <w:rPr>
                <w:rFonts w:asciiTheme="minorHAnsi" w:hAnsiTheme="minorHAnsi"/>
                <w:sz w:val="20"/>
                <w:szCs w:val="20"/>
                <w:lang w:val="es-AR"/>
              </w:rPr>
              <w:t xml:space="preserve">iniciado un trabajo en </w:t>
            </w:r>
            <w:r>
              <w:rPr>
                <w:rFonts w:asciiTheme="minorHAnsi" w:hAnsiTheme="minorHAnsi"/>
                <w:sz w:val="20"/>
                <w:szCs w:val="20"/>
                <w:lang w:val="es-AR"/>
              </w:rPr>
              <w:t xml:space="preserve"> seguridad ciudadana, se ha fomentado el diálogo y se han establecido mecanismos de gestión de conflictos.</w:t>
            </w:r>
          </w:p>
          <w:p w14:paraId="3E709F92" w14:textId="222CEA89" w:rsidR="0015763C" w:rsidRDefault="002E3302" w:rsidP="00F809C5">
            <w:pPr>
              <w:pStyle w:val="Default"/>
              <w:jc w:val="both"/>
              <w:rPr>
                <w:rFonts w:asciiTheme="minorHAnsi" w:hAnsiTheme="minorHAnsi"/>
                <w:sz w:val="20"/>
                <w:szCs w:val="20"/>
                <w:lang w:val="es-AR"/>
              </w:rPr>
            </w:pPr>
            <w:r>
              <w:rPr>
                <w:rFonts w:asciiTheme="minorHAnsi" w:hAnsiTheme="minorHAnsi"/>
                <w:sz w:val="20"/>
                <w:szCs w:val="20"/>
                <w:lang w:val="es-AR"/>
              </w:rPr>
              <w:t xml:space="preserve">2. Se ha formulado estrategias </w:t>
            </w:r>
            <w:r w:rsidR="00FF6C89">
              <w:rPr>
                <w:rFonts w:asciiTheme="minorHAnsi" w:hAnsiTheme="minorHAnsi"/>
                <w:sz w:val="20"/>
                <w:szCs w:val="20"/>
                <w:lang w:val="es-AR"/>
              </w:rPr>
              <w:t>para promover la</w:t>
            </w:r>
            <w:r>
              <w:rPr>
                <w:rFonts w:asciiTheme="minorHAnsi" w:hAnsiTheme="minorHAnsi"/>
                <w:sz w:val="20"/>
                <w:szCs w:val="20"/>
                <w:lang w:val="es-AR"/>
              </w:rPr>
              <w:t xml:space="preserve"> transparencia en la gestión pública</w:t>
            </w:r>
            <w:r w:rsidR="00C063C8" w:rsidRPr="00811EE3">
              <w:rPr>
                <w:rFonts w:asciiTheme="minorHAnsi" w:hAnsiTheme="minorHAnsi"/>
                <w:sz w:val="20"/>
                <w:szCs w:val="20"/>
                <w:lang w:val="es-AR"/>
              </w:rPr>
              <w:t xml:space="preserve">. </w:t>
            </w:r>
          </w:p>
          <w:p w14:paraId="01A67FAE" w14:textId="77777777" w:rsidR="0015763C" w:rsidRDefault="002E3302" w:rsidP="00F809C5">
            <w:pPr>
              <w:pStyle w:val="Default"/>
              <w:jc w:val="both"/>
              <w:rPr>
                <w:rFonts w:asciiTheme="minorHAnsi" w:hAnsiTheme="minorHAnsi"/>
                <w:sz w:val="20"/>
                <w:szCs w:val="20"/>
                <w:lang w:val="es-AR"/>
              </w:rPr>
            </w:pPr>
            <w:r>
              <w:rPr>
                <w:rFonts w:asciiTheme="minorHAnsi" w:hAnsiTheme="minorHAnsi"/>
                <w:sz w:val="20"/>
                <w:szCs w:val="20"/>
                <w:lang w:val="es-AR"/>
              </w:rPr>
              <w:t>3. Las regiones cuentan con programas sociales en las zonas de mayor pobreza y con planes de gestión armonizados con un modelo de gestión pública descentralizada</w:t>
            </w:r>
            <w:r w:rsidR="00C063C8" w:rsidRPr="00811EE3">
              <w:rPr>
                <w:rFonts w:asciiTheme="minorHAnsi" w:hAnsiTheme="minorHAnsi"/>
                <w:sz w:val="20"/>
                <w:szCs w:val="20"/>
                <w:lang w:val="es-AR"/>
              </w:rPr>
              <w:t xml:space="preserve">. </w:t>
            </w:r>
          </w:p>
          <w:p w14:paraId="6B7CEF4E" w14:textId="77777777" w:rsidR="00C16DD9" w:rsidRPr="00811EE3" w:rsidRDefault="00C16DD9" w:rsidP="00980D8C">
            <w:pPr>
              <w:pStyle w:val="BodyText2"/>
              <w:rPr>
                <w:rFonts w:asciiTheme="minorHAnsi" w:hAnsiTheme="minorHAnsi"/>
                <w:lang w:val="es-AR"/>
              </w:rPr>
            </w:pPr>
          </w:p>
          <w:p w14:paraId="32F56CEA" w14:textId="77777777" w:rsidR="001F7C4A" w:rsidRPr="00CA6233" w:rsidRDefault="001F7C4A" w:rsidP="00980D8C">
            <w:pPr>
              <w:pStyle w:val="BodyText2"/>
              <w:rPr>
                <w:rFonts w:asciiTheme="minorHAnsi" w:hAnsiTheme="minorHAnsi"/>
                <w:u w:val="single"/>
                <w:lang w:val="es-AR"/>
              </w:rPr>
            </w:pPr>
            <w:r w:rsidRPr="00CA6233">
              <w:rPr>
                <w:rFonts w:asciiTheme="minorHAnsi" w:hAnsiTheme="minorHAnsi"/>
                <w:u w:val="single"/>
                <w:lang w:val="es-AR"/>
              </w:rPr>
              <w:t>Progress and Achievements</w:t>
            </w:r>
          </w:p>
          <w:p w14:paraId="0C60097A" w14:textId="77777777" w:rsidR="00CA6233" w:rsidRDefault="00CA6233" w:rsidP="00CA6233">
            <w:pPr>
              <w:widowControl/>
              <w:autoSpaceDE w:val="0"/>
              <w:autoSpaceDN w:val="0"/>
              <w:adjustRightInd w:val="0"/>
              <w:rPr>
                <w:rFonts w:asciiTheme="minorHAnsi" w:hAnsiTheme="minorHAnsi"/>
                <w:sz w:val="20"/>
                <w:lang w:val="es-AR"/>
              </w:rPr>
            </w:pPr>
          </w:p>
          <w:p w14:paraId="5B585733" w14:textId="665E7718" w:rsidR="00DB6130" w:rsidRPr="00CF2F15" w:rsidRDefault="005F7DE9" w:rsidP="00F809C5">
            <w:pPr>
              <w:widowControl/>
              <w:autoSpaceDE w:val="0"/>
              <w:autoSpaceDN w:val="0"/>
              <w:adjustRightInd w:val="0"/>
              <w:jc w:val="both"/>
              <w:rPr>
                <w:rFonts w:asciiTheme="minorHAnsi" w:hAnsiTheme="minorHAnsi"/>
                <w:sz w:val="20"/>
                <w:lang w:val="es-PE"/>
              </w:rPr>
            </w:pPr>
            <w:r>
              <w:rPr>
                <w:rFonts w:asciiTheme="minorHAnsi" w:hAnsiTheme="minorHAnsi"/>
                <w:sz w:val="20"/>
                <w:szCs w:val="24"/>
                <w:lang w:val="es-AR"/>
              </w:rPr>
              <w:t xml:space="preserve">El </w:t>
            </w:r>
            <w:r w:rsidR="00C16DD9" w:rsidRPr="00C16DD9">
              <w:rPr>
                <w:rFonts w:asciiTheme="minorHAnsi" w:hAnsiTheme="minorHAnsi"/>
                <w:sz w:val="20"/>
                <w:szCs w:val="24"/>
                <w:lang w:val="es-AR"/>
              </w:rPr>
              <w:t xml:space="preserve">PNUD tuvo un rol </w:t>
            </w:r>
            <w:r>
              <w:rPr>
                <w:rFonts w:asciiTheme="minorHAnsi" w:hAnsiTheme="minorHAnsi"/>
                <w:sz w:val="20"/>
                <w:szCs w:val="24"/>
                <w:lang w:val="es-AR"/>
              </w:rPr>
              <w:t xml:space="preserve">de liderazgo </w:t>
            </w:r>
            <w:r w:rsidR="00C16DD9" w:rsidRPr="00C16DD9">
              <w:rPr>
                <w:rFonts w:asciiTheme="minorHAnsi" w:hAnsiTheme="minorHAnsi"/>
                <w:sz w:val="20"/>
                <w:szCs w:val="24"/>
                <w:lang w:val="es-AR"/>
              </w:rPr>
              <w:t xml:space="preserve">en la </w:t>
            </w:r>
            <w:r>
              <w:rPr>
                <w:rFonts w:asciiTheme="minorHAnsi" w:hAnsiTheme="minorHAnsi"/>
                <w:sz w:val="20"/>
                <w:szCs w:val="24"/>
                <w:lang w:val="es-AR"/>
              </w:rPr>
              <w:t xml:space="preserve">promoción de la justicia transicional, así como en la integración de los enfoques de </w:t>
            </w:r>
            <w:r w:rsidR="00C16DD9" w:rsidRPr="00C16DD9">
              <w:rPr>
                <w:rFonts w:asciiTheme="minorHAnsi" w:hAnsiTheme="minorHAnsi"/>
                <w:sz w:val="20"/>
                <w:szCs w:val="24"/>
                <w:lang w:val="es-AR"/>
              </w:rPr>
              <w:t>derechos humanos</w:t>
            </w:r>
            <w:r>
              <w:rPr>
                <w:rFonts w:asciiTheme="minorHAnsi" w:hAnsiTheme="minorHAnsi"/>
                <w:sz w:val="20"/>
                <w:szCs w:val="24"/>
                <w:lang w:val="es-AR"/>
              </w:rPr>
              <w:t xml:space="preserve"> e </w:t>
            </w:r>
            <w:r w:rsidR="00BB7447">
              <w:rPr>
                <w:rFonts w:asciiTheme="minorHAnsi" w:hAnsiTheme="minorHAnsi"/>
                <w:sz w:val="20"/>
                <w:szCs w:val="24"/>
                <w:lang w:val="es-AR"/>
              </w:rPr>
              <w:t xml:space="preserve">interculturalidad en </w:t>
            </w:r>
            <w:r w:rsidR="00C16DD9">
              <w:rPr>
                <w:rFonts w:asciiTheme="minorHAnsi" w:hAnsiTheme="minorHAnsi"/>
                <w:sz w:val="20"/>
                <w:szCs w:val="24"/>
                <w:lang w:val="es-AR"/>
              </w:rPr>
              <w:t xml:space="preserve">la agenda </w:t>
            </w:r>
            <w:r>
              <w:rPr>
                <w:rFonts w:asciiTheme="minorHAnsi" w:hAnsiTheme="minorHAnsi"/>
                <w:sz w:val="20"/>
                <w:szCs w:val="24"/>
                <w:lang w:val="es-AR"/>
              </w:rPr>
              <w:t>pública, al igual que en la promoción de la transparencia en la gestión pública y las reformas políticas. C</w:t>
            </w:r>
            <w:r w:rsidR="00307C12">
              <w:rPr>
                <w:rFonts w:asciiTheme="minorHAnsi" w:hAnsiTheme="minorHAnsi"/>
                <w:sz w:val="20"/>
                <w:szCs w:val="24"/>
                <w:lang w:val="es-AR"/>
              </w:rPr>
              <w:t>ontribuyó</w:t>
            </w:r>
            <w:r w:rsidR="00CF2F15">
              <w:rPr>
                <w:rFonts w:asciiTheme="minorHAnsi" w:hAnsiTheme="minorHAnsi"/>
                <w:sz w:val="20"/>
                <w:szCs w:val="24"/>
                <w:lang w:val="es-AR"/>
              </w:rPr>
              <w:t xml:space="preserve"> al fortalecimiento de las capacidades de </w:t>
            </w:r>
            <w:r>
              <w:rPr>
                <w:rFonts w:asciiTheme="minorHAnsi" w:hAnsiTheme="minorHAnsi"/>
                <w:sz w:val="20"/>
                <w:szCs w:val="24"/>
                <w:lang w:val="es-AR"/>
              </w:rPr>
              <w:t xml:space="preserve">diálogo y prevención y gestión de conflictos de algunos gobiernos subnacionales </w:t>
            </w:r>
            <w:r w:rsidR="00307C12">
              <w:rPr>
                <w:rFonts w:asciiTheme="minorHAnsi" w:hAnsiTheme="minorHAnsi"/>
                <w:sz w:val="20"/>
                <w:szCs w:val="24"/>
                <w:lang w:val="es-AR"/>
              </w:rPr>
              <w:t xml:space="preserve">y entidades de Gobierno Central </w:t>
            </w:r>
            <w:r w:rsidR="00CF2F15">
              <w:rPr>
                <w:rFonts w:asciiTheme="minorHAnsi" w:hAnsiTheme="minorHAnsi"/>
                <w:sz w:val="20"/>
                <w:szCs w:val="24"/>
                <w:lang w:val="es-AR"/>
              </w:rPr>
              <w:t>como la Presidencia del Consejo de Ministros (PCM)</w:t>
            </w:r>
            <w:r>
              <w:rPr>
                <w:rFonts w:asciiTheme="minorHAnsi" w:hAnsiTheme="minorHAnsi"/>
                <w:sz w:val="20"/>
                <w:szCs w:val="24"/>
                <w:lang w:val="es-AR"/>
              </w:rPr>
              <w:t xml:space="preserve">. </w:t>
            </w:r>
            <w:r w:rsidR="00C16DD9" w:rsidRPr="00CF2F15">
              <w:rPr>
                <w:rFonts w:asciiTheme="minorHAnsi" w:hAnsiTheme="minorHAnsi"/>
                <w:sz w:val="20"/>
                <w:szCs w:val="24"/>
                <w:lang w:val="es-PE"/>
              </w:rPr>
              <w:t>.</w:t>
            </w:r>
            <w:r w:rsidR="00CF2F15">
              <w:rPr>
                <w:rFonts w:asciiTheme="minorHAnsi" w:hAnsiTheme="minorHAnsi"/>
                <w:sz w:val="20"/>
                <w:szCs w:val="24"/>
                <w:lang w:val="es-PE"/>
              </w:rPr>
              <w:t xml:space="preserve"> </w:t>
            </w:r>
            <w:r w:rsidR="00307C12">
              <w:rPr>
                <w:rFonts w:asciiTheme="minorHAnsi" w:hAnsiTheme="minorHAnsi"/>
                <w:sz w:val="20"/>
                <w:szCs w:val="24"/>
                <w:lang w:val="es-PE"/>
              </w:rPr>
              <w:t xml:space="preserve">También </w:t>
            </w:r>
            <w:r w:rsidR="00307C12">
              <w:rPr>
                <w:rFonts w:asciiTheme="minorHAnsi" w:hAnsiTheme="minorHAnsi"/>
                <w:sz w:val="20"/>
                <w:szCs w:val="24"/>
                <w:lang w:val="es-PE"/>
              </w:rPr>
              <w:lastRenderedPageBreak/>
              <w:t xml:space="preserve">se apoyó la mejora de </w:t>
            </w:r>
            <w:r w:rsidR="00CF2F15">
              <w:rPr>
                <w:rFonts w:asciiTheme="minorHAnsi" w:hAnsiTheme="minorHAnsi"/>
                <w:sz w:val="20"/>
                <w:szCs w:val="24"/>
                <w:lang w:val="es-PE"/>
              </w:rPr>
              <w:t xml:space="preserve">mecanismos </w:t>
            </w:r>
            <w:r w:rsidR="00307C12">
              <w:rPr>
                <w:rFonts w:asciiTheme="minorHAnsi" w:hAnsiTheme="minorHAnsi"/>
                <w:sz w:val="20"/>
                <w:szCs w:val="24"/>
                <w:lang w:val="es-PE"/>
              </w:rPr>
              <w:t xml:space="preserve">de </w:t>
            </w:r>
            <w:r w:rsidR="00CF2F15">
              <w:rPr>
                <w:rFonts w:asciiTheme="minorHAnsi" w:hAnsiTheme="minorHAnsi"/>
                <w:sz w:val="20"/>
                <w:szCs w:val="24"/>
                <w:lang w:val="es-PE"/>
              </w:rPr>
              <w:t>transparencia y rendición de cuentas</w:t>
            </w:r>
            <w:r w:rsidR="00307C12">
              <w:rPr>
                <w:rFonts w:asciiTheme="minorHAnsi" w:hAnsiTheme="minorHAnsi"/>
                <w:sz w:val="20"/>
                <w:szCs w:val="24"/>
                <w:lang w:val="es-PE"/>
              </w:rPr>
              <w:t xml:space="preserve"> en la gestión pública</w:t>
            </w:r>
            <w:r w:rsidR="00CA6233" w:rsidRPr="00CF2F15">
              <w:rPr>
                <w:rFonts w:asciiTheme="minorHAnsi" w:hAnsiTheme="minorHAnsi"/>
                <w:sz w:val="20"/>
                <w:lang w:val="es-PE"/>
              </w:rPr>
              <w:t>.</w:t>
            </w:r>
            <w:r w:rsidR="006A7D49">
              <w:rPr>
                <w:rFonts w:asciiTheme="minorHAnsi" w:hAnsiTheme="minorHAnsi"/>
                <w:sz w:val="20"/>
                <w:lang w:val="es-PE"/>
              </w:rPr>
              <w:t xml:space="preserve"> </w:t>
            </w:r>
            <w:r w:rsidR="00307C12">
              <w:rPr>
                <w:rFonts w:asciiTheme="minorHAnsi" w:hAnsiTheme="minorHAnsi"/>
                <w:sz w:val="20"/>
                <w:lang w:val="es-PE"/>
              </w:rPr>
              <w:t>D</w:t>
            </w:r>
            <w:r w:rsidR="00BB7447">
              <w:rPr>
                <w:rFonts w:asciiTheme="minorHAnsi" w:hAnsiTheme="minorHAnsi"/>
                <w:sz w:val="20"/>
                <w:lang w:val="es-PE"/>
              </w:rPr>
              <w:t xml:space="preserve">esde </w:t>
            </w:r>
            <w:r w:rsidR="00BB7447" w:rsidRPr="00B12283">
              <w:rPr>
                <w:rFonts w:asciiTheme="minorHAnsi" w:hAnsiTheme="minorHAnsi"/>
                <w:sz w:val="20"/>
                <w:lang w:val="es-PE"/>
              </w:rPr>
              <w:t xml:space="preserve">2002 </w:t>
            </w:r>
            <w:r w:rsidR="00307C12">
              <w:rPr>
                <w:rFonts w:asciiTheme="minorHAnsi" w:hAnsiTheme="minorHAnsi"/>
                <w:sz w:val="20"/>
                <w:lang w:val="es-PE"/>
              </w:rPr>
              <w:t xml:space="preserve">el </w:t>
            </w:r>
            <w:r w:rsidR="00BB7447" w:rsidRPr="00B12283">
              <w:rPr>
                <w:rFonts w:asciiTheme="minorHAnsi" w:hAnsiTheme="minorHAnsi"/>
                <w:sz w:val="20"/>
                <w:lang w:val="es-PE"/>
              </w:rPr>
              <w:t>PNUD</w:t>
            </w:r>
            <w:r w:rsidR="00BB7447">
              <w:rPr>
                <w:rFonts w:asciiTheme="minorHAnsi" w:hAnsiTheme="minorHAnsi"/>
                <w:sz w:val="20"/>
                <w:lang w:val="es-PE"/>
              </w:rPr>
              <w:t xml:space="preserve"> ha </w:t>
            </w:r>
            <w:r w:rsidR="00307C12">
              <w:rPr>
                <w:rFonts w:asciiTheme="minorHAnsi" w:hAnsiTheme="minorHAnsi"/>
                <w:sz w:val="20"/>
                <w:lang w:val="es-PE"/>
              </w:rPr>
              <w:t xml:space="preserve">acompañado </w:t>
            </w:r>
            <w:r w:rsidR="006A7D49">
              <w:rPr>
                <w:rFonts w:asciiTheme="minorHAnsi" w:hAnsiTheme="minorHAnsi"/>
                <w:sz w:val="20"/>
                <w:lang w:val="es-PE"/>
              </w:rPr>
              <w:t>el proceso de descentralización</w:t>
            </w:r>
            <w:r w:rsidR="00307C12">
              <w:rPr>
                <w:rFonts w:asciiTheme="minorHAnsi" w:hAnsiTheme="minorHAnsi"/>
                <w:sz w:val="20"/>
                <w:lang w:val="es-PE"/>
              </w:rPr>
              <w:t xml:space="preserve"> por medio de la prestación de </w:t>
            </w:r>
            <w:r w:rsidR="006A7D49">
              <w:rPr>
                <w:rFonts w:asciiTheme="minorHAnsi" w:hAnsiTheme="minorHAnsi"/>
                <w:sz w:val="20"/>
                <w:lang w:val="es-PE"/>
              </w:rPr>
              <w:t xml:space="preserve">asistencia técnica </w:t>
            </w:r>
            <w:r w:rsidR="00307C12">
              <w:rPr>
                <w:rFonts w:asciiTheme="minorHAnsi" w:hAnsiTheme="minorHAnsi"/>
                <w:sz w:val="20"/>
                <w:lang w:val="es-PE"/>
              </w:rPr>
              <w:t xml:space="preserve"> para el </w:t>
            </w:r>
            <w:r w:rsidR="006A7D49">
              <w:rPr>
                <w:rFonts w:asciiTheme="minorHAnsi" w:hAnsiTheme="minorHAnsi"/>
                <w:sz w:val="20"/>
                <w:lang w:val="es-PE"/>
              </w:rPr>
              <w:t>fortalecimiento de capacidades a nivel subnacional.</w:t>
            </w:r>
          </w:p>
          <w:p w14:paraId="67161D1C" w14:textId="77777777" w:rsidR="00C21678" w:rsidRPr="00CF2F15" w:rsidRDefault="00C21678" w:rsidP="00CA6233">
            <w:pPr>
              <w:widowControl/>
              <w:autoSpaceDE w:val="0"/>
              <w:autoSpaceDN w:val="0"/>
              <w:adjustRightInd w:val="0"/>
              <w:rPr>
                <w:rFonts w:asciiTheme="minorHAnsi" w:hAnsiTheme="minorHAnsi"/>
                <w:sz w:val="20"/>
                <w:lang w:val="es-PE"/>
              </w:rPr>
            </w:pPr>
          </w:p>
          <w:p w14:paraId="5667B65A" w14:textId="510BB114" w:rsidR="00CA6233" w:rsidRPr="00CA6233" w:rsidRDefault="00DB6130" w:rsidP="00CA6233">
            <w:pPr>
              <w:widowControl/>
              <w:autoSpaceDE w:val="0"/>
              <w:autoSpaceDN w:val="0"/>
              <w:adjustRightInd w:val="0"/>
              <w:rPr>
                <w:rFonts w:asciiTheme="minorHAnsi" w:hAnsiTheme="minorHAnsi"/>
                <w:sz w:val="20"/>
                <w:lang w:val="es-AR"/>
              </w:rPr>
            </w:pPr>
            <w:r>
              <w:rPr>
                <w:rFonts w:asciiTheme="minorHAnsi" w:hAnsiTheme="minorHAnsi"/>
                <w:sz w:val="20"/>
                <w:lang w:val="es-AR"/>
              </w:rPr>
              <w:t>Como logros se destaca:</w:t>
            </w:r>
          </w:p>
          <w:p w14:paraId="63CB8C36" w14:textId="51B1B81F" w:rsidR="00CA6233" w:rsidRPr="006A7D49" w:rsidRDefault="00C16DD9" w:rsidP="00BF24E1">
            <w:pPr>
              <w:pStyle w:val="ListParagraph"/>
              <w:numPr>
                <w:ilvl w:val="0"/>
                <w:numId w:val="26"/>
              </w:numPr>
              <w:autoSpaceDE w:val="0"/>
              <w:autoSpaceDN w:val="0"/>
              <w:adjustRightInd w:val="0"/>
              <w:jc w:val="both"/>
              <w:rPr>
                <w:rFonts w:asciiTheme="minorHAnsi" w:hAnsiTheme="minorHAnsi"/>
                <w:sz w:val="20"/>
                <w:lang w:val="es-AR"/>
              </w:rPr>
            </w:pPr>
            <w:r w:rsidRPr="006A7D49">
              <w:rPr>
                <w:rFonts w:asciiTheme="minorHAnsi" w:hAnsiTheme="minorHAnsi"/>
                <w:sz w:val="20"/>
                <w:lang w:val="es-AR"/>
              </w:rPr>
              <w:t>Contribución</w:t>
            </w:r>
            <w:r w:rsidR="006A7D49" w:rsidRPr="006A7D49">
              <w:rPr>
                <w:rFonts w:asciiTheme="minorHAnsi" w:hAnsiTheme="minorHAnsi"/>
                <w:sz w:val="20"/>
                <w:lang w:val="es-AR"/>
              </w:rPr>
              <w:t xml:space="preserve"> </w:t>
            </w:r>
            <w:r w:rsidR="00BB7447" w:rsidRPr="006A7D49">
              <w:rPr>
                <w:rFonts w:asciiTheme="minorHAnsi" w:hAnsiTheme="minorHAnsi"/>
                <w:sz w:val="20"/>
                <w:lang w:val="es-AR"/>
              </w:rPr>
              <w:t xml:space="preserve">para </w:t>
            </w:r>
            <w:r w:rsidR="00FF6C89">
              <w:rPr>
                <w:rFonts w:asciiTheme="minorHAnsi" w:hAnsiTheme="minorHAnsi"/>
                <w:sz w:val="20"/>
                <w:lang w:val="es-AR"/>
              </w:rPr>
              <w:t xml:space="preserve">el análisis y debate de </w:t>
            </w:r>
            <w:r w:rsidR="00BB7447" w:rsidRPr="006A7D49">
              <w:rPr>
                <w:rFonts w:asciiTheme="minorHAnsi" w:hAnsiTheme="minorHAnsi"/>
                <w:sz w:val="20"/>
                <w:lang w:val="es-AR"/>
              </w:rPr>
              <w:t xml:space="preserve">la reforma </w:t>
            </w:r>
            <w:r w:rsidR="00FF6C89">
              <w:rPr>
                <w:rFonts w:asciiTheme="minorHAnsi" w:hAnsiTheme="minorHAnsi"/>
                <w:sz w:val="20"/>
                <w:lang w:val="es-AR"/>
              </w:rPr>
              <w:t xml:space="preserve">electoral </w:t>
            </w:r>
            <w:r w:rsidR="006A7D49" w:rsidRPr="006A7D49">
              <w:rPr>
                <w:rFonts w:asciiTheme="minorHAnsi" w:hAnsiTheme="minorHAnsi"/>
                <w:sz w:val="20"/>
                <w:lang w:val="es-AR"/>
              </w:rPr>
              <w:t xml:space="preserve">que busca </w:t>
            </w:r>
            <w:r w:rsidR="00FF6C89">
              <w:rPr>
                <w:rFonts w:asciiTheme="minorHAnsi" w:hAnsiTheme="minorHAnsi"/>
                <w:sz w:val="20"/>
                <w:lang w:val="es-AR"/>
              </w:rPr>
              <w:t>promover</w:t>
            </w:r>
            <w:r w:rsidR="00FF6C89" w:rsidRPr="006A7D49">
              <w:rPr>
                <w:rFonts w:asciiTheme="minorHAnsi" w:hAnsiTheme="minorHAnsi"/>
                <w:sz w:val="20"/>
                <w:lang w:val="es-AR"/>
              </w:rPr>
              <w:t xml:space="preserve"> </w:t>
            </w:r>
            <w:r w:rsidR="006A7D49" w:rsidRPr="006A7D49">
              <w:rPr>
                <w:rFonts w:asciiTheme="minorHAnsi" w:hAnsiTheme="minorHAnsi"/>
                <w:sz w:val="20"/>
                <w:lang w:val="es-AR"/>
              </w:rPr>
              <w:t xml:space="preserve">la transparencia </w:t>
            </w:r>
            <w:r w:rsidR="006A7D49">
              <w:rPr>
                <w:rFonts w:asciiTheme="minorHAnsi" w:hAnsiTheme="minorHAnsi"/>
                <w:sz w:val="20"/>
                <w:lang w:val="es-AR"/>
              </w:rPr>
              <w:t xml:space="preserve">sobre los </w:t>
            </w:r>
            <w:r w:rsidR="00FF6C89">
              <w:rPr>
                <w:rFonts w:asciiTheme="minorHAnsi" w:hAnsiTheme="minorHAnsi"/>
                <w:sz w:val="20"/>
                <w:lang w:val="es-AR"/>
              </w:rPr>
              <w:t xml:space="preserve">recursos </w:t>
            </w:r>
            <w:r w:rsidR="006A7D49">
              <w:rPr>
                <w:rFonts w:asciiTheme="minorHAnsi" w:hAnsiTheme="minorHAnsi"/>
                <w:sz w:val="20"/>
                <w:lang w:val="es-AR"/>
              </w:rPr>
              <w:t xml:space="preserve"> de los candidatos (incluye acceso a historial criminal)</w:t>
            </w:r>
            <w:r w:rsidR="00BB7447" w:rsidRPr="006A7D49">
              <w:rPr>
                <w:rFonts w:asciiTheme="minorHAnsi" w:hAnsiTheme="minorHAnsi"/>
                <w:sz w:val="20"/>
                <w:lang w:val="es-AR"/>
              </w:rPr>
              <w:t xml:space="preserve"> </w:t>
            </w:r>
            <w:r w:rsidR="006A7D49">
              <w:rPr>
                <w:rFonts w:asciiTheme="minorHAnsi" w:hAnsiTheme="minorHAnsi"/>
                <w:sz w:val="20"/>
                <w:lang w:val="es-AR"/>
              </w:rPr>
              <w:t>y la promoción de la rendición de cuentas.</w:t>
            </w:r>
          </w:p>
          <w:p w14:paraId="12CED494" w14:textId="4895328B" w:rsidR="00CA6233" w:rsidRDefault="006A7D49" w:rsidP="00BF24E1">
            <w:pPr>
              <w:pStyle w:val="ListParagraph"/>
              <w:numPr>
                <w:ilvl w:val="0"/>
                <w:numId w:val="26"/>
              </w:numPr>
              <w:autoSpaceDE w:val="0"/>
              <w:autoSpaceDN w:val="0"/>
              <w:adjustRightInd w:val="0"/>
              <w:jc w:val="both"/>
              <w:rPr>
                <w:rFonts w:asciiTheme="minorHAnsi" w:hAnsiTheme="minorHAnsi"/>
                <w:sz w:val="20"/>
                <w:lang w:val="es-AR"/>
              </w:rPr>
            </w:pPr>
            <w:r w:rsidRPr="00914FDB">
              <w:rPr>
                <w:rFonts w:asciiTheme="minorHAnsi" w:hAnsiTheme="minorHAnsi"/>
                <w:sz w:val="20"/>
                <w:lang w:val="es-AR"/>
              </w:rPr>
              <w:t>Promoción de</w:t>
            </w:r>
            <w:r w:rsidR="00914FDB" w:rsidRPr="00914FDB">
              <w:rPr>
                <w:rFonts w:asciiTheme="minorHAnsi" w:hAnsiTheme="minorHAnsi"/>
                <w:sz w:val="20"/>
                <w:lang w:val="es-AR"/>
              </w:rPr>
              <w:t xml:space="preserve"> derechos humanos y generación de capacidades en j</w:t>
            </w:r>
            <w:r w:rsidR="00914FDB">
              <w:rPr>
                <w:rFonts w:asciiTheme="minorHAnsi" w:hAnsiTheme="minorHAnsi"/>
                <w:sz w:val="20"/>
                <w:lang w:val="es-AR"/>
              </w:rPr>
              <w:t xml:space="preserve">óvenes, indígenas, población afro (Plan </w:t>
            </w:r>
            <w:r w:rsidR="005922A9">
              <w:rPr>
                <w:rFonts w:asciiTheme="minorHAnsi" w:hAnsiTheme="minorHAnsi"/>
                <w:sz w:val="20"/>
                <w:lang w:val="es-AR"/>
              </w:rPr>
              <w:t xml:space="preserve">Nacional para el </w:t>
            </w:r>
            <w:r w:rsidR="00914FDB">
              <w:rPr>
                <w:rFonts w:asciiTheme="minorHAnsi" w:hAnsiTheme="minorHAnsi"/>
                <w:sz w:val="20"/>
                <w:lang w:val="es-AR"/>
              </w:rPr>
              <w:t xml:space="preserve">Desarrollo para Afroperuanos) y sus organizaciones para el avance en la inclusión política. </w:t>
            </w:r>
          </w:p>
          <w:p w14:paraId="23BDE6E4" w14:textId="19C1C1C3" w:rsidR="00914FDB" w:rsidRDefault="00914FDB" w:rsidP="00BF24E1">
            <w:pPr>
              <w:pStyle w:val="ListParagraph"/>
              <w:numPr>
                <w:ilvl w:val="0"/>
                <w:numId w:val="26"/>
              </w:numPr>
              <w:autoSpaceDE w:val="0"/>
              <w:autoSpaceDN w:val="0"/>
              <w:adjustRightInd w:val="0"/>
              <w:jc w:val="both"/>
              <w:rPr>
                <w:rFonts w:asciiTheme="minorHAnsi" w:hAnsiTheme="minorHAnsi"/>
                <w:sz w:val="20"/>
                <w:lang w:val="es-PE"/>
              </w:rPr>
            </w:pPr>
            <w:r w:rsidRPr="00914FDB">
              <w:rPr>
                <w:rFonts w:asciiTheme="minorHAnsi" w:hAnsiTheme="minorHAnsi"/>
                <w:sz w:val="20"/>
                <w:lang w:val="es-PE"/>
              </w:rPr>
              <w:t>Pro</w:t>
            </w:r>
            <w:r w:rsidR="005922A9">
              <w:rPr>
                <w:rFonts w:asciiTheme="minorHAnsi" w:hAnsiTheme="minorHAnsi"/>
                <w:sz w:val="20"/>
                <w:lang w:val="es-PE"/>
              </w:rPr>
              <w:t>greso en justicia transicional a partir de la pro</w:t>
            </w:r>
            <w:r w:rsidRPr="00914FDB">
              <w:rPr>
                <w:rFonts w:asciiTheme="minorHAnsi" w:hAnsiTheme="minorHAnsi"/>
                <w:sz w:val="20"/>
                <w:lang w:val="es-PE"/>
              </w:rPr>
              <w:t xml:space="preserve">moción de </w:t>
            </w:r>
            <w:r w:rsidR="005922A9">
              <w:rPr>
                <w:rFonts w:asciiTheme="minorHAnsi" w:hAnsiTheme="minorHAnsi"/>
                <w:sz w:val="20"/>
                <w:lang w:val="es-PE"/>
              </w:rPr>
              <w:t xml:space="preserve">una </w:t>
            </w:r>
            <w:r w:rsidRPr="00914FDB">
              <w:rPr>
                <w:rFonts w:asciiTheme="minorHAnsi" w:hAnsiTheme="minorHAnsi"/>
                <w:sz w:val="20"/>
                <w:lang w:val="es-PE"/>
              </w:rPr>
              <w:t>Política Pública de la Memoria</w:t>
            </w:r>
            <w:r>
              <w:rPr>
                <w:rFonts w:asciiTheme="minorHAnsi" w:hAnsiTheme="minorHAnsi"/>
                <w:sz w:val="20"/>
                <w:lang w:val="es-PE"/>
              </w:rPr>
              <w:t xml:space="preserve">, con la intervención e inauguración del Museo de la Memoria, Tolerancia e Inclusión Social. </w:t>
            </w:r>
          </w:p>
          <w:p w14:paraId="474F8A5A" w14:textId="4B157278" w:rsidR="006D5E86" w:rsidRPr="00FF6C89" w:rsidRDefault="006D5E86" w:rsidP="007B742E">
            <w:pPr>
              <w:pStyle w:val="ListParagraph"/>
              <w:numPr>
                <w:ilvl w:val="0"/>
                <w:numId w:val="26"/>
              </w:numPr>
              <w:autoSpaceDE w:val="0"/>
              <w:autoSpaceDN w:val="0"/>
              <w:adjustRightInd w:val="0"/>
              <w:jc w:val="both"/>
              <w:rPr>
                <w:rFonts w:asciiTheme="minorHAnsi" w:hAnsiTheme="minorHAnsi"/>
                <w:sz w:val="20"/>
                <w:lang w:val="es-PE"/>
              </w:rPr>
            </w:pPr>
            <w:r w:rsidRPr="006D5E86">
              <w:rPr>
                <w:rFonts w:asciiTheme="minorHAnsi" w:hAnsiTheme="minorHAnsi"/>
                <w:sz w:val="20"/>
                <w:lang w:val="es-PE"/>
              </w:rPr>
              <w:t>Fortalecimiento de capacidades de jueces indígenas</w:t>
            </w:r>
            <w:r w:rsidR="00307C12">
              <w:rPr>
                <w:rFonts w:asciiTheme="minorHAnsi" w:hAnsiTheme="minorHAnsi"/>
                <w:sz w:val="20"/>
                <w:lang w:val="es-PE"/>
              </w:rPr>
              <w:t>;</w:t>
            </w:r>
            <w:r w:rsidRPr="006D5E86">
              <w:rPr>
                <w:rFonts w:asciiTheme="minorHAnsi" w:hAnsiTheme="minorHAnsi"/>
                <w:sz w:val="20"/>
                <w:lang w:val="es-PE"/>
              </w:rPr>
              <w:t xml:space="preserve"> propuesta de integración de la justicia indígena en el Sistema de justicia nacional</w:t>
            </w:r>
            <w:r w:rsidR="00307C12">
              <w:rPr>
                <w:rFonts w:asciiTheme="minorHAnsi" w:hAnsiTheme="minorHAnsi"/>
                <w:sz w:val="20"/>
                <w:lang w:val="es-PE"/>
              </w:rPr>
              <w:t xml:space="preserve">; </w:t>
            </w:r>
            <w:r w:rsidRPr="006D5E86">
              <w:rPr>
                <w:rFonts w:asciiTheme="minorHAnsi" w:hAnsiTheme="minorHAnsi"/>
                <w:sz w:val="20"/>
                <w:lang w:val="es-PE"/>
              </w:rPr>
              <w:t xml:space="preserve">apoyo </w:t>
            </w:r>
            <w:r w:rsidR="00307C12">
              <w:rPr>
                <w:rFonts w:asciiTheme="minorHAnsi" w:hAnsiTheme="minorHAnsi"/>
                <w:sz w:val="20"/>
                <w:lang w:val="es-PE"/>
              </w:rPr>
              <w:t xml:space="preserve">para </w:t>
            </w:r>
            <w:r w:rsidRPr="006D5E86">
              <w:rPr>
                <w:rFonts w:asciiTheme="minorHAnsi" w:hAnsiTheme="minorHAnsi"/>
                <w:sz w:val="20"/>
                <w:lang w:val="es-PE"/>
              </w:rPr>
              <w:t>la implementación de la Consulta Previa</w:t>
            </w:r>
            <w:r w:rsidR="00307C12">
              <w:rPr>
                <w:rFonts w:asciiTheme="minorHAnsi" w:hAnsiTheme="minorHAnsi"/>
                <w:sz w:val="20"/>
                <w:lang w:val="es-PE"/>
              </w:rPr>
              <w:t>;</w:t>
            </w:r>
            <w:r w:rsidRPr="006D5E86">
              <w:rPr>
                <w:rFonts w:asciiTheme="minorHAnsi" w:hAnsiTheme="minorHAnsi"/>
                <w:sz w:val="20"/>
                <w:lang w:val="es-PE"/>
              </w:rPr>
              <w:t xml:space="preserve"> y apalancamiento de la representación indígena en el Grupo de Trabajo sobre Grupos Indígenas para facilitar su participación en las decisiones de gobierno y la construcción de una agenda común. </w:t>
            </w:r>
          </w:p>
          <w:p w14:paraId="517B6A26" w14:textId="049E97CF" w:rsidR="00C21678" w:rsidRDefault="006D5E86" w:rsidP="007B742E">
            <w:pPr>
              <w:pStyle w:val="ListParagraph"/>
              <w:numPr>
                <w:ilvl w:val="0"/>
                <w:numId w:val="26"/>
              </w:numPr>
              <w:autoSpaceDE w:val="0"/>
              <w:autoSpaceDN w:val="0"/>
              <w:adjustRightInd w:val="0"/>
              <w:jc w:val="both"/>
              <w:rPr>
                <w:rFonts w:asciiTheme="minorHAnsi" w:hAnsiTheme="minorHAnsi"/>
                <w:sz w:val="20"/>
                <w:lang w:val="es-PE"/>
              </w:rPr>
            </w:pPr>
            <w:r w:rsidRPr="006D5E86">
              <w:rPr>
                <w:rFonts w:asciiTheme="minorHAnsi" w:hAnsiTheme="minorHAnsi"/>
                <w:sz w:val="20"/>
                <w:lang w:val="es-PE"/>
              </w:rPr>
              <w:t xml:space="preserve">Contribución en </w:t>
            </w:r>
            <w:r w:rsidR="00FF6C89">
              <w:rPr>
                <w:rFonts w:asciiTheme="minorHAnsi" w:hAnsiTheme="minorHAnsi"/>
                <w:sz w:val="20"/>
                <w:lang w:val="es-PE"/>
              </w:rPr>
              <w:t>la promoción de prácticas</w:t>
            </w:r>
            <w:r w:rsidRPr="006D5E86">
              <w:rPr>
                <w:rFonts w:asciiTheme="minorHAnsi" w:hAnsiTheme="minorHAnsi"/>
                <w:sz w:val="20"/>
                <w:lang w:val="es-PE"/>
              </w:rPr>
              <w:t xml:space="preserve"> de transparencia y rendición de cuentas, </w:t>
            </w:r>
            <w:r w:rsidR="00FF6C89">
              <w:rPr>
                <w:rFonts w:asciiTheme="minorHAnsi" w:hAnsiTheme="minorHAnsi"/>
                <w:sz w:val="20"/>
                <w:lang w:val="es-PE"/>
              </w:rPr>
              <w:t>con</w:t>
            </w:r>
            <w:r w:rsidRPr="006D5E86">
              <w:rPr>
                <w:rFonts w:asciiTheme="minorHAnsi" w:hAnsiTheme="minorHAnsi"/>
                <w:sz w:val="20"/>
                <w:lang w:val="es-PE"/>
              </w:rPr>
              <w:t xml:space="preserve"> el Consejo de la Prensa Peruana</w:t>
            </w:r>
            <w:r w:rsidR="00307C12">
              <w:rPr>
                <w:rFonts w:asciiTheme="minorHAnsi" w:hAnsiTheme="minorHAnsi"/>
                <w:sz w:val="20"/>
                <w:lang w:val="es-PE"/>
              </w:rPr>
              <w:t>, especialmente relacionado con el cumplimiento de la Ley de Transparencia y Acceso a la Información</w:t>
            </w:r>
            <w:r w:rsidRPr="006D5E86">
              <w:rPr>
                <w:rFonts w:asciiTheme="minorHAnsi" w:hAnsiTheme="minorHAnsi"/>
                <w:sz w:val="20"/>
                <w:lang w:val="es-PE"/>
              </w:rPr>
              <w:t>.</w:t>
            </w:r>
            <w:r w:rsidR="00BB7447" w:rsidRPr="006D5E86">
              <w:rPr>
                <w:rFonts w:asciiTheme="minorHAnsi" w:hAnsiTheme="minorHAnsi"/>
                <w:sz w:val="20"/>
                <w:lang w:val="es-PE"/>
              </w:rPr>
              <w:t xml:space="preserve"> </w:t>
            </w:r>
          </w:p>
          <w:p w14:paraId="06A40A47" w14:textId="6197B83D" w:rsidR="00FF6C89" w:rsidRPr="00A93DD7" w:rsidRDefault="006D5E86" w:rsidP="007B742E">
            <w:pPr>
              <w:pStyle w:val="ListParagraph"/>
              <w:numPr>
                <w:ilvl w:val="0"/>
                <w:numId w:val="26"/>
              </w:numPr>
              <w:autoSpaceDE w:val="0"/>
              <w:autoSpaceDN w:val="0"/>
              <w:adjustRightInd w:val="0"/>
              <w:jc w:val="both"/>
              <w:rPr>
                <w:rFonts w:asciiTheme="minorHAnsi" w:hAnsiTheme="minorHAnsi"/>
                <w:sz w:val="20"/>
                <w:lang w:val="es-PE"/>
              </w:rPr>
            </w:pPr>
            <w:r>
              <w:rPr>
                <w:rFonts w:asciiTheme="minorHAnsi" w:hAnsiTheme="minorHAnsi"/>
                <w:sz w:val="20"/>
                <w:lang w:val="es-PE"/>
              </w:rPr>
              <w:t xml:space="preserve">En </w:t>
            </w:r>
            <w:r w:rsidRPr="006D5E86">
              <w:rPr>
                <w:rFonts w:asciiTheme="minorHAnsi" w:hAnsiTheme="minorHAnsi"/>
                <w:sz w:val="20"/>
                <w:lang w:val="es-PE"/>
              </w:rPr>
              <w:t>el período 2012-2015</w:t>
            </w:r>
            <w:r w:rsidR="005922A9">
              <w:rPr>
                <w:rFonts w:asciiTheme="minorHAnsi" w:hAnsiTheme="minorHAnsi"/>
                <w:sz w:val="20"/>
                <w:lang w:val="es-PE"/>
              </w:rPr>
              <w:t xml:space="preserve">, la </w:t>
            </w:r>
            <w:r>
              <w:rPr>
                <w:rFonts w:asciiTheme="minorHAnsi" w:hAnsiTheme="minorHAnsi"/>
                <w:sz w:val="20"/>
                <w:lang w:val="es-PE"/>
              </w:rPr>
              <w:t>descentralización</w:t>
            </w:r>
            <w:r w:rsidR="005922A9">
              <w:rPr>
                <w:rFonts w:asciiTheme="minorHAnsi" w:hAnsiTheme="minorHAnsi"/>
                <w:sz w:val="20"/>
                <w:lang w:val="es-PE"/>
              </w:rPr>
              <w:t xml:space="preserve"> enfrentó una serie de desafíos que determinaron su </w:t>
            </w:r>
            <w:r w:rsidRPr="006D5E86">
              <w:rPr>
                <w:rFonts w:asciiTheme="minorHAnsi" w:hAnsiTheme="minorHAnsi"/>
                <w:sz w:val="20"/>
                <w:lang w:val="es-PE"/>
              </w:rPr>
              <w:t>ralentización</w:t>
            </w:r>
            <w:r w:rsidR="005922A9">
              <w:rPr>
                <w:rFonts w:asciiTheme="minorHAnsi" w:hAnsiTheme="minorHAnsi"/>
                <w:sz w:val="20"/>
                <w:lang w:val="es-PE"/>
              </w:rPr>
              <w:t xml:space="preserve">. El PNUD contribuyó a evaluar </w:t>
            </w:r>
            <w:r w:rsidR="000A0B1A" w:rsidRPr="000A0B1A">
              <w:rPr>
                <w:rFonts w:asciiTheme="minorHAnsi" w:hAnsiTheme="minorHAnsi"/>
                <w:sz w:val="20"/>
                <w:lang w:val="es-419"/>
              </w:rPr>
              <w:t xml:space="preserve">las competencias transferidas a los Gobiernos </w:t>
            </w:r>
            <w:r w:rsidR="00FF6C89">
              <w:rPr>
                <w:rFonts w:asciiTheme="minorHAnsi" w:hAnsiTheme="minorHAnsi"/>
                <w:sz w:val="20"/>
                <w:lang w:val="es-419"/>
              </w:rPr>
              <w:t>Regionales</w:t>
            </w:r>
            <w:r w:rsidR="005922A9">
              <w:rPr>
                <w:rFonts w:asciiTheme="minorHAnsi" w:hAnsiTheme="minorHAnsi"/>
                <w:sz w:val="20"/>
                <w:lang w:val="es-419"/>
              </w:rPr>
              <w:t xml:space="preserve">, así como a la formulación de </w:t>
            </w:r>
            <w:r w:rsidR="000A0B1A" w:rsidRPr="000A0B1A">
              <w:rPr>
                <w:rFonts w:asciiTheme="minorHAnsi" w:hAnsiTheme="minorHAnsi"/>
                <w:sz w:val="20"/>
                <w:lang w:val="es-419"/>
              </w:rPr>
              <w:t>propuesta</w:t>
            </w:r>
            <w:r w:rsidR="005922A9">
              <w:rPr>
                <w:rFonts w:asciiTheme="minorHAnsi" w:hAnsiTheme="minorHAnsi"/>
                <w:sz w:val="20"/>
                <w:lang w:val="es-419"/>
              </w:rPr>
              <w:t>s</w:t>
            </w:r>
            <w:r w:rsidR="000A0B1A" w:rsidRPr="000A0B1A">
              <w:rPr>
                <w:rFonts w:asciiTheme="minorHAnsi" w:hAnsiTheme="minorHAnsi"/>
                <w:sz w:val="20"/>
                <w:lang w:val="es-419"/>
              </w:rPr>
              <w:t xml:space="preserve"> de mejora</w:t>
            </w:r>
            <w:r w:rsidR="005922A9">
              <w:rPr>
                <w:rFonts w:asciiTheme="minorHAnsi" w:hAnsiTheme="minorHAnsi"/>
                <w:sz w:val="20"/>
                <w:lang w:val="es-419"/>
              </w:rPr>
              <w:t xml:space="preserve">, al igual que a </w:t>
            </w:r>
            <w:r w:rsidR="00FF6C89">
              <w:rPr>
                <w:rFonts w:asciiTheme="minorHAnsi" w:hAnsiTheme="minorHAnsi"/>
                <w:sz w:val="20"/>
                <w:lang w:val="es-419"/>
              </w:rPr>
              <w:t>la generación de capacidades en temas puntuales como prevención y gestión de conflictos.</w:t>
            </w:r>
          </w:p>
          <w:p w14:paraId="5E2AEA6E" w14:textId="15524BD7" w:rsidR="006D5E86" w:rsidRPr="006D5E86" w:rsidRDefault="00FF6C89" w:rsidP="007B742E">
            <w:pPr>
              <w:pStyle w:val="ListParagraph"/>
              <w:numPr>
                <w:ilvl w:val="0"/>
                <w:numId w:val="26"/>
              </w:numPr>
              <w:autoSpaceDE w:val="0"/>
              <w:autoSpaceDN w:val="0"/>
              <w:adjustRightInd w:val="0"/>
              <w:jc w:val="both"/>
              <w:rPr>
                <w:rFonts w:asciiTheme="minorHAnsi" w:hAnsiTheme="minorHAnsi"/>
                <w:sz w:val="20"/>
                <w:lang w:val="es-PE"/>
              </w:rPr>
            </w:pPr>
            <w:r>
              <w:rPr>
                <w:rFonts w:asciiTheme="minorHAnsi" w:hAnsiTheme="minorHAnsi"/>
                <w:sz w:val="20"/>
                <w:lang w:val="es-PE"/>
              </w:rPr>
              <w:t xml:space="preserve">En materia de </w:t>
            </w:r>
            <w:r w:rsidR="000A0B1A" w:rsidRPr="000A0B1A">
              <w:rPr>
                <w:rFonts w:asciiTheme="minorHAnsi" w:hAnsiTheme="minorHAnsi"/>
                <w:sz w:val="20"/>
                <w:lang w:val="es-419"/>
              </w:rPr>
              <w:t xml:space="preserve">modernización del Estado, </w:t>
            </w:r>
            <w:r>
              <w:rPr>
                <w:rFonts w:asciiTheme="minorHAnsi" w:hAnsiTheme="minorHAnsi"/>
                <w:sz w:val="20"/>
                <w:lang w:val="es-419"/>
              </w:rPr>
              <w:t>se implementó un sistema de información georreferenciado</w:t>
            </w:r>
            <w:r w:rsidR="005922A9">
              <w:rPr>
                <w:rFonts w:asciiTheme="minorHAnsi" w:hAnsiTheme="minorHAnsi"/>
                <w:sz w:val="20"/>
                <w:lang w:val="es-419"/>
              </w:rPr>
              <w:t xml:space="preserve">; asimismo, se propuso </w:t>
            </w:r>
            <w:r w:rsidR="000A0B1A">
              <w:rPr>
                <w:rFonts w:asciiTheme="minorHAnsi" w:hAnsiTheme="minorHAnsi"/>
                <w:sz w:val="20"/>
                <w:lang w:val="es-419"/>
              </w:rPr>
              <w:t>la</w:t>
            </w:r>
            <w:r w:rsidR="000A0B1A" w:rsidRPr="000A0B1A">
              <w:rPr>
                <w:rFonts w:asciiTheme="minorHAnsi" w:hAnsiTheme="minorHAnsi"/>
                <w:sz w:val="20"/>
                <w:lang w:val="es-419"/>
              </w:rPr>
              <w:t xml:space="preserve"> implementación de un Módulo de Atención Ciudadana (MAC)</w:t>
            </w:r>
            <w:r w:rsidR="005922A9">
              <w:rPr>
                <w:rFonts w:asciiTheme="minorHAnsi" w:hAnsiTheme="minorHAnsi"/>
                <w:sz w:val="20"/>
                <w:lang w:val="es-419"/>
              </w:rPr>
              <w:t xml:space="preserve"> para facilitar la relación de la ciudadanía con los servicios ofrecidos por el Estado.</w:t>
            </w:r>
          </w:p>
          <w:p w14:paraId="2F707759" w14:textId="0F088210" w:rsidR="00C21678" w:rsidRPr="000A0B1A" w:rsidRDefault="00FF6C89" w:rsidP="00914FDB">
            <w:pPr>
              <w:pStyle w:val="ListParagraph"/>
              <w:numPr>
                <w:ilvl w:val="0"/>
                <w:numId w:val="26"/>
              </w:numPr>
              <w:autoSpaceDE w:val="0"/>
              <w:autoSpaceDN w:val="0"/>
              <w:adjustRightInd w:val="0"/>
              <w:jc w:val="both"/>
              <w:rPr>
                <w:rFonts w:asciiTheme="minorHAnsi" w:hAnsiTheme="minorHAnsi"/>
                <w:sz w:val="20"/>
                <w:lang w:val="es-PE"/>
              </w:rPr>
            </w:pPr>
            <w:r>
              <w:rPr>
                <w:rFonts w:asciiTheme="minorHAnsi" w:hAnsiTheme="minorHAnsi"/>
                <w:sz w:val="20"/>
                <w:lang w:val="es-419"/>
              </w:rPr>
              <w:t>E</w:t>
            </w:r>
            <w:r w:rsidR="005922A9">
              <w:rPr>
                <w:rFonts w:asciiTheme="minorHAnsi" w:hAnsiTheme="minorHAnsi"/>
                <w:sz w:val="20"/>
                <w:lang w:val="es-419"/>
              </w:rPr>
              <w:t>n el caso del apoyo al proceso de de</w:t>
            </w:r>
            <w:r w:rsidR="001575CE">
              <w:rPr>
                <w:rFonts w:asciiTheme="minorHAnsi" w:hAnsiTheme="minorHAnsi"/>
                <w:sz w:val="20"/>
                <w:lang w:val="es-419"/>
              </w:rPr>
              <w:t>s</w:t>
            </w:r>
            <w:r w:rsidR="005922A9">
              <w:rPr>
                <w:rFonts w:asciiTheme="minorHAnsi" w:hAnsiTheme="minorHAnsi"/>
                <w:sz w:val="20"/>
                <w:lang w:val="es-419"/>
              </w:rPr>
              <w:t>centralización y desarrollo de</w:t>
            </w:r>
            <w:r w:rsidR="001575CE">
              <w:rPr>
                <w:rFonts w:asciiTheme="minorHAnsi" w:hAnsiTheme="minorHAnsi"/>
                <w:sz w:val="20"/>
                <w:lang w:val="es-419"/>
              </w:rPr>
              <w:t>s</w:t>
            </w:r>
            <w:r w:rsidR="005922A9">
              <w:rPr>
                <w:rFonts w:asciiTheme="minorHAnsi" w:hAnsiTheme="minorHAnsi"/>
                <w:sz w:val="20"/>
                <w:lang w:val="es-419"/>
              </w:rPr>
              <w:t xml:space="preserve">centralizado, si buen hubo poco avance sí se logró apoyar a </w:t>
            </w:r>
            <w:r w:rsidR="000A0B1A" w:rsidRPr="000A0B1A">
              <w:rPr>
                <w:rFonts w:asciiTheme="minorHAnsi" w:hAnsiTheme="minorHAnsi"/>
                <w:sz w:val="20"/>
                <w:lang w:val="es-419"/>
              </w:rPr>
              <w:t>mancomunidades</w:t>
            </w:r>
            <w:r>
              <w:rPr>
                <w:rFonts w:asciiTheme="minorHAnsi" w:hAnsiTheme="minorHAnsi"/>
                <w:sz w:val="20"/>
                <w:lang w:val="es-419"/>
              </w:rPr>
              <w:t xml:space="preserve"> regionales como alternativas de integración territorial a la conformación de Regiones.</w:t>
            </w:r>
          </w:p>
          <w:p w14:paraId="089F4EB4" w14:textId="77777777" w:rsidR="000A0B1A" w:rsidRPr="006D5E86" w:rsidRDefault="000A0B1A" w:rsidP="0084799A">
            <w:pPr>
              <w:pStyle w:val="ListParagraph"/>
              <w:autoSpaceDE w:val="0"/>
              <w:autoSpaceDN w:val="0"/>
              <w:adjustRightInd w:val="0"/>
              <w:ind w:left="360"/>
              <w:jc w:val="both"/>
              <w:rPr>
                <w:rFonts w:asciiTheme="minorHAnsi" w:hAnsiTheme="minorHAnsi"/>
                <w:sz w:val="20"/>
                <w:lang w:val="es-PE"/>
              </w:rPr>
            </w:pPr>
          </w:p>
        </w:tc>
      </w:tr>
      <w:tr w:rsidR="00622CF3" w:rsidRPr="001B524E" w14:paraId="49240FCB" w14:textId="77777777" w:rsidTr="00FB3FE5">
        <w:tc>
          <w:tcPr>
            <w:tcW w:w="2977" w:type="dxa"/>
            <w:tcBorders>
              <w:bottom w:val="single" w:sz="4" w:space="0" w:color="auto"/>
            </w:tcBorders>
            <w:shd w:val="clear" w:color="auto" w:fill="8EAADB" w:themeFill="accent5" w:themeFillTint="99"/>
          </w:tcPr>
          <w:p w14:paraId="6E6DFFF7" w14:textId="77777777" w:rsidR="00622CF3" w:rsidRPr="00A879E1" w:rsidRDefault="00622CF3" w:rsidP="003D6A75">
            <w:pPr>
              <w:widowControl/>
              <w:autoSpaceDE w:val="0"/>
              <w:autoSpaceDN w:val="0"/>
              <w:adjustRightInd w:val="0"/>
              <w:jc w:val="both"/>
              <w:rPr>
                <w:rFonts w:asciiTheme="minorHAnsi" w:hAnsiTheme="minorHAnsi" w:cs="Helvetica-Bold"/>
                <w:b/>
                <w:bCs/>
                <w:sz w:val="20"/>
                <w:lang w:val="es-AR"/>
              </w:rPr>
            </w:pPr>
            <w:r w:rsidRPr="00A879E1">
              <w:rPr>
                <w:rFonts w:asciiTheme="minorHAnsi" w:hAnsiTheme="minorHAnsi" w:cs="Helvetica-Bold"/>
                <w:b/>
                <w:bCs/>
                <w:sz w:val="20"/>
                <w:lang w:val="es-AR"/>
              </w:rPr>
              <w:lastRenderedPageBreak/>
              <w:t xml:space="preserve">OUTCOME </w:t>
            </w:r>
            <w:r w:rsidR="00980D8C" w:rsidRPr="00A879E1">
              <w:rPr>
                <w:rFonts w:asciiTheme="minorHAnsi" w:hAnsiTheme="minorHAnsi" w:cs="Helvetica-Bold"/>
                <w:b/>
                <w:bCs/>
                <w:sz w:val="20"/>
                <w:lang w:val="es-AR"/>
              </w:rPr>
              <w:t>2</w:t>
            </w:r>
          </w:p>
          <w:p w14:paraId="0D01A669" w14:textId="77777777" w:rsidR="00980D8C" w:rsidRPr="00980D8C" w:rsidRDefault="00DC585F" w:rsidP="003D6A75">
            <w:pPr>
              <w:pStyle w:val="Default"/>
              <w:jc w:val="both"/>
              <w:rPr>
                <w:rFonts w:asciiTheme="minorHAnsi" w:hAnsiTheme="minorHAnsi"/>
                <w:b/>
                <w:sz w:val="20"/>
                <w:szCs w:val="20"/>
                <w:lang w:val="es-AR"/>
              </w:rPr>
            </w:pPr>
            <w:r>
              <w:rPr>
                <w:rFonts w:asciiTheme="minorHAnsi" w:eastAsia="Times New Roman" w:hAnsiTheme="minorHAnsi" w:cs="Times New Roman"/>
                <w:color w:val="auto"/>
                <w:sz w:val="20"/>
                <w:szCs w:val="20"/>
                <w:lang w:val="es-AR"/>
              </w:rPr>
              <w:t>Reducción de la pobreza y Objetivos de Desarrollo del Milenio</w:t>
            </w:r>
          </w:p>
        </w:tc>
        <w:tc>
          <w:tcPr>
            <w:tcW w:w="1701" w:type="dxa"/>
            <w:tcBorders>
              <w:bottom w:val="single" w:sz="4" w:space="0" w:color="auto"/>
            </w:tcBorders>
            <w:shd w:val="clear" w:color="auto" w:fill="auto"/>
          </w:tcPr>
          <w:p w14:paraId="1359D168" w14:textId="4819A4C1" w:rsidR="00622CF3" w:rsidRPr="00980D8C" w:rsidRDefault="00F01774" w:rsidP="004267A9">
            <w:pPr>
              <w:widowControl/>
              <w:jc w:val="right"/>
              <w:rPr>
                <w:rFonts w:asciiTheme="minorHAnsi" w:hAnsiTheme="minorHAnsi"/>
                <w:lang w:val="es-AR"/>
              </w:rPr>
            </w:pPr>
            <w:r>
              <w:rPr>
                <w:rFonts w:ascii="Calibri" w:hAnsi="Calibri"/>
                <w:color w:val="000000"/>
                <w:sz w:val="20"/>
              </w:rPr>
              <w:t>$</w:t>
            </w:r>
            <w:r w:rsidR="00CA5C29" w:rsidRPr="00CA5C29">
              <w:rPr>
                <w:rFonts w:ascii="Calibri" w:hAnsi="Calibri"/>
                <w:color w:val="000000"/>
                <w:sz w:val="20"/>
                <w:lang w:val="es-AR"/>
              </w:rPr>
              <w:t>87’982,098.03</w:t>
            </w:r>
          </w:p>
        </w:tc>
        <w:tc>
          <w:tcPr>
            <w:tcW w:w="4394" w:type="dxa"/>
            <w:tcBorders>
              <w:left w:val="single" w:sz="4" w:space="0" w:color="auto"/>
              <w:bottom w:val="single" w:sz="4" w:space="0" w:color="auto"/>
            </w:tcBorders>
          </w:tcPr>
          <w:p w14:paraId="77C32C4A" w14:textId="77777777" w:rsidR="00622CF3" w:rsidRPr="00DC585F" w:rsidRDefault="00DC585F" w:rsidP="00DC585F">
            <w:pPr>
              <w:pStyle w:val="Default"/>
              <w:numPr>
                <w:ilvl w:val="0"/>
                <w:numId w:val="35"/>
              </w:numPr>
              <w:tabs>
                <w:tab w:val="left" w:pos="175"/>
              </w:tabs>
              <w:ind w:left="0" w:firstLine="34"/>
              <w:jc w:val="both"/>
              <w:rPr>
                <w:rFonts w:asciiTheme="minorHAnsi" w:hAnsiTheme="minorHAnsi"/>
                <w:sz w:val="20"/>
                <w:lang w:val="es-AR"/>
              </w:rPr>
            </w:pPr>
            <w:r>
              <w:rPr>
                <w:rFonts w:asciiTheme="minorHAnsi" w:hAnsiTheme="minorHAnsi"/>
                <w:sz w:val="20"/>
                <w:szCs w:val="20"/>
                <w:lang w:val="es-AR"/>
              </w:rPr>
              <w:t>Número de sectores, gobiernos regionales y gobiernos locales que han establecido valores básicos de referencia, metas y planes para la reducción de la desigualdad y la pobreza.</w:t>
            </w:r>
          </w:p>
          <w:p w14:paraId="158704DA" w14:textId="77777777" w:rsidR="00DC585F" w:rsidRPr="00DC585F" w:rsidRDefault="00DC585F" w:rsidP="00DC585F">
            <w:pPr>
              <w:pStyle w:val="Default"/>
              <w:numPr>
                <w:ilvl w:val="0"/>
                <w:numId w:val="35"/>
              </w:numPr>
              <w:tabs>
                <w:tab w:val="left" w:pos="175"/>
              </w:tabs>
              <w:ind w:left="0" w:firstLine="34"/>
              <w:jc w:val="both"/>
              <w:rPr>
                <w:rFonts w:asciiTheme="minorHAnsi" w:hAnsiTheme="minorHAnsi"/>
                <w:sz w:val="20"/>
                <w:lang w:val="es-AR"/>
              </w:rPr>
            </w:pPr>
            <w:r>
              <w:rPr>
                <w:rFonts w:asciiTheme="minorHAnsi" w:hAnsiTheme="minorHAnsi"/>
                <w:sz w:val="20"/>
                <w:lang w:val="es-AR"/>
              </w:rPr>
              <w:t>Número de instituciones que incorporan el Índice de Desarrollo Humano (IDH) y el Índice de Desigualdad de Género (IDG) como referencia técnica en su programación</w:t>
            </w:r>
            <w:r w:rsidRPr="00DC585F">
              <w:rPr>
                <w:rFonts w:asciiTheme="minorHAnsi" w:hAnsiTheme="minorHAnsi"/>
                <w:sz w:val="20"/>
                <w:szCs w:val="20"/>
                <w:lang w:val="es-AR"/>
              </w:rPr>
              <w:t xml:space="preserve"> </w:t>
            </w:r>
          </w:p>
        </w:tc>
        <w:tc>
          <w:tcPr>
            <w:tcW w:w="4962" w:type="dxa"/>
            <w:tcBorders>
              <w:bottom w:val="single" w:sz="4" w:space="0" w:color="auto"/>
            </w:tcBorders>
            <w:shd w:val="clear" w:color="auto" w:fill="auto"/>
          </w:tcPr>
          <w:p w14:paraId="367DDE01" w14:textId="77777777" w:rsidR="00622CF3" w:rsidRDefault="006C5D71" w:rsidP="00DC585F">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24 Gobiernos Regionales con acuerdos de gobernabilidad que cuentan con metas para la reducción de la pobreza.</w:t>
            </w:r>
          </w:p>
          <w:p w14:paraId="260496CC" w14:textId="77777777" w:rsidR="006C5D71" w:rsidRDefault="006C5D71" w:rsidP="00DC585F">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8 Gobiernos Locales con planes de acción para Marco de Aceleración de ODM.</w:t>
            </w:r>
          </w:p>
          <w:p w14:paraId="1873994C" w14:textId="00EFB74E" w:rsidR="006C5D71" w:rsidRDefault="006C5D71" w:rsidP="00DC585F">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1 modelo de inclusión financiera en implementación</w:t>
            </w:r>
          </w:p>
          <w:p w14:paraId="5389FDB0" w14:textId="77777777" w:rsidR="006C5D71" w:rsidRDefault="006C5D71" w:rsidP="00DC585F">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Apoyo a implementación al Programa Nacional de Alimentación Escolar Qali Warma</w:t>
            </w:r>
          </w:p>
          <w:p w14:paraId="77D1DD4F" w14:textId="0044DC71" w:rsidR="006C5D71" w:rsidRPr="00522305" w:rsidRDefault="006C5D71" w:rsidP="00DC585F">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 xml:space="preserve">Índice Nacional de Derechos Humanos presentado en 9 regiones, 17 instituciones públicas y privadas y expertos sensibilizados en 6 regiones. El IDH es </w:t>
            </w:r>
            <w:r>
              <w:rPr>
                <w:rFonts w:asciiTheme="minorHAnsi" w:hAnsiTheme="minorHAnsi"/>
                <w:sz w:val="20"/>
                <w:szCs w:val="20"/>
                <w:lang w:val="es-PE"/>
              </w:rPr>
              <w:t>incorporado</w:t>
            </w:r>
            <w:r w:rsidRPr="006C5D71">
              <w:rPr>
                <w:rFonts w:asciiTheme="minorHAnsi" w:hAnsiTheme="minorHAnsi"/>
                <w:sz w:val="20"/>
                <w:szCs w:val="20"/>
                <w:lang w:val="es-PE"/>
              </w:rPr>
              <w:t xml:space="preserve"> como referencia técnica de programación por diversas instituciones públicas y privadas</w:t>
            </w:r>
            <w:r>
              <w:rPr>
                <w:rFonts w:asciiTheme="minorHAnsi" w:hAnsiTheme="minorHAnsi"/>
                <w:sz w:val="20"/>
                <w:szCs w:val="20"/>
                <w:lang w:val="es-PE"/>
              </w:rPr>
              <w:t>.</w:t>
            </w:r>
          </w:p>
        </w:tc>
      </w:tr>
      <w:tr w:rsidR="00622CF3" w:rsidRPr="001B524E" w14:paraId="121BFC91" w14:textId="77777777" w:rsidTr="00265522">
        <w:tc>
          <w:tcPr>
            <w:tcW w:w="14034" w:type="dxa"/>
            <w:gridSpan w:val="4"/>
          </w:tcPr>
          <w:p w14:paraId="077EAE66" w14:textId="6FD62492" w:rsidR="008633A2" w:rsidRPr="008633A2" w:rsidRDefault="008633A2" w:rsidP="003D6A75">
            <w:pPr>
              <w:pStyle w:val="BodyText2"/>
              <w:jc w:val="both"/>
              <w:rPr>
                <w:rFonts w:asciiTheme="minorHAnsi" w:hAnsiTheme="minorHAnsi"/>
                <w:b/>
                <w:lang w:val="es-AR"/>
              </w:rPr>
            </w:pPr>
            <w:r w:rsidRPr="008633A2">
              <w:rPr>
                <w:rFonts w:asciiTheme="minorHAnsi" w:hAnsiTheme="minorHAnsi"/>
                <w:b/>
                <w:lang w:val="es-AR"/>
              </w:rPr>
              <w:lastRenderedPageBreak/>
              <w:t>UNDP Contribution:</w:t>
            </w:r>
          </w:p>
          <w:p w14:paraId="21F535C1" w14:textId="77777777" w:rsidR="008633A2" w:rsidRPr="008633A2" w:rsidRDefault="008633A2" w:rsidP="003D6A75">
            <w:pPr>
              <w:pStyle w:val="BodyText2"/>
              <w:jc w:val="both"/>
              <w:rPr>
                <w:rFonts w:asciiTheme="minorHAnsi" w:hAnsiTheme="minorHAnsi"/>
                <w:u w:val="single"/>
                <w:lang w:val="es-AR"/>
              </w:rPr>
            </w:pPr>
          </w:p>
          <w:p w14:paraId="571BF784" w14:textId="77777777" w:rsidR="008633A2" w:rsidRPr="008633A2" w:rsidRDefault="008633A2" w:rsidP="003D6A75">
            <w:pPr>
              <w:pStyle w:val="BodyText2"/>
              <w:jc w:val="both"/>
              <w:rPr>
                <w:rFonts w:asciiTheme="minorHAnsi" w:hAnsiTheme="minorHAnsi"/>
                <w:lang w:val="es-AR"/>
              </w:rPr>
            </w:pPr>
            <w:r w:rsidRPr="008633A2">
              <w:rPr>
                <w:rFonts w:asciiTheme="minorHAnsi" w:hAnsiTheme="minorHAnsi"/>
                <w:u w:val="single"/>
                <w:lang w:val="es-AR"/>
              </w:rPr>
              <w:t>CP Outputs</w:t>
            </w:r>
            <w:r w:rsidRPr="008633A2">
              <w:rPr>
                <w:rFonts w:asciiTheme="minorHAnsi" w:hAnsiTheme="minorHAnsi"/>
                <w:lang w:val="es-AR"/>
              </w:rPr>
              <w:t xml:space="preserve">: </w:t>
            </w:r>
          </w:p>
          <w:p w14:paraId="66F36AF4" w14:textId="77777777" w:rsidR="00760F31" w:rsidRDefault="00760F31" w:rsidP="003D6A75">
            <w:pPr>
              <w:pStyle w:val="Default"/>
              <w:jc w:val="both"/>
              <w:rPr>
                <w:rFonts w:asciiTheme="minorHAnsi" w:hAnsiTheme="minorHAnsi"/>
                <w:sz w:val="20"/>
                <w:szCs w:val="20"/>
                <w:lang w:val="es-AR"/>
              </w:rPr>
            </w:pPr>
          </w:p>
          <w:p w14:paraId="235AF0FA" w14:textId="77777777" w:rsidR="008633A2" w:rsidRDefault="00DC585F" w:rsidP="003D6A75">
            <w:pPr>
              <w:pStyle w:val="Default"/>
              <w:jc w:val="both"/>
              <w:rPr>
                <w:rFonts w:asciiTheme="minorHAnsi" w:hAnsiTheme="minorHAnsi"/>
                <w:sz w:val="20"/>
                <w:szCs w:val="20"/>
                <w:lang w:val="es-AR"/>
              </w:rPr>
            </w:pPr>
            <w:r>
              <w:rPr>
                <w:rFonts w:asciiTheme="minorHAnsi" w:hAnsiTheme="minorHAnsi"/>
                <w:sz w:val="20"/>
                <w:szCs w:val="20"/>
                <w:lang w:val="es-AR"/>
              </w:rPr>
              <w:t>1. Los tres niveles de gobierno cuentan con valores básicos de referencia, metas y planes concertados para el logro de los ODM y la reducción de la desigualdad y la pobreza en regiones y localidades prioritarias</w:t>
            </w:r>
            <w:r w:rsidR="0015763C" w:rsidRPr="008633A2">
              <w:rPr>
                <w:rFonts w:asciiTheme="minorHAnsi" w:hAnsiTheme="minorHAnsi"/>
                <w:sz w:val="20"/>
                <w:szCs w:val="20"/>
                <w:lang w:val="es-AR"/>
              </w:rPr>
              <w:t xml:space="preserve">. </w:t>
            </w:r>
          </w:p>
          <w:p w14:paraId="72DB7498" w14:textId="77777777" w:rsidR="0015763C" w:rsidRPr="008633A2" w:rsidRDefault="00DC585F" w:rsidP="003D6A75">
            <w:pPr>
              <w:pStyle w:val="Default"/>
              <w:jc w:val="both"/>
              <w:rPr>
                <w:rFonts w:asciiTheme="minorHAnsi" w:hAnsiTheme="minorHAnsi"/>
                <w:sz w:val="20"/>
                <w:szCs w:val="20"/>
                <w:lang w:val="es-AR"/>
              </w:rPr>
            </w:pPr>
            <w:r>
              <w:rPr>
                <w:rFonts w:asciiTheme="minorHAnsi" w:hAnsiTheme="minorHAnsi"/>
                <w:sz w:val="20"/>
                <w:szCs w:val="20"/>
                <w:lang w:val="es-AR"/>
              </w:rPr>
              <w:t>2. Se han elaborado y difundido informes nacionales sobre desarrollo humano e informes sobre el cumplimiento de los ODM, como contribución a la reducción de la desigualdad y la pobreza</w:t>
            </w:r>
            <w:r w:rsidR="0015763C" w:rsidRPr="008633A2">
              <w:rPr>
                <w:rFonts w:asciiTheme="minorHAnsi" w:hAnsiTheme="minorHAnsi"/>
                <w:sz w:val="20"/>
                <w:szCs w:val="20"/>
                <w:lang w:val="es-AR"/>
              </w:rPr>
              <w:t xml:space="preserve">. </w:t>
            </w:r>
          </w:p>
          <w:p w14:paraId="6814D9E3" w14:textId="77777777" w:rsidR="00622CF3" w:rsidRDefault="00622CF3" w:rsidP="003D6A75">
            <w:pPr>
              <w:jc w:val="both"/>
              <w:rPr>
                <w:rFonts w:asciiTheme="minorHAnsi" w:hAnsiTheme="minorHAnsi" w:cs="Helvetica"/>
                <w:sz w:val="20"/>
                <w:lang w:val="es-AR"/>
              </w:rPr>
            </w:pPr>
          </w:p>
          <w:p w14:paraId="02F7BE3F" w14:textId="77777777" w:rsidR="00760F31" w:rsidRPr="00B16A0D" w:rsidRDefault="00760F31" w:rsidP="003D6A75">
            <w:pPr>
              <w:pStyle w:val="BodyText2"/>
              <w:jc w:val="both"/>
              <w:rPr>
                <w:rFonts w:asciiTheme="minorHAnsi" w:hAnsiTheme="minorHAnsi"/>
                <w:u w:val="single"/>
                <w:lang w:val="es-AR"/>
              </w:rPr>
            </w:pPr>
            <w:r w:rsidRPr="00B16A0D">
              <w:rPr>
                <w:rFonts w:asciiTheme="minorHAnsi" w:hAnsiTheme="minorHAnsi"/>
                <w:u w:val="single"/>
                <w:lang w:val="es-AR"/>
              </w:rPr>
              <w:t>Progress and Achievements</w:t>
            </w:r>
          </w:p>
          <w:p w14:paraId="754A3620" w14:textId="77777777" w:rsidR="00F245D5" w:rsidRPr="00B16A0D" w:rsidRDefault="00F245D5" w:rsidP="003D6A75">
            <w:pPr>
              <w:pStyle w:val="BodyText2"/>
              <w:jc w:val="both"/>
              <w:rPr>
                <w:rFonts w:asciiTheme="minorHAnsi" w:hAnsiTheme="minorHAnsi"/>
                <w:u w:val="single"/>
                <w:lang w:val="es-AR"/>
              </w:rPr>
            </w:pPr>
          </w:p>
          <w:p w14:paraId="3B0B4F28" w14:textId="03160017" w:rsidR="008D3AE0" w:rsidRPr="00512A24" w:rsidRDefault="00512A24" w:rsidP="00EE44C0">
            <w:pPr>
              <w:pStyle w:val="BodyText2"/>
              <w:jc w:val="both"/>
              <w:rPr>
                <w:rFonts w:asciiTheme="minorHAnsi" w:hAnsiTheme="minorHAnsi"/>
                <w:lang w:val="es-PE"/>
              </w:rPr>
            </w:pPr>
            <w:r w:rsidRPr="00512A24">
              <w:rPr>
                <w:rFonts w:asciiTheme="minorHAnsi" w:hAnsiTheme="minorHAnsi"/>
                <w:lang w:val="es-AR"/>
              </w:rPr>
              <w:t>El PNUD brindó cooperación en áreas estratégicas y alineadas con las prioridades de desarrollo nacionales, y en un contexto donde la reducción de la pobreza</w:t>
            </w:r>
            <w:r w:rsidR="005922A9">
              <w:rPr>
                <w:rFonts w:asciiTheme="minorHAnsi" w:hAnsiTheme="minorHAnsi"/>
                <w:lang w:val="es-AR"/>
              </w:rPr>
              <w:t xml:space="preserve"> y </w:t>
            </w:r>
            <w:r w:rsidRPr="00512A24">
              <w:rPr>
                <w:rFonts w:asciiTheme="minorHAnsi" w:hAnsiTheme="minorHAnsi"/>
                <w:lang w:val="es-AR"/>
              </w:rPr>
              <w:t>la inclusi</w:t>
            </w:r>
            <w:r>
              <w:rPr>
                <w:rFonts w:asciiTheme="minorHAnsi" w:hAnsiTheme="minorHAnsi"/>
                <w:lang w:val="es-AR"/>
              </w:rPr>
              <w:t>ón social y económica</w:t>
            </w:r>
            <w:r w:rsidRPr="00512A24">
              <w:rPr>
                <w:rFonts w:asciiTheme="minorHAnsi" w:hAnsiTheme="minorHAnsi"/>
                <w:lang w:val="es-AR"/>
              </w:rPr>
              <w:t xml:space="preserve"> </w:t>
            </w:r>
            <w:r>
              <w:rPr>
                <w:rFonts w:asciiTheme="minorHAnsi" w:hAnsiTheme="minorHAnsi"/>
                <w:lang w:val="es-AR"/>
              </w:rPr>
              <w:t>son prioridades del gobierno.</w:t>
            </w:r>
            <w:r w:rsidR="004A03D5">
              <w:rPr>
                <w:rFonts w:asciiTheme="minorHAnsi" w:hAnsiTheme="minorHAnsi"/>
                <w:lang w:val="es-AR"/>
              </w:rPr>
              <w:t xml:space="preserve"> </w:t>
            </w:r>
            <w:r w:rsidR="005922A9">
              <w:rPr>
                <w:rFonts w:asciiTheme="minorHAnsi" w:hAnsiTheme="minorHAnsi"/>
                <w:lang w:val="es-AR"/>
              </w:rPr>
              <w:t xml:space="preserve">Proveyó asistencia técnica para la creación del Ministerio de Desarrollo e Inclusión Social (MIDIS) y la formulación de la Estrategia Nacional de Desarrollo e Inclusión Social “Incluir para Crecer”; la formulación del Plan de Desarrollo Concertado de Lima Metropolitana y del Plan de Desarrollo Urbano Lima al 2035 (PLAM35); así como asesoría de política para integrar el concepto de pobreza </w:t>
            </w:r>
            <w:r>
              <w:rPr>
                <w:rFonts w:asciiTheme="minorHAnsi" w:hAnsiTheme="minorHAnsi"/>
                <w:lang w:val="es-PE"/>
              </w:rPr>
              <w:t xml:space="preserve">multidimensional </w:t>
            </w:r>
            <w:r w:rsidR="005922A9">
              <w:rPr>
                <w:rFonts w:asciiTheme="minorHAnsi" w:hAnsiTheme="minorHAnsi"/>
                <w:lang w:val="es-PE"/>
              </w:rPr>
              <w:t>en la agenda pública</w:t>
            </w:r>
            <w:r>
              <w:rPr>
                <w:rFonts w:asciiTheme="minorHAnsi" w:hAnsiTheme="minorHAnsi"/>
                <w:lang w:val="es-PE"/>
              </w:rPr>
              <w:t>.</w:t>
            </w:r>
            <w:r w:rsidR="004A03D5">
              <w:rPr>
                <w:rFonts w:asciiTheme="minorHAnsi" w:hAnsiTheme="minorHAnsi"/>
                <w:lang w:val="es-AR"/>
              </w:rPr>
              <w:t xml:space="preserve">. </w:t>
            </w:r>
            <w:r w:rsidR="009D2AED">
              <w:rPr>
                <w:rFonts w:asciiTheme="minorHAnsi" w:hAnsiTheme="minorHAnsi"/>
                <w:lang w:val="es-AR"/>
              </w:rPr>
              <w:t xml:space="preserve">El Informe de Desarrollo Humano 2013 y la divulgación de los índices de desarrollo humano y densidad del estado contribuyeron al seguimiento de progreso en desarrollo por parte de diversas entidades. Su apoyo a la Mesa de Concertación para la Lucha contra la Pobreza contribuyó a la inclusión de dimensiones económicas, ambientales e institucionales en los acuerdos de gobernabilidad regional y a su adecuada medición alineada con los Objetivos de Desarrollo del Milenio y los Objetivos de Desarrollo Sostenible. </w:t>
            </w:r>
          </w:p>
          <w:p w14:paraId="3BE880BB" w14:textId="77777777" w:rsidR="00793B18" w:rsidRPr="00512A24" w:rsidRDefault="00793B18" w:rsidP="00B97C15">
            <w:pPr>
              <w:pStyle w:val="BodyText2"/>
              <w:jc w:val="both"/>
              <w:rPr>
                <w:rFonts w:asciiTheme="minorHAnsi" w:hAnsiTheme="minorHAnsi"/>
                <w:lang w:val="es-PE"/>
              </w:rPr>
            </w:pPr>
          </w:p>
          <w:p w14:paraId="619F5F8C" w14:textId="7E0E1CE9" w:rsidR="004750A8" w:rsidRDefault="00793B18" w:rsidP="00793B18">
            <w:pPr>
              <w:widowControl/>
              <w:autoSpaceDE w:val="0"/>
              <w:autoSpaceDN w:val="0"/>
              <w:adjustRightInd w:val="0"/>
              <w:rPr>
                <w:rFonts w:asciiTheme="minorHAnsi" w:hAnsiTheme="minorHAnsi"/>
                <w:lang w:val="es-AR"/>
              </w:rPr>
            </w:pPr>
            <w:r>
              <w:rPr>
                <w:rFonts w:asciiTheme="minorHAnsi" w:hAnsiTheme="minorHAnsi"/>
                <w:sz w:val="20"/>
                <w:lang w:val="es-AR"/>
              </w:rPr>
              <w:t xml:space="preserve">Como logros se destaca: </w:t>
            </w:r>
            <w:r w:rsidR="00B97C15" w:rsidRPr="00B97C15">
              <w:rPr>
                <w:rFonts w:asciiTheme="minorHAnsi" w:hAnsiTheme="minorHAnsi"/>
                <w:lang w:val="es-AR"/>
              </w:rPr>
              <w:t xml:space="preserve"> </w:t>
            </w:r>
          </w:p>
          <w:p w14:paraId="77C90068" w14:textId="610E6020" w:rsidR="009D2AED" w:rsidRDefault="008D3AE0" w:rsidP="008D3AE0">
            <w:pPr>
              <w:pStyle w:val="ListParagraph"/>
              <w:numPr>
                <w:ilvl w:val="0"/>
                <w:numId w:val="26"/>
              </w:numPr>
              <w:autoSpaceDE w:val="0"/>
              <w:autoSpaceDN w:val="0"/>
              <w:adjustRightInd w:val="0"/>
              <w:jc w:val="both"/>
              <w:rPr>
                <w:rFonts w:asciiTheme="minorHAnsi" w:hAnsiTheme="minorHAnsi"/>
                <w:sz w:val="20"/>
                <w:szCs w:val="20"/>
                <w:lang w:val="es-AR"/>
              </w:rPr>
            </w:pPr>
            <w:r>
              <w:rPr>
                <w:rFonts w:asciiTheme="minorHAnsi" w:hAnsiTheme="minorHAnsi"/>
                <w:sz w:val="20"/>
                <w:szCs w:val="20"/>
                <w:lang w:val="es-AR"/>
              </w:rPr>
              <w:t>Posicionamiento de</w:t>
            </w:r>
            <w:r w:rsidRPr="008D3AE0">
              <w:rPr>
                <w:rFonts w:asciiTheme="minorHAnsi" w:hAnsiTheme="minorHAnsi"/>
                <w:sz w:val="20"/>
                <w:szCs w:val="20"/>
                <w:lang w:val="es-AR"/>
              </w:rPr>
              <w:t>l concepto de pobreza multidimensional</w:t>
            </w:r>
            <w:r w:rsidR="009D2AED">
              <w:rPr>
                <w:rFonts w:asciiTheme="minorHAnsi" w:hAnsiTheme="minorHAnsi"/>
                <w:sz w:val="20"/>
                <w:szCs w:val="20"/>
                <w:lang w:val="es-AR"/>
              </w:rPr>
              <w:t xml:space="preserve"> en la agenda pública y posterior determinación para iniciar su medición.</w:t>
            </w:r>
          </w:p>
          <w:p w14:paraId="2D92AFAA" w14:textId="359EA841" w:rsidR="004750A8" w:rsidRDefault="009D2AED" w:rsidP="00B33498">
            <w:pPr>
              <w:pStyle w:val="ListParagraph"/>
              <w:numPr>
                <w:ilvl w:val="0"/>
                <w:numId w:val="26"/>
              </w:numPr>
              <w:autoSpaceDE w:val="0"/>
              <w:autoSpaceDN w:val="0"/>
              <w:adjustRightInd w:val="0"/>
              <w:jc w:val="both"/>
              <w:rPr>
                <w:rFonts w:asciiTheme="minorHAnsi" w:hAnsiTheme="minorHAnsi"/>
                <w:sz w:val="20"/>
                <w:szCs w:val="20"/>
                <w:lang w:val="es-AR"/>
              </w:rPr>
            </w:pPr>
            <w:r>
              <w:rPr>
                <w:rFonts w:asciiTheme="minorHAnsi" w:hAnsiTheme="minorHAnsi"/>
                <w:sz w:val="20"/>
                <w:szCs w:val="20"/>
                <w:lang w:val="es-AR"/>
              </w:rPr>
              <w:t>Piloto de inclusión financiera basado en bancos rurales autogestionados en zonas de pobreza con Corporación Financiera de Desarrollo (COFIDE) que permitió acceso a crédito a alrededor de 5,000 familias en condición de pobreza en áreas rurales de Lambayeque, Ayacucho e Ica.</w:t>
            </w:r>
            <w:r w:rsidRPr="004A03D5" w:rsidDel="009D2AED">
              <w:rPr>
                <w:rFonts w:asciiTheme="minorHAnsi" w:hAnsiTheme="minorHAnsi"/>
                <w:sz w:val="20"/>
                <w:szCs w:val="20"/>
                <w:lang w:val="es-AR"/>
              </w:rPr>
              <w:t xml:space="preserve"> </w:t>
            </w:r>
          </w:p>
          <w:p w14:paraId="6F69D9DB" w14:textId="2AE4B63E" w:rsidR="004A03D5" w:rsidRPr="004A03D5" w:rsidRDefault="009D2AED" w:rsidP="00B33498">
            <w:pPr>
              <w:pStyle w:val="ListParagraph"/>
              <w:numPr>
                <w:ilvl w:val="0"/>
                <w:numId w:val="26"/>
              </w:numPr>
              <w:autoSpaceDE w:val="0"/>
              <w:autoSpaceDN w:val="0"/>
              <w:adjustRightInd w:val="0"/>
              <w:jc w:val="both"/>
              <w:rPr>
                <w:rFonts w:asciiTheme="minorHAnsi" w:hAnsiTheme="minorHAnsi"/>
                <w:sz w:val="20"/>
                <w:szCs w:val="20"/>
                <w:lang w:val="es-AR"/>
              </w:rPr>
            </w:pPr>
            <w:r>
              <w:rPr>
                <w:rFonts w:asciiTheme="minorHAnsi" w:hAnsiTheme="minorHAnsi"/>
                <w:sz w:val="20"/>
                <w:szCs w:val="20"/>
                <w:lang w:val="es-AR"/>
              </w:rPr>
              <w:t xml:space="preserve">Desarrollo económico inclusivo en sectores de gastronomía, artesanía, turismo rural comunitario y agricultura orgánica en provincias de 4 regiones del país: por medio de éste, se contribuyó a que aproximadamente 60 asociaciones de productores mejorasen sus </w:t>
            </w:r>
            <w:r w:rsidR="004A03D5" w:rsidRPr="004A03D5">
              <w:rPr>
                <w:rFonts w:asciiTheme="minorHAnsi" w:hAnsiTheme="minorHAnsi"/>
                <w:sz w:val="20"/>
                <w:szCs w:val="20"/>
                <w:lang w:val="es-AR"/>
              </w:rPr>
              <w:t>capacidades productivas</w:t>
            </w:r>
            <w:r>
              <w:rPr>
                <w:rFonts w:asciiTheme="minorHAnsi" w:hAnsiTheme="minorHAnsi"/>
                <w:sz w:val="20"/>
                <w:szCs w:val="20"/>
                <w:lang w:val="es-AR"/>
              </w:rPr>
              <w:t xml:space="preserve"> y</w:t>
            </w:r>
            <w:r w:rsidR="004A03D5" w:rsidRPr="004A03D5">
              <w:rPr>
                <w:rFonts w:asciiTheme="minorHAnsi" w:hAnsiTheme="minorHAnsi"/>
                <w:sz w:val="20"/>
                <w:szCs w:val="20"/>
                <w:lang w:val="es-AR"/>
              </w:rPr>
              <w:t xml:space="preserve"> de gestión</w:t>
            </w:r>
            <w:r>
              <w:rPr>
                <w:rFonts w:asciiTheme="minorHAnsi" w:hAnsiTheme="minorHAnsi"/>
                <w:sz w:val="20"/>
                <w:szCs w:val="20"/>
                <w:lang w:val="es-AR"/>
              </w:rPr>
              <w:t xml:space="preserve">, y se insertasen </w:t>
            </w:r>
            <w:r w:rsidR="004A03D5" w:rsidRPr="004A03D5">
              <w:rPr>
                <w:rFonts w:asciiTheme="minorHAnsi" w:hAnsiTheme="minorHAnsi"/>
                <w:sz w:val="20"/>
                <w:szCs w:val="20"/>
                <w:lang w:val="es-AR"/>
              </w:rPr>
              <w:t>al mercado, mejorando la calidad de vida de más de 2.500 familias</w:t>
            </w:r>
            <w:r w:rsidR="004A03D5">
              <w:rPr>
                <w:rFonts w:asciiTheme="minorHAnsi" w:hAnsiTheme="minorHAnsi"/>
                <w:sz w:val="20"/>
                <w:szCs w:val="20"/>
                <w:lang w:val="es-AR"/>
              </w:rPr>
              <w:t>.</w:t>
            </w:r>
            <w:r>
              <w:rPr>
                <w:rFonts w:asciiTheme="minorHAnsi" w:hAnsiTheme="minorHAnsi"/>
                <w:sz w:val="20"/>
                <w:szCs w:val="20"/>
                <w:lang w:val="es-AR"/>
              </w:rPr>
              <w:t xml:space="preserve"> De igual manera, pilotos para la reconversión genética de ovinos de leche y el mejoramiento de la fibra de alpaca en distritos rurales altoandinos contribuy</w:t>
            </w:r>
            <w:r w:rsidR="003260C1">
              <w:rPr>
                <w:rFonts w:asciiTheme="minorHAnsi" w:hAnsiTheme="minorHAnsi"/>
                <w:sz w:val="20"/>
                <w:szCs w:val="20"/>
                <w:lang w:val="es-AR"/>
              </w:rPr>
              <w:t>eron a</w:t>
            </w:r>
            <w:r>
              <w:rPr>
                <w:rFonts w:asciiTheme="minorHAnsi" w:hAnsiTheme="minorHAnsi"/>
                <w:sz w:val="20"/>
                <w:szCs w:val="20"/>
                <w:lang w:val="es-AR"/>
              </w:rPr>
              <w:t xml:space="preserve"> mejorar los medios de vida de las asociaciones comunitarias de ganaderos, </w:t>
            </w:r>
            <w:r w:rsidR="003260C1">
              <w:rPr>
                <w:rFonts w:asciiTheme="minorHAnsi" w:hAnsiTheme="minorHAnsi"/>
                <w:sz w:val="20"/>
                <w:szCs w:val="20"/>
                <w:lang w:val="es-AR"/>
              </w:rPr>
              <w:t xml:space="preserve">y </w:t>
            </w:r>
            <w:r>
              <w:rPr>
                <w:rFonts w:asciiTheme="minorHAnsi" w:hAnsiTheme="minorHAnsi"/>
                <w:sz w:val="20"/>
                <w:szCs w:val="20"/>
                <w:lang w:val="es-AR"/>
              </w:rPr>
              <w:t>a desarrollar modelo</w:t>
            </w:r>
            <w:r w:rsidR="003260C1">
              <w:rPr>
                <w:rFonts w:asciiTheme="minorHAnsi" w:hAnsiTheme="minorHAnsi"/>
                <w:sz w:val="20"/>
                <w:szCs w:val="20"/>
                <w:lang w:val="es-AR"/>
              </w:rPr>
              <w:t>s</w:t>
            </w:r>
            <w:r>
              <w:rPr>
                <w:rFonts w:asciiTheme="minorHAnsi" w:hAnsiTheme="minorHAnsi"/>
                <w:sz w:val="20"/>
                <w:szCs w:val="20"/>
                <w:lang w:val="es-AR"/>
              </w:rPr>
              <w:t xml:space="preserve"> replicable</w:t>
            </w:r>
            <w:r w:rsidR="003260C1">
              <w:rPr>
                <w:rFonts w:asciiTheme="minorHAnsi" w:hAnsiTheme="minorHAnsi"/>
                <w:sz w:val="20"/>
                <w:szCs w:val="20"/>
                <w:lang w:val="es-AR"/>
              </w:rPr>
              <w:t>s</w:t>
            </w:r>
            <w:r>
              <w:rPr>
                <w:rFonts w:asciiTheme="minorHAnsi" w:hAnsiTheme="minorHAnsi"/>
                <w:sz w:val="20"/>
                <w:szCs w:val="20"/>
                <w:lang w:val="es-AR"/>
              </w:rPr>
              <w:t>, actualmente en propiedad del Ministerio de Agricultura.</w:t>
            </w:r>
          </w:p>
          <w:p w14:paraId="4AD7A33D" w14:textId="09444B71" w:rsidR="00B97C15" w:rsidRDefault="004A03D5" w:rsidP="00B33498">
            <w:pPr>
              <w:pStyle w:val="ListParagraph"/>
              <w:numPr>
                <w:ilvl w:val="0"/>
                <w:numId w:val="26"/>
              </w:numPr>
              <w:autoSpaceDE w:val="0"/>
              <w:autoSpaceDN w:val="0"/>
              <w:adjustRightInd w:val="0"/>
              <w:jc w:val="both"/>
              <w:rPr>
                <w:rFonts w:asciiTheme="minorHAnsi" w:hAnsiTheme="minorHAnsi"/>
                <w:sz w:val="20"/>
                <w:lang w:val="es-AR"/>
              </w:rPr>
            </w:pPr>
            <w:r w:rsidRPr="004A03D5">
              <w:rPr>
                <w:rFonts w:asciiTheme="minorHAnsi" w:hAnsiTheme="minorHAnsi"/>
                <w:sz w:val="20"/>
                <w:lang w:val="es-AR"/>
              </w:rPr>
              <w:t xml:space="preserve">Planes de acción para la reducción de la desnutrición crónica infantil suscritos como parte de la aplicación del Marco de Aceleración de los ODM en </w:t>
            </w:r>
            <w:r w:rsidR="003260C1">
              <w:rPr>
                <w:rFonts w:asciiTheme="minorHAnsi" w:hAnsiTheme="minorHAnsi"/>
                <w:sz w:val="20"/>
                <w:lang w:val="es-AR"/>
              </w:rPr>
              <w:t xml:space="preserve">8 </w:t>
            </w:r>
            <w:r w:rsidRPr="004A03D5">
              <w:rPr>
                <w:rFonts w:asciiTheme="minorHAnsi" w:hAnsiTheme="minorHAnsi"/>
                <w:sz w:val="20"/>
                <w:lang w:val="es-AR"/>
              </w:rPr>
              <w:t xml:space="preserve">provincias con alta incidencia de pobreza </w:t>
            </w:r>
            <w:r w:rsidR="003260C1">
              <w:rPr>
                <w:rFonts w:asciiTheme="minorHAnsi" w:hAnsiTheme="minorHAnsi"/>
                <w:sz w:val="20"/>
                <w:lang w:val="es-AR"/>
              </w:rPr>
              <w:t xml:space="preserve">en las regiones de </w:t>
            </w:r>
            <w:r w:rsidRPr="004A03D5">
              <w:rPr>
                <w:rFonts w:asciiTheme="minorHAnsi" w:hAnsiTheme="minorHAnsi"/>
                <w:sz w:val="20"/>
                <w:lang w:val="es-AR"/>
              </w:rPr>
              <w:t>La Libertad, Huancavelica y Amazonas</w:t>
            </w:r>
            <w:r w:rsidR="00B97C15" w:rsidRPr="00B97C15">
              <w:rPr>
                <w:rFonts w:asciiTheme="minorHAnsi" w:hAnsiTheme="minorHAnsi"/>
                <w:sz w:val="20"/>
                <w:lang w:val="es-AR"/>
              </w:rPr>
              <w:t>.</w:t>
            </w:r>
          </w:p>
          <w:p w14:paraId="4D9E3E97" w14:textId="1C0EDB76" w:rsidR="004A03D5" w:rsidRDefault="003260C1" w:rsidP="00B33498">
            <w:pPr>
              <w:pStyle w:val="ListParagraph"/>
              <w:numPr>
                <w:ilvl w:val="0"/>
                <w:numId w:val="26"/>
              </w:numPr>
              <w:autoSpaceDE w:val="0"/>
              <w:autoSpaceDN w:val="0"/>
              <w:adjustRightInd w:val="0"/>
              <w:jc w:val="both"/>
              <w:rPr>
                <w:rFonts w:asciiTheme="minorHAnsi" w:hAnsiTheme="minorHAnsi"/>
                <w:sz w:val="20"/>
                <w:lang w:val="es-AR"/>
              </w:rPr>
            </w:pPr>
            <w:r>
              <w:rPr>
                <w:rFonts w:asciiTheme="minorHAnsi" w:hAnsiTheme="minorHAnsi"/>
                <w:sz w:val="20"/>
                <w:lang w:val="es-AR"/>
              </w:rPr>
              <w:t xml:space="preserve">Asistencia técnica para la creación del MIDIS y la formulación de la </w:t>
            </w:r>
            <w:r w:rsidR="004A03D5" w:rsidRPr="004A03D5">
              <w:rPr>
                <w:rFonts w:asciiTheme="minorHAnsi" w:hAnsiTheme="minorHAnsi"/>
                <w:sz w:val="20"/>
                <w:lang w:val="es-AR"/>
              </w:rPr>
              <w:t xml:space="preserve">Estrategia Nacional de Desarrollo e Inclusión Social “Incluir para Crecer” (elaborada y presentada), en la cual el PNUD contribuyó </w:t>
            </w:r>
            <w:r>
              <w:rPr>
                <w:rFonts w:asciiTheme="minorHAnsi" w:hAnsiTheme="minorHAnsi"/>
                <w:sz w:val="20"/>
                <w:lang w:val="es-AR"/>
              </w:rPr>
              <w:t xml:space="preserve">especialmente </w:t>
            </w:r>
            <w:r w:rsidR="004A03D5" w:rsidRPr="004A03D5">
              <w:rPr>
                <w:rFonts w:asciiTheme="minorHAnsi" w:hAnsiTheme="minorHAnsi"/>
                <w:sz w:val="20"/>
                <w:lang w:val="es-AR"/>
              </w:rPr>
              <w:t>a la definición de los ejes de Inclusión Económica y Protección del Adulto Mayor</w:t>
            </w:r>
            <w:r w:rsidR="004A03D5">
              <w:rPr>
                <w:rFonts w:asciiTheme="minorHAnsi" w:hAnsiTheme="minorHAnsi"/>
                <w:sz w:val="20"/>
                <w:lang w:val="es-AR"/>
              </w:rPr>
              <w:t>.</w:t>
            </w:r>
            <w:r>
              <w:rPr>
                <w:rFonts w:asciiTheme="minorHAnsi" w:hAnsiTheme="minorHAnsi"/>
                <w:sz w:val="20"/>
                <w:lang w:val="es-AR"/>
              </w:rPr>
              <w:t xml:space="preserve"> Asistencia técnica para fortalecimiento de capacidades de gestión de gobiernos subnacionales para que accedan a incentivos de Fondo Económico de Desempeno (FED) del MIDIS y mejoren logros de desarrollo social.</w:t>
            </w:r>
          </w:p>
          <w:p w14:paraId="2079B608" w14:textId="63E4B827" w:rsidR="003260C1" w:rsidRDefault="003260C1" w:rsidP="00B33498">
            <w:pPr>
              <w:pStyle w:val="ListParagraph"/>
              <w:numPr>
                <w:ilvl w:val="0"/>
                <w:numId w:val="26"/>
              </w:numPr>
              <w:autoSpaceDE w:val="0"/>
              <w:autoSpaceDN w:val="0"/>
              <w:adjustRightInd w:val="0"/>
              <w:jc w:val="both"/>
              <w:rPr>
                <w:rFonts w:asciiTheme="minorHAnsi" w:hAnsiTheme="minorHAnsi"/>
                <w:sz w:val="20"/>
                <w:lang w:val="es-AR"/>
              </w:rPr>
            </w:pPr>
            <w:r>
              <w:rPr>
                <w:rFonts w:asciiTheme="minorHAnsi" w:hAnsiTheme="minorHAnsi"/>
                <w:sz w:val="20"/>
                <w:lang w:val="es-AR"/>
              </w:rPr>
              <w:t>Asistencia técnica para adecuar políticas e instrumentos de servicios públicos a especificidades territoriales, especialmente en caso de la Amazonía (elaboración de 1 inventario).</w:t>
            </w:r>
          </w:p>
          <w:p w14:paraId="4AD4021E" w14:textId="362C3B31" w:rsidR="004A03D5" w:rsidRDefault="003260C1" w:rsidP="00B33498">
            <w:pPr>
              <w:pStyle w:val="ListParagraph"/>
              <w:numPr>
                <w:ilvl w:val="0"/>
                <w:numId w:val="26"/>
              </w:numPr>
              <w:autoSpaceDE w:val="0"/>
              <w:autoSpaceDN w:val="0"/>
              <w:adjustRightInd w:val="0"/>
              <w:jc w:val="both"/>
              <w:rPr>
                <w:rFonts w:asciiTheme="minorHAnsi" w:hAnsiTheme="minorHAnsi"/>
                <w:sz w:val="20"/>
                <w:lang w:val="es-AR"/>
              </w:rPr>
            </w:pPr>
            <w:r>
              <w:rPr>
                <w:rFonts w:asciiTheme="minorHAnsi" w:hAnsiTheme="minorHAnsi"/>
                <w:sz w:val="20"/>
                <w:lang w:val="es-AR"/>
              </w:rPr>
              <w:lastRenderedPageBreak/>
              <w:t xml:space="preserve">Apoyo técnico y operativo para </w:t>
            </w:r>
            <w:r w:rsidR="004A03D5" w:rsidRPr="004A03D5">
              <w:rPr>
                <w:rFonts w:asciiTheme="minorHAnsi" w:hAnsiTheme="minorHAnsi"/>
                <w:sz w:val="20"/>
                <w:lang w:val="es-AR"/>
              </w:rPr>
              <w:t xml:space="preserve">implementación del Programa Nacional de Alimentación Escolar “Qali Warma”, </w:t>
            </w:r>
            <w:r>
              <w:rPr>
                <w:rFonts w:asciiTheme="minorHAnsi" w:hAnsiTheme="minorHAnsi"/>
                <w:sz w:val="20"/>
                <w:lang w:val="es-AR"/>
              </w:rPr>
              <w:t xml:space="preserve">contribuyendo a beneficiar </w:t>
            </w:r>
            <w:r w:rsidR="004A03D5" w:rsidRPr="004A03D5">
              <w:rPr>
                <w:rFonts w:asciiTheme="minorHAnsi" w:hAnsiTheme="minorHAnsi"/>
                <w:sz w:val="20"/>
                <w:lang w:val="es-AR"/>
              </w:rPr>
              <w:t xml:space="preserve">3 millones de niños </w:t>
            </w:r>
            <w:r>
              <w:rPr>
                <w:rFonts w:asciiTheme="minorHAnsi" w:hAnsiTheme="minorHAnsi"/>
                <w:sz w:val="20"/>
                <w:lang w:val="es-AR"/>
              </w:rPr>
              <w:t xml:space="preserve">y ninas </w:t>
            </w:r>
            <w:r w:rsidR="004A03D5" w:rsidRPr="004A03D5">
              <w:rPr>
                <w:rFonts w:asciiTheme="minorHAnsi" w:hAnsiTheme="minorHAnsi"/>
                <w:sz w:val="20"/>
                <w:lang w:val="es-AR"/>
              </w:rPr>
              <w:t xml:space="preserve">en más de 50.000 escuelas públicas en áreas urbanas y rurales. </w:t>
            </w:r>
          </w:p>
          <w:p w14:paraId="55C2AA0B" w14:textId="77304FA9" w:rsidR="003260C1" w:rsidRPr="0084799A" w:rsidRDefault="004A03D5" w:rsidP="003260C1">
            <w:pPr>
              <w:pStyle w:val="ListParagraph"/>
              <w:numPr>
                <w:ilvl w:val="0"/>
                <w:numId w:val="26"/>
              </w:numPr>
              <w:autoSpaceDE w:val="0"/>
              <w:autoSpaceDN w:val="0"/>
              <w:adjustRightInd w:val="0"/>
              <w:jc w:val="both"/>
              <w:rPr>
                <w:rFonts w:asciiTheme="minorHAnsi" w:hAnsiTheme="minorHAnsi" w:cs="Helvetica"/>
                <w:sz w:val="20"/>
                <w:lang w:val="es-PE"/>
              </w:rPr>
            </w:pPr>
            <w:r w:rsidRPr="004A03D5">
              <w:rPr>
                <w:rFonts w:asciiTheme="minorHAnsi" w:hAnsiTheme="minorHAnsi"/>
                <w:sz w:val="20"/>
                <w:lang w:val="es-AR"/>
              </w:rPr>
              <w:t xml:space="preserve">Suscripción de 26 acuerdos de gobernabilidad para la reducción de la pobreza y el desarrollo sostenible por los candidatos y candidatas a las Gobernaciones Regionales en el marco del </w:t>
            </w:r>
            <w:r w:rsidR="003260C1">
              <w:rPr>
                <w:rFonts w:asciiTheme="minorHAnsi" w:hAnsiTheme="minorHAnsi"/>
                <w:sz w:val="20"/>
                <w:lang w:val="es-AR"/>
              </w:rPr>
              <w:t xml:space="preserve">trabajo con la Mesa de Concertación para la Lucha contra la Pobreza.  </w:t>
            </w:r>
            <w:r w:rsidR="003260C1" w:rsidRPr="0084799A">
              <w:rPr>
                <w:rFonts w:asciiTheme="minorHAnsi" w:hAnsiTheme="minorHAnsi"/>
                <w:sz w:val="20"/>
                <w:lang w:val="es-AR"/>
              </w:rPr>
              <w:t>Con la asistencia técnica del PNUD, un sistema de seguimiento de indicadores para evaluar el cumplimiento de los acuerdos de gobernanza sub-nacional fue desarrollado e implementado por la Mesa de Concertación para la Lucha contra la Pobreza (MCLCP), así como una propuesta metodológica para vincular estos indicadores con la Agenda 2030 de UN</w:t>
            </w:r>
            <w:r w:rsidR="003260C1">
              <w:rPr>
                <w:rFonts w:asciiTheme="minorHAnsi" w:hAnsiTheme="minorHAnsi"/>
                <w:sz w:val="20"/>
                <w:lang w:val="es-AR"/>
              </w:rPr>
              <w:t>.</w:t>
            </w:r>
          </w:p>
          <w:p w14:paraId="20E07A08" w14:textId="77777777" w:rsidR="0084799A" w:rsidRPr="0084799A" w:rsidRDefault="0084799A" w:rsidP="004A03D5">
            <w:pPr>
              <w:pStyle w:val="ListParagraph"/>
              <w:numPr>
                <w:ilvl w:val="0"/>
                <w:numId w:val="26"/>
              </w:numPr>
              <w:autoSpaceDE w:val="0"/>
              <w:autoSpaceDN w:val="0"/>
              <w:adjustRightInd w:val="0"/>
              <w:jc w:val="both"/>
              <w:rPr>
                <w:rFonts w:asciiTheme="minorHAnsi" w:hAnsiTheme="minorHAnsi" w:cs="Helvetica"/>
                <w:sz w:val="20"/>
                <w:lang w:val="es-PE"/>
              </w:rPr>
            </w:pPr>
            <w:r w:rsidRPr="0084799A">
              <w:rPr>
                <w:rFonts w:asciiTheme="minorHAnsi" w:hAnsiTheme="minorHAnsi"/>
                <w:sz w:val="20"/>
                <w:lang w:val="es-AR"/>
              </w:rPr>
              <w:t>Informe Nacional de Desarrollo Humano Perú 2013. “Cambio climático y territorio: Desafíos y respuestas para un futuro sostenible” (elaborado y publicado)</w:t>
            </w:r>
            <w:r>
              <w:rPr>
                <w:rFonts w:asciiTheme="minorHAnsi" w:hAnsiTheme="minorHAnsi"/>
                <w:sz w:val="20"/>
                <w:lang w:val="es-AR"/>
              </w:rPr>
              <w:t>.</w:t>
            </w:r>
          </w:p>
          <w:p w14:paraId="5EB64904" w14:textId="77777777" w:rsidR="0084799A" w:rsidRPr="0084799A" w:rsidRDefault="0084799A" w:rsidP="0084799A">
            <w:pPr>
              <w:autoSpaceDE w:val="0"/>
              <w:autoSpaceDN w:val="0"/>
              <w:adjustRightInd w:val="0"/>
              <w:jc w:val="both"/>
              <w:rPr>
                <w:rFonts w:asciiTheme="minorHAnsi" w:hAnsiTheme="minorHAnsi" w:cs="Helvetica"/>
                <w:sz w:val="20"/>
                <w:lang w:val="es-PE"/>
              </w:rPr>
            </w:pPr>
          </w:p>
        </w:tc>
      </w:tr>
      <w:tr w:rsidR="00957BA1" w:rsidRPr="001B524E" w14:paraId="5E3D2702" w14:textId="77777777" w:rsidTr="00FB3FE5">
        <w:tc>
          <w:tcPr>
            <w:tcW w:w="2977" w:type="dxa"/>
            <w:tcBorders>
              <w:bottom w:val="single" w:sz="4" w:space="0" w:color="auto"/>
            </w:tcBorders>
            <w:shd w:val="clear" w:color="auto" w:fill="8EAADB" w:themeFill="accent5" w:themeFillTint="99"/>
          </w:tcPr>
          <w:p w14:paraId="56B4FF8C" w14:textId="27CCB8AF" w:rsidR="00980D8C" w:rsidRPr="00980D8C" w:rsidRDefault="00957BA1" w:rsidP="004267A9">
            <w:pPr>
              <w:widowControl/>
              <w:autoSpaceDE w:val="0"/>
              <w:autoSpaceDN w:val="0"/>
              <w:adjustRightInd w:val="0"/>
              <w:jc w:val="both"/>
              <w:rPr>
                <w:rFonts w:asciiTheme="minorHAnsi" w:hAnsiTheme="minorHAnsi" w:cs="Helvetica-Bold"/>
                <w:b/>
                <w:bCs/>
                <w:sz w:val="20"/>
                <w:lang w:val="es-AR"/>
              </w:rPr>
            </w:pPr>
            <w:r w:rsidRPr="00980D8C">
              <w:rPr>
                <w:rFonts w:asciiTheme="minorHAnsi" w:hAnsiTheme="minorHAnsi" w:cs="Helvetica-Bold"/>
                <w:b/>
                <w:bCs/>
                <w:sz w:val="20"/>
                <w:lang w:val="es-AR"/>
              </w:rPr>
              <w:lastRenderedPageBreak/>
              <w:t xml:space="preserve">OUTCOME </w:t>
            </w:r>
            <w:r w:rsidR="00980D8C" w:rsidRPr="00980D8C">
              <w:rPr>
                <w:rFonts w:asciiTheme="minorHAnsi" w:hAnsiTheme="minorHAnsi" w:cs="Helvetica-Bold"/>
                <w:b/>
                <w:bCs/>
                <w:sz w:val="20"/>
                <w:lang w:val="es-AR"/>
              </w:rPr>
              <w:t>3</w:t>
            </w:r>
          </w:p>
          <w:p w14:paraId="78BC7286" w14:textId="468BCDF0" w:rsidR="00957BA1" w:rsidRPr="00980D8C" w:rsidRDefault="00DC585F" w:rsidP="00DC585F">
            <w:pPr>
              <w:pStyle w:val="Default"/>
              <w:jc w:val="both"/>
              <w:rPr>
                <w:rFonts w:asciiTheme="minorHAnsi" w:hAnsiTheme="minorHAnsi"/>
                <w:b/>
                <w:sz w:val="20"/>
                <w:szCs w:val="20"/>
                <w:lang w:val="es-AR"/>
              </w:rPr>
            </w:pPr>
            <w:r>
              <w:rPr>
                <w:rFonts w:asciiTheme="minorHAnsi" w:hAnsiTheme="minorHAnsi"/>
                <w:sz w:val="20"/>
                <w:szCs w:val="20"/>
                <w:lang w:val="es-AR"/>
              </w:rPr>
              <w:t>Prevención de las crisis y recuperación posterior. Medio ambiente y desarrollo sostenible</w:t>
            </w:r>
          </w:p>
        </w:tc>
        <w:tc>
          <w:tcPr>
            <w:tcW w:w="1701" w:type="dxa"/>
            <w:tcBorders>
              <w:bottom w:val="single" w:sz="4" w:space="0" w:color="auto"/>
            </w:tcBorders>
            <w:shd w:val="clear" w:color="auto" w:fill="auto"/>
          </w:tcPr>
          <w:p w14:paraId="7082889F" w14:textId="094C8713" w:rsidR="008402FC" w:rsidRPr="007578A1" w:rsidRDefault="00CA5C29" w:rsidP="00CA5C29">
            <w:pPr>
              <w:widowControl/>
              <w:jc w:val="right"/>
              <w:rPr>
                <w:rFonts w:ascii="Calibri" w:hAnsi="Calibri"/>
                <w:color w:val="000000"/>
                <w:sz w:val="20"/>
              </w:rPr>
            </w:pPr>
            <w:r>
              <w:rPr>
                <w:rFonts w:ascii="Calibri" w:hAnsi="Calibri"/>
                <w:color w:val="000000"/>
                <w:sz w:val="20"/>
                <w:lang w:val="es-AR"/>
              </w:rPr>
              <w:t xml:space="preserve">  </w:t>
            </w:r>
            <w:r w:rsidR="00A54FEC" w:rsidRPr="007578A1">
              <w:rPr>
                <w:rFonts w:ascii="Calibri" w:hAnsi="Calibri"/>
                <w:color w:val="000000"/>
                <w:sz w:val="20"/>
              </w:rPr>
              <w:t>$</w:t>
            </w:r>
            <w:r w:rsidRPr="00CA5C29">
              <w:rPr>
                <w:rFonts w:ascii="Calibri" w:hAnsi="Calibri"/>
                <w:color w:val="000000"/>
                <w:sz w:val="20"/>
                <w:lang w:val="es-AR"/>
              </w:rPr>
              <w:t>111’854,927.83</w:t>
            </w:r>
          </w:p>
          <w:p w14:paraId="5AC02509" w14:textId="77777777" w:rsidR="00957BA1" w:rsidRPr="00980D8C" w:rsidRDefault="00957BA1" w:rsidP="00CA5C29">
            <w:pPr>
              <w:pStyle w:val="BodyText2"/>
              <w:jc w:val="right"/>
              <w:rPr>
                <w:rFonts w:asciiTheme="minorHAnsi" w:hAnsiTheme="minorHAnsi"/>
                <w:lang w:val="es-AR"/>
              </w:rPr>
            </w:pPr>
          </w:p>
        </w:tc>
        <w:tc>
          <w:tcPr>
            <w:tcW w:w="4394" w:type="dxa"/>
            <w:tcBorders>
              <w:left w:val="single" w:sz="4" w:space="0" w:color="auto"/>
              <w:bottom w:val="single" w:sz="4" w:space="0" w:color="auto"/>
            </w:tcBorders>
          </w:tcPr>
          <w:p w14:paraId="1859AC0E" w14:textId="77777777" w:rsidR="008633A2" w:rsidRDefault="00DC585F" w:rsidP="005B6890">
            <w:pPr>
              <w:pStyle w:val="Default"/>
              <w:numPr>
                <w:ilvl w:val="0"/>
                <w:numId w:val="36"/>
              </w:numPr>
              <w:tabs>
                <w:tab w:val="left" w:pos="175"/>
              </w:tabs>
              <w:ind w:left="0" w:firstLine="34"/>
              <w:jc w:val="both"/>
              <w:rPr>
                <w:rFonts w:asciiTheme="minorHAnsi" w:hAnsiTheme="minorHAnsi"/>
                <w:sz w:val="20"/>
                <w:szCs w:val="20"/>
                <w:lang w:val="es-AR"/>
              </w:rPr>
            </w:pPr>
            <w:r>
              <w:rPr>
                <w:rFonts w:asciiTheme="minorHAnsi" w:hAnsiTheme="minorHAnsi"/>
                <w:sz w:val="20"/>
                <w:szCs w:val="20"/>
                <w:lang w:val="es-AR"/>
              </w:rPr>
              <w:t xml:space="preserve">Número de gobiernos regionales y locales que utilizan instrumentos y herramientas con estándares de género para la gestión de riegos de desastres armonizados con el Sistema </w:t>
            </w:r>
            <w:r w:rsidR="005B6890">
              <w:rPr>
                <w:rFonts w:asciiTheme="minorHAnsi" w:hAnsiTheme="minorHAnsi"/>
                <w:sz w:val="20"/>
                <w:szCs w:val="20"/>
                <w:lang w:val="es-AR"/>
              </w:rPr>
              <w:t>Nacional de Gestión de Riegos de Desastres</w:t>
            </w:r>
            <w:r w:rsidR="008633A2" w:rsidRPr="008633A2">
              <w:rPr>
                <w:rFonts w:asciiTheme="minorHAnsi" w:hAnsiTheme="minorHAnsi"/>
                <w:sz w:val="20"/>
                <w:szCs w:val="20"/>
                <w:lang w:val="es-AR"/>
              </w:rPr>
              <w:t xml:space="preserve">. </w:t>
            </w:r>
          </w:p>
          <w:p w14:paraId="432A4A23" w14:textId="77777777" w:rsidR="005B6890" w:rsidRPr="008633A2" w:rsidRDefault="005B6890" w:rsidP="005B6890">
            <w:pPr>
              <w:pStyle w:val="Default"/>
              <w:numPr>
                <w:ilvl w:val="0"/>
                <w:numId w:val="36"/>
              </w:numPr>
              <w:tabs>
                <w:tab w:val="left" w:pos="175"/>
              </w:tabs>
              <w:ind w:left="0" w:firstLine="34"/>
              <w:jc w:val="both"/>
              <w:rPr>
                <w:rFonts w:asciiTheme="minorHAnsi" w:hAnsiTheme="minorHAnsi"/>
                <w:sz w:val="20"/>
                <w:szCs w:val="20"/>
                <w:lang w:val="es-AR"/>
              </w:rPr>
            </w:pPr>
            <w:r>
              <w:rPr>
                <w:rFonts w:asciiTheme="minorHAnsi" w:hAnsiTheme="minorHAnsi"/>
                <w:sz w:val="20"/>
                <w:szCs w:val="20"/>
                <w:lang w:val="es-AR"/>
              </w:rPr>
              <w:t>Número de iniciativas públicas y privadas de conservación, adaptación, y/o sostenibilidad ambiental que han aplicado instrumentos de gestión y financiamiento ambiental.</w:t>
            </w:r>
          </w:p>
          <w:p w14:paraId="486AEB45" w14:textId="77777777" w:rsidR="00957BA1" w:rsidRPr="00980D8C" w:rsidRDefault="00957BA1" w:rsidP="005B6890">
            <w:pPr>
              <w:pStyle w:val="Default"/>
              <w:tabs>
                <w:tab w:val="left" w:pos="175"/>
              </w:tabs>
              <w:jc w:val="both"/>
              <w:rPr>
                <w:rFonts w:asciiTheme="minorHAnsi" w:hAnsiTheme="minorHAnsi"/>
                <w:i/>
                <w:sz w:val="20"/>
                <w:szCs w:val="20"/>
                <w:lang w:val="es-AR"/>
              </w:rPr>
            </w:pPr>
          </w:p>
        </w:tc>
        <w:tc>
          <w:tcPr>
            <w:tcW w:w="4962" w:type="dxa"/>
            <w:tcBorders>
              <w:bottom w:val="single" w:sz="4" w:space="0" w:color="auto"/>
            </w:tcBorders>
            <w:shd w:val="clear" w:color="auto" w:fill="auto"/>
          </w:tcPr>
          <w:p w14:paraId="48D085A4" w14:textId="7E48ED93" w:rsidR="005B6890" w:rsidRPr="00913019" w:rsidRDefault="007A23AB" w:rsidP="005B6890">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 xml:space="preserve">5 Gobiernos Regionales y 7 Locales </w:t>
            </w:r>
            <w:r w:rsidR="00913019">
              <w:rPr>
                <w:rFonts w:asciiTheme="minorHAnsi" w:hAnsiTheme="minorHAnsi"/>
                <w:sz w:val="20"/>
                <w:szCs w:val="20"/>
                <w:lang w:val="es-PE"/>
              </w:rPr>
              <w:t>incorpora</w:t>
            </w:r>
            <w:r w:rsidR="003260C1">
              <w:rPr>
                <w:rFonts w:asciiTheme="minorHAnsi" w:hAnsiTheme="minorHAnsi"/>
                <w:sz w:val="20"/>
                <w:szCs w:val="20"/>
                <w:lang w:val="es-PE"/>
              </w:rPr>
              <w:t xml:space="preserve">n </w:t>
            </w:r>
            <w:r w:rsidR="00913019">
              <w:rPr>
                <w:rFonts w:asciiTheme="minorHAnsi" w:hAnsiTheme="minorHAnsi"/>
                <w:sz w:val="20"/>
                <w:szCs w:val="20"/>
                <w:lang w:val="es-PE"/>
              </w:rPr>
              <w:t xml:space="preserve"> enfoques de </w:t>
            </w:r>
            <w:r w:rsidR="003260C1">
              <w:rPr>
                <w:rFonts w:asciiTheme="minorHAnsi" w:hAnsiTheme="minorHAnsi"/>
                <w:sz w:val="20"/>
                <w:szCs w:val="20"/>
                <w:lang w:val="es-PE"/>
              </w:rPr>
              <w:t>Gestión de Riesgos de Desastres (</w:t>
            </w:r>
            <w:r w:rsidR="00913019">
              <w:rPr>
                <w:rFonts w:asciiTheme="minorHAnsi" w:hAnsiTheme="minorHAnsi"/>
                <w:sz w:val="20"/>
                <w:szCs w:val="20"/>
                <w:lang w:val="es-PE"/>
              </w:rPr>
              <w:t>GRD</w:t>
            </w:r>
            <w:r w:rsidR="003260C1">
              <w:rPr>
                <w:rFonts w:asciiTheme="minorHAnsi" w:hAnsiTheme="minorHAnsi"/>
                <w:sz w:val="20"/>
                <w:szCs w:val="20"/>
                <w:lang w:val="es-PE"/>
              </w:rPr>
              <w:t>)</w:t>
            </w:r>
            <w:r w:rsidR="00913019" w:rsidRPr="00913019">
              <w:rPr>
                <w:rFonts w:asciiTheme="minorHAnsi" w:hAnsiTheme="minorHAnsi"/>
                <w:sz w:val="20"/>
                <w:szCs w:val="20"/>
                <w:lang w:val="es-PE"/>
              </w:rPr>
              <w:t xml:space="preserve"> y </w:t>
            </w:r>
            <w:r w:rsidR="003260C1">
              <w:rPr>
                <w:rFonts w:asciiTheme="minorHAnsi" w:hAnsiTheme="minorHAnsi"/>
                <w:sz w:val="20"/>
                <w:szCs w:val="20"/>
                <w:lang w:val="es-PE"/>
              </w:rPr>
              <w:t>Adaptación al cambio Climático (</w:t>
            </w:r>
            <w:r w:rsidR="00913019" w:rsidRPr="00913019">
              <w:rPr>
                <w:rFonts w:asciiTheme="minorHAnsi" w:hAnsiTheme="minorHAnsi"/>
                <w:sz w:val="20"/>
                <w:szCs w:val="20"/>
                <w:lang w:val="es-PE"/>
              </w:rPr>
              <w:t>ACC</w:t>
            </w:r>
            <w:r w:rsidR="003260C1">
              <w:rPr>
                <w:rFonts w:asciiTheme="minorHAnsi" w:hAnsiTheme="minorHAnsi"/>
                <w:sz w:val="20"/>
                <w:szCs w:val="20"/>
                <w:lang w:val="es-PE"/>
              </w:rPr>
              <w:t>)</w:t>
            </w:r>
          </w:p>
          <w:p w14:paraId="32826C1D" w14:textId="7BFA426D" w:rsidR="00913019" w:rsidRPr="002E4787" w:rsidRDefault="00913019" w:rsidP="005B6890">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PE"/>
              </w:rPr>
              <w:t>2 sistemas de información</w:t>
            </w:r>
            <w:r w:rsidR="003260C1">
              <w:rPr>
                <w:rFonts w:asciiTheme="minorHAnsi" w:hAnsiTheme="minorHAnsi"/>
                <w:sz w:val="20"/>
                <w:szCs w:val="20"/>
                <w:lang w:val="es-PE"/>
              </w:rPr>
              <w:t xml:space="preserve"> y </w:t>
            </w:r>
            <w:r>
              <w:rPr>
                <w:rFonts w:asciiTheme="minorHAnsi" w:hAnsiTheme="minorHAnsi"/>
                <w:sz w:val="20"/>
                <w:szCs w:val="20"/>
                <w:lang w:val="es-PE"/>
              </w:rPr>
              <w:t>planificación de la recuperación temprana que facilit</w:t>
            </w:r>
            <w:r w:rsidR="003260C1">
              <w:rPr>
                <w:rFonts w:asciiTheme="minorHAnsi" w:hAnsiTheme="minorHAnsi"/>
                <w:sz w:val="20"/>
                <w:szCs w:val="20"/>
                <w:lang w:val="es-PE"/>
              </w:rPr>
              <w:t>an</w:t>
            </w:r>
            <w:r w:rsidR="002E4787">
              <w:rPr>
                <w:rFonts w:asciiTheme="minorHAnsi" w:hAnsiTheme="minorHAnsi"/>
                <w:sz w:val="20"/>
                <w:szCs w:val="20"/>
                <w:lang w:val="es-PE"/>
              </w:rPr>
              <w:t xml:space="preserve"> atención diferenciada por género y edad</w:t>
            </w:r>
          </w:p>
          <w:p w14:paraId="6376F119" w14:textId="4AD35B1D" w:rsidR="002E4787" w:rsidRPr="00522305" w:rsidRDefault="002E4787" w:rsidP="005B6890">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1 Gobierno Regional y 1 Local ejecutan programa</w:t>
            </w:r>
            <w:r w:rsidR="003260C1">
              <w:rPr>
                <w:rFonts w:asciiTheme="minorHAnsi" w:hAnsiTheme="minorHAnsi"/>
                <w:sz w:val="20"/>
                <w:szCs w:val="20"/>
                <w:lang w:val="es-AR"/>
              </w:rPr>
              <w:t>s</w:t>
            </w:r>
            <w:r>
              <w:rPr>
                <w:rFonts w:asciiTheme="minorHAnsi" w:hAnsiTheme="minorHAnsi"/>
                <w:sz w:val="20"/>
                <w:szCs w:val="20"/>
                <w:lang w:val="es-AR"/>
              </w:rPr>
              <w:t xml:space="preserve"> de GRD con participación de mujeres.</w:t>
            </w:r>
          </w:p>
          <w:p w14:paraId="3EC8921C" w14:textId="295B49C5" w:rsidR="00CD7609" w:rsidRPr="007A23AB" w:rsidRDefault="007A23AB" w:rsidP="004267A9">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5</w:t>
            </w:r>
            <w:r>
              <w:rPr>
                <w:rFonts w:asciiTheme="minorHAnsi" w:hAnsiTheme="minorHAnsi"/>
                <w:sz w:val="20"/>
                <w:szCs w:val="20"/>
                <w:lang w:val="es-PE"/>
              </w:rPr>
              <w:t xml:space="preserve"> </w:t>
            </w:r>
            <w:r w:rsidRPr="007A23AB">
              <w:rPr>
                <w:rFonts w:asciiTheme="minorHAnsi" w:hAnsiTheme="minorHAnsi"/>
                <w:sz w:val="20"/>
                <w:szCs w:val="20"/>
                <w:lang w:val="es-PE"/>
              </w:rPr>
              <w:t>instituciones implementan estrategias y/o planes de desarrollo bajo en emisiones y resistente al cambio climático</w:t>
            </w:r>
          </w:p>
          <w:p w14:paraId="1CA2D07F" w14:textId="2E29C310" w:rsidR="007A23AB" w:rsidRPr="007A23AB" w:rsidRDefault="007A23AB" w:rsidP="004267A9">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PE"/>
              </w:rPr>
              <w:t xml:space="preserve">3 </w:t>
            </w:r>
            <w:r w:rsidRPr="007A23AB">
              <w:rPr>
                <w:rFonts w:asciiTheme="minorHAnsi" w:hAnsiTheme="minorHAnsi"/>
                <w:sz w:val="20"/>
                <w:szCs w:val="20"/>
                <w:lang w:val="es-PE"/>
              </w:rPr>
              <w:t xml:space="preserve">Instrumentos de gestión diseñados y en proceso de implementación </w:t>
            </w:r>
            <w:r w:rsidR="003260C1">
              <w:rPr>
                <w:rFonts w:asciiTheme="minorHAnsi" w:hAnsiTheme="minorHAnsi"/>
                <w:sz w:val="20"/>
                <w:szCs w:val="20"/>
                <w:lang w:val="es-PE"/>
              </w:rPr>
              <w:t xml:space="preserve">para contribuir </w:t>
            </w:r>
            <w:r w:rsidRPr="007A23AB">
              <w:rPr>
                <w:rFonts w:asciiTheme="minorHAnsi" w:hAnsiTheme="minorHAnsi"/>
                <w:sz w:val="20"/>
                <w:szCs w:val="20"/>
                <w:lang w:val="es-PE"/>
              </w:rPr>
              <w:t>a la conservación y el uso sostenible de la biodiversidad</w:t>
            </w:r>
          </w:p>
          <w:p w14:paraId="43BB0FAA" w14:textId="77777777" w:rsidR="007A23AB" w:rsidRPr="007A23AB" w:rsidRDefault="007A23AB" w:rsidP="007A23AB">
            <w:pPr>
              <w:pStyle w:val="Default"/>
              <w:numPr>
                <w:ilvl w:val="0"/>
                <w:numId w:val="3"/>
              </w:numPr>
              <w:tabs>
                <w:tab w:val="left" w:pos="175"/>
              </w:tabs>
              <w:ind w:left="176" w:hanging="176"/>
              <w:jc w:val="both"/>
              <w:rPr>
                <w:rFonts w:asciiTheme="minorHAnsi" w:hAnsiTheme="minorHAnsi"/>
                <w:sz w:val="20"/>
                <w:lang w:val="es-PE"/>
              </w:rPr>
            </w:pPr>
            <w:r>
              <w:rPr>
                <w:rFonts w:asciiTheme="minorHAnsi" w:hAnsiTheme="minorHAnsi"/>
                <w:sz w:val="20"/>
                <w:szCs w:val="20"/>
                <w:lang w:val="es-PE"/>
              </w:rPr>
              <w:t xml:space="preserve">1 </w:t>
            </w:r>
            <w:r w:rsidRPr="007A23AB">
              <w:rPr>
                <w:rFonts w:asciiTheme="minorHAnsi" w:hAnsiTheme="minorHAnsi"/>
                <w:sz w:val="20"/>
                <w:lang w:val="es-PE"/>
              </w:rPr>
              <w:t>Plan Nacional Integrado para el Manejo de Residuos Solidos</w:t>
            </w:r>
          </w:p>
          <w:p w14:paraId="02A3BAAD" w14:textId="6ADCCE2C" w:rsidR="007A23AB" w:rsidRPr="00522305" w:rsidRDefault="007A23AB" w:rsidP="004267A9">
            <w:pPr>
              <w:pStyle w:val="Default"/>
              <w:numPr>
                <w:ilvl w:val="0"/>
                <w:numId w:val="3"/>
              </w:numPr>
              <w:tabs>
                <w:tab w:val="left" w:pos="175"/>
              </w:tabs>
              <w:ind w:left="176" w:hanging="176"/>
              <w:jc w:val="both"/>
              <w:rPr>
                <w:rFonts w:asciiTheme="minorHAnsi" w:hAnsiTheme="minorHAnsi"/>
                <w:sz w:val="20"/>
                <w:szCs w:val="20"/>
                <w:lang w:val="es-AR"/>
              </w:rPr>
            </w:pPr>
            <w:r>
              <w:rPr>
                <w:rFonts w:asciiTheme="minorHAnsi" w:hAnsiTheme="minorHAnsi"/>
                <w:sz w:val="20"/>
                <w:szCs w:val="20"/>
                <w:lang w:val="es-AR"/>
              </w:rPr>
              <w:t xml:space="preserve">1 </w:t>
            </w:r>
            <w:r w:rsidRPr="007A23AB">
              <w:rPr>
                <w:rFonts w:asciiTheme="minorHAnsi" w:hAnsiTheme="minorHAnsi"/>
                <w:sz w:val="20"/>
                <w:szCs w:val="20"/>
                <w:lang w:val="es-PE"/>
              </w:rPr>
              <w:t>Propuesta de Mecanismo Financiero Nacional para la gestión de fondos para la Conservación de Bosques y Cambio Climático</w:t>
            </w:r>
          </w:p>
        </w:tc>
      </w:tr>
      <w:tr w:rsidR="00957BA1" w:rsidRPr="001B524E" w14:paraId="74676D15" w14:textId="77777777" w:rsidTr="00265522">
        <w:tc>
          <w:tcPr>
            <w:tcW w:w="14034" w:type="dxa"/>
            <w:gridSpan w:val="4"/>
          </w:tcPr>
          <w:p w14:paraId="6B0E5F5A" w14:textId="45B7C10A" w:rsidR="00F01774" w:rsidRDefault="00F01774" w:rsidP="008633A2">
            <w:pPr>
              <w:pStyle w:val="BodyText2"/>
              <w:rPr>
                <w:rFonts w:asciiTheme="minorHAnsi" w:hAnsiTheme="minorHAnsi"/>
                <w:b/>
                <w:lang w:val="es-AR"/>
              </w:rPr>
            </w:pPr>
          </w:p>
          <w:p w14:paraId="216CF88F" w14:textId="77777777" w:rsidR="008633A2" w:rsidRPr="008633A2" w:rsidRDefault="008633A2" w:rsidP="008633A2">
            <w:pPr>
              <w:pStyle w:val="BodyText2"/>
              <w:rPr>
                <w:rFonts w:asciiTheme="minorHAnsi" w:hAnsiTheme="minorHAnsi"/>
                <w:b/>
                <w:lang w:val="es-AR"/>
              </w:rPr>
            </w:pPr>
            <w:r w:rsidRPr="008633A2">
              <w:rPr>
                <w:rFonts w:asciiTheme="minorHAnsi" w:hAnsiTheme="minorHAnsi"/>
                <w:b/>
                <w:lang w:val="es-AR"/>
              </w:rPr>
              <w:t>UNDP Contribution:</w:t>
            </w:r>
          </w:p>
          <w:p w14:paraId="6C8838F9" w14:textId="77777777" w:rsidR="008633A2" w:rsidRPr="008633A2" w:rsidRDefault="008633A2" w:rsidP="008633A2">
            <w:pPr>
              <w:pStyle w:val="BodyText2"/>
              <w:rPr>
                <w:rFonts w:asciiTheme="minorHAnsi" w:hAnsiTheme="minorHAnsi"/>
                <w:u w:val="single"/>
                <w:lang w:val="es-AR"/>
              </w:rPr>
            </w:pPr>
          </w:p>
          <w:p w14:paraId="40FE9D0C" w14:textId="77777777" w:rsidR="008633A2" w:rsidRPr="008633A2" w:rsidRDefault="008633A2" w:rsidP="008633A2">
            <w:pPr>
              <w:pStyle w:val="BodyText2"/>
              <w:rPr>
                <w:rFonts w:asciiTheme="minorHAnsi" w:hAnsiTheme="minorHAnsi"/>
                <w:lang w:val="es-AR"/>
              </w:rPr>
            </w:pPr>
            <w:r w:rsidRPr="008633A2">
              <w:rPr>
                <w:rFonts w:asciiTheme="minorHAnsi" w:hAnsiTheme="minorHAnsi"/>
                <w:u w:val="single"/>
                <w:lang w:val="es-AR"/>
              </w:rPr>
              <w:t>CP Outputs</w:t>
            </w:r>
            <w:r w:rsidRPr="008633A2">
              <w:rPr>
                <w:rFonts w:asciiTheme="minorHAnsi" w:hAnsiTheme="minorHAnsi"/>
                <w:lang w:val="es-AR"/>
              </w:rPr>
              <w:t xml:space="preserve">: </w:t>
            </w:r>
          </w:p>
          <w:p w14:paraId="02DBA11E" w14:textId="77777777" w:rsidR="008633A2" w:rsidRPr="008633A2" w:rsidRDefault="008633A2" w:rsidP="008633A2">
            <w:pPr>
              <w:pStyle w:val="BodyText2"/>
              <w:rPr>
                <w:rFonts w:asciiTheme="minorHAnsi" w:hAnsiTheme="minorHAnsi"/>
                <w:lang w:val="es-AR"/>
              </w:rPr>
            </w:pPr>
          </w:p>
          <w:p w14:paraId="3EC0A183" w14:textId="77777777" w:rsidR="008633A2" w:rsidRDefault="005B6890" w:rsidP="009C1969">
            <w:pPr>
              <w:pStyle w:val="Default"/>
              <w:jc w:val="both"/>
              <w:rPr>
                <w:rFonts w:asciiTheme="minorHAnsi" w:hAnsiTheme="minorHAnsi"/>
                <w:sz w:val="20"/>
                <w:szCs w:val="20"/>
                <w:lang w:val="es-AR"/>
              </w:rPr>
            </w:pPr>
            <w:r>
              <w:rPr>
                <w:rFonts w:asciiTheme="minorHAnsi" w:hAnsiTheme="minorHAnsi"/>
                <w:sz w:val="20"/>
                <w:szCs w:val="20"/>
                <w:lang w:val="es-AR"/>
              </w:rPr>
              <w:t>1. Se han formulado planes y programas que incorporan la gesti</w:t>
            </w:r>
            <w:r w:rsidR="007B66FF">
              <w:rPr>
                <w:rFonts w:asciiTheme="minorHAnsi" w:hAnsiTheme="minorHAnsi"/>
                <w:sz w:val="20"/>
                <w:szCs w:val="20"/>
                <w:lang w:val="es-AR"/>
              </w:rPr>
              <w:t>ón de riesgos de desastres y la adaptación al cambio climático en los tres niveles de gobierno y la población</w:t>
            </w:r>
            <w:r w:rsidR="0015763C" w:rsidRPr="008633A2">
              <w:rPr>
                <w:rFonts w:asciiTheme="minorHAnsi" w:hAnsiTheme="minorHAnsi"/>
                <w:sz w:val="20"/>
                <w:szCs w:val="20"/>
                <w:lang w:val="es-AR"/>
              </w:rPr>
              <w:t xml:space="preserve">. </w:t>
            </w:r>
          </w:p>
          <w:p w14:paraId="7F00FF79" w14:textId="4D5D2833" w:rsidR="0015763C" w:rsidRPr="008633A2" w:rsidRDefault="007B66FF" w:rsidP="009C1969">
            <w:pPr>
              <w:pStyle w:val="Default"/>
              <w:jc w:val="both"/>
              <w:rPr>
                <w:rFonts w:asciiTheme="minorHAnsi" w:hAnsiTheme="minorHAnsi"/>
                <w:sz w:val="20"/>
                <w:szCs w:val="20"/>
                <w:lang w:val="es-AR"/>
              </w:rPr>
            </w:pPr>
            <w:r>
              <w:rPr>
                <w:rFonts w:asciiTheme="minorHAnsi" w:hAnsiTheme="minorHAnsi"/>
                <w:sz w:val="20"/>
                <w:szCs w:val="20"/>
                <w:lang w:val="es-AR"/>
              </w:rPr>
              <w:t xml:space="preserve">2. Se aplican estrategias e instrumentos de gestión y de financiamiento para cuestiones climáticas y ambientales a la conservación de la biodiversidad, la promoción de la </w:t>
            </w:r>
            <w:r w:rsidR="007651ED">
              <w:rPr>
                <w:rFonts w:asciiTheme="minorHAnsi" w:hAnsiTheme="minorHAnsi"/>
                <w:sz w:val="20"/>
                <w:szCs w:val="20"/>
                <w:lang w:val="es-AR"/>
              </w:rPr>
              <w:t>resiliencia</w:t>
            </w:r>
            <w:r>
              <w:rPr>
                <w:rFonts w:asciiTheme="minorHAnsi" w:hAnsiTheme="minorHAnsi"/>
                <w:sz w:val="20"/>
                <w:szCs w:val="20"/>
                <w:lang w:val="es-AR"/>
              </w:rPr>
              <w:t xml:space="preserve"> al cambio climático y la sostenibilidad y calidad del medio ambiente</w:t>
            </w:r>
            <w:r w:rsidR="0015763C" w:rsidRPr="008633A2">
              <w:rPr>
                <w:rFonts w:asciiTheme="minorHAnsi" w:hAnsiTheme="minorHAnsi"/>
                <w:sz w:val="20"/>
                <w:szCs w:val="20"/>
                <w:lang w:val="es-AR"/>
              </w:rPr>
              <w:t>.</w:t>
            </w:r>
          </w:p>
          <w:p w14:paraId="6455B07A" w14:textId="77777777" w:rsidR="0015763C" w:rsidRPr="0015763C" w:rsidRDefault="0015763C" w:rsidP="009C1969">
            <w:pPr>
              <w:pStyle w:val="BodyText2"/>
              <w:jc w:val="both"/>
              <w:rPr>
                <w:rFonts w:asciiTheme="minorHAnsi" w:hAnsiTheme="minorHAnsi"/>
                <w:b/>
                <w:lang w:val="es-AR"/>
              </w:rPr>
            </w:pPr>
          </w:p>
          <w:p w14:paraId="46602B56" w14:textId="77777777" w:rsidR="00760F31" w:rsidRPr="00B16A0D" w:rsidRDefault="00760F31" w:rsidP="009C1969">
            <w:pPr>
              <w:pStyle w:val="BodyText2"/>
              <w:jc w:val="both"/>
              <w:rPr>
                <w:rFonts w:asciiTheme="minorHAnsi" w:hAnsiTheme="minorHAnsi"/>
                <w:u w:val="single"/>
                <w:lang w:val="es-AR"/>
              </w:rPr>
            </w:pPr>
            <w:r w:rsidRPr="00B16A0D">
              <w:rPr>
                <w:rFonts w:asciiTheme="minorHAnsi" w:hAnsiTheme="minorHAnsi"/>
                <w:u w:val="single"/>
                <w:lang w:val="es-AR"/>
              </w:rPr>
              <w:lastRenderedPageBreak/>
              <w:t>Progress and Achievements</w:t>
            </w:r>
          </w:p>
          <w:p w14:paraId="726B551C" w14:textId="77777777" w:rsidR="00EE44C0" w:rsidRPr="00B16A0D" w:rsidRDefault="00EE44C0" w:rsidP="009C1969">
            <w:pPr>
              <w:pStyle w:val="BodyText2"/>
              <w:jc w:val="both"/>
              <w:rPr>
                <w:rFonts w:asciiTheme="minorHAnsi" w:hAnsiTheme="minorHAnsi"/>
                <w:u w:val="single"/>
                <w:lang w:val="es-AR"/>
              </w:rPr>
            </w:pPr>
          </w:p>
          <w:p w14:paraId="03D60CDA" w14:textId="57E589C5" w:rsidR="00F96053" w:rsidRDefault="009C4688" w:rsidP="0084799A">
            <w:pPr>
              <w:pStyle w:val="BodyText2"/>
              <w:jc w:val="both"/>
              <w:rPr>
                <w:rFonts w:asciiTheme="minorHAnsi" w:hAnsiTheme="minorHAnsi"/>
                <w:lang w:val="es-PE"/>
              </w:rPr>
            </w:pPr>
            <w:r>
              <w:rPr>
                <w:rFonts w:asciiTheme="minorHAnsi" w:hAnsiTheme="minorHAnsi"/>
                <w:lang w:val="es-PE"/>
              </w:rPr>
              <w:t>E</w:t>
            </w:r>
            <w:r w:rsidR="00F96053">
              <w:rPr>
                <w:rFonts w:asciiTheme="minorHAnsi" w:hAnsiTheme="minorHAnsi"/>
                <w:lang w:val="es-PE"/>
              </w:rPr>
              <w:t xml:space="preserve">sta área incluye dos grandes temáticas que </w:t>
            </w:r>
            <w:r w:rsidR="001575CE">
              <w:rPr>
                <w:rFonts w:asciiTheme="minorHAnsi" w:hAnsiTheme="minorHAnsi"/>
                <w:lang w:val="es-PE"/>
              </w:rPr>
              <w:t>son trabajadas</w:t>
            </w:r>
            <w:r w:rsidR="00F96053">
              <w:rPr>
                <w:rFonts w:asciiTheme="minorHAnsi" w:hAnsiTheme="minorHAnsi"/>
                <w:lang w:val="es-PE"/>
              </w:rPr>
              <w:t xml:space="preserve"> de manera separada.</w:t>
            </w:r>
          </w:p>
          <w:p w14:paraId="0DD1D38E" w14:textId="406AF5A2" w:rsidR="009C4688" w:rsidRDefault="009C4688" w:rsidP="0084799A">
            <w:pPr>
              <w:pStyle w:val="BodyText2"/>
              <w:jc w:val="both"/>
              <w:rPr>
                <w:rFonts w:asciiTheme="minorHAnsi" w:hAnsiTheme="minorHAnsi"/>
                <w:lang w:val="es-PE"/>
              </w:rPr>
            </w:pPr>
            <w:r>
              <w:rPr>
                <w:rFonts w:asciiTheme="minorHAnsi" w:hAnsiTheme="minorHAnsi"/>
                <w:lang w:val="es-PE"/>
              </w:rPr>
              <w:t xml:space="preserve"> </w:t>
            </w:r>
            <w:r w:rsidR="00F96053">
              <w:rPr>
                <w:rFonts w:asciiTheme="minorHAnsi" w:hAnsiTheme="minorHAnsi"/>
                <w:lang w:val="es-PE"/>
              </w:rPr>
              <w:t>G</w:t>
            </w:r>
            <w:r>
              <w:rPr>
                <w:rFonts w:asciiTheme="minorHAnsi" w:hAnsiTheme="minorHAnsi"/>
                <w:lang w:val="es-PE"/>
              </w:rPr>
              <w:t xml:space="preserve">estión de riesgo </w:t>
            </w:r>
            <w:r w:rsidR="00F96053">
              <w:rPr>
                <w:rFonts w:asciiTheme="minorHAnsi" w:hAnsiTheme="minorHAnsi"/>
                <w:lang w:val="es-PE"/>
              </w:rPr>
              <w:t xml:space="preserve">de </w:t>
            </w:r>
            <w:r>
              <w:rPr>
                <w:rFonts w:asciiTheme="minorHAnsi" w:hAnsiTheme="minorHAnsi"/>
                <w:lang w:val="es-PE"/>
              </w:rPr>
              <w:t>desastre</w:t>
            </w:r>
            <w:r w:rsidR="00F96053">
              <w:rPr>
                <w:rFonts w:asciiTheme="minorHAnsi" w:hAnsiTheme="minorHAnsi"/>
                <w:lang w:val="es-PE"/>
              </w:rPr>
              <w:t>:</w:t>
            </w:r>
            <w:r>
              <w:rPr>
                <w:rFonts w:asciiTheme="minorHAnsi" w:hAnsiTheme="minorHAnsi"/>
                <w:lang w:val="es-PE"/>
              </w:rPr>
              <w:t xml:space="preserve"> tiene el </w:t>
            </w:r>
            <w:r w:rsidRPr="009C4688">
              <w:rPr>
                <w:rFonts w:asciiTheme="minorHAnsi" w:hAnsiTheme="minorHAnsi"/>
                <w:lang w:val="es-PE"/>
              </w:rPr>
              <w:t xml:space="preserve">objetivo estratégico de enfocar y especializar la acción del PNUD </w:t>
            </w:r>
            <w:r w:rsidR="003260C1">
              <w:rPr>
                <w:rFonts w:asciiTheme="minorHAnsi" w:hAnsiTheme="minorHAnsi"/>
                <w:lang w:val="es-PE"/>
              </w:rPr>
              <w:t xml:space="preserve">en </w:t>
            </w:r>
            <w:r w:rsidRPr="009C4688">
              <w:rPr>
                <w:rFonts w:asciiTheme="minorHAnsi" w:hAnsiTheme="minorHAnsi"/>
                <w:lang w:val="es-PE"/>
              </w:rPr>
              <w:t xml:space="preserve">el fortalecimiento de las capacidades nacionales y sub-nacionales </w:t>
            </w:r>
            <w:r w:rsidR="003260C1">
              <w:rPr>
                <w:rFonts w:asciiTheme="minorHAnsi" w:hAnsiTheme="minorHAnsi"/>
                <w:lang w:val="es-PE"/>
              </w:rPr>
              <w:t xml:space="preserve">gubernamentales, de sociedad civil, sector privado, instituciones académicas y científicas y población en general, para la </w:t>
            </w:r>
            <w:r w:rsidRPr="009C4688">
              <w:rPr>
                <w:rFonts w:asciiTheme="minorHAnsi" w:hAnsiTheme="minorHAnsi"/>
                <w:lang w:val="es-PE"/>
              </w:rPr>
              <w:t xml:space="preserve">recuperación post desastre y </w:t>
            </w:r>
            <w:r w:rsidR="003260C1">
              <w:rPr>
                <w:rFonts w:asciiTheme="minorHAnsi" w:hAnsiTheme="minorHAnsi"/>
                <w:lang w:val="es-PE"/>
              </w:rPr>
              <w:t xml:space="preserve">la </w:t>
            </w:r>
            <w:r w:rsidRPr="009C4688">
              <w:rPr>
                <w:rFonts w:asciiTheme="minorHAnsi" w:hAnsiTheme="minorHAnsi"/>
                <w:lang w:val="es-PE"/>
              </w:rPr>
              <w:t>planificación de la recuperación</w:t>
            </w:r>
            <w:r w:rsidR="003260C1">
              <w:rPr>
                <w:rFonts w:asciiTheme="minorHAnsi" w:hAnsiTheme="minorHAnsi"/>
                <w:lang w:val="es-PE"/>
              </w:rPr>
              <w:t xml:space="preserve">. </w:t>
            </w:r>
            <w:r>
              <w:rPr>
                <w:rFonts w:asciiTheme="minorHAnsi" w:hAnsiTheme="minorHAnsi"/>
                <w:lang w:val="es-PE"/>
              </w:rPr>
              <w:t xml:space="preserve">La finalidad es </w:t>
            </w:r>
            <w:r w:rsidRPr="009C4688">
              <w:rPr>
                <w:rFonts w:asciiTheme="minorHAnsi" w:hAnsiTheme="minorHAnsi"/>
                <w:lang w:val="es-PE"/>
              </w:rPr>
              <w:t>la integ</w:t>
            </w:r>
            <w:r>
              <w:rPr>
                <w:rFonts w:asciiTheme="minorHAnsi" w:hAnsiTheme="minorHAnsi"/>
                <w:lang w:val="es-PE"/>
              </w:rPr>
              <w:t>ración e incorporación de la Gestión de Riesgos y Desastres</w:t>
            </w:r>
            <w:r w:rsidR="004A403A">
              <w:rPr>
                <w:rFonts w:asciiTheme="minorHAnsi" w:hAnsiTheme="minorHAnsi"/>
                <w:lang w:val="es-PE"/>
              </w:rPr>
              <w:t xml:space="preserve"> (GRD)</w:t>
            </w:r>
            <w:r>
              <w:rPr>
                <w:rFonts w:asciiTheme="minorHAnsi" w:hAnsiTheme="minorHAnsi"/>
                <w:lang w:val="es-PE"/>
              </w:rPr>
              <w:t xml:space="preserve"> y la Adaptación al Cambio Climático</w:t>
            </w:r>
            <w:r w:rsidRPr="009C4688">
              <w:rPr>
                <w:rFonts w:asciiTheme="minorHAnsi" w:hAnsiTheme="minorHAnsi"/>
                <w:lang w:val="es-PE"/>
              </w:rPr>
              <w:t xml:space="preserve"> en las políticas, planes y programas para reducir la vulnerabilidad y aumentar la resiliencia de la población</w:t>
            </w:r>
            <w:r>
              <w:rPr>
                <w:rFonts w:asciiTheme="minorHAnsi" w:hAnsiTheme="minorHAnsi"/>
                <w:lang w:val="es-PE"/>
              </w:rPr>
              <w:t>.</w:t>
            </w:r>
          </w:p>
          <w:p w14:paraId="1AAD0F55" w14:textId="58F027D9" w:rsidR="008455BD" w:rsidRPr="009B7B1B" w:rsidRDefault="00F96053" w:rsidP="0084799A">
            <w:pPr>
              <w:pStyle w:val="BodyText2"/>
              <w:jc w:val="both"/>
              <w:rPr>
                <w:rFonts w:asciiTheme="minorHAnsi" w:hAnsiTheme="minorHAnsi"/>
                <w:lang w:val="es-AR"/>
              </w:rPr>
            </w:pPr>
            <w:r>
              <w:rPr>
                <w:rFonts w:asciiTheme="minorHAnsi" w:hAnsiTheme="minorHAnsi"/>
                <w:lang w:val="es-PE"/>
              </w:rPr>
              <w:t>Sostenibilidad ambiental: e</w:t>
            </w:r>
            <w:r w:rsidR="009B7B1B" w:rsidRPr="009B7B1B">
              <w:rPr>
                <w:rFonts w:asciiTheme="minorHAnsi" w:hAnsiTheme="minorHAnsi"/>
                <w:lang w:val="es-PE"/>
              </w:rPr>
              <w:t>l Gobierno del Perú considera al PNUD como un socio clave en sus esfuerzos para incorporar el desarrollo bajo en carbono, la adaptación al cambio climático, la gestión sostenible de recursos naturales y la conservación de ecosistemas en las estrategias y políticas nacionales del desarrollo</w:t>
            </w:r>
            <w:r w:rsidR="009B7B1B">
              <w:rPr>
                <w:rFonts w:asciiTheme="minorHAnsi" w:hAnsiTheme="minorHAnsi"/>
                <w:lang w:val="es-PE"/>
              </w:rPr>
              <w:t xml:space="preserve">. </w:t>
            </w:r>
            <w:r w:rsidR="005D6D88" w:rsidRPr="005D6D88">
              <w:rPr>
                <w:rFonts w:asciiTheme="minorHAnsi" w:hAnsiTheme="minorHAnsi"/>
                <w:lang w:val="es-AR"/>
              </w:rPr>
              <w:t>El PNUD fortaleció en forma relevante las capacidades del Estado y de la sociedad civil para enfrentar los retos ambientales y energéticos a nivel nacional, regional y local</w:t>
            </w:r>
            <w:r w:rsidR="005D6D88">
              <w:rPr>
                <w:rFonts w:asciiTheme="minorHAnsi" w:hAnsiTheme="minorHAnsi"/>
                <w:lang w:val="es-AR"/>
              </w:rPr>
              <w:t>.</w:t>
            </w:r>
            <w:r w:rsidR="005D6D88" w:rsidRPr="005D6D88">
              <w:rPr>
                <w:rFonts w:asciiTheme="minorHAnsi" w:hAnsiTheme="minorHAnsi"/>
                <w:lang w:val="es-AR"/>
              </w:rPr>
              <w:t xml:space="preserve"> </w:t>
            </w:r>
            <w:r>
              <w:rPr>
                <w:rFonts w:asciiTheme="minorHAnsi" w:hAnsiTheme="minorHAnsi"/>
                <w:lang w:val="es-AR"/>
              </w:rPr>
              <w:t>Hubo</w:t>
            </w:r>
            <w:r w:rsidR="009B7B1B" w:rsidRPr="009B7B1B">
              <w:rPr>
                <w:rFonts w:asciiTheme="minorHAnsi" w:hAnsiTheme="minorHAnsi"/>
                <w:lang w:val="es-AR"/>
              </w:rPr>
              <w:t xml:space="preserve"> avances concretos hacia un mayor balance entre el crecimiento económico del país y una adecuada gestión ambiental, reduciendo los pasivos causados por las actividades productivas, y promoviendo la conservación de la biodiversidad y un manejo más eficiente de los recursos hídricos bajo un escenario de cambio climático</w:t>
            </w:r>
            <w:r w:rsidR="005D6D88">
              <w:rPr>
                <w:rFonts w:asciiTheme="minorHAnsi" w:hAnsiTheme="minorHAnsi"/>
                <w:lang w:val="es-AR"/>
              </w:rPr>
              <w:t>.</w:t>
            </w:r>
          </w:p>
          <w:p w14:paraId="7C31E29A" w14:textId="77777777" w:rsidR="009F5FC0" w:rsidRDefault="009F5FC0" w:rsidP="009C1969">
            <w:pPr>
              <w:pStyle w:val="BodyText2"/>
              <w:jc w:val="both"/>
              <w:rPr>
                <w:rFonts w:asciiTheme="minorHAnsi" w:hAnsiTheme="minorHAnsi"/>
                <w:lang w:val="es-AR"/>
              </w:rPr>
            </w:pPr>
          </w:p>
          <w:p w14:paraId="7D8CE959" w14:textId="13973595" w:rsidR="009C4688" w:rsidRPr="00DF41F9" w:rsidRDefault="00EE44C0" w:rsidP="009C1969">
            <w:pPr>
              <w:pStyle w:val="BodyText2"/>
              <w:jc w:val="both"/>
              <w:rPr>
                <w:rFonts w:asciiTheme="minorHAnsi" w:hAnsiTheme="minorHAnsi"/>
                <w:lang w:val="es-AR"/>
              </w:rPr>
            </w:pPr>
            <w:r w:rsidRPr="00DF41F9">
              <w:rPr>
                <w:rFonts w:asciiTheme="minorHAnsi" w:hAnsiTheme="minorHAnsi"/>
                <w:lang w:val="es-AR"/>
              </w:rPr>
              <w:t>El PNUD contribuyó a</w:t>
            </w:r>
            <w:r w:rsidR="009F5FC0" w:rsidRPr="00DF41F9">
              <w:rPr>
                <w:rFonts w:asciiTheme="minorHAnsi" w:hAnsiTheme="minorHAnsi"/>
                <w:lang w:val="es-AR"/>
              </w:rPr>
              <w:t>:</w:t>
            </w:r>
          </w:p>
          <w:p w14:paraId="4F30EF10" w14:textId="6865BA76" w:rsidR="00F96053" w:rsidRPr="004A403A" w:rsidRDefault="00F96053" w:rsidP="00F96053">
            <w:pPr>
              <w:pStyle w:val="ListParagraph"/>
              <w:numPr>
                <w:ilvl w:val="0"/>
                <w:numId w:val="26"/>
              </w:numPr>
              <w:autoSpaceDE w:val="0"/>
              <w:autoSpaceDN w:val="0"/>
              <w:adjustRightInd w:val="0"/>
              <w:jc w:val="both"/>
              <w:rPr>
                <w:rFonts w:asciiTheme="minorHAnsi" w:hAnsiTheme="minorHAnsi"/>
                <w:sz w:val="20"/>
                <w:szCs w:val="20"/>
                <w:lang w:val="es-AR"/>
              </w:rPr>
            </w:pPr>
            <w:r>
              <w:rPr>
                <w:rFonts w:asciiTheme="minorHAnsi" w:hAnsiTheme="minorHAnsi"/>
                <w:sz w:val="20"/>
                <w:szCs w:val="20"/>
                <w:lang w:val="es-AR"/>
              </w:rPr>
              <w:t>Mejorar</w:t>
            </w:r>
            <w:r w:rsidR="004A403A">
              <w:rPr>
                <w:rFonts w:asciiTheme="minorHAnsi" w:hAnsiTheme="minorHAnsi"/>
                <w:sz w:val="20"/>
                <w:szCs w:val="20"/>
                <w:lang w:val="es-AR"/>
              </w:rPr>
              <w:t xml:space="preserve"> c</w:t>
            </w:r>
            <w:r w:rsidR="004A403A" w:rsidRPr="004A403A">
              <w:rPr>
                <w:rFonts w:asciiTheme="minorHAnsi" w:hAnsiTheme="minorHAnsi"/>
                <w:sz w:val="20"/>
                <w:szCs w:val="20"/>
                <w:lang w:val="es-AR"/>
              </w:rPr>
              <w:t xml:space="preserve">apacidades </w:t>
            </w:r>
            <w:r>
              <w:rPr>
                <w:rFonts w:asciiTheme="minorHAnsi" w:hAnsiTheme="minorHAnsi"/>
                <w:sz w:val="20"/>
                <w:szCs w:val="20"/>
                <w:lang w:val="es-AR"/>
              </w:rPr>
              <w:t xml:space="preserve">por medio del desarrollo de instrumentos </w:t>
            </w:r>
            <w:r w:rsidR="004A403A">
              <w:rPr>
                <w:rFonts w:asciiTheme="minorHAnsi" w:hAnsiTheme="minorHAnsi"/>
                <w:sz w:val="20"/>
                <w:szCs w:val="20"/>
                <w:lang w:val="es-AR"/>
              </w:rPr>
              <w:t>y herramientas para responder a</w:t>
            </w:r>
            <w:r w:rsidR="004A403A" w:rsidRPr="004A403A">
              <w:rPr>
                <w:rFonts w:asciiTheme="minorHAnsi" w:hAnsiTheme="minorHAnsi"/>
                <w:sz w:val="20"/>
                <w:szCs w:val="20"/>
                <w:lang w:val="es-AR"/>
              </w:rPr>
              <w:t xml:space="preserve"> desastre</w:t>
            </w:r>
            <w:r w:rsidR="004A403A">
              <w:rPr>
                <w:rFonts w:asciiTheme="minorHAnsi" w:hAnsiTheme="minorHAnsi"/>
                <w:sz w:val="20"/>
                <w:szCs w:val="20"/>
                <w:lang w:val="es-AR"/>
              </w:rPr>
              <w:t>s</w:t>
            </w:r>
            <w:r w:rsidR="004A403A" w:rsidRPr="004A403A">
              <w:rPr>
                <w:rFonts w:asciiTheme="minorHAnsi" w:hAnsiTheme="minorHAnsi"/>
                <w:sz w:val="20"/>
                <w:szCs w:val="20"/>
                <w:lang w:val="es-AR"/>
              </w:rPr>
              <w:t xml:space="preserve"> (en su mayoría sísmico</w:t>
            </w:r>
            <w:r>
              <w:rPr>
                <w:rFonts w:asciiTheme="minorHAnsi" w:hAnsiTheme="minorHAnsi"/>
                <w:sz w:val="20"/>
                <w:szCs w:val="20"/>
                <w:lang w:val="es-AR"/>
              </w:rPr>
              <w:t>s</w:t>
            </w:r>
            <w:r w:rsidR="004A403A" w:rsidRPr="004A403A">
              <w:rPr>
                <w:rFonts w:asciiTheme="minorHAnsi" w:hAnsiTheme="minorHAnsi"/>
                <w:sz w:val="20"/>
                <w:szCs w:val="20"/>
                <w:lang w:val="es-AR"/>
              </w:rPr>
              <w:t xml:space="preserve"> y de tsunamis)</w:t>
            </w:r>
            <w:r>
              <w:rPr>
                <w:rFonts w:asciiTheme="minorHAnsi" w:hAnsiTheme="minorHAnsi"/>
                <w:sz w:val="20"/>
                <w:szCs w:val="20"/>
                <w:lang w:val="es-AR"/>
              </w:rPr>
              <w:t xml:space="preserve"> y a la </w:t>
            </w:r>
            <w:r w:rsidR="004A403A" w:rsidRPr="004A403A">
              <w:rPr>
                <w:rFonts w:asciiTheme="minorHAnsi" w:hAnsiTheme="minorHAnsi"/>
                <w:sz w:val="20"/>
                <w:szCs w:val="20"/>
                <w:lang w:val="es-AR"/>
              </w:rPr>
              <w:t>recuperación temprana en varias provincias de la</w:t>
            </w:r>
            <w:r w:rsidR="004A403A">
              <w:rPr>
                <w:rFonts w:asciiTheme="minorHAnsi" w:hAnsiTheme="minorHAnsi"/>
                <w:sz w:val="20"/>
                <w:szCs w:val="20"/>
                <w:lang w:val="es-AR"/>
              </w:rPr>
              <w:t xml:space="preserve"> costa central y norte</w:t>
            </w:r>
            <w:r w:rsidR="004A403A" w:rsidRPr="004A403A">
              <w:rPr>
                <w:rFonts w:asciiTheme="minorHAnsi" w:hAnsiTheme="minorHAnsi"/>
                <w:sz w:val="20"/>
                <w:szCs w:val="20"/>
                <w:lang w:val="es-AR"/>
              </w:rPr>
              <w:t>.</w:t>
            </w:r>
            <w:r>
              <w:rPr>
                <w:rFonts w:asciiTheme="minorHAnsi" w:hAnsiTheme="minorHAnsi"/>
                <w:sz w:val="20"/>
                <w:szCs w:val="20"/>
                <w:lang w:val="es-AR"/>
              </w:rPr>
              <w:t xml:space="preserve"> El proyecto de Ciudades Sostenible, a través del cual se presta parte de la asistencia técnica, fue reconocido como una iniciativa de gran importancia en Gestión de Riesgo en la región de LAC</w:t>
            </w:r>
            <w:r w:rsidRPr="004A403A">
              <w:rPr>
                <w:rFonts w:asciiTheme="minorHAnsi" w:hAnsiTheme="minorHAnsi"/>
                <w:sz w:val="20"/>
                <w:szCs w:val="20"/>
                <w:lang w:val="es-AR"/>
              </w:rPr>
              <w:t xml:space="preserve"> en 2012.</w:t>
            </w:r>
          </w:p>
          <w:p w14:paraId="62BF216A" w14:textId="4DE0627D" w:rsidR="004A403A" w:rsidRPr="004A403A" w:rsidRDefault="004A403A" w:rsidP="004A403A">
            <w:pPr>
              <w:pStyle w:val="ListParagraph"/>
              <w:numPr>
                <w:ilvl w:val="0"/>
                <w:numId w:val="26"/>
              </w:numPr>
              <w:autoSpaceDE w:val="0"/>
              <w:autoSpaceDN w:val="0"/>
              <w:adjustRightInd w:val="0"/>
              <w:jc w:val="both"/>
              <w:rPr>
                <w:rFonts w:asciiTheme="minorHAnsi" w:hAnsiTheme="minorHAnsi"/>
                <w:sz w:val="20"/>
                <w:szCs w:val="20"/>
                <w:lang w:val="es-AR"/>
              </w:rPr>
            </w:pPr>
            <w:r>
              <w:rPr>
                <w:rFonts w:asciiTheme="minorHAnsi" w:hAnsiTheme="minorHAnsi"/>
                <w:sz w:val="20"/>
                <w:szCs w:val="20"/>
                <w:lang w:val="es-AR"/>
              </w:rPr>
              <w:t>Asesor</w:t>
            </w:r>
            <w:r w:rsidR="00F96053">
              <w:rPr>
                <w:rFonts w:asciiTheme="minorHAnsi" w:hAnsiTheme="minorHAnsi"/>
                <w:sz w:val="20"/>
                <w:szCs w:val="20"/>
                <w:lang w:val="es-AR"/>
              </w:rPr>
              <w:t xml:space="preserve">ar al Sistema Nacional de Gestión de Riesgo de Desastres en la </w:t>
            </w:r>
            <w:r w:rsidRPr="004A403A">
              <w:rPr>
                <w:rFonts w:asciiTheme="minorHAnsi" w:hAnsiTheme="minorHAnsi"/>
                <w:sz w:val="20"/>
                <w:szCs w:val="20"/>
                <w:lang w:val="es-AR"/>
              </w:rPr>
              <w:t>preparación del Plan Nacional de Gestión de Riesgo de Desastres para el año 2014-2021.</w:t>
            </w:r>
          </w:p>
          <w:p w14:paraId="7FDF8373" w14:textId="734C0336" w:rsidR="004A403A" w:rsidRPr="004A403A" w:rsidRDefault="004A403A" w:rsidP="004A403A">
            <w:pPr>
              <w:pStyle w:val="ListParagraph"/>
              <w:numPr>
                <w:ilvl w:val="0"/>
                <w:numId w:val="26"/>
              </w:numPr>
              <w:autoSpaceDE w:val="0"/>
              <w:autoSpaceDN w:val="0"/>
              <w:adjustRightInd w:val="0"/>
              <w:jc w:val="both"/>
              <w:rPr>
                <w:rFonts w:asciiTheme="minorHAnsi" w:hAnsiTheme="minorHAnsi"/>
                <w:sz w:val="20"/>
                <w:szCs w:val="20"/>
                <w:lang w:val="es-AR"/>
              </w:rPr>
            </w:pPr>
            <w:r w:rsidRPr="004A403A">
              <w:rPr>
                <w:rFonts w:asciiTheme="minorHAnsi" w:hAnsiTheme="minorHAnsi"/>
                <w:sz w:val="20"/>
                <w:szCs w:val="20"/>
                <w:lang w:val="es-AR"/>
              </w:rPr>
              <w:t>An</w:t>
            </w:r>
            <w:r w:rsidR="001575CE">
              <w:rPr>
                <w:rFonts w:asciiTheme="minorHAnsi" w:hAnsiTheme="minorHAnsi"/>
                <w:sz w:val="20"/>
                <w:szCs w:val="20"/>
                <w:lang w:val="es-AR"/>
              </w:rPr>
              <w:t>a</w:t>
            </w:r>
            <w:r w:rsidRPr="004A403A">
              <w:rPr>
                <w:rFonts w:asciiTheme="minorHAnsi" w:hAnsiTheme="minorHAnsi"/>
                <w:sz w:val="20"/>
                <w:szCs w:val="20"/>
                <w:lang w:val="es-AR"/>
              </w:rPr>
              <w:t>l</w:t>
            </w:r>
            <w:r>
              <w:rPr>
                <w:rFonts w:asciiTheme="minorHAnsi" w:hAnsiTheme="minorHAnsi"/>
                <w:sz w:val="20"/>
                <w:szCs w:val="20"/>
                <w:lang w:val="es-AR"/>
              </w:rPr>
              <w:t>i</w:t>
            </w:r>
            <w:r w:rsidR="00F96053">
              <w:rPr>
                <w:rFonts w:asciiTheme="minorHAnsi" w:hAnsiTheme="minorHAnsi"/>
                <w:sz w:val="20"/>
                <w:szCs w:val="20"/>
                <w:lang w:val="es-AR"/>
              </w:rPr>
              <w:t>zar</w:t>
            </w:r>
            <w:r>
              <w:rPr>
                <w:rFonts w:asciiTheme="minorHAnsi" w:hAnsiTheme="minorHAnsi"/>
                <w:sz w:val="20"/>
                <w:szCs w:val="20"/>
                <w:lang w:val="es-AR"/>
              </w:rPr>
              <w:t xml:space="preserve"> la implementación de </w:t>
            </w:r>
            <w:r w:rsidR="00F96053">
              <w:rPr>
                <w:rFonts w:asciiTheme="minorHAnsi" w:hAnsiTheme="minorHAnsi"/>
                <w:sz w:val="20"/>
                <w:szCs w:val="20"/>
                <w:lang w:val="es-AR"/>
              </w:rPr>
              <w:t xml:space="preserve">GRD en el país como parte de una </w:t>
            </w:r>
            <w:r>
              <w:rPr>
                <w:rFonts w:asciiTheme="minorHAnsi" w:hAnsiTheme="minorHAnsi"/>
                <w:sz w:val="20"/>
                <w:szCs w:val="20"/>
                <w:lang w:val="es-AR"/>
              </w:rPr>
              <w:t>misión inte</w:t>
            </w:r>
            <w:r w:rsidR="00F96053">
              <w:rPr>
                <w:rFonts w:asciiTheme="minorHAnsi" w:hAnsiTheme="minorHAnsi"/>
                <w:sz w:val="20"/>
                <w:szCs w:val="20"/>
                <w:lang w:val="es-AR"/>
              </w:rPr>
              <w:t>r</w:t>
            </w:r>
            <w:r>
              <w:rPr>
                <w:rFonts w:asciiTheme="minorHAnsi" w:hAnsiTheme="minorHAnsi"/>
                <w:sz w:val="20"/>
                <w:szCs w:val="20"/>
                <w:lang w:val="es-AR"/>
              </w:rPr>
              <w:t>agencial</w:t>
            </w:r>
            <w:r w:rsidR="00F96053">
              <w:rPr>
                <w:rFonts w:asciiTheme="minorHAnsi" w:hAnsiTheme="minorHAnsi"/>
                <w:sz w:val="20"/>
                <w:szCs w:val="20"/>
                <w:lang w:val="es-AR"/>
              </w:rPr>
              <w:t xml:space="preserve"> (liderada además por el PNUD). Los hallazgos de la misión fueron </w:t>
            </w:r>
            <w:r w:rsidRPr="004A403A">
              <w:rPr>
                <w:rFonts w:asciiTheme="minorHAnsi" w:hAnsiTheme="minorHAnsi"/>
                <w:sz w:val="20"/>
                <w:szCs w:val="20"/>
                <w:lang w:val="es-AR"/>
              </w:rPr>
              <w:t>entregado</w:t>
            </w:r>
            <w:r w:rsidR="00F96053">
              <w:rPr>
                <w:rFonts w:asciiTheme="minorHAnsi" w:hAnsiTheme="minorHAnsi"/>
                <w:sz w:val="20"/>
                <w:szCs w:val="20"/>
                <w:lang w:val="es-AR"/>
              </w:rPr>
              <w:t>s</w:t>
            </w:r>
            <w:r w:rsidRPr="004A403A">
              <w:rPr>
                <w:rFonts w:asciiTheme="minorHAnsi" w:hAnsiTheme="minorHAnsi"/>
                <w:sz w:val="20"/>
                <w:szCs w:val="20"/>
                <w:lang w:val="es-AR"/>
              </w:rPr>
              <w:t xml:space="preserve"> a</w:t>
            </w:r>
            <w:r w:rsidR="00F96053">
              <w:rPr>
                <w:rFonts w:asciiTheme="minorHAnsi" w:hAnsiTheme="minorHAnsi"/>
                <w:sz w:val="20"/>
                <w:szCs w:val="20"/>
                <w:lang w:val="es-AR"/>
              </w:rPr>
              <w:t xml:space="preserve"> la Presidencia del Consejo de Ministros por </w:t>
            </w:r>
            <w:r w:rsidRPr="004A403A">
              <w:rPr>
                <w:rFonts w:asciiTheme="minorHAnsi" w:hAnsiTheme="minorHAnsi"/>
                <w:sz w:val="20"/>
                <w:szCs w:val="20"/>
                <w:lang w:val="es-AR"/>
              </w:rPr>
              <w:t>Margareta Wahlström, Representante Especial para la Reducción del Riesgo de Desastres</w:t>
            </w:r>
            <w:r w:rsidR="00F96053">
              <w:rPr>
                <w:rFonts w:asciiTheme="minorHAnsi" w:hAnsiTheme="minorHAnsi"/>
                <w:sz w:val="20"/>
                <w:szCs w:val="20"/>
                <w:lang w:val="es-AR"/>
              </w:rPr>
              <w:t>,</w:t>
            </w:r>
            <w:r w:rsidRPr="004A403A">
              <w:rPr>
                <w:rFonts w:asciiTheme="minorHAnsi" w:hAnsiTheme="minorHAnsi"/>
                <w:sz w:val="20"/>
                <w:szCs w:val="20"/>
                <w:lang w:val="es-AR"/>
              </w:rPr>
              <w:t xml:space="preserve"> durante una reunión oficial en el marco de la COP20.</w:t>
            </w:r>
          </w:p>
          <w:p w14:paraId="3CC2DA19" w14:textId="1660F983" w:rsidR="004A403A" w:rsidRPr="004A403A" w:rsidRDefault="00F96053" w:rsidP="004A403A">
            <w:pPr>
              <w:pStyle w:val="ListParagraph"/>
              <w:numPr>
                <w:ilvl w:val="0"/>
                <w:numId w:val="26"/>
              </w:numPr>
              <w:autoSpaceDE w:val="0"/>
              <w:autoSpaceDN w:val="0"/>
              <w:adjustRightInd w:val="0"/>
              <w:jc w:val="both"/>
              <w:rPr>
                <w:rFonts w:asciiTheme="minorHAnsi" w:hAnsiTheme="minorHAnsi"/>
                <w:sz w:val="20"/>
                <w:szCs w:val="20"/>
                <w:lang w:val="es-AR"/>
              </w:rPr>
            </w:pPr>
            <w:r>
              <w:rPr>
                <w:rFonts w:asciiTheme="minorHAnsi" w:hAnsiTheme="minorHAnsi"/>
                <w:sz w:val="20"/>
                <w:szCs w:val="20"/>
                <w:lang w:val="es-AR"/>
              </w:rPr>
              <w:t>Consolidar un e</w:t>
            </w:r>
            <w:r w:rsidR="004A403A" w:rsidRPr="004A403A">
              <w:rPr>
                <w:rFonts w:asciiTheme="minorHAnsi" w:hAnsiTheme="minorHAnsi"/>
                <w:sz w:val="20"/>
                <w:szCs w:val="20"/>
                <w:lang w:val="es-AR"/>
              </w:rPr>
              <w:t xml:space="preserve">nfoque interinstitucional </w:t>
            </w:r>
            <w:r>
              <w:rPr>
                <w:rFonts w:asciiTheme="minorHAnsi" w:hAnsiTheme="minorHAnsi"/>
                <w:sz w:val="20"/>
                <w:szCs w:val="20"/>
                <w:lang w:val="es-AR"/>
              </w:rPr>
              <w:t xml:space="preserve">de </w:t>
            </w:r>
            <w:r w:rsidR="004A403A" w:rsidRPr="004A403A">
              <w:rPr>
                <w:rFonts w:asciiTheme="minorHAnsi" w:hAnsiTheme="minorHAnsi"/>
                <w:sz w:val="20"/>
                <w:szCs w:val="20"/>
                <w:lang w:val="es-AR"/>
              </w:rPr>
              <w:t>GRD a través de las propuestas de proyectos conjuntos y la participación en misiones de evaluación de necesidades después de las emergencias.</w:t>
            </w:r>
          </w:p>
          <w:p w14:paraId="46FF1B6B" w14:textId="33DD7A6B" w:rsidR="00832FE4" w:rsidRPr="004A403A" w:rsidRDefault="00F96053" w:rsidP="004A403A">
            <w:pPr>
              <w:pStyle w:val="ListParagraph"/>
              <w:numPr>
                <w:ilvl w:val="0"/>
                <w:numId w:val="26"/>
              </w:numPr>
              <w:autoSpaceDE w:val="0"/>
              <w:autoSpaceDN w:val="0"/>
              <w:adjustRightInd w:val="0"/>
              <w:jc w:val="both"/>
              <w:rPr>
                <w:rFonts w:asciiTheme="minorHAnsi" w:hAnsiTheme="minorHAnsi" w:cs="Helvetica"/>
                <w:sz w:val="20"/>
                <w:szCs w:val="20"/>
                <w:lang w:val="es-AR"/>
              </w:rPr>
            </w:pPr>
            <w:r>
              <w:rPr>
                <w:rFonts w:asciiTheme="minorHAnsi" w:hAnsiTheme="minorHAnsi"/>
                <w:sz w:val="20"/>
                <w:szCs w:val="20"/>
                <w:lang w:val="es-AR"/>
              </w:rPr>
              <w:t xml:space="preserve">Formular un </w:t>
            </w:r>
            <w:r w:rsidR="004A403A" w:rsidRPr="004A403A">
              <w:rPr>
                <w:rFonts w:asciiTheme="minorHAnsi" w:hAnsiTheme="minorHAnsi"/>
                <w:sz w:val="20"/>
                <w:szCs w:val="20"/>
                <w:lang w:val="es-AR"/>
              </w:rPr>
              <w:t xml:space="preserve">protocolo </w:t>
            </w:r>
            <w:r>
              <w:rPr>
                <w:rFonts w:asciiTheme="minorHAnsi" w:hAnsiTheme="minorHAnsi"/>
                <w:sz w:val="20"/>
                <w:szCs w:val="20"/>
                <w:lang w:val="es-AR"/>
              </w:rPr>
              <w:t xml:space="preserve">para el </w:t>
            </w:r>
            <w:r w:rsidR="004A403A" w:rsidRPr="004A403A">
              <w:rPr>
                <w:rFonts w:asciiTheme="minorHAnsi" w:hAnsiTheme="minorHAnsi"/>
                <w:sz w:val="20"/>
                <w:szCs w:val="20"/>
                <w:lang w:val="es-AR"/>
              </w:rPr>
              <w:t>aeropuerto Jorge Chávez en caso de un d</w:t>
            </w:r>
            <w:r w:rsidR="004A403A">
              <w:rPr>
                <w:rFonts w:asciiTheme="minorHAnsi" w:hAnsiTheme="minorHAnsi"/>
                <w:sz w:val="20"/>
                <w:szCs w:val="20"/>
                <w:lang w:val="es-AR"/>
              </w:rPr>
              <w:t>esastre de alto impacto en Lima</w:t>
            </w:r>
            <w:r w:rsidR="0084799A">
              <w:rPr>
                <w:rFonts w:asciiTheme="minorHAnsi" w:hAnsiTheme="minorHAnsi"/>
                <w:sz w:val="20"/>
                <w:szCs w:val="20"/>
                <w:lang w:val="es-AR"/>
              </w:rPr>
              <w:t>.</w:t>
            </w:r>
          </w:p>
          <w:p w14:paraId="2AEF43A9" w14:textId="12E07CE4" w:rsidR="004A403A" w:rsidRPr="0084799A" w:rsidRDefault="00F96053" w:rsidP="00F01774">
            <w:pPr>
              <w:pStyle w:val="ListParagraph"/>
              <w:numPr>
                <w:ilvl w:val="0"/>
                <w:numId w:val="26"/>
              </w:numPr>
              <w:autoSpaceDE w:val="0"/>
              <w:autoSpaceDN w:val="0"/>
              <w:adjustRightInd w:val="0"/>
              <w:jc w:val="both"/>
              <w:rPr>
                <w:rFonts w:asciiTheme="minorHAnsi" w:hAnsiTheme="minorHAnsi" w:cs="Helvetica"/>
                <w:sz w:val="20"/>
                <w:szCs w:val="20"/>
                <w:lang w:val="es-AR"/>
              </w:rPr>
            </w:pPr>
            <w:r>
              <w:rPr>
                <w:rFonts w:asciiTheme="minorHAnsi" w:hAnsiTheme="minorHAnsi"/>
                <w:sz w:val="20"/>
                <w:szCs w:val="20"/>
                <w:lang w:val="es-AR"/>
              </w:rPr>
              <w:t xml:space="preserve">Mejorar los medios de vida de comunidades de la </w:t>
            </w:r>
            <w:r w:rsidR="004A403A" w:rsidRPr="0084799A">
              <w:rPr>
                <w:rFonts w:asciiTheme="minorHAnsi" w:hAnsiTheme="minorHAnsi"/>
                <w:sz w:val="20"/>
                <w:szCs w:val="20"/>
                <w:lang w:val="es-AR"/>
              </w:rPr>
              <w:t>Reserva Paisajística Nor Yauyos Cochas</w:t>
            </w:r>
            <w:r>
              <w:rPr>
                <w:rFonts w:asciiTheme="minorHAnsi" w:hAnsiTheme="minorHAnsi"/>
                <w:sz w:val="20"/>
                <w:szCs w:val="20"/>
                <w:lang w:val="es-AR"/>
              </w:rPr>
              <w:t xml:space="preserve"> por medio del </w:t>
            </w:r>
            <w:r w:rsidR="004A403A" w:rsidRPr="0084799A">
              <w:rPr>
                <w:rFonts w:asciiTheme="minorHAnsi" w:hAnsiTheme="minorHAnsi"/>
                <w:sz w:val="20"/>
                <w:szCs w:val="20"/>
                <w:lang w:val="es-AR"/>
              </w:rPr>
              <w:t>desarroll</w:t>
            </w:r>
            <w:r>
              <w:rPr>
                <w:rFonts w:asciiTheme="minorHAnsi" w:hAnsiTheme="minorHAnsi"/>
                <w:sz w:val="20"/>
                <w:szCs w:val="20"/>
                <w:lang w:val="es-AR"/>
              </w:rPr>
              <w:t xml:space="preserve">o de </w:t>
            </w:r>
            <w:r w:rsidR="004A403A" w:rsidRPr="0084799A">
              <w:rPr>
                <w:rFonts w:asciiTheme="minorHAnsi" w:hAnsiTheme="minorHAnsi"/>
                <w:sz w:val="20"/>
                <w:szCs w:val="20"/>
                <w:lang w:val="es-AR"/>
              </w:rPr>
              <w:t>medidas de adaptación, que empleen mejor los recursos ecosistémicos</w:t>
            </w:r>
            <w:r>
              <w:rPr>
                <w:rFonts w:asciiTheme="minorHAnsi" w:hAnsiTheme="minorHAnsi"/>
                <w:sz w:val="20"/>
                <w:szCs w:val="20"/>
                <w:lang w:val="es-AR"/>
              </w:rPr>
              <w:t xml:space="preserve">. </w:t>
            </w:r>
          </w:p>
          <w:p w14:paraId="43CBA25A" w14:textId="0444C877" w:rsidR="0084799A" w:rsidRPr="001575CE" w:rsidRDefault="007E0200" w:rsidP="007E0200">
            <w:pPr>
              <w:pStyle w:val="ListParagraph"/>
              <w:numPr>
                <w:ilvl w:val="0"/>
                <w:numId w:val="26"/>
              </w:numPr>
              <w:autoSpaceDE w:val="0"/>
              <w:autoSpaceDN w:val="0"/>
              <w:adjustRightInd w:val="0"/>
              <w:jc w:val="both"/>
              <w:rPr>
                <w:rFonts w:asciiTheme="minorHAnsi" w:hAnsiTheme="minorHAnsi" w:cs="Helvetica"/>
                <w:sz w:val="20"/>
                <w:szCs w:val="20"/>
                <w:lang w:val="es-AR"/>
              </w:rPr>
            </w:pPr>
            <w:r w:rsidRPr="007E0200">
              <w:rPr>
                <w:rFonts w:asciiTheme="minorHAnsi" w:hAnsiTheme="minorHAnsi" w:cs="Helvetica"/>
                <w:sz w:val="20"/>
                <w:szCs w:val="20"/>
                <w:lang w:val="es-AR"/>
              </w:rPr>
              <w:t xml:space="preserve">Mejorar la gestión integrada de residuos sólidos del municipio provincial de Arequipa y proponer un modelo de </w:t>
            </w:r>
            <w:r w:rsidR="00F96053" w:rsidRPr="007E0200">
              <w:rPr>
                <w:rFonts w:asciiTheme="minorHAnsi" w:hAnsiTheme="minorHAnsi" w:cs="Helvetica"/>
                <w:sz w:val="20"/>
                <w:szCs w:val="20"/>
                <w:lang w:val="es-AR"/>
              </w:rPr>
              <w:t>formalización de recicladores. Sensibilizar a m</w:t>
            </w:r>
            <w:r w:rsidR="0084799A" w:rsidRPr="007E0200">
              <w:rPr>
                <w:rFonts w:asciiTheme="minorHAnsi" w:hAnsiTheme="minorHAnsi" w:cs="Helvetica"/>
                <w:sz w:val="20"/>
                <w:szCs w:val="20"/>
                <w:lang w:val="es-AR"/>
              </w:rPr>
              <w:t xml:space="preserve">ás de 10 mil Hogares </w:t>
            </w:r>
            <w:r w:rsidR="0084799A" w:rsidRPr="001575CE">
              <w:rPr>
                <w:rFonts w:asciiTheme="minorHAnsi" w:hAnsiTheme="minorHAnsi" w:cs="Helvetica"/>
                <w:sz w:val="20"/>
                <w:szCs w:val="20"/>
                <w:lang w:val="es-AR"/>
              </w:rPr>
              <w:t>sobre la gestión de residuos sólidos a través de campañas.</w:t>
            </w:r>
          </w:p>
          <w:p w14:paraId="76201F4C" w14:textId="0E7F2BFA" w:rsidR="0084799A" w:rsidRDefault="00F96053" w:rsidP="00F01774">
            <w:pPr>
              <w:pStyle w:val="ListParagraph"/>
              <w:numPr>
                <w:ilvl w:val="0"/>
                <w:numId w:val="26"/>
              </w:numPr>
              <w:autoSpaceDE w:val="0"/>
              <w:autoSpaceDN w:val="0"/>
              <w:adjustRightInd w:val="0"/>
              <w:jc w:val="both"/>
              <w:rPr>
                <w:rFonts w:asciiTheme="minorHAnsi" w:hAnsiTheme="minorHAnsi" w:cs="Helvetica"/>
                <w:sz w:val="20"/>
                <w:szCs w:val="20"/>
                <w:lang w:val="es-AR"/>
              </w:rPr>
            </w:pPr>
            <w:r>
              <w:rPr>
                <w:rFonts w:asciiTheme="minorHAnsi" w:hAnsiTheme="minorHAnsi" w:cs="Helvetica"/>
                <w:sz w:val="20"/>
                <w:szCs w:val="20"/>
                <w:lang w:val="es-AR"/>
              </w:rPr>
              <w:t>D</w:t>
            </w:r>
            <w:r w:rsidR="0084799A" w:rsidRPr="0084799A">
              <w:rPr>
                <w:rFonts w:asciiTheme="minorHAnsi" w:hAnsiTheme="minorHAnsi" w:cs="Helvetica"/>
                <w:sz w:val="20"/>
                <w:szCs w:val="20"/>
                <w:lang w:val="es-AR"/>
              </w:rPr>
              <w:t>iseña</w:t>
            </w:r>
            <w:r>
              <w:rPr>
                <w:rFonts w:asciiTheme="minorHAnsi" w:hAnsiTheme="minorHAnsi" w:cs="Helvetica"/>
                <w:sz w:val="20"/>
                <w:szCs w:val="20"/>
                <w:lang w:val="es-AR"/>
              </w:rPr>
              <w:t xml:space="preserve">r </w:t>
            </w:r>
            <w:r w:rsidR="0084799A" w:rsidRPr="0084799A">
              <w:rPr>
                <w:rFonts w:asciiTheme="minorHAnsi" w:hAnsiTheme="minorHAnsi" w:cs="Helvetica"/>
                <w:sz w:val="20"/>
                <w:szCs w:val="20"/>
                <w:lang w:val="es-AR"/>
              </w:rPr>
              <w:t xml:space="preserve">las Estrategias Regionales de Cambio Climático (ERCC) </w:t>
            </w:r>
            <w:r>
              <w:rPr>
                <w:rFonts w:asciiTheme="minorHAnsi" w:hAnsiTheme="minorHAnsi" w:cs="Helvetica"/>
                <w:sz w:val="20"/>
                <w:szCs w:val="20"/>
                <w:lang w:val="es-AR"/>
              </w:rPr>
              <w:t>de</w:t>
            </w:r>
            <w:r w:rsidR="0084799A" w:rsidRPr="0084799A">
              <w:rPr>
                <w:rFonts w:asciiTheme="minorHAnsi" w:hAnsiTheme="minorHAnsi" w:cs="Helvetica"/>
                <w:sz w:val="20"/>
                <w:szCs w:val="20"/>
                <w:lang w:val="es-AR"/>
              </w:rPr>
              <w:t xml:space="preserve"> Piura, Junín y Lima (estas últimas con un enfoque basado en ecosistemas); y la Estrategia Regional Integral de Cambio Climático, Biodiversidad, Conservación y Lucha contra la Desertificación de Tumbes</w:t>
            </w:r>
            <w:r w:rsidR="0084799A">
              <w:rPr>
                <w:rFonts w:asciiTheme="minorHAnsi" w:hAnsiTheme="minorHAnsi" w:cs="Helvetica"/>
                <w:sz w:val="20"/>
                <w:szCs w:val="20"/>
                <w:lang w:val="es-AR"/>
              </w:rPr>
              <w:t>.</w:t>
            </w:r>
          </w:p>
          <w:p w14:paraId="495DA730" w14:textId="3FC6D24A" w:rsidR="0084799A" w:rsidRDefault="00F96053" w:rsidP="00F01774">
            <w:pPr>
              <w:pStyle w:val="ListParagraph"/>
              <w:numPr>
                <w:ilvl w:val="0"/>
                <w:numId w:val="26"/>
              </w:numPr>
              <w:autoSpaceDE w:val="0"/>
              <w:autoSpaceDN w:val="0"/>
              <w:adjustRightInd w:val="0"/>
              <w:jc w:val="both"/>
              <w:rPr>
                <w:rFonts w:asciiTheme="minorHAnsi" w:hAnsiTheme="minorHAnsi" w:cs="Helvetica"/>
                <w:sz w:val="20"/>
                <w:szCs w:val="20"/>
                <w:lang w:val="es-AR"/>
              </w:rPr>
            </w:pPr>
            <w:r>
              <w:rPr>
                <w:rFonts w:asciiTheme="minorHAnsi" w:hAnsiTheme="minorHAnsi" w:cs="Helvetica"/>
                <w:sz w:val="20"/>
                <w:szCs w:val="20"/>
                <w:lang w:val="es-AR"/>
              </w:rPr>
              <w:t xml:space="preserve">Formular </w:t>
            </w:r>
            <w:r w:rsidR="0084799A" w:rsidRPr="0084799A">
              <w:rPr>
                <w:rFonts w:asciiTheme="minorHAnsi" w:hAnsiTheme="minorHAnsi" w:cs="Helvetica"/>
                <w:sz w:val="20"/>
                <w:szCs w:val="20"/>
                <w:lang w:val="es-AR"/>
              </w:rPr>
              <w:t xml:space="preserve">la </w:t>
            </w:r>
            <w:r w:rsidR="0084799A" w:rsidRPr="0084799A">
              <w:rPr>
                <w:rFonts w:asciiTheme="minorHAnsi" w:hAnsiTheme="minorHAnsi" w:cs="Helvetica"/>
                <w:bCs/>
                <w:sz w:val="20"/>
                <w:szCs w:val="20"/>
                <w:lang w:val="es-AR"/>
              </w:rPr>
              <w:t xml:space="preserve">Estrategia Nacional </w:t>
            </w:r>
            <w:r w:rsidR="0084799A" w:rsidRPr="0084799A">
              <w:rPr>
                <w:rFonts w:asciiTheme="minorHAnsi" w:hAnsiTheme="minorHAnsi" w:cs="Helvetica"/>
                <w:sz w:val="20"/>
                <w:szCs w:val="20"/>
                <w:lang w:val="es-AR"/>
              </w:rPr>
              <w:t>de Diversidad Biológica al 2021 y su correspondiente Plan de Acción</w:t>
            </w:r>
            <w:r w:rsidR="0084799A">
              <w:rPr>
                <w:rFonts w:asciiTheme="minorHAnsi" w:hAnsiTheme="minorHAnsi" w:cs="Helvetica"/>
                <w:sz w:val="20"/>
                <w:szCs w:val="20"/>
                <w:lang w:val="es-AR"/>
              </w:rPr>
              <w:t>.</w:t>
            </w:r>
          </w:p>
          <w:p w14:paraId="411427A4" w14:textId="71CF7D22" w:rsidR="0084799A" w:rsidRPr="0084799A" w:rsidRDefault="007E0200" w:rsidP="00F01774">
            <w:pPr>
              <w:pStyle w:val="ListParagraph"/>
              <w:numPr>
                <w:ilvl w:val="0"/>
                <w:numId w:val="26"/>
              </w:numPr>
              <w:autoSpaceDE w:val="0"/>
              <w:autoSpaceDN w:val="0"/>
              <w:adjustRightInd w:val="0"/>
              <w:jc w:val="both"/>
              <w:rPr>
                <w:rFonts w:asciiTheme="minorHAnsi" w:hAnsiTheme="minorHAnsi" w:cs="Helvetica"/>
                <w:sz w:val="20"/>
                <w:szCs w:val="20"/>
                <w:lang w:val="es-AR"/>
              </w:rPr>
            </w:pPr>
            <w:r>
              <w:rPr>
                <w:rFonts w:asciiTheme="minorHAnsi" w:hAnsiTheme="minorHAnsi" w:cs="Helvetica"/>
                <w:sz w:val="20"/>
                <w:szCs w:val="20"/>
                <w:lang w:val="es-AR"/>
              </w:rPr>
              <w:t xml:space="preserve">Fortalecer las capacidades del Ministerio del Ambiente (MINAM) </w:t>
            </w:r>
            <w:r w:rsidR="0084799A" w:rsidRPr="0084799A">
              <w:rPr>
                <w:rFonts w:asciiTheme="minorHAnsi" w:hAnsiTheme="minorHAnsi" w:cs="Helvetica"/>
                <w:sz w:val="20"/>
                <w:szCs w:val="20"/>
                <w:lang w:val="es-AR"/>
              </w:rPr>
              <w:t>para</w:t>
            </w:r>
            <w:r w:rsidR="0084799A" w:rsidRPr="0084799A">
              <w:rPr>
                <w:rFonts w:asciiTheme="minorHAnsi" w:hAnsiTheme="minorHAnsi" w:cs="Helvetica"/>
                <w:bCs/>
                <w:sz w:val="20"/>
                <w:szCs w:val="20"/>
                <w:lang w:val="es-AR"/>
              </w:rPr>
              <w:t xml:space="preserve"> la organización de la 20a. Edición de la Conferencia de Partes de la Convención Marco de Naciones Unidas sobre el Cambio Climático (COP20) y la 10a. Reunión de las partes del Protocolo de Kioto (CMP10)</w:t>
            </w:r>
            <w:r w:rsidR="0084799A" w:rsidRPr="0084799A">
              <w:rPr>
                <w:rFonts w:asciiTheme="minorHAnsi" w:hAnsiTheme="minorHAnsi" w:cs="Helvetica"/>
                <w:sz w:val="20"/>
                <w:szCs w:val="20"/>
                <w:lang w:val="es-AR"/>
              </w:rPr>
              <w:t xml:space="preserve">. </w:t>
            </w:r>
            <w:r w:rsidR="0084799A" w:rsidRPr="0084799A">
              <w:rPr>
                <w:rFonts w:asciiTheme="minorHAnsi" w:hAnsiTheme="minorHAnsi" w:cs="Helvetica"/>
                <w:bCs/>
                <w:sz w:val="20"/>
                <w:szCs w:val="20"/>
                <w:lang w:val="es-AR"/>
              </w:rPr>
              <w:t>Se capacitó a más de 400 dirigentes indígenas pertenecientes a más de 80 organizaciones indígenas de 6 regiones amazónicas en temas relacionados con el mecanismo REDD+ (Reducción de Emisiones provenientes de la Deforestación y Degradación Forestal)</w:t>
            </w:r>
            <w:r w:rsidR="0084799A">
              <w:rPr>
                <w:rFonts w:asciiTheme="minorHAnsi" w:hAnsiTheme="minorHAnsi" w:cs="Helvetica"/>
                <w:bCs/>
                <w:sz w:val="20"/>
                <w:szCs w:val="20"/>
                <w:lang w:val="es-AR"/>
              </w:rPr>
              <w:t>.</w:t>
            </w:r>
          </w:p>
          <w:p w14:paraId="3D418EAD" w14:textId="5EE214D4" w:rsidR="0084799A" w:rsidRDefault="007E0200" w:rsidP="00F01774">
            <w:pPr>
              <w:pStyle w:val="ListParagraph"/>
              <w:numPr>
                <w:ilvl w:val="0"/>
                <w:numId w:val="26"/>
              </w:numPr>
              <w:autoSpaceDE w:val="0"/>
              <w:autoSpaceDN w:val="0"/>
              <w:adjustRightInd w:val="0"/>
              <w:jc w:val="both"/>
              <w:rPr>
                <w:rFonts w:asciiTheme="minorHAnsi" w:hAnsiTheme="minorHAnsi" w:cs="Helvetica"/>
                <w:sz w:val="20"/>
                <w:szCs w:val="20"/>
                <w:lang w:val="es-AR"/>
              </w:rPr>
            </w:pPr>
            <w:r>
              <w:rPr>
                <w:rFonts w:asciiTheme="minorHAnsi" w:hAnsiTheme="minorHAnsi" w:cs="Helvetica"/>
                <w:sz w:val="20"/>
                <w:szCs w:val="20"/>
                <w:lang w:val="es-AR"/>
              </w:rPr>
              <w:lastRenderedPageBreak/>
              <w:t>F</w:t>
            </w:r>
            <w:r w:rsidR="0084799A" w:rsidRPr="0084799A">
              <w:rPr>
                <w:rFonts w:asciiTheme="minorHAnsi" w:hAnsiTheme="minorHAnsi" w:cs="Helvetica"/>
                <w:sz w:val="20"/>
                <w:szCs w:val="20"/>
                <w:lang w:val="es-AR"/>
              </w:rPr>
              <w:t>ortalec</w:t>
            </w:r>
            <w:r>
              <w:rPr>
                <w:rFonts w:asciiTheme="minorHAnsi" w:hAnsiTheme="minorHAnsi" w:cs="Helvetica"/>
                <w:sz w:val="20"/>
                <w:szCs w:val="20"/>
                <w:lang w:val="es-AR"/>
              </w:rPr>
              <w:t xml:space="preserve">er </w:t>
            </w:r>
            <w:r w:rsidR="0084799A" w:rsidRPr="0084799A">
              <w:rPr>
                <w:rFonts w:asciiTheme="minorHAnsi" w:hAnsiTheme="minorHAnsi" w:cs="Helvetica"/>
                <w:sz w:val="20"/>
                <w:szCs w:val="20"/>
                <w:lang w:val="es-AR"/>
              </w:rPr>
              <w:t>los marcos legales e institucionales para la conservación y uso sostenible del capital natural, la biodiversidad y los ecosistemas, con un enfoque de medios de vida sostenibles. Tal es el caso de la asistencia técnica para el fortalecimiento de capacidades del Ministerio del Ambiente (MINAM) y del Ministerio de Energía y Minas (MINEM), en las áreas de mitigación al cambio climático, calidad ambiental, financiamiento ambiental, protección y conservación de los recursos naturales y adaptación al cambio climático</w:t>
            </w:r>
            <w:r w:rsidR="0084799A">
              <w:rPr>
                <w:rFonts w:asciiTheme="minorHAnsi" w:hAnsiTheme="minorHAnsi" w:cs="Helvetica"/>
                <w:sz w:val="20"/>
                <w:szCs w:val="20"/>
                <w:lang w:val="es-AR"/>
              </w:rPr>
              <w:t>.</w:t>
            </w:r>
          </w:p>
          <w:p w14:paraId="170B635C" w14:textId="72BD07F2" w:rsidR="0084799A" w:rsidRDefault="007E0200" w:rsidP="00F01774">
            <w:pPr>
              <w:pStyle w:val="ListParagraph"/>
              <w:numPr>
                <w:ilvl w:val="0"/>
                <w:numId w:val="26"/>
              </w:numPr>
              <w:autoSpaceDE w:val="0"/>
              <w:autoSpaceDN w:val="0"/>
              <w:adjustRightInd w:val="0"/>
              <w:jc w:val="both"/>
              <w:rPr>
                <w:rFonts w:asciiTheme="minorHAnsi" w:hAnsiTheme="minorHAnsi" w:cs="Helvetica"/>
                <w:sz w:val="20"/>
                <w:szCs w:val="20"/>
                <w:lang w:val="es-AR"/>
              </w:rPr>
            </w:pPr>
            <w:r>
              <w:rPr>
                <w:rFonts w:asciiTheme="minorHAnsi" w:hAnsiTheme="minorHAnsi" w:cs="Helvetica"/>
                <w:sz w:val="20"/>
                <w:szCs w:val="20"/>
                <w:lang w:val="es-AR"/>
              </w:rPr>
              <w:t>Elaborar r</w:t>
            </w:r>
            <w:r w:rsidR="0084799A" w:rsidRPr="0084799A">
              <w:rPr>
                <w:rFonts w:asciiTheme="minorHAnsi" w:hAnsiTheme="minorHAnsi" w:cs="Helvetica"/>
                <w:sz w:val="20"/>
                <w:szCs w:val="20"/>
                <w:lang w:val="es-AR"/>
              </w:rPr>
              <w:t>eportes nacionales e internacionales, dando cumplimiento a los compromisos ante la Convención Marco de Naciones Unidas sobre Cambio Climático</w:t>
            </w:r>
            <w:r w:rsidR="0084799A">
              <w:rPr>
                <w:rFonts w:asciiTheme="minorHAnsi" w:hAnsiTheme="minorHAnsi" w:cs="Helvetica"/>
                <w:sz w:val="20"/>
                <w:szCs w:val="20"/>
                <w:lang w:val="es-AR"/>
              </w:rPr>
              <w:t>.</w:t>
            </w:r>
          </w:p>
          <w:p w14:paraId="3EF91355" w14:textId="2817D57E" w:rsidR="0084799A" w:rsidRPr="009C4688" w:rsidRDefault="007E0200" w:rsidP="007E0200">
            <w:pPr>
              <w:pStyle w:val="ListParagraph"/>
              <w:numPr>
                <w:ilvl w:val="0"/>
                <w:numId w:val="26"/>
              </w:numPr>
              <w:autoSpaceDE w:val="0"/>
              <w:autoSpaceDN w:val="0"/>
              <w:adjustRightInd w:val="0"/>
              <w:jc w:val="both"/>
              <w:rPr>
                <w:rFonts w:asciiTheme="minorHAnsi" w:hAnsiTheme="minorHAnsi" w:cs="Helvetica"/>
                <w:sz w:val="20"/>
                <w:szCs w:val="20"/>
                <w:lang w:val="es-AR"/>
              </w:rPr>
            </w:pPr>
            <w:r>
              <w:rPr>
                <w:rFonts w:asciiTheme="minorHAnsi" w:hAnsiTheme="minorHAnsi" w:cs="Helvetica"/>
                <w:sz w:val="20"/>
                <w:szCs w:val="20"/>
                <w:lang w:val="es-AR"/>
              </w:rPr>
              <w:t xml:space="preserve">Desarrollar </w:t>
            </w:r>
            <w:r w:rsidR="0084799A" w:rsidRPr="0084799A">
              <w:rPr>
                <w:rFonts w:asciiTheme="minorHAnsi" w:hAnsiTheme="minorHAnsi" w:cs="Helvetica"/>
                <w:sz w:val="20"/>
                <w:szCs w:val="20"/>
                <w:lang w:val="es-AR"/>
              </w:rPr>
              <w:t>instrumentos financieros para la conservación de la biodiversidad (e. g. asesoramiento técnico y facilitación de la coordinación interministerial entre el MINAM y el Ministerio de Finanzas en las etapas finales de la política de inversión pública para biodiversidad y ecosistemas), instrumentos para promover acciones de mitigación del cambio climático, planes maestros en reservas comunales, entre otros</w:t>
            </w:r>
            <w:r w:rsidR="0084799A">
              <w:rPr>
                <w:rFonts w:asciiTheme="minorHAnsi" w:hAnsiTheme="minorHAnsi" w:cs="Helvetica"/>
                <w:sz w:val="20"/>
                <w:szCs w:val="20"/>
                <w:lang w:val="es-AR"/>
              </w:rPr>
              <w:t>.</w:t>
            </w:r>
          </w:p>
        </w:tc>
      </w:tr>
      <w:tr w:rsidR="00711EF4" w:rsidRPr="00FB7863" w14:paraId="279F0FCC" w14:textId="77777777" w:rsidTr="00265522">
        <w:tc>
          <w:tcPr>
            <w:tcW w:w="14034" w:type="dxa"/>
            <w:gridSpan w:val="4"/>
          </w:tcPr>
          <w:p w14:paraId="1C2DBA50" w14:textId="7AEC7B41" w:rsidR="00711EF4" w:rsidRPr="00A0769D" w:rsidRDefault="00711EF4" w:rsidP="008633A2">
            <w:pPr>
              <w:pStyle w:val="BodyText2"/>
              <w:rPr>
                <w:rFonts w:asciiTheme="minorHAnsi" w:hAnsiTheme="minorHAnsi"/>
                <w:b/>
                <w:lang w:val="es-PE"/>
              </w:rPr>
            </w:pPr>
            <w:r w:rsidRPr="00A0769D">
              <w:rPr>
                <w:rFonts w:asciiTheme="minorHAnsi" w:hAnsiTheme="minorHAnsi"/>
                <w:b/>
                <w:lang w:val="es-PE"/>
              </w:rPr>
              <w:lastRenderedPageBreak/>
              <w:t>Summary of evaluation findings</w:t>
            </w:r>
            <w:r w:rsidR="00FB7863" w:rsidRPr="00A0769D">
              <w:rPr>
                <w:rFonts w:asciiTheme="minorHAnsi" w:hAnsiTheme="minorHAnsi"/>
                <w:b/>
                <w:lang w:val="es-PE"/>
              </w:rPr>
              <w:t xml:space="preserve"> </w:t>
            </w:r>
          </w:p>
          <w:p w14:paraId="0D1FB4A6" w14:textId="60DD9160" w:rsidR="00711EF4" w:rsidRPr="00182CC7" w:rsidRDefault="00A0769D" w:rsidP="00612EA1">
            <w:pPr>
              <w:pStyle w:val="BodyText2"/>
              <w:jc w:val="both"/>
              <w:rPr>
                <w:rFonts w:asciiTheme="minorHAnsi" w:hAnsiTheme="minorHAnsi"/>
                <w:b/>
                <w:bCs/>
                <w:lang w:val="es-PE"/>
              </w:rPr>
            </w:pPr>
            <w:r w:rsidRPr="00A0769D">
              <w:rPr>
                <w:rFonts w:asciiTheme="minorHAnsi" w:hAnsiTheme="minorHAnsi"/>
                <w:lang w:val="es-PE"/>
              </w:rPr>
              <w:t xml:space="preserve">El </w:t>
            </w:r>
            <w:r>
              <w:rPr>
                <w:rFonts w:asciiTheme="minorHAnsi" w:hAnsiTheme="minorHAnsi"/>
                <w:lang w:val="es-PE"/>
              </w:rPr>
              <w:t>“</w:t>
            </w:r>
            <w:r w:rsidR="00495821" w:rsidRPr="00495821">
              <w:rPr>
                <w:rFonts w:asciiTheme="minorHAnsi" w:hAnsiTheme="minorHAnsi"/>
                <w:bCs/>
                <w:lang w:val="es-PE"/>
              </w:rPr>
              <w:t>Informe sobre Desarrollo Humano Perú 2013. Cambio climático y territorio</w:t>
            </w:r>
            <w:r>
              <w:rPr>
                <w:rFonts w:asciiTheme="minorHAnsi" w:hAnsiTheme="minorHAnsi"/>
                <w:lang w:val="es-PE"/>
              </w:rPr>
              <w:t>”</w:t>
            </w:r>
            <w:r w:rsidR="00182CC7">
              <w:rPr>
                <w:rFonts w:asciiTheme="minorHAnsi" w:hAnsiTheme="minorHAnsi"/>
                <w:lang w:val="es-PE"/>
              </w:rPr>
              <w:t xml:space="preserve"> </w:t>
            </w:r>
            <w:r w:rsidR="00055C8A">
              <w:rPr>
                <w:rFonts w:asciiTheme="minorHAnsi" w:hAnsiTheme="minorHAnsi"/>
                <w:lang w:val="es-PE"/>
              </w:rPr>
              <w:t xml:space="preserve">contribuyó a la </w:t>
            </w:r>
            <w:r w:rsidRPr="00A0769D">
              <w:rPr>
                <w:rFonts w:asciiTheme="minorHAnsi" w:hAnsiTheme="minorHAnsi"/>
                <w:lang w:val="es-PE"/>
              </w:rPr>
              <w:t xml:space="preserve">preparación </w:t>
            </w:r>
            <w:r w:rsidR="00055C8A">
              <w:rPr>
                <w:rFonts w:asciiTheme="minorHAnsi" w:hAnsiTheme="minorHAnsi"/>
                <w:lang w:val="es-PE"/>
              </w:rPr>
              <w:t xml:space="preserve">del Gobierno del Perú para </w:t>
            </w:r>
            <w:r w:rsidRPr="00A0769D">
              <w:rPr>
                <w:rFonts w:asciiTheme="minorHAnsi" w:hAnsiTheme="minorHAnsi"/>
                <w:lang w:val="es-PE"/>
              </w:rPr>
              <w:t xml:space="preserve">la presidencia </w:t>
            </w:r>
            <w:r w:rsidR="00055C8A">
              <w:rPr>
                <w:rFonts w:asciiTheme="minorHAnsi" w:hAnsiTheme="minorHAnsi"/>
                <w:lang w:val="es-PE"/>
              </w:rPr>
              <w:t xml:space="preserve">de la COP20 </w:t>
            </w:r>
            <w:r w:rsidRPr="00A0769D">
              <w:rPr>
                <w:rFonts w:asciiTheme="minorHAnsi" w:hAnsiTheme="minorHAnsi"/>
                <w:lang w:val="es-PE"/>
              </w:rPr>
              <w:t>y la formulación de la agenda interna</w:t>
            </w:r>
            <w:r w:rsidR="00055C8A">
              <w:rPr>
                <w:rFonts w:asciiTheme="minorHAnsi" w:hAnsiTheme="minorHAnsi"/>
                <w:lang w:val="es-PE"/>
              </w:rPr>
              <w:t xml:space="preserve">. </w:t>
            </w:r>
            <w:r w:rsidR="006E3AE0">
              <w:rPr>
                <w:rFonts w:asciiTheme="minorHAnsi" w:hAnsiTheme="minorHAnsi"/>
                <w:lang w:val="es-PE"/>
              </w:rPr>
              <w:t>E</w:t>
            </w:r>
            <w:r w:rsidR="00495821">
              <w:rPr>
                <w:rFonts w:asciiTheme="minorHAnsi" w:hAnsiTheme="minorHAnsi"/>
                <w:lang w:val="es-PE"/>
              </w:rPr>
              <w:t>n 2016, l</w:t>
            </w:r>
            <w:r w:rsidR="00495821" w:rsidRPr="00495821">
              <w:rPr>
                <w:rFonts w:asciiTheme="minorHAnsi" w:hAnsiTheme="minorHAnsi"/>
                <w:lang w:val="es-PE"/>
              </w:rPr>
              <w:t xml:space="preserve">a evaluación del </w:t>
            </w:r>
            <w:r w:rsidR="00055C8A">
              <w:rPr>
                <w:rFonts w:asciiTheme="minorHAnsi" w:hAnsiTheme="minorHAnsi"/>
                <w:lang w:val="es-PE"/>
              </w:rPr>
              <w:t>P</w:t>
            </w:r>
            <w:r w:rsidR="00495821" w:rsidRPr="00495821">
              <w:rPr>
                <w:rFonts w:asciiTheme="minorHAnsi" w:hAnsiTheme="minorHAnsi"/>
                <w:lang w:val="es-PE"/>
              </w:rPr>
              <w:t xml:space="preserve">royecto </w:t>
            </w:r>
            <w:r w:rsidR="00055C8A">
              <w:rPr>
                <w:rFonts w:asciiTheme="minorHAnsi" w:hAnsiTheme="minorHAnsi"/>
                <w:lang w:val="es-PE"/>
              </w:rPr>
              <w:t>C</w:t>
            </w:r>
            <w:r w:rsidR="00495821" w:rsidRPr="00495821">
              <w:rPr>
                <w:rFonts w:asciiTheme="minorHAnsi" w:hAnsiTheme="minorHAnsi"/>
                <w:lang w:val="es-PE"/>
              </w:rPr>
              <w:t xml:space="preserve">iudades </w:t>
            </w:r>
            <w:r w:rsidR="00055C8A">
              <w:rPr>
                <w:rFonts w:asciiTheme="minorHAnsi" w:hAnsiTheme="minorHAnsi"/>
                <w:lang w:val="es-PE"/>
              </w:rPr>
              <w:t>S</w:t>
            </w:r>
            <w:r w:rsidR="00495821" w:rsidRPr="00495821">
              <w:rPr>
                <w:rFonts w:asciiTheme="minorHAnsi" w:hAnsiTheme="minorHAnsi"/>
                <w:lang w:val="es-PE"/>
              </w:rPr>
              <w:t>ostenibles</w:t>
            </w:r>
            <w:r w:rsidR="006E3AE0">
              <w:rPr>
                <w:rFonts w:asciiTheme="minorHAnsi" w:hAnsiTheme="minorHAnsi"/>
                <w:lang w:val="es-PE"/>
              </w:rPr>
              <w:t xml:space="preserve"> encontró que </w:t>
            </w:r>
            <w:r w:rsidR="00495821" w:rsidRPr="00495821">
              <w:rPr>
                <w:rFonts w:asciiTheme="minorHAnsi" w:hAnsiTheme="minorHAnsi"/>
                <w:lang w:val="es-PE"/>
              </w:rPr>
              <w:t xml:space="preserve">PNUD </w:t>
            </w:r>
            <w:r w:rsidR="00055C8A">
              <w:rPr>
                <w:rFonts w:asciiTheme="minorHAnsi" w:hAnsiTheme="minorHAnsi"/>
                <w:lang w:val="es-PE"/>
              </w:rPr>
              <w:t>contribuyó a</w:t>
            </w:r>
            <w:r w:rsidR="00182CC7">
              <w:rPr>
                <w:rFonts w:asciiTheme="minorHAnsi" w:hAnsiTheme="minorHAnsi"/>
                <w:lang w:val="es-PE"/>
              </w:rPr>
              <w:t>: (i)</w:t>
            </w:r>
            <w:r w:rsidR="00495821" w:rsidRPr="00495821">
              <w:rPr>
                <w:rFonts w:asciiTheme="minorHAnsi" w:hAnsiTheme="minorHAnsi"/>
                <w:lang w:val="es-PE"/>
              </w:rPr>
              <w:t xml:space="preserve"> el fortalecimiento de la</w:t>
            </w:r>
            <w:r w:rsidR="006E3AE0">
              <w:rPr>
                <w:rFonts w:asciiTheme="minorHAnsi" w:hAnsiTheme="minorHAnsi"/>
                <w:lang w:val="es-PE"/>
              </w:rPr>
              <w:t xml:space="preserve"> GRD</w:t>
            </w:r>
            <w:r w:rsidR="00495821" w:rsidRPr="00495821">
              <w:rPr>
                <w:rFonts w:asciiTheme="minorHAnsi" w:hAnsiTheme="minorHAnsi"/>
                <w:lang w:val="es-PE"/>
              </w:rPr>
              <w:t>, proporcionando asistencia técnica para la elaboración de las evaluaciones de riesgos urbanos y mapas de riesgo de us</w:t>
            </w:r>
            <w:r w:rsidR="00182CC7">
              <w:rPr>
                <w:rFonts w:asciiTheme="minorHAnsi" w:hAnsiTheme="minorHAnsi"/>
                <w:lang w:val="es-PE"/>
              </w:rPr>
              <w:t>o del suelo para 180 ciudades</w:t>
            </w:r>
            <w:r w:rsidR="00055C8A">
              <w:rPr>
                <w:rFonts w:asciiTheme="minorHAnsi" w:hAnsiTheme="minorHAnsi"/>
                <w:lang w:val="es-PE"/>
              </w:rPr>
              <w:t xml:space="preserve">; y </w:t>
            </w:r>
            <w:r w:rsidR="00182CC7">
              <w:rPr>
                <w:rFonts w:asciiTheme="minorHAnsi" w:hAnsiTheme="minorHAnsi"/>
                <w:lang w:val="es-PE"/>
              </w:rPr>
              <w:t xml:space="preserve"> (ii) la implementación de</w:t>
            </w:r>
            <w:r w:rsidR="00612EA1">
              <w:rPr>
                <w:rFonts w:asciiTheme="minorHAnsi" w:hAnsiTheme="minorHAnsi"/>
                <w:lang w:val="es-PE"/>
              </w:rPr>
              <w:t xml:space="preserve"> 5</w:t>
            </w:r>
            <w:r w:rsidR="00495821" w:rsidRPr="00495821">
              <w:rPr>
                <w:rFonts w:asciiTheme="minorHAnsi" w:hAnsiTheme="minorHAnsi"/>
                <w:lang w:val="es-PE"/>
              </w:rPr>
              <w:t xml:space="preserve"> sistemas de</w:t>
            </w:r>
            <w:r w:rsidR="00612EA1">
              <w:rPr>
                <w:rFonts w:asciiTheme="minorHAnsi" w:hAnsiTheme="minorHAnsi"/>
                <w:lang w:val="es-PE"/>
              </w:rPr>
              <w:t xml:space="preserve"> alerta temprana y 6 sistemas de</w:t>
            </w:r>
            <w:r w:rsidR="00495821" w:rsidRPr="00495821">
              <w:rPr>
                <w:rFonts w:asciiTheme="minorHAnsi" w:hAnsiTheme="minorHAnsi"/>
                <w:lang w:val="es-PE"/>
              </w:rPr>
              <w:t xml:space="preserve"> información p</w:t>
            </w:r>
            <w:r w:rsidR="00612EA1">
              <w:rPr>
                <w:rFonts w:asciiTheme="minorHAnsi" w:hAnsiTheme="minorHAnsi"/>
                <w:lang w:val="es-PE"/>
              </w:rPr>
              <w:t>ara la respuesta a desastres.</w:t>
            </w:r>
            <w:r w:rsidR="00612EA1">
              <w:rPr>
                <w:rFonts w:asciiTheme="minorHAnsi" w:hAnsiTheme="minorHAnsi"/>
                <w:b/>
                <w:bCs/>
                <w:lang w:val="es-PE"/>
              </w:rPr>
              <w:t xml:space="preserve"> </w:t>
            </w:r>
            <w:r w:rsidR="00612EA1">
              <w:rPr>
                <w:rFonts w:asciiTheme="minorHAnsi" w:hAnsiTheme="minorHAnsi"/>
                <w:lang w:val="es-PE"/>
              </w:rPr>
              <w:t>La e</w:t>
            </w:r>
            <w:r w:rsidR="00182CC7">
              <w:rPr>
                <w:rFonts w:asciiTheme="minorHAnsi" w:hAnsiTheme="minorHAnsi"/>
                <w:lang w:val="es-PE"/>
              </w:rPr>
              <w:t xml:space="preserve">valuación </w:t>
            </w:r>
            <w:r w:rsidR="00055C8A">
              <w:rPr>
                <w:rFonts w:asciiTheme="minorHAnsi" w:hAnsiTheme="minorHAnsi"/>
                <w:lang w:val="es-PE"/>
              </w:rPr>
              <w:t xml:space="preserve">temática </w:t>
            </w:r>
            <w:r w:rsidR="00182CC7">
              <w:rPr>
                <w:rFonts w:asciiTheme="minorHAnsi" w:hAnsiTheme="minorHAnsi"/>
                <w:lang w:val="es-PE"/>
              </w:rPr>
              <w:t xml:space="preserve">de las áreas de </w:t>
            </w:r>
            <w:r w:rsidRPr="00A0769D">
              <w:rPr>
                <w:rFonts w:asciiTheme="minorHAnsi" w:hAnsiTheme="minorHAnsi"/>
                <w:lang w:val="es-PE"/>
              </w:rPr>
              <w:t>reducción de la pobreza y de sostenibilidad ambiental concluyó que en el ciclo de programación 2</w:t>
            </w:r>
            <w:r w:rsidR="00182CC7">
              <w:rPr>
                <w:rFonts w:asciiTheme="minorHAnsi" w:hAnsiTheme="minorHAnsi"/>
                <w:lang w:val="es-PE"/>
              </w:rPr>
              <w:t>012-2016, el PNUD contribuyó</w:t>
            </w:r>
            <w:r w:rsidRPr="00A0769D">
              <w:rPr>
                <w:rFonts w:asciiTheme="minorHAnsi" w:hAnsiTheme="minorHAnsi"/>
                <w:lang w:val="es-PE"/>
              </w:rPr>
              <w:t xml:space="preserve"> de manera significativa a las prioridades nacionales de desarrollo.</w:t>
            </w:r>
            <w:r w:rsidR="00182CC7">
              <w:rPr>
                <w:rFonts w:asciiTheme="minorHAnsi" w:hAnsiTheme="minorHAnsi"/>
                <w:b/>
                <w:bCs/>
                <w:lang w:val="es-PE"/>
              </w:rPr>
              <w:t xml:space="preserve"> </w:t>
            </w:r>
            <w:r w:rsidRPr="00A0769D">
              <w:rPr>
                <w:rFonts w:asciiTheme="minorHAnsi" w:hAnsiTheme="minorHAnsi"/>
                <w:lang w:val="es-PE"/>
              </w:rPr>
              <w:t>Estos resultados, junto con un estudio sobre el</w:t>
            </w:r>
            <w:r w:rsidR="00612EA1">
              <w:rPr>
                <w:rFonts w:asciiTheme="minorHAnsi" w:hAnsiTheme="minorHAnsi"/>
                <w:lang w:val="es-PE"/>
              </w:rPr>
              <w:t xml:space="preserve"> valor agregado del</w:t>
            </w:r>
            <w:r w:rsidRPr="00A0769D">
              <w:rPr>
                <w:rFonts w:asciiTheme="minorHAnsi" w:hAnsiTheme="minorHAnsi"/>
                <w:lang w:val="es-PE"/>
              </w:rPr>
              <w:t xml:space="preserve"> PNUD</w:t>
            </w:r>
            <w:r w:rsidR="00612EA1">
              <w:rPr>
                <w:rFonts w:asciiTheme="minorHAnsi" w:hAnsiTheme="minorHAnsi"/>
                <w:lang w:val="es-PE"/>
              </w:rPr>
              <w:t>,</w:t>
            </w:r>
            <w:r w:rsidRPr="00A0769D">
              <w:rPr>
                <w:rFonts w:asciiTheme="minorHAnsi" w:hAnsiTheme="minorHAnsi"/>
                <w:lang w:val="es-PE"/>
              </w:rPr>
              <w:t xml:space="preserve"> muestran que el PNUD tiene ventaj</w:t>
            </w:r>
            <w:r w:rsidR="00182CC7">
              <w:rPr>
                <w:rFonts w:asciiTheme="minorHAnsi" w:hAnsiTheme="minorHAnsi"/>
                <w:lang w:val="es-PE"/>
              </w:rPr>
              <w:t xml:space="preserve">as comparativas </w:t>
            </w:r>
            <w:r w:rsidR="00055C8A">
              <w:rPr>
                <w:rFonts w:asciiTheme="minorHAnsi" w:hAnsiTheme="minorHAnsi"/>
                <w:lang w:val="es-PE"/>
              </w:rPr>
              <w:t>en</w:t>
            </w:r>
            <w:r w:rsidRPr="00A0769D">
              <w:rPr>
                <w:rFonts w:asciiTheme="minorHAnsi" w:hAnsiTheme="minorHAnsi"/>
                <w:lang w:val="es-PE"/>
              </w:rPr>
              <w:t>: (i) la asesor</w:t>
            </w:r>
            <w:r w:rsidR="00055C8A">
              <w:rPr>
                <w:rFonts w:asciiTheme="minorHAnsi" w:hAnsiTheme="minorHAnsi"/>
                <w:lang w:val="es-PE"/>
              </w:rPr>
              <w:t xml:space="preserve">ía </w:t>
            </w:r>
            <w:r w:rsidRPr="00A0769D">
              <w:rPr>
                <w:rFonts w:asciiTheme="minorHAnsi" w:hAnsiTheme="minorHAnsi"/>
                <w:lang w:val="es-PE"/>
              </w:rPr>
              <w:t>y promoción de p</w:t>
            </w:r>
            <w:r w:rsidR="00612EA1">
              <w:rPr>
                <w:rFonts w:asciiTheme="minorHAnsi" w:hAnsiTheme="minorHAnsi"/>
                <w:lang w:val="es-PE"/>
              </w:rPr>
              <w:t>olíticas; (i</w:t>
            </w:r>
            <w:r w:rsidRPr="00A0769D">
              <w:rPr>
                <w:rFonts w:asciiTheme="minorHAnsi" w:hAnsiTheme="minorHAnsi"/>
                <w:lang w:val="es-PE"/>
              </w:rPr>
              <w:t xml:space="preserve">i) </w:t>
            </w:r>
            <w:r w:rsidR="00055C8A">
              <w:rPr>
                <w:rFonts w:asciiTheme="minorHAnsi" w:hAnsiTheme="minorHAnsi"/>
                <w:lang w:val="es-PE"/>
              </w:rPr>
              <w:t xml:space="preserve">el desarrollo de </w:t>
            </w:r>
            <w:r w:rsidRPr="00A0769D">
              <w:rPr>
                <w:rFonts w:asciiTheme="minorHAnsi" w:hAnsiTheme="minorHAnsi"/>
                <w:lang w:val="es-PE"/>
              </w:rPr>
              <w:t>capacidades de los tres niveles de gobierno, el sector</w:t>
            </w:r>
            <w:r w:rsidR="00612EA1">
              <w:rPr>
                <w:rFonts w:asciiTheme="minorHAnsi" w:hAnsiTheme="minorHAnsi"/>
                <w:lang w:val="es-PE"/>
              </w:rPr>
              <w:t xml:space="preserve"> privado y la sociedad civil; (i</w:t>
            </w:r>
            <w:r w:rsidRPr="00A0769D">
              <w:rPr>
                <w:rFonts w:asciiTheme="minorHAnsi" w:hAnsiTheme="minorHAnsi"/>
                <w:lang w:val="es-PE"/>
              </w:rPr>
              <w:t xml:space="preserve">ii) </w:t>
            </w:r>
            <w:r w:rsidR="00055C8A">
              <w:rPr>
                <w:rFonts w:asciiTheme="minorHAnsi" w:hAnsiTheme="minorHAnsi"/>
                <w:lang w:val="es-PE"/>
              </w:rPr>
              <w:t xml:space="preserve">el ejercicio del rol de </w:t>
            </w:r>
            <w:r w:rsidRPr="00A0769D">
              <w:rPr>
                <w:rFonts w:asciiTheme="minorHAnsi" w:hAnsiTheme="minorHAnsi"/>
                <w:lang w:val="es-PE"/>
              </w:rPr>
              <w:t>convoca</w:t>
            </w:r>
            <w:r w:rsidR="00055C8A">
              <w:rPr>
                <w:rFonts w:asciiTheme="minorHAnsi" w:hAnsiTheme="minorHAnsi"/>
                <w:lang w:val="es-PE"/>
              </w:rPr>
              <w:t>nte</w:t>
            </w:r>
            <w:r w:rsidRPr="00A0769D">
              <w:rPr>
                <w:rFonts w:asciiTheme="minorHAnsi" w:hAnsiTheme="minorHAnsi"/>
                <w:lang w:val="es-PE"/>
              </w:rPr>
              <w:t xml:space="preserve"> de múltiples partes interesadas, </w:t>
            </w:r>
            <w:r w:rsidR="00055C8A">
              <w:rPr>
                <w:rFonts w:asciiTheme="minorHAnsi" w:hAnsiTheme="minorHAnsi"/>
                <w:lang w:val="es-PE"/>
              </w:rPr>
              <w:t xml:space="preserve">la </w:t>
            </w:r>
            <w:r w:rsidRPr="00A0769D">
              <w:rPr>
                <w:rFonts w:asciiTheme="minorHAnsi" w:hAnsiTheme="minorHAnsi"/>
                <w:lang w:val="es-PE"/>
              </w:rPr>
              <w:t>crea</w:t>
            </w:r>
            <w:r w:rsidR="00055C8A">
              <w:rPr>
                <w:rFonts w:asciiTheme="minorHAnsi" w:hAnsiTheme="minorHAnsi"/>
                <w:lang w:val="es-PE"/>
              </w:rPr>
              <w:t xml:space="preserve">ción de </w:t>
            </w:r>
            <w:r w:rsidRPr="00A0769D">
              <w:rPr>
                <w:rFonts w:asciiTheme="minorHAnsi" w:hAnsiTheme="minorHAnsi"/>
                <w:lang w:val="es-PE"/>
              </w:rPr>
              <w:t>consenso</w:t>
            </w:r>
            <w:r w:rsidR="00055C8A">
              <w:rPr>
                <w:rFonts w:asciiTheme="minorHAnsi" w:hAnsiTheme="minorHAnsi"/>
                <w:lang w:val="es-PE"/>
              </w:rPr>
              <w:t>s</w:t>
            </w:r>
            <w:r w:rsidRPr="00A0769D">
              <w:rPr>
                <w:rFonts w:asciiTheme="minorHAnsi" w:hAnsiTheme="minorHAnsi"/>
                <w:lang w:val="es-PE"/>
              </w:rPr>
              <w:t xml:space="preserve"> y </w:t>
            </w:r>
            <w:r w:rsidR="00055C8A">
              <w:rPr>
                <w:rFonts w:asciiTheme="minorHAnsi" w:hAnsiTheme="minorHAnsi"/>
                <w:lang w:val="es-PE"/>
              </w:rPr>
              <w:t xml:space="preserve">la formación de </w:t>
            </w:r>
            <w:r w:rsidRPr="00A0769D">
              <w:rPr>
                <w:rFonts w:asciiTheme="minorHAnsi" w:hAnsiTheme="minorHAnsi"/>
                <w:lang w:val="es-PE"/>
              </w:rPr>
              <w:t xml:space="preserve">alianzas basadas en la experiencia técnica, la integridad y la neutralidad; y (iv) la </w:t>
            </w:r>
            <w:r w:rsidR="00055C8A">
              <w:rPr>
                <w:rFonts w:asciiTheme="minorHAnsi" w:hAnsiTheme="minorHAnsi"/>
                <w:lang w:val="es-PE"/>
              </w:rPr>
              <w:t xml:space="preserve">implementación </w:t>
            </w:r>
            <w:r w:rsidRPr="00A0769D">
              <w:rPr>
                <w:rFonts w:asciiTheme="minorHAnsi" w:hAnsiTheme="minorHAnsi"/>
                <w:lang w:val="es-PE"/>
              </w:rPr>
              <w:t>eficiente, efectiv</w:t>
            </w:r>
            <w:r w:rsidR="00055C8A">
              <w:rPr>
                <w:rFonts w:asciiTheme="minorHAnsi" w:hAnsiTheme="minorHAnsi"/>
                <w:lang w:val="es-PE"/>
              </w:rPr>
              <w:t>a</w:t>
            </w:r>
            <w:r w:rsidRPr="00A0769D">
              <w:rPr>
                <w:rFonts w:asciiTheme="minorHAnsi" w:hAnsiTheme="minorHAnsi"/>
                <w:lang w:val="es-PE"/>
              </w:rPr>
              <w:t xml:space="preserve"> y transparente</w:t>
            </w:r>
            <w:r w:rsidR="00055C8A">
              <w:rPr>
                <w:rFonts w:asciiTheme="minorHAnsi" w:hAnsiTheme="minorHAnsi"/>
                <w:lang w:val="es-PE"/>
              </w:rPr>
              <w:t xml:space="preserve"> de proyectos</w:t>
            </w:r>
            <w:r w:rsidR="00612EA1">
              <w:rPr>
                <w:rFonts w:asciiTheme="minorHAnsi" w:hAnsiTheme="minorHAnsi"/>
                <w:lang w:val="es-PE"/>
              </w:rPr>
              <w:t>.</w:t>
            </w:r>
          </w:p>
          <w:p w14:paraId="0F0F3273" w14:textId="77777777" w:rsidR="00711EF4" w:rsidRPr="00A0769D" w:rsidRDefault="00711EF4" w:rsidP="008633A2">
            <w:pPr>
              <w:pStyle w:val="BodyText2"/>
              <w:rPr>
                <w:rFonts w:asciiTheme="minorHAnsi" w:hAnsiTheme="minorHAnsi"/>
                <w:b/>
                <w:lang w:val="es-PE"/>
              </w:rPr>
            </w:pPr>
          </w:p>
          <w:p w14:paraId="550F24F1" w14:textId="77777777" w:rsidR="00711EF4" w:rsidRPr="00EE7032" w:rsidRDefault="00711EF4" w:rsidP="008633A2">
            <w:pPr>
              <w:pStyle w:val="BodyText2"/>
              <w:rPr>
                <w:rFonts w:asciiTheme="minorHAnsi" w:hAnsiTheme="minorHAnsi"/>
                <w:b/>
                <w:lang w:val="es-PE"/>
              </w:rPr>
            </w:pPr>
            <w:r w:rsidRPr="00EE7032">
              <w:rPr>
                <w:rFonts w:asciiTheme="minorHAnsi" w:hAnsiTheme="minorHAnsi"/>
                <w:b/>
                <w:lang w:val="es-PE"/>
              </w:rPr>
              <w:t>Key achievements</w:t>
            </w:r>
          </w:p>
          <w:p w14:paraId="732E639D" w14:textId="102561E8" w:rsidR="00D55D76" w:rsidRPr="00D55D76" w:rsidRDefault="00182CC7" w:rsidP="00182CC7">
            <w:pPr>
              <w:pStyle w:val="BodyText2"/>
              <w:jc w:val="both"/>
              <w:rPr>
                <w:rFonts w:asciiTheme="minorHAnsi" w:hAnsiTheme="minorHAnsi"/>
                <w:lang w:val="es-PE"/>
              </w:rPr>
            </w:pPr>
            <w:r w:rsidRPr="00182CC7">
              <w:rPr>
                <w:rFonts w:asciiTheme="minorHAnsi" w:hAnsiTheme="minorHAnsi"/>
                <w:lang w:val="es-PE"/>
              </w:rPr>
              <w:t>E</w:t>
            </w:r>
            <w:r w:rsidR="00B975FB" w:rsidRPr="00B975FB">
              <w:rPr>
                <w:rFonts w:asciiTheme="minorHAnsi" w:hAnsiTheme="minorHAnsi"/>
                <w:lang w:val="es-PE"/>
              </w:rPr>
              <w:t xml:space="preserve">l PNUD contribuyó al diseño e implementación de políticas públicas orientadas a garantizar acceso a servicios </w:t>
            </w:r>
            <w:r w:rsidR="00055C8A">
              <w:rPr>
                <w:rFonts w:asciiTheme="minorHAnsi" w:hAnsiTheme="minorHAnsi"/>
                <w:lang w:val="es-PE"/>
              </w:rPr>
              <w:t>básicos</w:t>
            </w:r>
            <w:r w:rsidR="00B975FB" w:rsidRPr="00B975FB">
              <w:rPr>
                <w:rFonts w:asciiTheme="minorHAnsi" w:hAnsiTheme="minorHAnsi"/>
                <w:lang w:val="es-PE"/>
              </w:rPr>
              <w:t xml:space="preserve"> y esquemas de protección social junto con iniciativas de inclusión financiera, conservación del medio ambiente y fortalecimiento de la institucionalidad democrática.</w:t>
            </w:r>
            <w:r w:rsidR="00055C8A">
              <w:rPr>
                <w:rFonts w:asciiTheme="minorHAnsi" w:hAnsiTheme="minorHAnsi"/>
                <w:lang w:val="es-PE"/>
              </w:rPr>
              <w:t xml:space="preserve"> </w:t>
            </w:r>
            <w:r w:rsidR="00D55D76" w:rsidRPr="00D55D76">
              <w:rPr>
                <w:rFonts w:asciiTheme="minorHAnsi" w:hAnsiTheme="minorHAnsi"/>
                <w:lang w:val="es-PE"/>
              </w:rPr>
              <w:t>A</w:t>
            </w:r>
            <w:r>
              <w:rPr>
                <w:rFonts w:asciiTheme="minorHAnsi" w:hAnsiTheme="minorHAnsi"/>
                <w:lang w:val="es-PE"/>
              </w:rPr>
              <w:t>poyó</w:t>
            </w:r>
            <w:r w:rsidR="00055C8A">
              <w:rPr>
                <w:rFonts w:asciiTheme="minorHAnsi" w:hAnsiTheme="minorHAnsi"/>
                <w:lang w:val="es-PE"/>
              </w:rPr>
              <w:t xml:space="preserve">: </w:t>
            </w:r>
            <w:r w:rsidR="00D55D76" w:rsidRPr="00D55D76">
              <w:rPr>
                <w:rFonts w:asciiTheme="minorHAnsi" w:hAnsiTheme="minorHAnsi"/>
                <w:lang w:val="es-PE"/>
              </w:rPr>
              <w:t>la Reforma Política que busca asegurar la transparencia de los antecedentes de las personas candidatas y el financiamiento de las campañas políticas</w:t>
            </w:r>
            <w:r w:rsidR="00D55D76">
              <w:rPr>
                <w:rFonts w:asciiTheme="minorHAnsi" w:hAnsiTheme="minorHAnsi"/>
                <w:lang w:val="es-PE"/>
              </w:rPr>
              <w:t>;</w:t>
            </w:r>
            <w:r w:rsidR="00D55D76" w:rsidRPr="00D55D76">
              <w:rPr>
                <w:rFonts w:asciiTheme="minorHAnsi" w:hAnsiTheme="minorHAnsi"/>
                <w:lang w:val="es-PE"/>
              </w:rPr>
              <w:t xml:space="preserve"> la creación de la Mancomunidad de los Andes, que constituye un mecanismo de integración regional</w:t>
            </w:r>
            <w:r w:rsidR="00055C8A">
              <w:rPr>
                <w:rFonts w:asciiTheme="minorHAnsi" w:hAnsiTheme="minorHAnsi"/>
                <w:lang w:val="es-PE"/>
              </w:rPr>
              <w:t xml:space="preserve">; el </w:t>
            </w:r>
            <w:r w:rsidR="00D55D76" w:rsidRPr="00D55D76">
              <w:rPr>
                <w:rFonts w:asciiTheme="minorHAnsi" w:hAnsiTheme="minorHAnsi"/>
                <w:lang w:val="es-PE"/>
              </w:rPr>
              <w:t xml:space="preserve">posicionamiento del concepto de Pobreza Multidimensional en la agenda pública; la implementación del Programa Nacional de Alimentación Escolar Qali Warma </w:t>
            </w:r>
            <w:r w:rsidR="00055C8A">
              <w:rPr>
                <w:rFonts w:asciiTheme="minorHAnsi" w:hAnsiTheme="minorHAnsi"/>
                <w:lang w:val="es-PE"/>
              </w:rPr>
              <w:t xml:space="preserve">con más de 3 </w:t>
            </w:r>
            <w:r w:rsidR="00D55D76" w:rsidRPr="00D55D76">
              <w:rPr>
                <w:rFonts w:asciiTheme="minorHAnsi" w:hAnsiTheme="minorHAnsi"/>
                <w:lang w:val="es-PE"/>
              </w:rPr>
              <w:t>millones de niños y niñas en condición de pobreza de más de 50 mil escuelas públicas</w:t>
            </w:r>
            <w:r w:rsidR="00055C8A">
              <w:rPr>
                <w:rFonts w:asciiTheme="minorHAnsi" w:hAnsiTheme="minorHAnsi"/>
                <w:lang w:val="es-PE"/>
              </w:rPr>
              <w:t xml:space="preserve">  beneficiados</w:t>
            </w:r>
            <w:r w:rsidR="00D55D76">
              <w:rPr>
                <w:rFonts w:asciiTheme="minorHAnsi" w:hAnsiTheme="minorHAnsi"/>
                <w:lang w:val="es-PE"/>
              </w:rPr>
              <w:t>.</w:t>
            </w:r>
            <w:r w:rsidR="00055C8A">
              <w:rPr>
                <w:rFonts w:asciiTheme="minorHAnsi" w:hAnsiTheme="minorHAnsi"/>
                <w:lang w:val="es-PE"/>
              </w:rPr>
              <w:t xml:space="preserve"> También s</w:t>
            </w:r>
            <w:r w:rsidR="00D55D76" w:rsidRPr="00D55D76">
              <w:rPr>
                <w:rFonts w:asciiTheme="minorHAnsi" w:hAnsiTheme="minorHAnsi"/>
                <w:lang w:val="es-PE"/>
              </w:rPr>
              <w:t>e resalta la producción de materiales de entrenamiento en Evaluación de Necesidades Post Desastres (PDNA) y Planificación de la Recuperación Pre Desastres (Pre-DRP) adecuados al contexto peruano y con enfoque de género</w:t>
            </w:r>
            <w:r w:rsidR="00055C8A">
              <w:rPr>
                <w:rFonts w:asciiTheme="minorHAnsi" w:hAnsiTheme="minorHAnsi"/>
                <w:lang w:val="es-PE"/>
              </w:rPr>
              <w:t xml:space="preserve">; y el </w:t>
            </w:r>
            <w:r w:rsidR="00D55D76" w:rsidRPr="00D55D76">
              <w:rPr>
                <w:rFonts w:asciiTheme="minorHAnsi" w:hAnsiTheme="minorHAnsi"/>
                <w:lang w:val="es-PE"/>
              </w:rPr>
              <w:t>diseño de instrumentos financieros y de asistencia técnica para la incorporación del enfoque de Adaptación Basada en Ecosistemas (EBA) dentro de la planificación multinivel, asegurando la participación de comunidades locales e indígenas</w:t>
            </w:r>
            <w:r>
              <w:rPr>
                <w:rFonts w:asciiTheme="minorHAnsi" w:hAnsiTheme="minorHAnsi"/>
                <w:lang w:val="es-PE"/>
              </w:rPr>
              <w:t>.</w:t>
            </w:r>
          </w:p>
          <w:p w14:paraId="4109101C" w14:textId="77777777" w:rsidR="00711EF4" w:rsidRPr="00D55D76" w:rsidRDefault="00711EF4" w:rsidP="008633A2">
            <w:pPr>
              <w:pStyle w:val="BodyText2"/>
              <w:rPr>
                <w:rFonts w:asciiTheme="minorHAnsi" w:hAnsiTheme="minorHAnsi"/>
                <w:b/>
                <w:lang w:val="es-PE"/>
              </w:rPr>
            </w:pPr>
          </w:p>
          <w:p w14:paraId="2A476181" w14:textId="753E4577" w:rsidR="00711EF4" w:rsidRPr="00EE7032" w:rsidRDefault="00711EF4" w:rsidP="008633A2">
            <w:pPr>
              <w:pStyle w:val="BodyText2"/>
              <w:rPr>
                <w:rFonts w:asciiTheme="minorHAnsi" w:hAnsiTheme="minorHAnsi"/>
                <w:b/>
                <w:lang w:val="es-PE"/>
              </w:rPr>
            </w:pPr>
            <w:r w:rsidRPr="00EE7032">
              <w:rPr>
                <w:rFonts w:asciiTheme="minorHAnsi" w:hAnsiTheme="minorHAnsi"/>
                <w:b/>
                <w:lang w:val="es-PE"/>
              </w:rPr>
              <w:t xml:space="preserve">Major Lessons Learnt </w:t>
            </w:r>
          </w:p>
          <w:p w14:paraId="44DBE6A7" w14:textId="2FDAC047" w:rsidR="009A68ED" w:rsidRPr="00BB5469" w:rsidRDefault="00055C8A" w:rsidP="00182CC7">
            <w:pPr>
              <w:pStyle w:val="BodyText2"/>
              <w:jc w:val="both"/>
              <w:rPr>
                <w:rFonts w:asciiTheme="minorHAnsi" w:hAnsiTheme="minorHAnsi"/>
                <w:lang w:val="es-PE"/>
              </w:rPr>
            </w:pPr>
            <w:r>
              <w:rPr>
                <w:rFonts w:asciiTheme="minorHAnsi" w:hAnsiTheme="minorHAnsi"/>
                <w:lang w:val="es-PE"/>
              </w:rPr>
              <w:t xml:space="preserve">Necesidad de: </w:t>
            </w:r>
            <w:r w:rsidR="00182CC7">
              <w:rPr>
                <w:rFonts w:asciiTheme="minorHAnsi" w:hAnsiTheme="minorHAnsi"/>
                <w:lang w:val="es-PE"/>
              </w:rPr>
              <w:t>romper</w:t>
            </w:r>
            <w:r w:rsidR="009A68ED" w:rsidRPr="00BB5469">
              <w:rPr>
                <w:rFonts w:asciiTheme="minorHAnsi" w:hAnsiTheme="minorHAnsi"/>
                <w:lang w:val="es-PE"/>
              </w:rPr>
              <w:t xml:space="preserve"> los silos temáticos</w:t>
            </w:r>
            <w:r>
              <w:rPr>
                <w:rFonts w:asciiTheme="minorHAnsi" w:hAnsiTheme="minorHAnsi"/>
                <w:lang w:val="es-PE"/>
              </w:rPr>
              <w:t xml:space="preserve">; mejorar </w:t>
            </w:r>
            <w:r w:rsidR="009A68ED" w:rsidRPr="00BB5469">
              <w:rPr>
                <w:rFonts w:asciiTheme="minorHAnsi" w:hAnsiTheme="minorHAnsi"/>
                <w:lang w:val="es-PE"/>
              </w:rPr>
              <w:t>la escalabilidad y la sostenibilid</w:t>
            </w:r>
            <w:r w:rsidR="00182CC7">
              <w:rPr>
                <w:rFonts w:asciiTheme="minorHAnsi" w:hAnsiTheme="minorHAnsi"/>
                <w:lang w:val="es-PE"/>
              </w:rPr>
              <w:t>ad de los resultados</w:t>
            </w:r>
            <w:r>
              <w:rPr>
                <w:rFonts w:asciiTheme="minorHAnsi" w:hAnsiTheme="minorHAnsi"/>
                <w:lang w:val="es-PE"/>
              </w:rPr>
              <w:t xml:space="preserve">; fortalecer </w:t>
            </w:r>
            <w:r w:rsidR="009A68ED" w:rsidRPr="00BB5469">
              <w:rPr>
                <w:rFonts w:asciiTheme="minorHAnsi" w:hAnsiTheme="minorHAnsi"/>
                <w:lang w:val="es-PE"/>
              </w:rPr>
              <w:t>el seguimiento y la evalua</w:t>
            </w:r>
            <w:r w:rsidR="00BB5469" w:rsidRPr="00BB5469">
              <w:rPr>
                <w:rFonts w:asciiTheme="minorHAnsi" w:hAnsiTheme="minorHAnsi"/>
                <w:lang w:val="es-PE"/>
              </w:rPr>
              <w:t xml:space="preserve">ción en la gestión del programa; </w:t>
            </w:r>
            <w:r>
              <w:rPr>
                <w:rFonts w:asciiTheme="minorHAnsi" w:hAnsiTheme="minorHAnsi"/>
                <w:lang w:val="es-PE"/>
              </w:rPr>
              <w:t xml:space="preserve">implementar </w:t>
            </w:r>
            <w:r w:rsidR="009A68ED" w:rsidRPr="00BB5469">
              <w:rPr>
                <w:rFonts w:asciiTheme="minorHAnsi" w:hAnsiTheme="minorHAnsi"/>
                <w:lang w:val="es-PE"/>
              </w:rPr>
              <w:t>estrategia</w:t>
            </w:r>
            <w:r>
              <w:rPr>
                <w:rFonts w:asciiTheme="minorHAnsi" w:hAnsiTheme="minorHAnsi"/>
                <w:lang w:val="es-PE"/>
              </w:rPr>
              <w:t>s</w:t>
            </w:r>
            <w:r w:rsidR="009A68ED" w:rsidRPr="00BB5469">
              <w:rPr>
                <w:rFonts w:asciiTheme="minorHAnsi" w:hAnsiTheme="minorHAnsi"/>
                <w:lang w:val="es-PE"/>
              </w:rPr>
              <w:t xml:space="preserve"> asertiva</w:t>
            </w:r>
            <w:r>
              <w:rPr>
                <w:rFonts w:asciiTheme="minorHAnsi" w:hAnsiTheme="minorHAnsi"/>
                <w:lang w:val="es-PE"/>
              </w:rPr>
              <w:t>s</w:t>
            </w:r>
            <w:r w:rsidR="009A68ED" w:rsidRPr="00BB5469">
              <w:rPr>
                <w:rFonts w:asciiTheme="minorHAnsi" w:hAnsiTheme="minorHAnsi"/>
                <w:lang w:val="es-PE"/>
              </w:rPr>
              <w:t xml:space="preserve"> de comunicación de resultados y visibilidad del PNUD. Se </w:t>
            </w:r>
            <w:r w:rsidR="00BB5469" w:rsidRPr="00BB5469">
              <w:rPr>
                <w:rFonts w:asciiTheme="minorHAnsi" w:hAnsiTheme="minorHAnsi"/>
                <w:lang w:val="es-PE"/>
              </w:rPr>
              <w:t>diseñará estrategia</w:t>
            </w:r>
            <w:r>
              <w:rPr>
                <w:rFonts w:asciiTheme="minorHAnsi" w:hAnsiTheme="minorHAnsi"/>
                <w:lang w:val="es-PE"/>
              </w:rPr>
              <w:t>s</w:t>
            </w:r>
            <w:r w:rsidR="00BB5469" w:rsidRPr="00BB5469">
              <w:rPr>
                <w:rFonts w:asciiTheme="minorHAnsi" w:hAnsiTheme="minorHAnsi"/>
                <w:lang w:val="es-PE"/>
              </w:rPr>
              <w:t xml:space="preserve"> de</w:t>
            </w:r>
            <w:r w:rsidR="009A68ED" w:rsidRPr="00BB5469">
              <w:rPr>
                <w:rFonts w:asciiTheme="minorHAnsi" w:hAnsiTheme="minorHAnsi"/>
                <w:lang w:val="es-PE"/>
              </w:rPr>
              <w:t xml:space="preserve"> movilización de recursos y </w:t>
            </w:r>
            <w:r>
              <w:rPr>
                <w:rFonts w:asciiTheme="minorHAnsi" w:hAnsiTheme="minorHAnsi"/>
                <w:lang w:val="es-PE"/>
              </w:rPr>
              <w:t xml:space="preserve">de relacionamiento con </w:t>
            </w:r>
            <w:r w:rsidR="009A68ED" w:rsidRPr="00BB5469">
              <w:rPr>
                <w:rFonts w:asciiTheme="minorHAnsi" w:hAnsiTheme="minorHAnsi"/>
                <w:lang w:val="es-PE"/>
              </w:rPr>
              <w:t>gobiernos subnacionales, sector privado, sociedad civil, donantes bilaterales y multilaterales</w:t>
            </w:r>
            <w:r>
              <w:rPr>
                <w:rFonts w:asciiTheme="minorHAnsi" w:hAnsiTheme="minorHAnsi"/>
                <w:lang w:val="es-PE"/>
              </w:rPr>
              <w:t xml:space="preserve">, </w:t>
            </w:r>
            <w:r w:rsidR="009A68ED" w:rsidRPr="00BB5469">
              <w:rPr>
                <w:rFonts w:asciiTheme="minorHAnsi" w:hAnsiTheme="minorHAnsi"/>
                <w:lang w:val="es-PE"/>
              </w:rPr>
              <w:t>y agencias de ONU para implementar el programa</w:t>
            </w:r>
            <w:r w:rsidR="00BB5469" w:rsidRPr="00BB5469">
              <w:rPr>
                <w:rFonts w:asciiTheme="minorHAnsi" w:hAnsiTheme="minorHAnsi"/>
                <w:lang w:val="es-PE"/>
              </w:rPr>
              <w:t xml:space="preserve"> en el país.</w:t>
            </w:r>
          </w:p>
          <w:p w14:paraId="12C43B32" w14:textId="77777777" w:rsidR="00711EF4" w:rsidRPr="009A68ED" w:rsidRDefault="00711EF4" w:rsidP="008633A2">
            <w:pPr>
              <w:pStyle w:val="BodyText2"/>
              <w:rPr>
                <w:rFonts w:asciiTheme="minorHAnsi" w:hAnsiTheme="minorHAnsi"/>
                <w:b/>
                <w:lang w:val="es-PE"/>
              </w:rPr>
            </w:pPr>
          </w:p>
          <w:p w14:paraId="699581BD" w14:textId="36D201D9" w:rsidR="00711EF4" w:rsidRPr="00FB7863" w:rsidRDefault="00711EF4" w:rsidP="008633A2">
            <w:pPr>
              <w:pStyle w:val="BodyText2"/>
              <w:rPr>
                <w:rFonts w:asciiTheme="minorHAnsi" w:hAnsiTheme="minorHAnsi"/>
                <w:b/>
              </w:rPr>
            </w:pPr>
          </w:p>
        </w:tc>
      </w:tr>
    </w:tbl>
    <w:p w14:paraId="3ED0AA3A" w14:textId="77777777" w:rsidR="007B66FF" w:rsidRPr="00FB7863" w:rsidRDefault="007B66FF" w:rsidP="00AA365C">
      <w:pPr>
        <w:pStyle w:val="Heading3"/>
        <w:jc w:val="left"/>
        <w:rPr>
          <w:rFonts w:asciiTheme="minorHAnsi" w:hAnsiTheme="minorHAnsi"/>
          <w:b/>
          <w:bCs w:val="0"/>
          <w:sz w:val="22"/>
          <w:szCs w:val="22"/>
        </w:rPr>
      </w:pPr>
    </w:p>
    <w:p w14:paraId="661F469D" w14:textId="77777777" w:rsidR="00957BA1" w:rsidRPr="00541456" w:rsidRDefault="00957BA1" w:rsidP="00AA365C">
      <w:pPr>
        <w:pStyle w:val="Heading3"/>
        <w:jc w:val="left"/>
        <w:rPr>
          <w:rFonts w:asciiTheme="minorHAnsi" w:hAnsiTheme="minorHAnsi"/>
          <w:b/>
          <w:bCs w:val="0"/>
          <w:sz w:val="22"/>
          <w:szCs w:val="22"/>
        </w:rPr>
      </w:pPr>
      <w:r w:rsidRPr="00541456">
        <w:rPr>
          <w:rFonts w:asciiTheme="minorHAnsi" w:hAnsiTheme="minorHAnsi"/>
          <w:b/>
          <w:bCs w:val="0"/>
          <w:sz w:val="22"/>
          <w:szCs w:val="22"/>
        </w:rPr>
        <w:t xml:space="preserve">III. </w:t>
      </w:r>
      <w:r w:rsidR="00490A8A" w:rsidRPr="00541456">
        <w:rPr>
          <w:rFonts w:asciiTheme="minorHAnsi" w:hAnsiTheme="minorHAnsi"/>
          <w:b/>
          <w:bCs w:val="0"/>
          <w:sz w:val="22"/>
          <w:szCs w:val="22"/>
        </w:rPr>
        <w:t>COUNTRY PROGRAMME RESOURCES</w:t>
      </w:r>
      <w:r w:rsidR="00AA365C">
        <w:rPr>
          <w:rStyle w:val="FootnoteReference"/>
          <w:rFonts w:asciiTheme="minorHAnsi" w:hAnsiTheme="minorHAnsi"/>
          <w:b/>
          <w:bCs w:val="0"/>
          <w:sz w:val="22"/>
          <w:szCs w:val="22"/>
        </w:rPr>
        <w:footnoteReference w:id="1"/>
      </w:r>
    </w:p>
    <w:p w14:paraId="58E4E32E" w14:textId="77777777" w:rsidR="00811EE3" w:rsidRPr="00811EE3" w:rsidRDefault="00811EE3" w:rsidP="00815F58">
      <w:pPr>
        <w:rPr>
          <w:rFonts w:asciiTheme="minorHAnsi" w:hAnsiTheme="minorHAnsi"/>
          <w:b/>
        </w:rPr>
      </w:pPr>
    </w:p>
    <w:tbl>
      <w:tblPr>
        <w:tblW w:w="14205" w:type="dxa"/>
        <w:tblInd w:w="-38" w:type="dxa"/>
        <w:tblLayout w:type="fixed"/>
        <w:tblLook w:val="0000" w:firstRow="0" w:lastRow="0" w:firstColumn="0" w:lastColumn="0" w:noHBand="0" w:noVBand="0"/>
      </w:tblPr>
      <w:tblGrid>
        <w:gridCol w:w="6551"/>
        <w:gridCol w:w="2410"/>
        <w:gridCol w:w="2126"/>
        <w:gridCol w:w="1984"/>
        <w:gridCol w:w="1134"/>
      </w:tblGrid>
      <w:tr w:rsidR="0063424C" w:rsidRPr="0084799A" w14:paraId="0798A5FB" w14:textId="77777777" w:rsidTr="00490A8A">
        <w:trPr>
          <w:trHeight w:val="385"/>
        </w:trPr>
        <w:tc>
          <w:tcPr>
            <w:tcW w:w="6551" w:type="dxa"/>
            <w:tcBorders>
              <w:top w:val="single" w:sz="6" w:space="0" w:color="auto"/>
              <w:left w:val="single" w:sz="6" w:space="0" w:color="auto"/>
              <w:bottom w:val="single" w:sz="6" w:space="0" w:color="auto"/>
              <w:right w:val="single" w:sz="6" w:space="0" w:color="auto"/>
            </w:tcBorders>
            <w:shd w:val="clear" w:color="auto" w:fill="8EAADB" w:themeFill="accent5" w:themeFillTint="99"/>
            <w:vAlign w:val="center"/>
          </w:tcPr>
          <w:p w14:paraId="5FEC35FF" w14:textId="0A27E7CB" w:rsidR="0063424C" w:rsidRPr="00A93DD7" w:rsidRDefault="0063424C" w:rsidP="00811EE3">
            <w:pPr>
              <w:widowControl/>
              <w:autoSpaceDE w:val="0"/>
              <w:autoSpaceDN w:val="0"/>
              <w:adjustRightInd w:val="0"/>
              <w:jc w:val="center"/>
              <w:rPr>
                <w:rFonts w:ascii="Calibri" w:eastAsiaTheme="minorHAnsi" w:hAnsi="Calibri" w:cs="Calibri"/>
                <w:b/>
                <w:bCs/>
                <w:color w:val="000000"/>
                <w:szCs w:val="22"/>
              </w:rPr>
            </w:pPr>
            <w:r w:rsidRPr="00A93DD7">
              <w:rPr>
                <w:rFonts w:ascii="Calibri" w:eastAsiaTheme="minorHAnsi" w:hAnsi="Calibri" w:cs="Calibri"/>
                <w:b/>
                <w:bCs/>
                <w:color w:val="000000"/>
                <w:sz w:val="22"/>
                <w:szCs w:val="22"/>
              </w:rPr>
              <w:t>Focus area</w:t>
            </w:r>
            <w:r w:rsidR="007E49D2" w:rsidRPr="00A93DD7">
              <w:rPr>
                <w:rFonts w:ascii="Calibri" w:eastAsiaTheme="minorHAnsi" w:hAnsi="Calibri" w:cs="Calibri"/>
                <w:b/>
                <w:bCs/>
                <w:color w:val="000000"/>
                <w:sz w:val="22"/>
                <w:szCs w:val="22"/>
              </w:rPr>
              <w:t xml:space="preserve"> (2012-2015)</w:t>
            </w:r>
          </w:p>
        </w:tc>
        <w:tc>
          <w:tcPr>
            <w:tcW w:w="2410" w:type="dxa"/>
            <w:tcBorders>
              <w:top w:val="single" w:sz="6" w:space="0" w:color="auto"/>
              <w:left w:val="single" w:sz="6" w:space="0" w:color="auto"/>
              <w:bottom w:val="single" w:sz="6" w:space="0" w:color="auto"/>
              <w:right w:val="single" w:sz="6" w:space="0" w:color="auto"/>
            </w:tcBorders>
            <w:shd w:val="clear" w:color="auto" w:fill="8EAADB" w:themeFill="accent5" w:themeFillTint="99"/>
            <w:vAlign w:val="center"/>
          </w:tcPr>
          <w:p w14:paraId="03E0731F" w14:textId="77777777" w:rsidR="0063424C" w:rsidRPr="00A93DD7" w:rsidRDefault="0063424C" w:rsidP="00811EE3">
            <w:pPr>
              <w:widowControl/>
              <w:autoSpaceDE w:val="0"/>
              <w:autoSpaceDN w:val="0"/>
              <w:adjustRightInd w:val="0"/>
              <w:jc w:val="center"/>
              <w:rPr>
                <w:rFonts w:ascii="Calibri" w:eastAsiaTheme="minorHAnsi" w:hAnsi="Calibri" w:cs="Calibri"/>
                <w:b/>
                <w:bCs/>
                <w:color w:val="000000"/>
                <w:szCs w:val="22"/>
              </w:rPr>
            </w:pPr>
            <w:r w:rsidRPr="00A93DD7">
              <w:rPr>
                <w:rFonts w:ascii="Calibri" w:eastAsiaTheme="minorHAnsi" w:hAnsi="Calibri" w:cs="Calibri"/>
                <w:b/>
                <w:bCs/>
                <w:color w:val="000000"/>
                <w:sz w:val="22"/>
                <w:szCs w:val="22"/>
              </w:rPr>
              <w:t>Regular (TRAC)</w:t>
            </w:r>
          </w:p>
        </w:tc>
        <w:tc>
          <w:tcPr>
            <w:tcW w:w="2126" w:type="dxa"/>
            <w:tcBorders>
              <w:top w:val="single" w:sz="6" w:space="0" w:color="auto"/>
              <w:left w:val="single" w:sz="6" w:space="0" w:color="auto"/>
              <w:bottom w:val="single" w:sz="6" w:space="0" w:color="auto"/>
              <w:right w:val="single" w:sz="6" w:space="0" w:color="auto"/>
            </w:tcBorders>
            <w:shd w:val="clear" w:color="auto" w:fill="8EAADB" w:themeFill="accent5" w:themeFillTint="99"/>
            <w:vAlign w:val="center"/>
          </w:tcPr>
          <w:p w14:paraId="54AD2CED" w14:textId="77777777" w:rsidR="0063424C" w:rsidRPr="00A93DD7" w:rsidRDefault="0063424C" w:rsidP="00811EE3">
            <w:pPr>
              <w:widowControl/>
              <w:autoSpaceDE w:val="0"/>
              <w:autoSpaceDN w:val="0"/>
              <w:adjustRightInd w:val="0"/>
              <w:jc w:val="center"/>
              <w:rPr>
                <w:rFonts w:ascii="Calibri" w:eastAsiaTheme="minorHAnsi" w:hAnsi="Calibri" w:cs="Calibri"/>
                <w:b/>
                <w:bCs/>
                <w:color w:val="000000"/>
                <w:szCs w:val="22"/>
              </w:rPr>
            </w:pPr>
            <w:r w:rsidRPr="00A93DD7">
              <w:rPr>
                <w:rFonts w:ascii="Calibri" w:eastAsiaTheme="minorHAnsi" w:hAnsi="Calibri" w:cs="Calibri"/>
                <w:b/>
                <w:bCs/>
                <w:color w:val="000000"/>
                <w:sz w:val="22"/>
                <w:szCs w:val="22"/>
              </w:rPr>
              <w:t>Other</w:t>
            </w:r>
          </w:p>
        </w:tc>
        <w:tc>
          <w:tcPr>
            <w:tcW w:w="1984" w:type="dxa"/>
            <w:tcBorders>
              <w:top w:val="single" w:sz="6" w:space="0" w:color="auto"/>
              <w:left w:val="single" w:sz="6" w:space="0" w:color="auto"/>
              <w:bottom w:val="single" w:sz="6" w:space="0" w:color="auto"/>
              <w:right w:val="single" w:sz="6" w:space="0" w:color="auto"/>
            </w:tcBorders>
            <w:shd w:val="clear" w:color="auto" w:fill="8EAADB" w:themeFill="accent5" w:themeFillTint="99"/>
            <w:vAlign w:val="center"/>
          </w:tcPr>
          <w:p w14:paraId="12A15093" w14:textId="77777777" w:rsidR="0063424C" w:rsidRPr="00A93DD7" w:rsidRDefault="0063424C" w:rsidP="00811EE3">
            <w:pPr>
              <w:widowControl/>
              <w:autoSpaceDE w:val="0"/>
              <w:autoSpaceDN w:val="0"/>
              <w:adjustRightInd w:val="0"/>
              <w:jc w:val="center"/>
              <w:rPr>
                <w:rFonts w:ascii="Calibri" w:eastAsiaTheme="minorHAnsi" w:hAnsi="Calibri" w:cs="Calibri"/>
                <w:b/>
                <w:bCs/>
                <w:color w:val="000000"/>
                <w:szCs w:val="22"/>
              </w:rPr>
            </w:pPr>
            <w:r w:rsidRPr="00A93DD7">
              <w:rPr>
                <w:rFonts w:ascii="Calibri" w:eastAsiaTheme="minorHAnsi" w:hAnsi="Calibri" w:cs="Calibri"/>
                <w:b/>
                <w:bCs/>
                <w:color w:val="000000"/>
                <w:sz w:val="22"/>
                <w:szCs w:val="22"/>
              </w:rPr>
              <w:t>Total</w:t>
            </w:r>
          </w:p>
        </w:tc>
        <w:tc>
          <w:tcPr>
            <w:tcW w:w="1134" w:type="dxa"/>
            <w:tcBorders>
              <w:top w:val="single" w:sz="6" w:space="0" w:color="auto"/>
              <w:left w:val="single" w:sz="6" w:space="0" w:color="auto"/>
              <w:bottom w:val="single" w:sz="6" w:space="0" w:color="auto"/>
              <w:right w:val="single" w:sz="6" w:space="0" w:color="auto"/>
            </w:tcBorders>
            <w:shd w:val="clear" w:color="auto" w:fill="8EAADB" w:themeFill="accent5" w:themeFillTint="99"/>
            <w:vAlign w:val="center"/>
          </w:tcPr>
          <w:p w14:paraId="519CCE06" w14:textId="77777777" w:rsidR="0063424C" w:rsidRPr="00A93DD7" w:rsidRDefault="0063424C" w:rsidP="00811EE3">
            <w:pPr>
              <w:widowControl/>
              <w:autoSpaceDE w:val="0"/>
              <w:autoSpaceDN w:val="0"/>
              <w:adjustRightInd w:val="0"/>
              <w:jc w:val="center"/>
              <w:rPr>
                <w:rFonts w:ascii="Calibri" w:eastAsiaTheme="minorHAnsi" w:hAnsi="Calibri" w:cs="Calibri"/>
                <w:b/>
                <w:bCs/>
                <w:color w:val="000000"/>
                <w:szCs w:val="22"/>
              </w:rPr>
            </w:pPr>
            <w:r w:rsidRPr="00A93DD7">
              <w:rPr>
                <w:rFonts w:ascii="Calibri" w:eastAsiaTheme="minorHAnsi" w:hAnsi="Calibri" w:cs="Calibri"/>
                <w:b/>
                <w:bCs/>
                <w:color w:val="000000"/>
                <w:sz w:val="22"/>
                <w:szCs w:val="22"/>
              </w:rPr>
              <w:t>% of Total</w:t>
            </w:r>
          </w:p>
        </w:tc>
      </w:tr>
      <w:tr w:rsidR="00490A8A" w:rsidRPr="0084799A" w14:paraId="387A9FB5" w14:textId="77777777" w:rsidTr="007B742E">
        <w:trPr>
          <w:trHeight w:val="581"/>
        </w:trPr>
        <w:tc>
          <w:tcPr>
            <w:tcW w:w="6551" w:type="dxa"/>
            <w:tcBorders>
              <w:top w:val="single" w:sz="6" w:space="0" w:color="auto"/>
              <w:left w:val="single" w:sz="6" w:space="0" w:color="auto"/>
              <w:bottom w:val="single" w:sz="6" w:space="0" w:color="auto"/>
              <w:right w:val="single" w:sz="6" w:space="0" w:color="auto"/>
            </w:tcBorders>
          </w:tcPr>
          <w:p w14:paraId="062453F2" w14:textId="21403030" w:rsidR="00490A8A" w:rsidRPr="00A93DD7" w:rsidRDefault="007E49D2" w:rsidP="00490A8A">
            <w:pPr>
              <w:pStyle w:val="BodyText2"/>
              <w:rPr>
                <w:rFonts w:ascii="Calibri" w:hAnsi="Calibri"/>
                <w:sz w:val="22"/>
                <w:szCs w:val="22"/>
                <w:lang w:val="es-GT"/>
              </w:rPr>
            </w:pPr>
            <w:r w:rsidRPr="00A93DD7">
              <w:rPr>
                <w:rFonts w:ascii="Calibri" w:hAnsi="Calibri"/>
                <w:sz w:val="22"/>
                <w:szCs w:val="22"/>
                <w:lang w:val="es-GT"/>
              </w:rPr>
              <w:t>Outcome 1</w:t>
            </w:r>
            <w:r w:rsidR="00A93DD7" w:rsidRPr="00A93DD7">
              <w:rPr>
                <w:rFonts w:ascii="Calibri" w:hAnsi="Calibri"/>
                <w:sz w:val="22"/>
                <w:szCs w:val="22"/>
                <w:lang w:val="es-GT"/>
              </w:rPr>
              <w:t xml:space="preserve"> </w:t>
            </w:r>
            <w:r w:rsidR="00A93DD7" w:rsidRPr="00A93DD7">
              <w:rPr>
                <w:rFonts w:ascii="Calibri" w:hAnsi="Calibri"/>
                <w:sz w:val="22"/>
                <w:szCs w:val="22"/>
                <w:lang w:val="es-AR"/>
              </w:rPr>
              <w:t>Gobernabilidad democrática</w:t>
            </w:r>
          </w:p>
        </w:tc>
        <w:tc>
          <w:tcPr>
            <w:tcW w:w="2410" w:type="dxa"/>
            <w:tcBorders>
              <w:top w:val="single" w:sz="6" w:space="0" w:color="auto"/>
              <w:left w:val="single" w:sz="6" w:space="0" w:color="auto"/>
              <w:bottom w:val="single" w:sz="6" w:space="0" w:color="auto"/>
              <w:right w:val="single" w:sz="6" w:space="0" w:color="auto"/>
            </w:tcBorders>
            <w:vAlign w:val="bottom"/>
          </w:tcPr>
          <w:p w14:paraId="3AB52283" w14:textId="428D52F0" w:rsidR="00490A8A" w:rsidRPr="00A93DD7" w:rsidRDefault="007E49D2" w:rsidP="00A93DD7">
            <w:pPr>
              <w:widowControl/>
              <w:jc w:val="center"/>
              <w:rPr>
                <w:rFonts w:ascii="Calibri" w:hAnsi="Calibri"/>
                <w:color w:val="000000"/>
                <w:szCs w:val="22"/>
                <w:lang w:val="es-AR" w:eastAsia="es-AR"/>
              </w:rPr>
            </w:pPr>
            <w:r w:rsidRPr="00A93DD7">
              <w:rPr>
                <w:rFonts w:ascii="Calibri" w:hAnsi="Calibri"/>
                <w:color w:val="000000"/>
                <w:sz w:val="22"/>
                <w:szCs w:val="22"/>
                <w:lang w:val="es-AR" w:eastAsia="es-AR"/>
              </w:rPr>
              <w:t>818,592.24</w:t>
            </w:r>
          </w:p>
        </w:tc>
        <w:tc>
          <w:tcPr>
            <w:tcW w:w="2126" w:type="dxa"/>
            <w:tcBorders>
              <w:top w:val="single" w:sz="6" w:space="0" w:color="auto"/>
              <w:left w:val="single" w:sz="6" w:space="0" w:color="auto"/>
              <w:bottom w:val="single" w:sz="6" w:space="0" w:color="auto"/>
              <w:right w:val="single" w:sz="6" w:space="0" w:color="auto"/>
            </w:tcBorders>
            <w:vAlign w:val="bottom"/>
          </w:tcPr>
          <w:p w14:paraId="51F9CCE3" w14:textId="62386A8D" w:rsidR="00490A8A" w:rsidRPr="00A93DD7" w:rsidRDefault="00017E59" w:rsidP="00A93DD7">
            <w:pPr>
              <w:widowControl/>
              <w:jc w:val="center"/>
              <w:rPr>
                <w:rFonts w:ascii="Calibri" w:hAnsi="Calibri"/>
                <w:color w:val="000000"/>
                <w:szCs w:val="22"/>
                <w:lang w:val="es-AR" w:eastAsia="es-AR"/>
              </w:rPr>
            </w:pPr>
            <w:r>
              <w:rPr>
                <w:rFonts w:ascii="Calibri" w:hAnsi="Calibri"/>
                <w:color w:val="000000"/>
                <w:szCs w:val="22"/>
                <w:lang w:val="es-AR" w:eastAsia="es-AR"/>
              </w:rPr>
              <w:t>92’</w:t>
            </w:r>
            <w:r w:rsidR="007E49D2" w:rsidRPr="00A93DD7">
              <w:rPr>
                <w:rFonts w:ascii="Calibri" w:hAnsi="Calibri"/>
                <w:color w:val="000000"/>
                <w:szCs w:val="22"/>
                <w:lang w:val="es-AR" w:eastAsia="es-AR"/>
              </w:rPr>
              <w:t>192,460.2</w:t>
            </w:r>
          </w:p>
        </w:tc>
        <w:tc>
          <w:tcPr>
            <w:tcW w:w="1984" w:type="dxa"/>
            <w:tcBorders>
              <w:top w:val="single" w:sz="6" w:space="0" w:color="auto"/>
              <w:left w:val="single" w:sz="6" w:space="0" w:color="auto"/>
              <w:bottom w:val="single" w:sz="6" w:space="0" w:color="auto"/>
              <w:right w:val="single" w:sz="6" w:space="0" w:color="auto"/>
            </w:tcBorders>
            <w:vAlign w:val="bottom"/>
          </w:tcPr>
          <w:p w14:paraId="7735FD5F" w14:textId="2829B59F" w:rsidR="00490A8A" w:rsidRPr="00A93DD7" w:rsidRDefault="00017E59" w:rsidP="00A93DD7">
            <w:pPr>
              <w:widowControl/>
              <w:jc w:val="center"/>
              <w:rPr>
                <w:rFonts w:ascii="Calibri" w:hAnsi="Calibri"/>
                <w:color w:val="000000"/>
                <w:szCs w:val="22"/>
                <w:lang w:val="es-AR" w:eastAsia="es-AR"/>
              </w:rPr>
            </w:pPr>
            <w:r>
              <w:rPr>
                <w:rFonts w:ascii="Calibri" w:hAnsi="Calibri"/>
                <w:color w:val="000000"/>
                <w:szCs w:val="22"/>
                <w:lang w:val="es-AR" w:eastAsia="es-AR"/>
              </w:rPr>
              <w:t>93’</w:t>
            </w:r>
            <w:r w:rsidR="007E49D2" w:rsidRPr="00A93DD7">
              <w:rPr>
                <w:rFonts w:ascii="Calibri" w:hAnsi="Calibri"/>
                <w:color w:val="000000"/>
                <w:szCs w:val="22"/>
                <w:lang w:val="es-AR" w:eastAsia="es-AR"/>
              </w:rPr>
              <w:t>011,052.44</w:t>
            </w:r>
          </w:p>
        </w:tc>
        <w:tc>
          <w:tcPr>
            <w:tcW w:w="1134" w:type="dxa"/>
            <w:tcBorders>
              <w:top w:val="single" w:sz="6" w:space="0" w:color="auto"/>
              <w:left w:val="single" w:sz="6" w:space="0" w:color="auto"/>
              <w:bottom w:val="single" w:sz="6" w:space="0" w:color="auto"/>
              <w:right w:val="single" w:sz="6" w:space="0" w:color="auto"/>
            </w:tcBorders>
            <w:vAlign w:val="bottom"/>
          </w:tcPr>
          <w:p w14:paraId="6D462EB4" w14:textId="3F44C01B" w:rsidR="00490A8A" w:rsidRPr="00A93DD7" w:rsidRDefault="007E49D2" w:rsidP="00A93DD7">
            <w:pPr>
              <w:widowControl/>
              <w:jc w:val="center"/>
              <w:rPr>
                <w:rFonts w:ascii="Calibri" w:hAnsi="Calibri"/>
                <w:color w:val="000000"/>
                <w:szCs w:val="22"/>
                <w:lang w:val="es-AR" w:eastAsia="es-AR"/>
              </w:rPr>
            </w:pPr>
            <w:r w:rsidRPr="00A93DD7">
              <w:rPr>
                <w:rFonts w:ascii="Calibri" w:hAnsi="Calibri"/>
                <w:color w:val="000000"/>
                <w:szCs w:val="22"/>
                <w:lang w:val="es-AR" w:eastAsia="es-AR"/>
              </w:rPr>
              <w:t>32%</w:t>
            </w:r>
          </w:p>
        </w:tc>
      </w:tr>
      <w:tr w:rsidR="00490A8A" w:rsidRPr="0084799A" w14:paraId="13A8D041" w14:textId="77777777" w:rsidTr="007B742E">
        <w:trPr>
          <w:trHeight w:val="546"/>
        </w:trPr>
        <w:tc>
          <w:tcPr>
            <w:tcW w:w="6551" w:type="dxa"/>
            <w:tcBorders>
              <w:top w:val="single" w:sz="6" w:space="0" w:color="auto"/>
              <w:left w:val="single" w:sz="6" w:space="0" w:color="auto"/>
              <w:bottom w:val="single" w:sz="6" w:space="0" w:color="auto"/>
              <w:right w:val="single" w:sz="6" w:space="0" w:color="auto"/>
            </w:tcBorders>
          </w:tcPr>
          <w:p w14:paraId="534DC762" w14:textId="0E0A0095" w:rsidR="00490A8A" w:rsidRPr="00A93DD7" w:rsidRDefault="007E49D2" w:rsidP="00490A8A">
            <w:pPr>
              <w:pStyle w:val="BodyText2"/>
              <w:rPr>
                <w:rFonts w:ascii="Calibri" w:hAnsi="Calibri"/>
                <w:sz w:val="22"/>
                <w:szCs w:val="22"/>
                <w:lang w:val="es-GT"/>
              </w:rPr>
            </w:pPr>
            <w:r w:rsidRPr="00A93DD7">
              <w:rPr>
                <w:rFonts w:ascii="Calibri" w:hAnsi="Calibri"/>
                <w:sz w:val="22"/>
                <w:szCs w:val="22"/>
                <w:lang w:val="es-GT"/>
              </w:rPr>
              <w:t>Outcome 2</w:t>
            </w:r>
            <w:r w:rsidR="00A93DD7" w:rsidRPr="00A93DD7">
              <w:rPr>
                <w:rFonts w:ascii="Calibri" w:hAnsi="Calibri"/>
                <w:sz w:val="22"/>
                <w:szCs w:val="22"/>
                <w:lang w:val="es-GT"/>
              </w:rPr>
              <w:t xml:space="preserve"> </w:t>
            </w:r>
            <w:r w:rsidR="00A93DD7" w:rsidRPr="00A93DD7">
              <w:rPr>
                <w:rFonts w:ascii="Calibri" w:hAnsi="Calibri"/>
                <w:sz w:val="22"/>
                <w:szCs w:val="22"/>
                <w:lang w:val="es-AR"/>
              </w:rPr>
              <w:t>Reducción de la pobreza y Objetivos de Desarrollo del Milenio</w:t>
            </w:r>
          </w:p>
        </w:tc>
        <w:tc>
          <w:tcPr>
            <w:tcW w:w="2410" w:type="dxa"/>
            <w:tcBorders>
              <w:top w:val="single" w:sz="6" w:space="0" w:color="auto"/>
              <w:left w:val="single" w:sz="6" w:space="0" w:color="auto"/>
              <w:bottom w:val="single" w:sz="6" w:space="0" w:color="auto"/>
              <w:right w:val="single" w:sz="6" w:space="0" w:color="auto"/>
            </w:tcBorders>
            <w:vAlign w:val="bottom"/>
          </w:tcPr>
          <w:p w14:paraId="69E6D244" w14:textId="1CC9DD03" w:rsidR="00490A8A" w:rsidRPr="00A93DD7" w:rsidRDefault="007E49D2" w:rsidP="00A93DD7">
            <w:pPr>
              <w:widowControl/>
              <w:jc w:val="center"/>
              <w:rPr>
                <w:rFonts w:ascii="Calibri" w:hAnsi="Calibri"/>
                <w:color w:val="000000"/>
                <w:szCs w:val="22"/>
                <w:lang w:val="es-AR" w:eastAsia="es-AR"/>
              </w:rPr>
            </w:pPr>
            <w:r w:rsidRPr="00A93DD7">
              <w:rPr>
                <w:rFonts w:ascii="Calibri" w:hAnsi="Calibri"/>
                <w:color w:val="000000"/>
                <w:szCs w:val="22"/>
                <w:lang w:val="es-AR" w:eastAsia="es-AR"/>
              </w:rPr>
              <w:t>675,090,88</w:t>
            </w:r>
          </w:p>
        </w:tc>
        <w:tc>
          <w:tcPr>
            <w:tcW w:w="2126" w:type="dxa"/>
            <w:tcBorders>
              <w:top w:val="single" w:sz="6" w:space="0" w:color="auto"/>
              <w:left w:val="single" w:sz="6" w:space="0" w:color="auto"/>
              <w:bottom w:val="single" w:sz="6" w:space="0" w:color="auto"/>
              <w:right w:val="single" w:sz="6" w:space="0" w:color="auto"/>
            </w:tcBorders>
            <w:vAlign w:val="bottom"/>
          </w:tcPr>
          <w:p w14:paraId="571D6879" w14:textId="0C88916A" w:rsidR="00490A8A" w:rsidRPr="00A93DD7" w:rsidRDefault="00017E59" w:rsidP="00A93DD7">
            <w:pPr>
              <w:widowControl/>
              <w:jc w:val="center"/>
              <w:rPr>
                <w:rFonts w:ascii="Calibri" w:hAnsi="Calibri"/>
                <w:color w:val="000000"/>
                <w:szCs w:val="22"/>
                <w:lang w:val="es-AR" w:eastAsia="es-AR"/>
              </w:rPr>
            </w:pPr>
            <w:r>
              <w:rPr>
                <w:rFonts w:ascii="Calibri" w:hAnsi="Calibri"/>
                <w:color w:val="000000"/>
                <w:szCs w:val="22"/>
                <w:lang w:val="es-AR" w:eastAsia="es-AR"/>
              </w:rPr>
              <w:t>87’</w:t>
            </w:r>
            <w:r w:rsidR="007E49D2" w:rsidRPr="00A93DD7">
              <w:rPr>
                <w:rFonts w:ascii="Calibri" w:hAnsi="Calibri"/>
                <w:color w:val="000000"/>
                <w:szCs w:val="22"/>
                <w:lang w:val="es-AR" w:eastAsia="es-AR"/>
              </w:rPr>
              <w:t>307,007.15</w:t>
            </w:r>
          </w:p>
        </w:tc>
        <w:tc>
          <w:tcPr>
            <w:tcW w:w="1984" w:type="dxa"/>
            <w:tcBorders>
              <w:top w:val="single" w:sz="6" w:space="0" w:color="auto"/>
              <w:left w:val="single" w:sz="6" w:space="0" w:color="auto"/>
              <w:bottom w:val="single" w:sz="6" w:space="0" w:color="auto"/>
              <w:right w:val="single" w:sz="6" w:space="0" w:color="auto"/>
            </w:tcBorders>
            <w:vAlign w:val="bottom"/>
          </w:tcPr>
          <w:p w14:paraId="1E3DC7C5" w14:textId="4106C996" w:rsidR="00490A8A" w:rsidRPr="00A93DD7" w:rsidRDefault="00017E59" w:rsidP="00A93DD7">
            <w:pPr>
              <w:widowControl/>
              <w:jc w:val="center"/>
              <w:rPr>
                <w:rFonts w:ascii="Calibri" w:hAnsi="Calibri"/>
                <w:color w:val="000000"/>
                <w:szCs w:val="22"/>
                <w:lang w:val="es-AR" w:eastAsia="es-AR"/>
              </w:rPr>
            </w:pPr>
            <w:r>
              <w:rPr>
                <w:rFonts w:ascii="Calibri" w:hAnsi="Calibri"/>
                <w:color w:val="000000"/>
                <w:szCs w:val="22"/>
                <w:lang w:val="es-AR" w:eastAsia="es-AR"/>
              </w:rPr>
              <w:t>87’</w:t>
            </w:r>
            <w:r w:rsidR="007E49D2" w:rsidRPr="00A93DD7">
              <w:rPr>
                <w:rFonts w:ascii="Calibri" w:hAnsi="Calibri"/>
                <w:color w:val="000000"/>
                <w:szCs w:val="22"/>
                <w:lang w:val="es-AR" w:eastAsia="es-AR"/>
              </w:rPr>
              <w:t>982,098.03</w:t>
            </w:r>
          </w:p>
        </w:tc>
        <w:tc>
          <w:tcPr>
            <w:tcW w:w="1134" w:type="dxa"/>
            <w:tcBorders>
              <w:top w:val="single" w:sz="6" w:space="0" w:color="auto"/>
              <w:left w:val="single" w:sz="6" w:space="0" w:color="auto"/>
              <w:bottom w:val="single" w:sz="6" w:space="0" w:color="auto"/>
              <w:right w:val="single" w:sz="6" w:space="0" w:color="auto"/>
            </w:tcBorders>
            <w:vAlign w:val="bottom"/>
          </w:tcPr>
          <w:p w14:paraId="432593ED" w14:textId="4B8AAB0B" w:rsidR="00490A8A" w:rsidRPr="00A93DD7" w:rsidRDefault="007E49D2" w:rsidP="00A93DD7">
            <w:pPr>
              <w:widowControl/>
              <w:jc w:val="center"/>
              <w:rPr>
                <w:rFonts w:ascii="Calibri" w:hAnsi="Calibri"/>
                <w:color w:val="000000"/>
                <w:szCs w:val="22"/>
                <w:lang w:val="es-AR" w:eastAsia="es-AR"/>
              </w:rPr>
            </w:pPr>
            <w:r w:rsidRPr="00A93DD7">
              <w:rPr>
                <w:rFonts w:ascii="Calibri" w:hAnsi="Calibri"/>
                <w:color w:val="000000"/>
                <w:szCs w:val="22"/>
                <w:lang w:val="es-AR" w:eastAsia="es-AR"/>
              </w:rPr>
              <w:t>30%</w:t>
            </w:r>
          </w:p>
        </w:tc>
      </w:tr>
      <w:tr w:rsidR="00490A8A" w:rsidRPr="0084799A" w14:paraId="613E9B01" w14:textId="77777777" w:rsidTr="007B742E">
        <w:trPr>
          <w:trHeight w:val="385"/>
        </w:trPr>
        <w:tc>
          <w:tcPr>
            <w:tcW w:w="6551" w:type="dxa"/>
            <w:tcBorders>
              <w:top w:val="single" w:sz="6" w:space="0" w:color="auto"/>
              <w:left w:val="single" w:sz="6" w:space="0" w:color="auto"/>
              <w:bottom w:val="single" w:sz="6" w:space="0" w:color="auto"/>
              <w:right w:val="single" w:sz="6" w:space="0" w:color="auto"/>
            </w:tcBorders>
          </w:tcPr>
          <w:p w14:paraId="4E4A0955" w14:textId="2143162A" w:rsidR="00490A8A" w:rsidRPr="00A93DD7" w:rsidRDefault="007E49D2" w:rsidP="00490A8A">
            <w:pPr>
              <w:pStyle w:val="BodyText2"/>
              <w:rPr>
                <w:rFonts w:ascii="Calibri" w:hAnsi="Calibri"/>
                <w:sz w:val="22"/>
                <w:szCs w:val="22"/>
                <w:lang w:val="es-GT"/>
              </w:rPr>
            </w:pPr>
            <w:r w:rsidRPr="00A93DD7">
              <w:rPr>
                <w:rFonts w:ascii="Calibri" w:hAnsi="Calibri"/>
                <w:sz w:val="22"/>
                <w:szCs w:val="22"/>
                <w:lang w:val="es-GT"/>
              </w:rPr>
              <w:t>Outcome 3</w:t>
            </w:r>
            <w:r w:rsidR="00A93DD7" w:rsidRPr="00A93DD7">
              <w:rPr>
                <w:rFonts w:ascii="Calibri" w:hAnsi="Calibri"/>
                <w:sz w:val="22"/>
                <w:szCs w:val="22"/>
                <w:lang w:val="es-GT"/>
              </w:rPr>
              <w:t xml:space="preserve"> </w:t>
            </w:r>
            <w:r w:rsidR="00A93DD7" w:rsidRPr="00A93DD7">
              <w:rPr>
                <w:rFonts w:ascii="Calibri" w:hAnsi="Calibri"/>
                <w:sz w:val="22"/>
                <w:szCs w:val="22"/>
                <w:lang w:val="es-AR"/>
              </w:rPr>
              <w:t>Prevención de las crisis y recuperación posterior. Medio ambiente y desarrollo sostenible</w:t>
            </w:r>
          </w:p>
        </w:tc>
        <w:tc>
          <w:tcPr>
            <w:tcW w:w="2410" w:type="dxa"/>
            <w:tcBorders>
              <w:top w:val="single" w:sz="6" w:space="0" w:color="auto"/>
              <w:left w:val="single" w:sz="6" w:space="0" w:color="auto"/>
              <w:bottom w:val="single" w:sz="6" w:space="0" w:color="auto"/>
              <w:right w:val="single" w:sz="6" w:space="0" w:color="auto"/>
            </w:tcBorders>
            <w:vAlign w:val="bottom"/>
          </w:tcPr>
          <w:p w14:paraId="0954D2CE" w14:textId="0730793C" w:rsidR="00490A8A" w:rsidRPr="00A93DD7" w:rsidRDefault="007E49D2" w:rsidP="00A93DD7">
            <w:pPr>
              <w:widowControl/>
              <w:jc w:val="center"/>
              <w:rPr>
                <w:rFonts w:ascii="Calibri" w:hAnsi="Calibri"/>
                <w:color w:val="000000"/>
                <w:szCs w:val="22"/>
                <w:lang w:val="es-AR" w:eastAsia="es-AR"/>
              </w:rPr>
            </w:pPr>
            <w:r w:rsidRPr="00A93DD7">
              <w:rPr>
                <w:rFonts w:ascii="Calibri" w:hAnsi="Calibri"/>
                <w:color w:val="000000"/>
                <w:szCs w:val="22"/>
                <w:lang w:val="es-AR" w:eastAsia="es-AR"/>
              </w:rPr>
              <w:t>854,652.05</w:t>
            </w:r>
          </w:p>
        </w:tc>
        <w:tc>
          <w:tcPr>
            <w:tcW w:w="2126" w:type="dxa"/>
            <w:tcBorders>
              <w:top w:val="single" w:sz="6" w:space="0" w:color="auto"/>
              <w:left w:val="single" w:sz="6" w:space="0" w:color="auto"/>
              <w:bottom w:val="single" w:sz="6" w:space="0" w:color="auto"/>
              <w:right w:val="single" w:sz="6" w:space="0" w:color="auto"/>
            </w:tcBorders>
            <w:vAlign w:val="bottom"/>
          </w:tcPr>
          <w:p w14:paraId="1627E2E9" w14:textId="66DB935D" w:rsidR="00490A8A" w:rsidRPr="00A93DD7" w:rsidRDefault="007E49D2" w:rsidP="00A93DD7">
            <w:pPr>
              <w:widowControl/>
              <w:jc w:val="center"/>
              <w:rPr>
                <w:rFonts w:ascii="Calibri" w:hAnsi="Calibri"/>
                <w:color w:val="000000"/>
                <w:szCs w:val="22"/>
                <w:lang w:val="es-AR" w:eastAsia="es-AR"/>
              </w:rPr>
            </w:pPr>
            <w:r w:rsidRPr="00A93DD7">
              <w:rPr>
                <w:rFonts w:ascii="Calibri" w:hAnsi="Calibri"/>
                <w:color w:val="000000"/>
                <w:szCs w:val="22"/>
                <w:lang w:val="es-AR" w:eastAsia="es-AR"/>
              </w:rPr>
              <w:t>111</w:t>
            </w:r>
            <w:r w:rsidR="00017E59">
              <w:rPr>
                <w:rFonts w:ascii="Calibri" w:hAnsi="Calibri"/>
                <w:color w:val="000000"/>
                <w:szCs w:val="22"/>
                <w:lang w:val="es-AR" w:eastAsia="es-AR"/>
              </w:rPr>
              <w:t>’</w:t>
            </w:r>
            <w:r w:rsidRPr="00A93DD7">
              <w:rPr>
                <w:rFonts w:ascii="Calibri" w:hAnsi="Calibri"/>
                <w:color w:val="000000"/>
                <w:szCs w:val="22"/>
                <w:lang w:val="es-AR" w:eastAsia="es-AR"/>
              </w:rPr>
              <w:t>000,275.78</w:t>
            </w:r>
          </w:p>
        </w:tc>
        <w:tc>
          <w:tcPr>
            <w:tcW w:w="1984" w:type="dxa"/>
            <w:tcBorders>
              <w:top w:val="single" w:sz="6" w:space="0" w:color="auto"/>
              <w:left w:val="single" w:sz="6" w:space="0" w:color="auto"/>
              <w:bottom w:val="single" w:sz="6" w:space="0" w:color="auto"/>
              <w:right w:val="single" w:sz="6" w:space="0" w:color="auto"/>
            </w:tcBorders>
            <w:vAlign w:val="bottom"/>
          </w:tcPr>
          <w:p w14:paraId="1338AF5B" w14:textId="0280C3E4" w:rsidR="00490A8A" w:rsidRPr="00A93DD7" w:rsidRDefault="00017E59" w:rsidP="00A93DD7">
            <w:pPr>
              <w:widowControl/>
              <w:jc w:val="center"/>
              <w:rPr>
                <w:rFonts w:ascii="Calibri" w:hAnsi="Calibri"/>
                <w:color w:val="000000"/>
                <w:szCs w:val="22"/>
                <w:lang w:val="es-AR" w:eastAsia="es-AR"/>
              </w:rPr>
            </w:pPr>
            <w:r>
              <w:rPr>
                <w:rFonts w:ascii="Calibri" w:hAnsi="Calibri"/>
                <w:color w:val="000000"/>
                <w:szCs w:val="22"/>
                <w:lang w:val="es-AR" w:eastAsia="es-AR"/>
              </w:rPr>
              <w:t>111’</w:t>
            </w:r>
            <w:r w:rsidR="007E49D2" w:rsidRPr="00A93DD7">
              <w:rPr>
                <w:rFonts w:ascii="Calibri" w:hAnsi="Calibri"/>
                <w:color w:val="000000"/>
                <w:szCs w:val="22"/>
                <w:lang w:val="es-AR" w:eastAsia="es-AR"/>
              </w:rPr>
              <w:t>854,927.83</w:t>
            </w:r>
          </w:p>
        </w:tc>
        <w:tc>
          <w:tcPr>
            <w:tcW w:w="1134" w:type="dxa"/>
            <w:tcBorders>
              <w:top w:val="single" w:sz="6" w:space="0" w:color="auto"/>
              <w:left w:val="single" w:sz="6" w:space="0" w:color="auto"/>
              <w:bottom w:val="single" w:sz="6" w:space="0" w:color="auto"/>
              <w:right w:val="single" w:sz="6" w:space="0" w:color="auto"/>
            </w:tcBorders>
            <w:vAlign w:val="bottom"/>
          </w:tcPr>
          <w:p w14:paraId="00ABFE12" w14:textId="21D099AB" w:rsidR="00490A8A" w:rsidRPr="00A93DD7" w:rsidRDefault="007E49D2" w:rsidP="00A93DD7">
            <w:pPr>
              <w:widowControl/>
              <w:jc w:val="center"/>
              <w:rPr>
                <w:rFonts w:ascii="Calibri" w:hAnsi="Calibri"/>
                <w:color w:val="000000"/>
                <w:szCs w:val="22"/>
                <w:lang w:val="es-AR" w:eastAsia="es-AR"/>
              </w:rPr>
            </w:pPr>
            <w:r w:rsidRPr="00A93DD7">
              <w:rPr>
                <w:rFonts w:ascii="Calibri" w:hAnsi="Calibri"/>
                <w:color w:val="000000"/>
                <w:szCs w:val="22"/>
                <w:lang w:val="es-AR" w:eastAsia="es-AR"/>
              </w:rPr>
              <w:t>38%</w:t>
            </w:r>
          </w:p>
        </w:tc>
      </w:tr>
      <w:tr w:rsidR="00490A8A" w14:paraId="77836907" w14:textId="77777777" w:rsidTr="00490A8A">
        <w:trPr>
          <w:trHeight w:val="576"/>
        </w:trPr>
        <w:tc>
          <w:tcPr>
            <w:tcW w:w="65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39CD647C" w14:textId="77777777" w:rsidR="00490A8A" w:rsidRPr="00A93DD7" w:rsidRDefault="00490A8A" w:rsidP="00490A8A">
            <w:pPr>
              <w:widowControl/>
              <w:autoSpaceDE w:val="0"/>
              <w:autoSpaceDN w:val="0"/>
              <w:adjustRightInd w:val="0"/>
              <w:jc w:val="right"/>
              <w:rPr>
                <w:rFonts w:ascii="Calibri" w:eastAsiaTheme="minorHAnsi" w:hAnsi="Calibri" w:cs="Calibri"/>
                <w:b/>
                <w:bCs/>
                <w:color w:val="000000"/>
                <w:szCs w:val="22"/>
              </w:rPr>
            </w:pPr>
            <w:r w:rsidRPr="00A93DD7">
              <w:rPr>
                <w:rFonts w:ascii="Calibri" w:eastAsiaTheme="minorHAnsi" w:hAnsi="Calibri" w:cs="Calibri"/>
                <w:b/>
                <w:bCs/>
                <w:color w:val="000000"/>
                <w:sz w:val="22"/>
                <w:szCs w:val="22"/>
              </w:rPr>
              <w:t>Total</w:t>
            </w:r>
          </w:p>
        </w:tc>
        <w:tc>
          <w:tcPr>
            <w:tcW w:w="2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1794B64D" w14:textId="674E2493" w:rsidR="00490A8A" w:rsidRPr="00A93DD7" w:rsidRDefault="00017E59" w:rsidP="00A93DD7">
            <w:pPr>
              <w:widowControl/>
              <w:jc w:val="center"/>
              <w:rPr>
                <w:rFonts w:ascii="Calibri" w:hAnsi="Calibri"/>
                <w:b/>
                <w:color w:val="000000"/>
                <w:szCs w:val="22"/>
                <w:lang w:val="es-AR" w:eastAsia="es-AR"/>
              </w:rPr>
            </w:pPr>
            <w:r>
              <w:rPr>
                <w:rFonts w:ascii="Calibri" w:hAnsi="Calibri"/>
                <w:b/>
                <w:color w:val="000000"/>
                <w:szCs w:val="22"/>
                <w:lang w:val="es-AR" w:eastAsia="es-AR"/>
              </w:rPr>
              <w:t>2’348,335.17</w:t>
            </w:r>
          </w:p>
        </w:tc>
        <w:tc>
          <w:tcPr>
            <w:tcW w:w="212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3F2265DD" w14:textId="466878E5" w:rsidR="00490A8A" w:rsidRPr="00A93DD7" w:rsidRDefault="00017E59" w:rsidP="00A93DD7">
            <w:pPr>
              <w:widowControl/>
              <w:jc w:val="center"/>
              <w:rPr>
                <w:rFonts w:ascii="Calibri" w:hAnsi="Calibri"/>
                <w:b/>
                <w:color w:val="000000"/>
                <w:szCs w:val="22"/>
                <w:lang w:val="es-AR" w:eastAsia="es-AR"/>
              </w:rPr>
            </w:pPr>
            <w:r>
              <w:rPr>
                <w:rFonts w:ascii="Calibri" w:hAnsi="Calibri"/>
                <w:b/>
                <w:color w:val="000000"/>
                <w:szCs w:val="22"/>
                <w:lang w:val="es-AR" w:eastAsia="es-AR"/>
              </w:rPr>
              <w:t>290’499,743.13</w:t>
            </w:r>
          </w:p>
        </w:tc>
        <w:tc>
          <w:tcPr>
            <w:tcW w:w="19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25AAAA7A" w14:textId="6F5F8A2D" w:rsidR="00490A8A" w:rsidRPr="00A93DD7" w:rsidRDefault="007E49D2" w:rsidP="00A93DD7">
            <w:pPr>
              <w:widowControl/>
              <w:jc w:val="center"/>
              <w:rPr>
                <w:rFonts w:ascii="Calibri" w:hAnsi="Calibri"/>
                <w:b/>
                <w:color w:val="000000"/>
                <w:szCs w:val="22"/>
                <w:lang w:val="es-AR" w:eastAsia="es-AR"/>
              </w:rPr>
            </w:pPr>
            <w:r w:rsidRPr="00A93DD7">
              <w:rPr>
                <w:rFonts w:ascii="Calibri" w:hAnsi="Calibri"/>
                <w:b/>
                <w:color w:val="000000"/>
                <w:szCs w:val="22"/>
                <w:lang w:val="es-AR" w:eastAsia="es-AR"/>
              </w:rPr>
              <w:t>292,848,078.30</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bottom"/>
          </w:tcPr>
          <w:p w14:paraId="1F5ABFF9" w14:textId="77777777" w:rsidR="00490A8A" w:rsidRPr="00A93DD7" w:rsidRDefault="00490A8A" w:rsidP="00A93DD7">
            <w:pPr>
              <w:widowControl/>
              <w:jc w:val="center"/>
              <w:rPr>
                <w:rFonts w:ascii="Calibri" w:hAnsi="Calibri"/>
                <w:b/>
                <w:color w:val="000000"/>
                <w:szCs w:val="22"/>
                <w:lang w:val="es-AR" w:eastAsia="es-AR"/>
              </w:rPr>
            </w:pPr>
            <w:r w:rsidRPr="00A93DD7">
              <w:rPr>
                <w:rFonts w:ascii="Calibri" w:hAnsi="Calibri"/>
                <w:b/>
                <w:color w:val="000000"/>
                <w:sz w:val="22"/>
                <w:szCs w:val="22"/>
                <w:lang w:val="es-AR" w:eastAsia="es-AR"/>
              </w:rPr>
              <w:t>100%</w:t>
            </w:r>
          </w:p>
        </w:tc>
      </w:tr>
    </w:tbl>
    <w:p w14:paraId="07612CE1" w14:textId="77777777" w:rsidR="00957BA1" w:rsidRDefault="00957BA1" w:rsidP="00957BA1">
      <w:pPr>
        <w:pStyle w:val="BodyText2"/>
        <w:rPr>
          <w:rFonts w:asciiTheme="minorHAnsi" w:hAnsiTheme="minorHAnsi"/>
        </w:rPr>
      </w:pPr>
    </w:p>
    <w:p w14:paraId="3603669E" w14:textId="77777777" w:rsidR="004A2D20" w:rsidRDefault="004A2D20" w:rsidP="00957BA1">
      <w:pPr>
        <w:pStyle w:val="BodyText2"/>
        <w:rPr>
          <w:rFonts w:asciiTheme="minorHAnsi" w:hAnsiTheme="minorHAnsi"/>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0"/>
      </w:tblGrid>
      <w:tr w:rsidR="00811EE3" w:rsidRPr="00810A9E" w14:paraId="6489E2EE" w14:textId="77777777" w:rsidTr="00541456">
        <w:tc>
          <w:tcPr>
            <w:tcW w:w="14170" w:type="dxa"/>
            <w:shd w:val="clear" w:color="auto" w:fill="auto"/>
          </w:tcPr>
          <w:p w14:paraId="3B847BB0" w14:textId="77777777" w:rsidR="00811EE3" w:rsidRPr="0050513F" w:rsidRDefault="00811EE3" w:rsidP="00541456">
            <w:pPr>
              <w:pStyle w:val="BodyText2"/>
              <w:rPr>
                <w:rFonts w:ascii="Calibri" w:hAnsi="Calibri"/>
                <w:b/>
                <w:sz w:val="22"/>
                <w:szCs w:val="22"/>
              </w:rPr>
            </w:pPr>
            <w:r w:rsidRPr="0050513F">
              <w:rPr>
                <w:rFonts w:ascii="Calibri" w:hAnsi="Calibri"/>
                <w:b/>
                <w:sz w:val="22"/>
                <w:szCs w:val="22"/>
              </w:rPr>
              <w:t>Data sources</w:t>
            </w:r>
          </w:p>
        </w:tc>
      </w:tr>
      <w:tr w:rsidR="00811EE3" w:rsidRPr="002B797E" w14:paraId="67143688" w14:textId="77777777" w:rsidTr="00541456">
        <w:tc>
          <w:tcPr>
            <w:tcW w:w="14170" w:type="dxa"/>
            <w:shd w:val="clear" w:color="auto" w:fill="auto"/>
          </w:tcPr>
          <w:p w14:paraId="18D3B60E" w14:textId="77777777" w:rsidR="00811EE3" w:rsidRDefault="0002511A" w:rsidP="00811EE3">
            <w:pPr>
              <w:pStyle w:val="BodyText2"/>
              <w:numPr>
                <w:ilvl w:val="0"/>
                <w:numId w:val="2"/>
              </w:numPr>
              <w:rPr>
                <w:rFonts w:ascii="Calibri" w:hAnsi="Calibri"/>
                <w:sz w:val="22"/>
                <w:szCs w:val="22"/>
                <w:lang w:val="es-GT"/>
              </w:rPr>
            </w:pPr>
            <w:r>
              <w:rPr>
                <w:rFonts w:ascii="Calibri" w:hAnsi="Calibri"/>
                <w:sz w:val="22"/>
                <w:szCs w:val="22"/>
                <w:lang w:val="es-GT"/>
              </w:rPr>
              <w:t xml:space="preserve">Informes Anuales de Progreso de los Proyectos </w:t>
            </w:r>
          </w:p>
          <w:p w14:paraId="0CFBF8A7" w14:textId="77777777" w:rsidR="0002511A" w:rsidRDefault="0002511A" w:rsidP="00811EE3">
            <w:pPr>
              <w:pStyle w:val="BodyText2"/>
              <w:numPr>
                <w:ilvl w:val="0"/>
                <w:numId w:val="2"/>
              </w:numPr>
              <w:rPr>
                <w:rFonts w:ascii="Calibri" w:hAnsi="Calibri"/>
                <w:sz w:val="22"/>
                <w:szCs w:val="22"/>
                <w:lang w:val="es-GT"/>
              </w:rPr>
            </w:pPr>
            <w:r>
              <w:rPr>
                <w:rFonts w:ascii="Calibri" w:hAnsi="Calibri"/>
                <w:sz w:val="22"/>
                <w:szCs w:val="22"/>
                <w:lang w:val="es-GT"/>
              </w:rPr>
              <w:t>Informes Anuales de Resultados –ROAR-</w:t>
            </w:r>
          </w:p>
          <w:p w14:paraId="397ECFAC" w14:textId="77777777" w:rsidR="0002511A" w:rsidRDefault="0002511A" w:rsidP="00811EE3">
            <w:pPr>
              <w:pStyle w:val="BodyText2"/>
              <w:numPr>
                <w:ilvl w:val="0"/>
                <w:numId w:val="2"/>
              </w:numPr>
              <w:rPr>
                <w:rFonts w:ascii="Calibri" w:hAnsi="Calibri"/>
                <w:sz w:val="22"/>
                <w:szCs w:val="22"/>
                <w:lang w:val="es-GT"/>
              </w:rPr>
            </w:pPr>
            <w:r>
              <w:rPr>
                <w:rFonts w:ascii="Calibri" w:hAnsi="Calibri"/>
                <w:sz w:val="22"/>
                <w:szCs w:val="22"/>
                <w:lang w:val="es-GT"/>
              </w:rPr>
              <w:t>Planes Integrados Anuales –IWP-</w:t>
            </w:r>
          </w:p>
          <w:p w14:paraId="50F1CB61" w14:textId="77777777" w:rsidR="0063424C" w:rsidRPr="002B797E" w:rsidRDefault="0063424C" w:rsidP="002B797E">
            <w:pPr>
              <w:pStyle w:val="BodyText2"/>
              <w:numPr>
                <w:ilvl w:val="0"/>
                <w:numId w:val="2"/>
              </w:numPr>
              <w:rPr>
                <w:rFonts w:ascii="Calibri" w:hAnsi="Calibri"/>
                <w:b/>
                <w:sz w:val="22"/>
                <w:szCs w:val="22"/>
                <w:lang w:val="es-AR"/>
              </w:rPr>
            </w:pPr>
            <w:r>
              <w:rPr>
                <w:rFonts w:ascii="Calibri" w:hAnsi="Calibri"/>
                <w:sz w:val="22"/>
                <w:szCs w:val="22"/>
                <w:lang w:val="es-GT"/>
              </w:rPr>
              <w:t>ATLAS</w:t>
            </w:r>
          </w:p>
        </w:tc>
      </w:tr>
    </w:tbl>
    <w:p w14:paraId="0D7CE7A3" w14:textId="77777777" w:rsidR="004A2D20" w:rsidRPr="002B797E" w:rsidRDefault="004A2D20" w:rsidP="00957BA1">
      <w:pPr>
        <w:pStyle w:val="BodyText2"/>
        <w:rPr>
          <w:rFonts w:asciiTheme="minorHAnsi" w:hAnsiTheme="minorHAnsi"/>
          <w:lang w:val="es-AR"/>
        </w:rPr>
      </w:pPr>
    </w:p>
    <w:p w14:paraId="1F7FD8C4" w14:textId="77777777" w:rsidR="00811EE3" w:rsidRDefault="00811EE3">
      <w:pPr>
        <w:rPr>
          <w:rFonts w:asciiTheme="minorHAnsi" w:hAnsiTheme="minorHAnsi"/>
          <w:sz w:val="20"/>
        </w:rPr>
      </w:pPr>
    </w:p>
    <w:p w14:paraId="06AB8AFB" w14:textId="77777777" w:rsidR="00811EE3" w:rsidRDefault="00811EE3">
      <w:pPr>
        <w:rPr>
          <w:rFonts w:asciiTheme="minorHAnsi" w:hAnsiTheme="minorHAnsi"/>
          <w:sz w:val="20"/>
        </w:rPr>
      </w:pPr>
    </w:p>
    <w:p w14:paraId="7DFF865D" w14:textId="77777777" w:rsidR="00811EE3" w:rsidRPr="005C43BF" w:rsidRDefault="00811EE3">
      <w:pPr>
        <w:rPr>
          <w:rFonts w:asciiTheme="minorHAnsi" w:hAnsiTheme="minorHAnsi"/>
          <w:sz w:val="20"/>
        </w:rPr>
      </w:pPr>
    </w:p>
    <w:sectPr w:rsidR="00811EE3" w:rsidRPr="005C43BF" w:rsidSect="007D4039">
      <w:endnotePr>
        <w:numFmt w:val="decimal"/>
      </w:endnotePr>
      <w:pgSz w:w="16840" w:h="11907" w:orient="landscape" w:code="9"/>
      <w:pgMar w:top="1440" w:right="1389"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24654" w14:textId="77777777" w:rsidR="001E3171" w:rsidRDefault="001E3171" w:rsidP="00957BA1">
      <w:r>
        <w:separator/>
      </w:r>
    </w:p>
  </w:endnote>
  <w:endnote w:type="continuationSeparator" w:id="0">
    <w:p w14:paraId="1F6A0748" w14:textId="77777777" w:rsidR="001E3171" w:rsidRDefault="001E3171" w:rsidP="0095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C59A4" w14:textId="77777777" w:rsidR="00957BA1" w:rsidRPr="00980D8C" w:rsidRDefault="005A63C0">
    <w:pPr>
      <w:pStyle w:val="Footer"/>
      <w:jc w:val="center"/>
      <w:rPr>
        <w:rFonts w:asciiTheme="minorHAnsi" w:hAnsiTheme="minorHAnsi"/>
        <w:sz w:val="20"/>
      </w:rPr>
    </w:pPr>
    <w:r w:rsidRPr="00980D8C">
      <w:rPr>
        <w:rFonts w:asciiTheme="minorHAnsi" w:hAnsiTheme="minorHAnsi"/>
        <w:sz w:val="20"/>
      </w:rPr>
      <w:fldChar w:fldCharType="begin"/>
    </w:r>
    <w:r w:rsidR="00957BA1" w:rsidRPr="00980D8C">
      <w:rPr>
        <w:rFonts w:asciiTheme="minorHAnsi" w:hAnsiTheme="minorHAnsi"/>
        <w:sz w:val="20"/>
      </w:rPr>
      <w:instrText xml:space="preserve"> PAGE   \* MERGEFORMAT </w:instrText>
    </w:r>
    <w:r w:rsidRPr="00980D8C">
      <w:rPr>
        <w:rFonts w:asciiTheme="minorHAnsi" w:hAnsiTheme="minorHAnsi"/>
        <w:sz w:val="20"/>
      </w:rPr>
      <w:fldChar w:fldCharType="separate"/>
    </w:r>
    <w:r w:rsidR="00166E98">
      <w:rPr>
        <w:rFonts w:asciiTheme="minorHAnsi" w:hAnsiTheme="minorHAnsi"/>
        <w:noProof/>
        <w:sz w:val="20"/>
      </w:rPr>
      <w:t>2</w:t>
    </w:r>
    <w:r w:rsidRPr="00980D8C">
      <w:rPr>
        <w:rFonts w:asciiTheme="minorHAnsi" w:hAnsiTheme="minorHAnsi"/>
        <w:sz w:val="20"/>
      </w:rPr>
      <w:fldChar w:fldCharType="end"/>
    </w:r>
  </w:p>
  <w:p w14:paraId="37E7E9FB" w14:textId="77777777" w:rsidR="00957BA1" w:rsidRDefault="00957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11F6E" w14:textId="77777777" w:rsidR="001E3171" w:rsidRDefault="001E3171" w:rsidP="00957BA1">
      <w:r>
        <w:separator/>
      </w:r>
    </w:p>
  </w:footnote>
  <w:footnote w:type="continuationSeparator" w:id="0">
    <w:p w14:paraId="3F4BB9B3" w14:textId="77777777" w:rsidR="001E3171" w:rsidRDefault="001E3171" w:rsidP="00957BA1">
      <w:r>
        <w:continuationSeparator/>
      </w:r>
    </w:p>
  </w:footnote>
  <w:footnote w:id="1">
    <w:p w14:paraId="7AF93BFA" w14:textId="6C00B209" w:rsidR="00AA365C" w:rsidRPr="00AA365C" w:rsidRDefault="00AA365C">
      <w:pPr>
        <w:pStyle w:val="FootnoteText"/>
        <w:rPr>
          <w:rFonts w:asciiTheme="minorHAnsi" w:hAnsiTheme="minorHAnsi"/>
          <w:lang w:val="es-AR"/>
        </w:rPr>
      </w:pPr>
      <w:r w:rsidRPr="00AA365C">
        <w:rPr>
          <w:rStyle w:val="FootnoteReference"/>
          <w:rFonts w:asciiTheme="minorHAnsi" w:hAnsiTheme="minorHAnsi"/>
        </w:rPr>
        <w:footnoteRef/>
      </w:r>
      <w:r w:rsidRPr="00AA365C">
        <w:rPr>
          <w:rFonts w:asciiTheme="minorHAnsi" w:hAnsiTheme="minorHAnsi"/>
          <w:lang w:val="es-AR"/>
        </w:rPr>
        <w:t xml:space="preserve"> Los </w:t>
      </w:r>
      <w:r w:rsidR="00017E59">
        <w:rPr>
          <w:rFonts w:asciiTheme="minorHAnsi" w:hAnsiTheme="minorHAnsi"/>
          <w:lang w:val="es-AR"/>
        </w:rPr>
        <w:t>gastos están actualizados</w:t>
      </w:r>
      <w:r w:rsidR="007E49D2">
        <w:rPr>
          <w:rFonts w:asciiTheme="minorHAnsi" w:hAnsiTheme="minorHAnsi"/>
          <w:lang w:val="es-AR"/>
        </w:rPr>
        <w:t xml:space="preserve"> al 31 de diciembre del 2015</w:t>
      </w:r>
      <w:r w:rsidRPr="00AA365C">
        <w:rPr>
          <w:rFonts w:asciiTheme="minorHAnsi" w:hAnsiTheme="minorHAnsi"/>
          <w:lang w:val="es-A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85131"/>
    <w:multiLevelType w:val="hybridMultilevel"/>
    <w:tmpl w:val="30F6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6B56"/>
    <w:multiLevelType w:val="hybridMultilevel"/>
    <w:tmpl w:val="EFFAEEF6"/>
    <w:lvl w:ilvl="0" w:tplc="5BCE69C8">
      <w:start w:val="1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C5F65"/>
    <w:multiLevelType w:val="hybridMultilevel"/>
    <w:tmpl w:val="BC76A71E"/>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FF6309"/>
    <w:multiLevelType w:val="hybridMultilevel"/>
    <w:tmpl w:val="14D2F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83AD7"/>
    <w:multiLevelType w:val="hybridMultilevel"/>
    <w:tmpl w:val="F14CB60E"/>
    <w:lvl w:ilvl="0" w:tplc="9F32D07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2720"/>
    <w:multiLevelType w:val="hybridMultilevel"/>
    <w:tmpl w:val="41D0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23466"/>
    <w:multiLevelType w:val="hybridMultilevel"/>
    <w:tmpl w:val="B7B419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363062"/>
    <w:multiLevelType w:val="hybridMultilevel"/>
    <w:tmpl w:val="D636541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2D206422"/>
    <w:multiLevelType w:val="hybridMultilevel"/>
    <w:tmpl w:val="E5DE09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85F5D"/>
    <w:multiLevelType w:val="hybridMultilevel"/>
    <w:tmpl w:val="7ECCC6BC"/>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2E3D3C"/>
    <w:multiLevelType w:val="hybridMultilevel"/>
    <w:tmpl w:val="032E4E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A795E"/>
    <w:multiLevelType w:val="hybridMultilevel"/>
    <w:tmpl w:val="1D4A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9156D"/>
    <w:multiLevelType w:val="hybridMultilevel"/>
    <w:tmpl w:val="FE8246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44819"/>
    <w:multiLevelType w:val="hybridMultilevel"/>
    <w:tmpl w:val="41B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F72FB"/>
    <w:multiLevelType w:val="hybridMultilevel"/>
    <w:tmpl w:val="90520C74"/>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DF1311"/>
    <w:multiLevelType w:val="hybridMultilevel"/>
    <w:tmpl w:val="A0CE7DE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70813"/>
    <w:multiLevelType w:val="hybridMultilevel"/>
    <w:tmpl w:val="C27E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A3B35"/>
    <w:multiLevelType w:val="hybridMultilevel"/>
    <w:tmpl w:val="211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B4024"/>
    <w:multiLevelType w:val="hybridMultilevel"/>
    <w:tmpl w:val="DD5A3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D14C88"/>
    <w:multiLevelType w:val="hybridMultilevel"/>
    <w:tmpl w:val="7F845C7C"/>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580EEB"/>
    <w:multiLevelType w:val="hybridMultilevel"/>
    <w:tmpl w:val="240EB3B8"/>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656EB6"/>
    <w:multiLevelType w:val="hybridMultilevel"/>
    <w:tmpl w:val="54D4D3A6"/>
    <w:lvl w:ilvl="0" w:tplc="8E389DF4">
      <w:start w:val="1"/>
      <w:numFmt w:val="lowerRoman"/>
      <w:lvlText w:val="%1)"/>
      <w:lvlJc w:val="left"/>
      <w:pPr>
        <w:ind w:left="720" w:hanging="360"/>
      </w:pPr>
      <w:rPr>
        <w:rFont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FA7CC0"/>
    <w:multiLevelType w:val="hybridMultilevel"/>
    <w:tmpl w:val="4E34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3B011A5"/>
    <w:multiLevelType w:val="hybridMultilevel"/>
    <w:tmpl w:val="297A7456"/>
    <w:lvl w:ilvl="0" w:tplc="2C0A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C319ED"/>
    <w:multiLevelType w:val="hybridMultilevel"/>
    <w:tmpl w:val="568471F4"/>
    <w:lvl w:ilvl="0" w:tplc="5BCE69C8">
      <w:start w:val="1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556D6"/>
    <w:multiLevelType w:val="hybridMultilevel"/>
    <w:tmpl w:val="DCCC23FA"/>
    <w:lvl w:ilvl="0" w:tplc="5BCE69C8">
      <w:start w:val="11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6345EC"/>
    <w:multiLevelType w:val="hybridMultilevel"/>
    <w:tmpl w:val="456C93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CF54DA5"/>
    <w:multiLevelType w:val="hybridMultilevel"/>
    <w:tmpl w:val="14D6AB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15:restartNumberingAfterBreak="0">
    <w:nsid w:val="711B787C"/>
    <w:multiLevelType w:val="hybridMultilevel"/>
    <w:tmpl w:val="045204E2"/>
    <w:lvl w:ilvl="0" w:tplc="9EA83A9C">
      <w:start w:val="20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8A341F"/>
    <w:multiLevelType w:val="hybridMultilevel"/>
    <w:tmpl w:val="91389B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EBB144E"/>
    <w:multiLevelType w:val="hybridMultilevel"/>
    <w:tmpl w:val="C8D8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31"/>
  </w:num>
  <w:num w:numId="4">
    <w:abstractNumId w:val="6"/>
  </w:num>
  <w:num w:numId="5">
    <w:abstractNumId w:val="21"/>
  </w:num>
  <w:num w:numId="6">
    <w:abstractNumId w:val="20"/>
  </w:num>
  <w:num w:numId="7">
    <w:abstractNumId w:val="27"/>
  </w:num>
  <w:num w:numId="8">
    <w:abstractNumId w:val="2"/>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7"/>
  </w:num>
  <w:num w:numId="13">
    <w:abstractNumId w:val="19"/>
  </w:num>
  <w:num w:numId="14">
    <w:abstractNumId w:val="1"/>
  </w:num>
  <w:num w:numId="15">
    <w:abstractNumId w:val="16"/>
  </w:num>
  <w:num w:numId="16">
    <w:abstractNumId w:val="23"/>
  </w:num>
  <w:num w:numId="17">
    <w:abstractNumId w:val="22"/>
  </w:num>
  <w:num w:numId="18">
    <w:abstractNumId w:val="24"/>
  </w:num>
  <w:num w:numId="19">
    <w:abstractNumId w:val="9"/>
  </w:num>
  <w:num w:numId="20">
    <w:abstractNumId w:val="0"/>
  </w:num>
  <w:num w:numId="21">
    <w:abstractNumId w:val="28"/>
  </w:num>
  <w:num w:numId="22">
    <w:abstractNumId w:val="5"/>
  </w:num>
  <w:num w:numId="23">
    <w:abstractNumId w:val="14"/>
  </w:num>
  <w:num w:numId="24">
    <w:abstractNumId w:val="29"/>
  </w:num>
  <w:num w:numId="25">
    <w:abstractNumId w:val="32"/>
  </w:num>
  <w:num w:numId="26">
    <w:abstractNumId w:val="10"/>
  </w:num>
  <w:num w:numId="27">
    <w:abstractNumId w:val="33"/>
  </w:num>
  <w:num w:numId="28">
    <w:abstractNumId w:val="25"/>
  </w:num>
  <w:num w:numId="29">
    <w:abstractNumId w:val="35"/>
  </w:num>
  <w:num w:numId="30">
    <w:abstractNumId w:val="7"/>
  </w:num>
  <w:num w:numId="31">
    <w:abstractNumId w:val="15"/>
  </w:num>
  <w:num w:numId="32">
    <w:abstractNumId w:val="13"/>
  </w:num>
  <w:num w:numId="33">
    <w:abstractNumId w:val="11"/>
  </w:num>
  <w:num w:numId="34">
    <w:abstractNumId w:val="18"/>
  </w:num>
  <w:num w:numId="35">
    <w:abstractNumId w:val="36"/>
  </w:num>
  <w:num w:numId="36">
    <w:abstractNumId w:val="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A1"/>
    <w:rsid w:val="00000F3E"/>
    <w:rsid w:val="00003A1B"/>
    <w:rsid w:val="00007E3C"/>
    <w:rsid w:val="00010B7D"/>
    <w:rsid w:val="00010F25"/>
    <w:rsid w:val="00011F88"/>
    <w:rsid w:val="00016777"/>
    <w:rsid w:val="00017E59"/>
    <w:rsid w:val="00021E91"/>
    <w:rsid w:val="00021EF4"/>
    <w:rsid w:val="0002511A"/>
    <w:rsid w:val="00032DF2"/>
    <w:rsid w:val="00044B11"/>
    <w:rsid w:val="000478B1"/>
    <w:rsid w:val="00051F61"/>
    <w:rsid w:val="000527CD"/>
    <w:rsid w:val="00055C8A"/>
    <w:rsid w:val="000818DB"/>
    <w:rsid w:val="000870EF"/>
    <w:rsid w:val="00096B5B"/>
    <w:rsid w:val="000A0B1A"/>
    <w:rsid w:val="000A64B4"/>
    <w:rsid w:val="000B1D58"/>
    <w:rsid w:val="000B2CFE"/>
    <w:rsid w:val="000C06C2"/>
    <w:rsid w:val="000D3AA8"/>
    <w:rsid w:val="000D4C84"/>
    <w:rsid w:val="000F77F0"/>
    <w:rsid w:val="00101ACB"/>
    <w:rsid w:val="001025A2"/>
    <w:rsid w:val="0011307B"/>
    <w:rsid w:val="001154CF"/>
    <w:rsid w:val="00123D4A"/>
    <w:rsid w:val="0012656B"/>
    <w:rsid w:val="00137A2E"/>
    <w:rsid w:val="00143B65"/>
    <w:rsid w:val="00146A9E"/>
    <w:rsid w:val="001575CE"/>
    <w:rsid w:val="0015763C"/>
    <w:rsid w:val="00165C91"/>
    <w:rsid w:val="00166E98"/>
    <w:rsid w:val="001722C6"/>
    <w:rsid w:val="00172AFD"/>
    <w:rsid w:val="00177145"/>
    <w:rsid w:val="00182CC7"/>
    <w:rsid w:val="0019179F"/>
    <w:rsid w:val="001A7D6E"/>
    <w:rsid w:val="001B524E"/>
    <w:rsid w:val="001C7CB0"/>
    <w:rsid w:val="001D6D33"/>
    <w:rsid w:val="001E235E"/>
    <w:rsid w:val="001E3171"/>
    <w:rsid w:val="001F57F4"/>
    <w:rsid w:val="001F6EA5"/>
    <w:rsid w:val="001F7C4A"/>
    <w:rsid w:val="00201698"/>
    <w:rsid w:val="00223CE2"/>
    <w:rsid w:val="00227ED1"/>
    <w:rsid w:val="00231513"/>
    <w:rsid w:val="002321C4"/>
    <w:rsid w:val="00245A6A"/>
    <w:rsid w:val="0025633F"/>
    <w:rsid w:val="0026472F"/>
    <w:rsid w:val="00265522"/>
    <w:rsid w:val="00270738"/>
    <w:rsid w:val="002763BC"/>
    <w:rsid w:val="00281281"/>
    <w:rsid w:val="00281645"/>
    <w:rsid w:val="00284B35"/>
    <w:rsid w:val="002916C0"/>
    <w:rsid w:val="002A3EEC"/>
    <w:rsid w:val="002A5A96"/>
    <w:rsid w:val="002A6746"/>
    <w:rsid w:val="002B70F9"/>
    <w:rsid w:val="002B797E"/>
    <w:rsid w:val="002C084C"/>
    <w:rsid w:val="002C24F8"/>
    <w:rsid w:val="002E3302"/>
    <w:rsid w:val="002E346A"/>
    <w:rsid w:val="002E4787"/>
    <w:rsid w:val="002F63DF"/>
    <w:rsid w:val="0030339F"/>
    <w:rsid w:val="0030717C"/>
    <w:rsid w:val="00307C12"/>
    <w:rsid w:val="00320C09"/>
    <w:rsid w:val="003260C1"/>
    <w:rsid w:val="00326368"/>
    <w:rsid w:val="0033561D"/>
    <w:rsid w:val="003506E9"/>
    <w:rsid w:val="003528E7"/>
    <w:rsid w:val="00370148"/>
    <w:rsid w:val="003711A1"/>
    <w:rsid w:val="00380285"/>
    <w:rsid w:val="0039058B"/>
    <w:rsid w:val="00391A8C"/>
    <w:rsid w:val="00394CAE"/>
    <w:rsid w:val="003A75EC"/>
    <w:rsid w:val="003B1E21"/>
    <w:rsid w:val="003B5C2A"/>
    <w:rsid w:val="003C17B8"/>
    <w:rsid w:val="003C6489"/>
    <w:rsid w:val="003D295A"/>
    <w:rsid w:val="003D3AF9"/>
    <w:rsid w:val="003D4051"/>
    <w:rsid w:val="003D47FD"/>
    <w:rsid w:val="003D506C"/>
    <w:rsid w:val="003D6A75"/>
    <w:rsid w:val="003E13D7"/>
    <w:rsid w:val="003F6013"/>
    <w:rsid w:val="0040448A"/>
    <w:rsid w:val="00412C22"/>
    <w:rsid w:val="00414B03"/>
    <w:rsid w:val="00414B10"/>
    <w:rsid w:val="004255C9"/>
    <w:rsid w:val="00425945"/>
    <w:rsid w:val="004263EF"/>
    <w:rsid w:val="004267A9"/>
    <w:rsid w:val="004279E3"/>
    <w:rsid w:val="0044130F"/>
    <w:rsid w:val="0044726D"/>
    <w:rsid w:val="00450906"/>
    <w:rsid w:val="004511D2"/>
    <w:rsid w:val="00452FFB"/>
    <w:rsid w:val="00455E16"/>
    <w:rsid w:val="004624D8"/>
    <w:rsid w:val="00470664"/>
    <w:rsid w:val="00470F4D"/>
    <w:rsid w:val="00472AA5"/>
    <w:rsid w:val="004750A8"/>
    <w:rsid w:val="00481340"/>
    <w:rsid w:val="00485D98"/>
    <w:rsid w:val="004864BE"/>
    <w:rsid w:val="00490A8A"/>
    <w:rsid w:val="00495821"/>
    <w:rsid w:val="004A03D5"/>
    <w:rsid w:val="004A1A05"/>
    <w:rsid w:val="004A2D20"/>
    <w:rsid w:val="004A403A"/>
    <w:rsid w:val="004C7E41"/>
    <w:rsid w:val="004D560E"/>
    <w:rsid w:val="004D6F91"/>
    <w:rsid w:val="004E26BB"/>
    <w:rsid w:val="004E4107"/>
    <w:rsid w:val="004E4C68"/>
    <w:rsid w:val="004E50A4"/>
    <w:rsid w:val="004E7600"/>
    <w:rsid w:val="005007CD"/>
    <w:rsid w:val="00510539"/>
    <w:rsid w:val="00512A24"/>
    <w:rsid w:val="00513F6F"/>
    <w:rsid w:val="00522305"/>
    <w:rsid w:val="00540970"/>
    <w:rsid w:val="00541456"/>
    <w:rsid w:val="0055477C"/>
    <w:rsid w:val="00557CA8"/>
    <w:rsid w:val="00563B94"/>
    <w:rsid w:val="005922A9"/>
    <w:rsid w:val="005A0BAA"/>
    <w:rsid w:val="005A48BD"/>
    <w:rsid w:val="005A63C0"/>
    <w:rsid w:val="005A7109"/>
    <w:rsid w:val="005B6890"/>
    <w:rsid w:val="005C39B8"/>
    <w:rsid w:val="005C40B6"/>
    <w:rsid w:val="005C43BF"/>
    <w:rsid w:val="005C5256"/>
    <w:rsid w:val="005D6D88"/>
    <w:rsid w:val="005F762B"/>
    <w:rsid w:val="005F7DE9"/>
    <w:rsid w:val="006053CF"/>
    <w:rsid w:val="00612EA1"/>
    <w:rsid w:val="00613E16"/>
    <w:rsid w:val="006150A9"/>
    <w:rsid w:val="00622CF3"/>
    <w:rsid w:val="00623285"/>
    <w:rsid w:val="00630232"/>
    <w:rsid w:val="0063424C"/>
    <w:rsid w:val="00637D93"/>
    <w:rsid w:val="00642B1C"/>
    <w:rsid w:val="00645163"/>
    <w:rsid w:val="006465EE"/>
    <w:rsid w:val="00654654"/>
    <w:rsid w:val="00665446"/>
    <w:rsid w:val="00672E3A"/>
    <w:rsid w:val="0068140F"/>
    <w:rsid w:val="00682D19"/>
    <w:rsid w:val="00690D64"/>
    <w:rsid w:val="00693DBA"/>
    <w:rsid w:val="006A2055"/>
    <w:rsid w:val="006A56F3"/>
    <w:rsid w:val="006A7D3D"/>
    <w:rsid w:val="006A7D49"/>
    <w:rsid w:val="006B5DAE"/>
    <w:rsid w:val="006C0D6E"/>
    <w:rsid w:val="006C0E79"/>
    <w:rsid w:val="006C2A03"/>
    <w:rsid w:val="006C5D71"/>
    <w:rsid w:val="006D1995"/>
    <w:rsid w:val="006D459B"/>
    <w:rsid w:val="006D53E0"/>
    <w:rsid w:val="006D5E86"/>
    <w:rsid w:val="006E284C"/>
    <w:rsid w:val="006E3AE0"/>
    <w:rsid w:val="006E7151"/>
    <w:rsid w:val="006F05F7"/>
    <w:rsid w:val="006F454A"/>
    <w:rsid w:val="006F63EA"/>
    <w:rsid w:val="006F7821"/>
    <w:rsid w:val="00702756"/>
    <w:rsid w:val="0070347F"/>
    <w:rsid w:val="00704021"/>
    <w:rsid w:val="00711EF4"/>
    <w:rsid w:val="00714F73"/>
    <w:rsid w:val="00716FB1"/>
    <w:rsid w:val="00724710"/>
    <w:rsid w:val="00733AC1"/>
    <w:rsid w:val="00742B95"/>
    <w:rsid w:val="007517D9"/>
    <w:rsid w:val="007578A1"/>
    <w:rsid w:val="00760F31"/>
    <w:rsid w:val="007651ED"/>
    <w:rsid w:val="00774D0F"/>
    <w:rsid w:val="00781804"/>
    <w:rsid w:val="0078213F"/>
    <w:rsid w:val="00793B18"/>
    <w:rsid w:val="007973BD"/>
    <w:rsid w:val="00797A8B"/>
    <w:rsid w:val="00797AC7"/>
    <w:rsid w:val="007A11D7"/>
    <w:rsid w:val="007A23AB"/>
    <w:rsid w:val="007A24FC"/>
    <w:rsid w:val="007A483B"/>
    <w:rsid w:val="007A6A8F"/>
    <w:rsid w:val="007B31AD"/>
    <w:rsid w:val="007B4E5A"/>
    <w:rsid w:val="007B66FF"/>
    <w:rsid w:val="007B742E"/>
    <w:rsid w:val="007C1B4B"/>
    <w:rsid w:val="007D21E7"/>
    <w:rsid w:val="007D4039"/>
    <w:rsid w:val="007D6C5E"/>
    <w:rsid w:val="007E0200"/>
    <w:rsid w:val="007E49D2"/>
    <w:rsid w:val="007F3543"/>
    <w:rsid w:val="007F56B6"/>
    <w:rsid w:val="007F614B"/>
    <w:rsid w:val="008012ED"/>
    <w:rsid w:val="00801B99"/>
    <w:rsid w:val="00806D80"/>
    <w:rsid w:val="00811EE3"/>
    <w:rsid w:val="00815F58"/>
    <w:rsid w:val="00823F99"/>
    <w:rsid w:val="00824CE9"/>
    <w:rsid w:val="00832745"/>
    <w:rsid w:val="00832FE4"/>
    <w:rsid w:val="00836654"/>
    <w:rsid w:val="0084002D"/>
    <w:rsid w:val="008402FC"/>
    <w:rsid w:val="00840CFC"/>
    <w:rsid w:val="00841465"/>
    <w:rsid w:val="00841643"/>
    <w:rsid w:val="00844152"/>
    <w:rsid w:val="008455BD"/>
    <w:rsid w:val="0084799A"/>
    <w:rsid w:val="008633A2"/>
    <w:rsid w:val="0089168E"/>
    <w:rsid w:val="00894CC2"/>
    <w:rsid w:val="008B6719"/>
    <w:rsid w:val="008D3070"/>
    <w:rsid w:val="008D3AE0"/>
    <w:rsid w:val="008E5B5B"/>
    <w:rsid w:val="008F3B77"/>
    <w:rsid w:val="009076B8"/>
    <w:rsid w:val="00913019"/>
    <w:rsid w:val="00914FDB"/>
    <w:rsid w:val="0093063F"/>
    <w:rsid w:val="00933BEA"/>
    <w:rsid w:val="009361BD"/>
    <w:rsid w:val="0094585D"/>
    <w:rsid w:val="00954170"/>
    <w:rsid w:val="00957BA1"/>
    <w:rsid w:val="00960C3E"/>
    <w:rsid w:val="00964321"/>
    <w:rsid w:val="0097048F"/>
    <w:rsid w:val="009736AE"/>
    <w:rsid w:val="00973816"/>
    <w:rsid w:val="00980D8C"/>
    <w:rsid w:val="0099542F"/>
    <w:rsid w:val="009A68ED"/>
    <w:rsid w:val="009B7B1B"/>
    <w:rsid w:val="009C1969"/>
    <w:rsid w:val="009C4688"/>
    <w:rsid w:val="009D2AED"/>
    <w:rsid w:val="009E43E5"/>
    <w:rsid w:val="009F3644"/>
    <w:rsid w:val="009F5FC0"/>
    <w:rsid w:val="00A01C62"/>
    <w:rsid w:val="00A070D3"/>
    <w:rsid w:val="00A0769D"/>
    <w:rsid w:val="00A25347"/>
    <w:rsid w:val="00A265E4"/>
    <w:rsid w:val="00A3432D"/>
    <w:rsid w:val="00A539CC"/>
    <w:rsid w:val="00A5431E"/>
    <w:rsid w:val="00A54FEC"/>
    <w:rsid w:val="00A57F01"/>
    <w:rsid w:val="00A64075"/>
    <w:rsid w:val="00A65A99"/>
    <w:rsid w:val="00A65C0E"/>
    <w:rsid w:val="00A66F25"/>
    <w:rsid w:val="00A80B73"/>
    <w:rsid w:val="00A879E1"/>
    <w:rsid w:val="00A93DD7"/>
    <w:rsid w:val="00A95E63"/>
    <w:rsid w:val="00AA365C"/>
    <w:rsid w:val="00AB593A"/>
    <w:rsid w:val="00AB5C71"/>
    <w:rsid w:val="00AC30D5"/>
    <w:rsid w:val="00AC3546"/>
    <w:rsid w:val="00AE6769"/>
    <w:rsid w:val="00AE7375"/>
    <w:rsid w:val="00B12283"/>
    <w:rsid w:val="00B12C80"/>
    <w:rsid w:val="00B14FAF"/>
    <w:rsid w:val="00B16A0D"/>
    <w:rsid w:val="00B26F8F"/>
    <w:rsid w:val="00B31DFC"/>
    <w:rsid w:val="00B33498"/>
    <w:rsid w:val="00B34B15"/>
    <w:rsid w:val="00B40D99"/>
    <w:rsid w:val="00B45788"/>
    <w:rsid w:val="00B47503"/>
    <w:rsid w:val="00B508F3"/>
    <w:rsid w:val="00B50F51"/>
    <w:rsid w:val="00B50FDA"/>
    <w:rsid w:val="00B61606"/>
    <w:rsid w:val="00B6274F"/>
    <w:rsid w:val="00B63D11"/>
    <w:rsid w:val="00B67CE4"/>
    <w:rsid w:val="00B82155"/>
    <w:rsid w:val="00B82406"/>
    <w:rsid w:val="00B8508C"/>
    <w:rsid w:val="00B931C1"/>
    <w:rsid w:val="00B975FB"/>
    <w:rsid w:val="00B97C15"/>
    <w:rsid w:val="00B97E40"/>
    <w:rsid w:val="00BB0D2E"/>
    <w:rsid w:val="00BB5469"/>
    <w:rsid w:val="00BB7447"/>
    <w:rsid w:val="00BC7855"/>
    <w:rsid w:val="00BE14C8"/>
    <w:rsid w:val="00BF24E1"/>
    <w:rsid w:val="00BF3B3B"/>
    <w:rsid w:val="00C063C8"/>
    <w:rsid w:val="00C16A63"/>
    <w:rsid w:val="00C16DD9"/>
    <w:rsid w:val="00C21678"/>
    <w:rsid w:val="00C21DC3"/>
    <w:rsid w:val="00C27CBF"/>
    <w:rsid w:val="00C53740"/>
    <w:rsid w:val="00C53966"/>
    <w:rsid w:val="00C5600D"/>
    <w:rsid w:val="00C65935"/>
    <w:rsid w:val="00C66580"/>
    <w:rsid w:val="00C76DCF"/>
    <w:rsid w:val="00C844A6"/>
    <w:rsid w:val="00C91118"/>
    <w:rsid w:val="00C95E7B"/>
    <w:rsid w:val="00CA0C14"/>
    <w:rsid w:val="00CA5C29"/>
    <w:rsid w:val="00CA6233"/>
    <w:rsid w:val="00CD7609"/>
    <w:rsid w:val="00CD7971"/>
    <w:rsid w:val="00CE63D9"/>
    <w:rsid w:val="00CE66D9"/>
    <w:rsid w:val="00CF0C4B"/>
    <w:rsid w:val="00CF2BAB"/>
    <w:rsid w:val="00CF2F15"/>
    <w:rsid w:val="00D00BCD"/>
    <w:rsid w:val="00D02947"/>
    <w:rsid w:val="00D06FEA"/>
    <w:rsid w:val="00D15F15"/>
    <w:rsid w:val="00D2661F"/>
    <w:rsid w:val="00D26898"/>
    <w:rsid w:val="00D276B8"/>
    <w:rsid w:val="00D33434"/>
    <w:rsid w:val="00D55D76"/>
    <w:rsid w:val="00D63E71"/>
    <w:rsid w:val="00D67DD7"/>
    <w:rsid w:val="00D71E82"/>
    <w:rsid w:val="00D80F56"/>
    <w:rsid w:val="00D83F9D"/>
    <w:rsid w:val="00D84F22"/>
    <w:rsid w:val="00D85884"/>
    <w:rsid w:val="00D92397"/>
    <w:rsid w:val="00DA3787"/>
    <w:rsid w:val="00DA6B05"/>
    <w:rsid w:val="00DA7442"/>
    <w:rsid w:val="00DB1E79"/>
    <w:rsid w:val="00DB35D8"/>
    <w:rsid w:val="00DB51F1"/>
    <w:rsid w:val="00DB6130"/>
    <w:rsid w:val="00DC2D65"/>
    <w:rsid w:val="00DC585F"/>
    <w:rsid w:val="00DE11BA"/>
    <w:rsid w:val="00DF2951"/>
    <w:rsid w:val="00DF41F9"/>
    <w:rsid w:val="00E147C9"/>
    <w:rsid w:val="00E23C98"/>
    <w:rsid w:val="00E25D50"/>
    <w:rsid w:val="00E31E49"/>
    <w:rsid w:val="00E33C4F"/>
    <w:rsid w:val="00E34033"/>
    <w:rsid w:val="00E35784"/>
    <w:rsid w:val="00E43D5F"/>
    <w:rsid w:val="00E5036B"/>
    <w:rsid w:val="00E53DF6"/>
    <w:rsid w:val="00E662CF"/>
    <w:rsid w:val="00E66828"/>
    <w:rsid w:val="00E76B39"/>
    <w:rsid w:val="00E83DC5"/>
    <w:rsid w:val="00E935AA"/>
    <w:rsid w:val="00E94E25"/>
    <w:rsid w:val="00EA1108"/>
    <w:rsid w:val="00EB0A65"/>
    <w:rsid w:val="00EB44D0"/>
    <w:rsid w:val="00EB61BA"/>
    <w:rsid w:val="00ED228C"/>
    <w:rsid w:val="00ED4CE9"/>
    <w:rsid w:val="00ED5A8C"/>
    <w:rsid w:val="00EE44C0"/>
    <w:rsid w:val="00EE59D1"/>
    <w:rsid w:val="00EE7032"/>
    <w:rsid w:val="00EF526E"/>
    <w:rsid w:val="00F01774"/>
    <w:rsid w:val="00F02004"/>
    <w:rsid w:val="00F05B2C"/>
    <w:rsid w:val="00F14D80"/>
    <w:rsid w:val="00F215C7"/>
    <w:rsid w:val="00F218ED"/>
    <w:rsid w:val="00F21A33"/>
    <w:rsid w:val="00F245D5"/>
    <w:rsid w:val="00F318B6"/>
    <w:rsid w:val="00F46D2B"/>
    <w:rsid w:val="00F52E90"/>
    <w:rsid w:val="00F61931"/>
    <w:rsid w:val="00F64F28"/>
    <w:rsid w:val="00F65C84"/>
    <w:rsid w:val="00F731CC"/>
    <w:rsid w:val="00F74EB0"/>
    <w:rsid w:val="00F809C5"/>
    <w:rsid w:val="00F8346C"/>
    <w:rsid w:val="00F877BB"/>
    <w:rsid w:val="00F95E08"/>
    <w:rsid w:val="00F96053"/>
    <w:rsid w:val="00F96D80"/>
    <w:rsid w:val="00F9738E"/>
    <w:rsid w:val="00FB230E"/>
    <w:rsid w:val="00FB2D94"/>
    <w:rsid w:val="00FB3FE5"/>
    <w:rsid w:val="00FB6759"/>
    <w:rsid w:val="00FB7863"/>
    <w:rsid w:val="00FD5E4D"/>
    <w:rsid w:val="00FE3127"/>
    <w:rsid w:val="00FF5B9A"/>
    <w:rsid w:val="00FF6C89"/>
    <w:rsid w:val="00FF78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1B77"/>
  <w15:docId w15:val="{238A18EE-F5FF-4117-96B6-AFF64B73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A1"/>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49582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57BA1"/>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7BA1"/>
    <w:rPr>
      <w:rFonts w:ascii="Arial" w:eastAsia="Times New Roman" w:hAnsi="Arial" w:cs="Times New Roman"/>
      <w:bCs/>
      <w:sz w:val="24"/>
      <w:szCs w:val="20"/>
      <w:shd w:val="pct15" w:color="auto" w:fill="FFFFFF"/>
    </w:rPr>
  </w:style>
  <w:style w:type="paragraph" w:styleId="BodyText">
    <w:name w:val="Body Text"/>
    <w:basedOn w:val="Normal"/>
    <w:link w:val="BodyTextChar"/>
    <w:rsid w:val="00957BA1"/>
    <w:pPr>
      <w:widowControl/>
    </w:pPr>
    <w:rPr>
      <w:rFonts w:ascii="Univers" w:hAnsi="Univers"/>
      <w:sz w:val="22"/>
    </w:rPr>
  </w:style>
  <w:style w:type="character" w:customStyle="1" w:styleId="BodyTextChar">
    <w:name w:val="Body Text Char"/>
    <w:basedOn w:val="DefaultParagraphFont"/>
    <w:link w:val="BodyText"/>
    <w:rsid w:val="00957BA1"/>
    <w:rPr>
      <w:rFonts w:ascii="Univers" w:eastAsia="Times New Roman" w:hAnsi="Univers" w:cs="Times New Roman"/>
      <w:szCs w:val="20"/>
    </w:rPr>
  </w:style>
  <w:style w:type="paragraph" w:styleId="BodyText2">
    <w:name w:val="Body Text 2"/>
    <w:basedOn w:val="Normal"/>
    <w:link w:val="BodyText2Char"/>
    <w:rsid w:val="00957BA1"/>
    <w:pPr>
      <w:widowControl/>
    </w:pPr>
    <w:rPr>
      <w:rFonts w:ascii="Arial" w:hAnsi="Arial"/>
      <w:sz w:val="20"/>
    </w:rPr>
  </w:style>
  <w:style w:type="character" w:customStyle="1" w:styleId="BodyText2Char">
    <w:name w:val="Body Text 2 Char"/>
    <w:basedOn w:val="DefaultParagraphFont"/>
    <w:link w:val="BodyText2"/>
    <w:rsid w:val="00957BA1"/>
    <w:rPr>
      <w:rFonts w:ascii="Arial" w:eastAsia="Times New Roman" w:hAnsi="Arial" w:cs="Times New Roman"/>
      <w:sz w:val="20"/>
      <w:szCs w:val="20"/>
    </w:rPr>
  </w:style>
  <w:style w:type="paragraph" w:styleId="Header">
    <w:name w:val="header"/>
    <w:basedOn w:val="Normal"/>
    <w:link w:val="HeaderChar"/>
    <w:uiPriority w:val="99"/>
    <w:rsid w:val="00957BA1"/>
    <w:pPr>
      <w:tabs>
        <w:tab w:val="center" w:pos="4320"/>
        <w:tab w:val="right" w:pos="8640"/>
      </w:tabs>
    </w:pPr>
  </w:style>
  <w:style w:type="character" w:customStyle="1" w:styleId="HeaderChar">
    <w:name w:val="Header Char"/>
    <w:basedOn w:val="DefaultParagraphFont"/>
    <w:link w:val="Header"/>
    <w:uiPriority w:val="99"/>
    <w:rsid w:val="00957BA1"/>
    <w:rPr>
      <w:rFonts w:ascii="Times New Roman" w:eastAsia="Times New Roman" w:hAnsi="Times New Roman" w:cs="Times New Roman"/>
      <w:sz w:val="24"/>
      <w:szCs w:val="20"/>
    </w:rPr>
  </w:style>
  <w:style w:type="paragraph" w:styleId="Footer">
    <w:name w:val="footer"/>
    <w:basedOn w:val="Normal"/>
    <w:link w:val="FooterChar"/>
    <w:uiPriority w:val="99"/>
    <w:rsid w:val="00957BA1"/>
    <w:pPr>
      <w:tabs>
        <w:tab w:val="center" w:pos="4320"/>
        <w:tab w:val="right" w:pos="8640"/>
      </w:tabs>
    </w:pPr>
  </w:style>
  <w:style w:type="character" w:customStyle="1" w:styleId="FooterChar">
    <w:name w:val="Footer Char"/>
    <w:basedOn w:val="DefaultParagraphFont"/>
    <w:link w:val="Footer"/>
    <w:uiPriority w:val="99"/>
    <w:rsid w:val="00957BA1"/>
    <w:rPr>
      <w:rFonts w:ascii="Times New Roman" w:eastAsia="Times New Roman" w:hAnsi="Times New Roman" w:cs="Times New Roman"/>
      <w:sz w:val="24"/>
      <w:szCs w:val="20"/>
    </w:rPr>
  </w:style>
  <w:style w:type="paragraph" w:styleId="FootnoteText">
    <w:name w:val="footnote text"/>
    <w:aliases w:val="Fußnote,Footnote Text_1,Текст сноски Знак1,Текст сноски Знак2 Знак,Текст сноски Знак1 Знак Знак,Fußnote Знак Знак Знак,Footnote Text_1 Знак Знак Знак,Текст сноски-FN Знак Знак Знак,Footnote Text Char Знак Знак Знак Знак Знак,Fußnote Знак"/>
    <w:basedOn w:val="Normal"/>
    <w:link w:val="FootnoteTextChar"/>
    <w:uiPriority w:val="99"/>
    <w:rsid w:val="00957BA1"/>
    <w:rPr>
      <w:sz w:val="20"/>
    </w:rPr>
  </w:style>
  <w:style w:type="character" w:customStyle="1" w:styleId="FootnoteTextChar">
    <w:name w:val="Footnote Text Char"/>
    <w:aliases w:val="Fußnote Char,Footnote Text_1 Char,Текст сноски Знак1 Char,Текст сноски Знак2 Знак Char,Текст сноски Знак1 Знак Знак Char,Fußnote Знак Знак Знак Char,Footnote Text_1 Знак Знак Знак Char,Текст сноски-FN Знак Знак Знак Char"/>
    <w:basedOn w:val="DefaultParagraphFont"/>
    <w:link w:val="FootnoteText"/>
    <w:uiPriority w:val="99"/>
    <w:rsid w:val="00957BA1"/>
    <w:rPr>
      <w:rFonts w:ascii="Times New Roman" w:eastAsia="Times New Roman" w:hAnsi="Times New Roman" w:cs="Times New Roman"/>
      <w:sz w:val="20"/>
      <w:szCs w:val="20"/>
    </w:rPr>
  </w:style>
  <w:style w:type="character" w:styleId="FootnoteReference">
    <w:name w:val="footnote reference"/>
    <w:aliases w:val="сноска,Знак сноски-FN,Footnote Reference Number,Знак сноски 1,ftref,Ref,de nota al pie,Footnotes refss,Footnote Reference1,16 Point,Superscript 6 Point,Times 10 Point,Exposant 3 Point,Footnote symbol,Footnote reference number,note TE"/>
    <w:link w:val="Char2"/>
    <w:uiPriority w:val="99"/>
    <w:qFormat/>
    <w:rsid w:val="00957BA1"/>
    <w:rPr>
      <w:vertAlign w:val="superscript"/>
    </w:rPr>
  </w:style>
  <w:style w:type="paragraph" w:styleId="ListParagraph">
    <w:name w:val="List Paragraph"/>
    <w:basedOn w:val="Normal"/>
    <w:uiPriority w:val="34"/>
    <w:qFormat/>
    <w:rsid w:val="00957BA1"/>
    <w:pPr>
      <w:widowControl/>
      <w:ind w:left="720"/>
      <w:contextualSpacing/>
    </w:pPr>
    <w:rPr>
      <w:szCs w:val="24"/>
    </w:rPr>
  </w:style>
  <w:style w:type="paragraph" w:customStyle="1" w:styleId="Liststycke">
    <w:name w:val="Liststycke"/>
    <w:basedOn w:val="Normal"/>
    <w:qFormat/>
    <w:rsid w:val="00957BA1"/>
    <w:pPr>
      <w:widowControl/>
      <w:spacing w:line="276" w:lineRule="auto"/>
      <w:ind w:left="720"/>
      <w:contextualSpacing/>
    </w:pPr>
    <w:rPr>
      <w:rFonts w:ascii="Calibri" w:eastAsia="SimSun" w:hAnsi="Calibri"/>
      <w:sz w:val="22"/>
      <w:szCs w:val="22"/>
      <w:lang w:val="sv-SE" w:eastAsia="zh-CN"/>
    </w:rPr>
  </w:style>
  <w:style w:type="character" w:styleId="Hyperlink">
    <w:name w:val="Hyperlink"/>
    <w:rsid w:val="00957BA1"/>
    <w:rPr>
      <w:color w:val="0563C1"/>
      <w:u w:val="single"/>
    </w:rPr>
  </w:style>
  <w:style w:type="character" w:styleId="CommentReference">
    <w:name w:val="annotation reference"/>
    <w:basedOn w:val="DefaultParagraphFont"/>
    <w:unhideWhenUsed/>
    <w:rsid w:val="00CD7971"/>
    <w:rPr>
      <w:sz w:val="16"/>
      <w:szCs w:val="16"/>
    </w:rPr>
  </w:style>
  <w:style w:type="paragraph" w:styleId="CommentText">
    <w:name w:val="annotation text"/>
    <w:basedOn w:val="Normal"/>
    <w:link w:val="CommentTextChar"/>
    <w:unhideWhenUsed/>
    <w:rsid w:val="00CD7971"/>
    <w:rPr>
      <w:sz w:val="20"/>
    </w:rPr>
  </w:style>
  <w:style w:type="character" w:customStyle="1" w:styleId="CommentTextChar">
    <w:name w:val="Comment Text Char"/>
    <w:basedOn w:val="DefaultParagraphFont"/>
    <w:link w:val="CommentText"/>
    <w:rsid w:val="00CD7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971"/>
    <w:rPr>
      <w:b/>
      <w:bCs/>
    </w:rPr>
  </w:style>
  <w:style w:type="character" w:customStyle="1" w:styleId="CommentSubjectChar">
    <w:name w:val="Comment Subject Char"/>
    <w:basedOn w:val="CommentTextChar"/>
    <w:link w:val="CommentSubject"/>
    <w:uiPriority w:val="99"/>
    <w:semiHidden/>
    <w:rsid w:val="00CD79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7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71"/>
    <w:rPr>
      <w:rFonts w:ascii="Segoe UI" w:eastAsia="Times New Roman" w:hAnsi="Segoe UI" w:cs="Segoe UI"/>
      <w:sz w:val="18"/>
      <w:szCs w:val="18"/>
    </w:rPr>
  </w:style>
  <w:style w:type="paragraph" w:styleId="NoSpacing">
    <w:name w:val="No Spacing"/>
    <w:uiPriority w:val="1"/>
    <w:qFormat/>
    <w:rsid w:val="003528E7"/>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B63D11"/>
    <w:pPr>
      <w:autoSpaceDE w:val="0"/>
      <w:autoSpaceDN w:val="0"/>
      <w:adjustRightInd w:val="0"/>
      <w:spacing w:after="0" w:line="240" w:lineRule="auto"/>
    </w:pPr>
    <w:rPr>
      <w:rFonts w:ascii="Arial" w:hAnsi="Arial" w:cs="Arial"/>
      <w:color w:val="000000"/>
      <w:sz w:val="24"/>
      <w:szCs w:val="24"/>
    </w:rPr>
  </w:style>
  <w:style w:type="paragraph" w:customStyle="1" w:styleId="Char2">
    <w:name w:val="Char2"/>
    <w:basedOn w:val="Normal"/>
    <w:link w:val="FootnoteReference"/>
    <w:uiPriority w:val="99"/>
    <w:rsid w:val="00BC7855"/>
    <w:pPr>
      <w:widowControl/>
      <w:spacing w:after="160" w:line="240" w:lineRule="exact"/>
    </w:pPr>
    <w:rPr>
      <w:rFonts w:asciiTheme="minorHAnsi" w:eastAsiaTheme="minorHAnsi" w:hAnsiTheme="minorHAnsi" w:cstheme="minorBidi"/>
      <w:sz w:val="22"/>
      <w:szCs w:val="22"/>
      <w:vertAlign w:val="superscript"/>
    </w:rPr>
  </w:style>
  <w:style w:type="character" w:customStyle="1" w:styleId="Heading1Char">
    <w:name w:val="Heading 1 Char"/>
    <w:basedOn w:val="DefaultParagraphFont"/>
    <w:link w:val="Heading1"/>
    <w:uiPriority w:val="9"/>
    <w:rsid w:val="004958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2644">
      <w:bodyDiv w:val="1"/>
      <w:marLeft w:val="0"/>
      <w:marRight w:val="0"/>
      <w:marTop w:val="0"/>
      <w:marBottom w:val="0"/>
      <w:divBdr>
        <w:top w:val="none" w:sz="0" w:space="0" w:color="auto"/>
        <w:left w:val="none" w:sz="0" w:space="0" w:color="auto"/>
        <w:bottom w:val="none" w:sz="0" w:space="0" w:color="auto"/>
        <w:right w:val="none" w:sz="0" w:space="0" w:color="auto"/>
      </w:divBdr>
    </w:div>
    <w:div w:id="315183712">
      <w:bodyDiv w:val="1"/>
      <w:marLeft w:val="0"/>
      <w:marRight w:val="0"/>
      <w:marTop w:val="0"/>
      <w:marBottom w:val="0"/>
      <w:divBdr>
        <w:top w:val="none" w:sz="0" w:space="0" w:color="auto"/>
        <w:left w:val="none" w:sz="0" w:space="0" w:color="auto"/>
        <w:bottom w:val="none" w:sz="0" w:space="0" w:color="auto"/>
        <w:right w:val="none" w:sz="0" w:space="0" w:color="auto"/>
      </w:divBdr>
    </w:div>
    <w:div w:id="386732948">
      <w:bodyDiv w:val="1"/>
      <w:marLeft w:val="0"/>
      <w:marRight w:val="0"/>
      <w:marTop w:val="0"/>
      <w:marBottom w:val="0"/>
      <w:divBdr>
        <w:top w:val="none" w:sz="0" w:space="0" w:color="auto"/>
        <w:left w:val="none" w:sz="0" w:space="0" w:color="auto"/>
        <w:bottom w:val="none" w:sz="0" w:space="0" w:color="auto"/>
        <w:right w:val="none" w:sz="0" w:space="0" w:color="auto"/>
      </w:divBdr>
    </w:div>
    <w:div w:id="485971589">
      <w:bodyDiv w:val="1"/>
      <w:marLeft w:val="0"/>
      <w:marRight w:val="0"/>
      <w:marTop w:val="0"/>
      <w:marBottom w:val="0"/>
      <w:divBdr>
        <w:top w:val="none" w:sz="0" w:space="0" w:color="auto"/>
        <w:left w:val="none" w:sz="0" w:space="0" w:color="auto"/>
        <w:bottom w:val="none" w:sz="0" w:space="0" w:color="auto"/>
        <w:right w:val="none" w:sz="0" w:space="0" w:color="auto"/>
      </w:divBdr>
    </w:div>
    <w:div w:id="519852676">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843515060">
      <w:bodyDiv w:val="1"/>
      <w:marLeft w:val="0"/>
      <w:marRight w:val="0"/>
      <w:marTop w:val="0"/>
      <w:marBottom w:val="0"/>
      <w:divBdr>
        <w:top w:val="none" w:sz="0" w:space="0" w:color="auto"/>
        <w:left w:val="none" w:sz="0" w:space="0" w:color="auto"/>
        <w:bottom w:val="none" w:sz="0" w:space="0" w:color="auto"/>
        <w:right w:val="none" w:sz="0" w:space="0" w:color="auto"/>
      </w:divBdr>
    </w:div>
    <w:div w:id="1046683132">
      <w:bodyDiv w:val="1"/>
      <w:marLeft w:val="0"/>
      <w:marRight w:val="0"/>
      <w:marTop w:val="0"/>
      <w:marBottom w:val="0"/>
      <w:divBdr>
        <w:top w:val="none" w:sz="0" w:space="0" w:color="auto"/>
        <w:left w:val="none" w:sz="0" w:space="0" w:color="auto"/>
        <w:bottom w:val="none" w:sz="0" w:space="0" w:color="auto"/>
        <w:right w:val="none" w:sz="0" w:space="0" w:color="auto"/>
      </w:divBdr>
    </w:div>
    <w:div w:id="1192718676">
      <w:bodyDiv w:val="1"/>
      <w:marLeft w:val="0"/>
      <w:marRight w:val="0"/>
      <w:marTop w:val="0"/>
      <w:marBottom w:val="0"/>
      <w:divBdr>
        <w:top w:val="none" w:sz="0" w:space="0" w:color="auto"/>
        <w:left w:val="none" w:sz="0" w:space="0" w:color="auto"/>
        <w:bottom w:val="none" w:sz="0" w:space="0" w:color="auto"/>
        <w:right w:val="none" w:sz="0" w:space="0" w:color="auto"/>
      </w:divBdr>
    </w:div>
    <w:div w:id="1225022595">
      <w:bodyDiv w:val="1"/>
      <w:marLeft w:val="0"/>
      <w:marRight w:val="0"/>
      <w:marTop w:val="0"/>
      <w:marBottom w:val="0"/>
      <w:divBdr>
        <w:top w:val="none" w:sz="0" w:space="0" w:color="auto"/>
        <w:left w:val="none" w:sz="0" w:space="0" w:color="auto"/>
        <w:bottom w:val="none" w:sz="0" w:space="0" w:color="auto"/>
        <w:right w:val="none" w:sz="0" w:space="0" w:color="auto"/>
      </w:divBdr>
    </w:div>
    <w:div w:id="1236938965">
      <w:bodyDiv w:val="1"/>
      <w:marLeft w:val="0"/>
      <w:marRight w:val="0"/>
      <w:marTop w:val="0"/>
      <w:marBottom w:val="0"/>
      <w:divBdr>
        <w:top w:val="none" w:sz="0" w:space="0" w:color="auto"/>
        <w:left w:val="none" w:sz="0" w:space="0" w:color="auto"/>
        <w:bottom w:val="none" w:sz="0" w:space="0" w:color="auto"/>
        <w:right w:val="none" w:sz="0" w:space="0" w:color="auto"/>
      </w:divBdr>
    </w:div>
    <w:div w:id="1431314276">
      <w:bodyDiv w:val="1"/>
      <w:marLeft w:val="0"/>
      <w:marRight w:val="0"/>
      <w:marTop w:val="0"/>
      <w:marBottom w:val="0"/>
      <w:divBdr>
        <w:top w:val="none" w:sz="0" w:space="0" w:color="auto"/>
        <w:left w:val="none" w:sz="0" w:space="0" w:color="auto"/>
        <w:bottom w:val="none" w:sz="0" w:space="0" w:color="auto"/>
        <w:right w:val="none" w:sz="0" w:space="0" w:color="auto"/>
      </w:divBdr>
    </w:div>
    <w:div w:id="1435322383">
      <w:bodyDiv w:val="1"/>
      <w:marLeft w:val="0"/>
      <w:marRight w:val="0"/>
      <w:marTop w:val="0"/>
      <w:marBottom w:val="0"/>
      <w:divBdr>
        <w:top w:val="none" w:sz="0" w:space="0" w:color="auto"/>
        <w:left w:val="none" w:sz="0" w:space="0" w:color="auto"/>
        <w:bottom w:val="none" w:sz="0" w:space="0" w:color="auto"/>
        <w:right w:val="none" w:sz="0" w:space="0" w:color="auto"/>
      </w:divBdr>
    </w:div>
    <w:div w:id="1457600016">
      <w:bodyDiv w:val="1"/>
      <w:marLeft w:val="0"/>
      <w:marRight w:val="0"/>
      <w:marTop w:val="0"/>
      <w:marBottom w:val="0"/>
      <w:divBdr>
        <w:top w:val="none" w:sz="0" w:space="0" w:color="auto"/>
        <w:left w:val="none" w:sz="0" w:space="0" w:color="auto"/>
        <w:bottom w:val="none" w:sz="0" w:space="0" w:color="auto"/>
        <w:right w:val="none" w:sz="0" w:space="0" w:color="auto"/>
      </w:divBdr>
    </w:div>
    <w:div w:id="1567296617">
      <w:bodyDiv w:val="1"/>
      <w:marLeft w:val="0"/>
      <w:marRight w:val="0"/>
      <w:marTop w:val="0"/>
      <w:marBottom w:val="0"/>
      <w:divBdr>
        <w:top w:val="none" w:sz="0" w:space="0" w:color="auto"/>
        <w:left w:val="none" w:sz="0" w:space="0" w:color="auto"/>
        <w:bottom w:val="none" w:sz="0" w:space="0" w:color="auto"/>
        <w:right w:val="none" w:sz="0" w:space="0" w:color="auto"/>
      </w:divBdr>
    </w:div>
    <w:div w:id="171202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C9FB-FE66-4963-BDC5-0B187163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3266</Words>
  <Characters>20321</Characters>
  <Application>Microsoft Office Word</Application>
  <DocSecurity>0</DocSecurity>
  <Lines>508</Lines>
  <Paragraphs>235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 Vremis</dc:creator>
  <cp:keywords/>
  <dc:description/>
  <cp:lastModifiedBy>Svetlana Iazykova</cp:lastModifiedBy>
  <cp:revision>2</cp:revision>
  <cp:lastPrinted>2015-02-20T20:18:00Z</cp:lastPrinted>
  <dcterms:created xsi:type="dcterms:W3CDTF">2016-05-31T21:24:00Z</dcterms:created>
  <dcterms:modified xsi:type="dcterms:W3CDTF">2016-05-31T21:24:00Z</dcterms:modified>
</cp:coreProperties>
</file>