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2FBB0" w14:textId="0040BA3E" w:rsidR="005C6168" w:rsidRPr="00AB430F" w:rsidRDefault="00F7622D">
      <w:pPr>
        <w:pStyle w:val="Heading3"/>
        <w:jc w:val="left"/>
        <w:rPr>
          <w:rFonts w:asciiTheme="minorHAnsi" w:hAnsiTheme="minorHAnsi"/>
        </w:rPr>
      </w:pPr>
      <w:r>
        <w:rPr>
          <w:rFonts w:asciiTheme="minorHAnsi" w:hAnsiTheme="minorHAnsi"/>
        </w:rPr>
        <w:t xml:space="preserve"> </w:t>
      </w:r>
      <w:r w:rsidR="003A4923">
        <w:rPr>
          <w:rFonts w:asciiTheme="minorHAnsi" w:hAnsiTheme="minorHAnsi"/>
        </w:rPr>
        <w:t xml:space="preserve"> </w:t>
      </w:r>
      <w:r w:rsidR="00675517" w:rsidRPr="00AB430F">
        <w:rPr>
          <w:rFonts w:asciiTheme="minorHAnsi" w:hAnsiTheme="minorHAnsi"/>
        </w:rPr>
        <w:t>Country:</w:t>
      </w:r>
      <w:r w:rsidR="00675517" w:rsidRPr="00AB430F">
        <w:rPr>
          <w:rFonts w:asciiTheme="minorHAnsi" w:hAnsiTheme="minorHAnsi"/>
        </w:rPr>
        <w:tab/>
      </w:r>
      <w:r w:rsidR="00675517" w:rsidRPr="00AB430F">
        <w:rPr>
          <w:rFonts w:asciiTheme="minorHAnsi" w:hAnsiTheme="minorHAnsi"/>
        </w:rPr>
        <w:tab/>
        <w:t>Mozambique</w:t>
      </w:r>
    </w:p>
    <w:p w14:paraId="1D8E573F" w14:textId="77777777" w:rsidR="00675517" w:rsidRPr="00AB430F" w:rsidRDefault="00675517" w:rsidP="00675517">
      <w:pPr>
        <w:pStyle w:val="Heading3"/>
        <w:jc w:val="left"/>
        <w:rPr>
          <w:rFonts w:asciiTheme="minorHAnsi" w:hAnsiTheme="minorHAnsi"/>
        </w:rPr>
      </w:pPr>
    </w:p>
    <w:p w14:paraId="78B5CA39" w14:textId="77777777" w:rsidR="005C6168" w:rsidRPr="00AB430F" w:rsidRDefault="00BC38E0" w:rsidP="00675517">
      <w:pPr>
        <w:pStyle w:val="Heading3"/>
        <w:jc w:val="left"/>
        <w:rPr>
          <w:rFonts w:asciiTheme="minorHAnsi" w:hAnsiTheme="minorHAnsi"/>
          <w:b/>
          <w:bCs w:val="0"/>
        </w:rPr>
      </w:pPr>
      <w:r w:rsidRPr="00AB430F">
        <w:rPr>
          <w:rFonts w:asciiTheme="minorHAnsi" w:hAnsiTheme="minorHAnsi"/>
          <w:b/>
          <w:bCs w:val="0"/>
        </w:rPr>
        <w:t>COUNTRY PROGRAMME</w:t>
      </w:r>
      <w:r w:rsidR="00B32ADA" w:rsidRPr="00AB430F">
        <w:rPr>
          <w:rFonts w:asciiTheme="minorHAnsi" w:hAnsiTheme="minorHAnsi"/>
          <w:b/>
          <w:bCs w:val="0"/>
        </w:rPr>
        <w:t xml:space="preserve"> PERFORMANCE SUMMARY</w:t>
      </w:r>
      <w:r w:rsidR="001F3524" w:rsidRPr="00AB430F">
        <w:rPr>
          <w:rStyle w:val="FootnoteReference"/>
          <w:rFonts w:asciiTheme="minorHAnsi" w:hAnsiTheme="minorHAnsi"/>
          <w:b/>
          <w:bCs w:val="0"/>
        </w:rPr>
        <w:footnoteReference w:id="1"/>
      </w:r>
    </w:p>
    <w:p w14:paraId="711BF1B4" w14:textId="77777777" w:rsidR="005C6168" w:rsidRPr="00AB430F" w:rsidRDefault="005C6168">
      <w:pPr>
        <w:pStyle w:val="Heading3"/>
        <w:rPr>
          <w:rFonts w:asciiTheme="minorHAnsi" w:hAnsiTheme="minorHAnsi"/>
          <w:b/>
        </w:rPr>
      </w:pPr>
    </w:p>
    <w:p w14:paraId="5814701D" w14:textId="247F7466" w:rsidR="005C6168" w:rsidRPr="00CD7143" w:rsidRDefault="005C6168">
      <w:pPr>
        <w:pStyle w:val="Heading3"/>
        <w:jc w:val="left"/>
        <w:rPr>
          <w:rFonts w:asciiTheme="minorHAnsi" w:hAnsiTheme="minorHAnsi"/>
        </w:rPr>
      </w:pPr>
      <w:r w:rsidRPr="00AB430F">
        <w:rPr>
          <w:rFonts w:asciiTheme="minorHAnsi" w:hAnsiTheme="minorHAnsi"/>
        </w:rPr>
        <w:t xml:space="preserve">Reporting period: </w:t>
      </w:r>
      <w:r w:rsidRPr="00AB430F">
        <w:rPr>
          <w:rFonts w:asciiTheme="minorHAnsi" w:hAnsiTheme="minorHAnsi"/>
        </w:rPr>
        <w:tab/>
      </w:r>
      <w:r w:rsidR="00675517" w:rsidRPr="00CD7143">
        <w:rPr>
          <w:rFonts w:asciiTheme="minorHAnsi" w:hAnsiTheme="minorHAnsi"/>
        </w:rPr>
        <w:t>January 201</w:t>
      </w:r>
      <w:r w:rsidR="00D87D23" w:rsidRPr="00CD7143">
        <w:rPr>
          <w:rFonts w:asciiTheme="minorHAnsi" w:hAnsiTheme="minorHAnsi"/>
        </w:rPr>
        <w:t>2</w:t>
      </w:r>
      <w:r w:rsidR="00675517" w:rsidRPr="00CD7143">
        <w:rPr>
          <w:rFonts w:asciiTheme="minorHAnsi" w:hAnsiTheme="minorHAnsi"/>
        </w:rPr>
        <w:t>-December 201</w:t>
      </w:r>
      <w:r w:rsidR="00BD786B">
        <w:rPr>
          <w:rFonts w:asciiTheme="minorHAnsi" w:hAnsiTheme="minorHAnsi"/>
        </w:rPr>
        <w:t>5</w:t>
      </w:r>
    </w:p>
    <w:p w14:paraId="231DEDC4" w14:textId="77777777" w:rsidR="005C6168" w:rsidRPr="00CD7143" w:rsidRDefault="005C6168" w:rsidP="002A23C1">
      <w:pPr>
        <w:pStyle w:val="Heading3"/>
        <w:jc w:val="left"/>
        <w:rPr>
          <w:rFonts w:asciiTheme="minorHAnsi" w:hAnsiTheme="minorHAnsi"/>
        </w:rPr>
      </w:pPr>
    </w:p>
    <w:p w14:paraId="4E373AE4" w14:textId="77777777" w:rsidR="005C6168" w:rsidRPr="00AB430F" w:rsidRDefault="005C6168">
      <w:pPr>
        <w:rPr>
          <w:rFonts w:asciiTheme="minorHAnsi" w:hAnsiTheme="minorHAnsi"/>
        </w:rPr>
      </w:pPr>
    </w:p>
    <w:p w14:paraId="055F9413" w14:textId="0D00DB2B" w:rsidR="007E21DF" w:rsidRPr="00255293" w:rsidRDefault="005C6168" w:rsidP="00255293">
      <w:pPr>
        <w:pStyle w:val="Heading3"/>
        <w:rPr>
          <w:rFonts w:asciiTheme="minorHAnsi" w:hAnsiTheme="minorHAnsi"/>
          <w:b/>
          <w:bCs w:val="0"/>
        </w:rPr>
      </w:pPr>
      <w:r w:rsidRPr="00AB430F">
        <w:rPr>
          <w:rFonts w:asciiTheme="minorHAnsi" w:hAnsiTheme="minorHAnsi"/>
          <w:b/>
          <w:bCs w:val="0"/>
        </w:rPr>
        <w:t xml:space="preserve">I.  </w:t>
      </w:r>
      <w:r w:rsidR="0064746F" w:rsidRPr="00AB430F">
        <w:rPr>
          <w:rFonts w:asciiTheme="minorHAnsi" w:hAnsiTheme="minorHAnsi"/>
          <w:b/>
          <w:bCs w:val="0"/>
        </w:rPr>
        <w:t>EXECUTIVE SUMMARY</w:t>
      </w:r>
    </w:p>
    <w:p w14:paraId="77D00825" w14:textId="6D2C9C3E" w:rsidR="005729A4" w:rsidRPr="00824154" w:rsidRDefault="006B3765" w:rsidP="00824154">
      <w:pPr>
        <w:pStyle w:val="CommentText"/>
        <w:spacing w:before="120"/>
        <w:jc w:val="both"/>
        <w:rPr>
          <w:rFonts w:asciiTheme="minorHAnsi" w:hAnsiTheme="minorHAnsi"/>
          <w:sz w:val="22"/>
          <w:szCs w:val="22"/>
          <w:lang w:val="en-GB"/>
        </w:rPr>
      </w:pPr>
      <w:r w:rsidRPr="00824154">
        <w:rPr>
          <w:rFonts w:asciiTheme="minorHAnsi" w:hAnsiTheme="minorHAnsi"/>
          <w:sz w:val="22"/>
          <w:szCs w:val="22"/>
        </w:rPr>
        <w:t xml:space="preserve">As a key and trusted development partner to the Government of Mozambique, UNDP has worked </w:t>
      </w:r>
      <w:r w:rsidR="005729A4" w:rsidRPr="00824154">
        <w:rPr>
          <w:rFonts w:asciiTheme="minorHAnsi" w:hAnsiTheme="minorHAnsi"/>
          <w:sz w:val="22"/>
          <w:szCs w:val="22"/>
        </w:rPr>
        <w:t xml:space="preserve">with </w:t>
      </w:r>
      <w:r w:rsidRPr="00824154">
        <w:rPr>
          <w:rFonts w:asciiTheme="minorHAnsi" w:hAnsiTheme="minorHAnsi"/>
          <w:sz w:val="22"/>
          <w:szCs w:val="22"/>
        </w:rPr>
        <w:t>state and non-state stakeholders, in providing technical, financial and advisory support in the areas of governance, poverty reduction</w:t>
      </w:r>
      <w:r w:rsidR="00CF1E08" w:rsidRPr="00824154">
        <w:rPr>
          <w:rFonts w:asciiTheme="minorHAnsi" w:hAnsiTheme="minorHAnsi"/>
          <w:sz w:val="22"/>
          <w:szCs w:val="22"/>
        </w:rPr>
        <w:t xml:space="preserve">, environment </w:t>
      </w:r>
      <w:r w:rsidRPr="00824154">
        <w:rPr>
          <w:rFonts w:asciiTheme="minorHAnsi" w:hAnsiTheme="minorHAnsi"/>
          <w:sz w:val="22"/>
          <w:szCs w:val="22"/>
        </w:rPr>
        <w:t>and crisis prevention and recovery.</w:t>
      </w:r>
      <w:r w:rsidR="005729A4" w:rsidRPr="00824154">
        <w:rPr>
          <w:rFonts w:asciiTheme="minorHAnsi" w:hAnsiTheme="minorHAnsi"/>
          <w:sz w:val="22"/>
          <w:szCs w:val="22"/>
        </w:rPr>
        <w:t xml:space="preserve"> Mozambique is a Delivering as One pilot country, </w:t>
      </w:r>
      <w:r w:rsidR="00255293">
        <w:rPr>
          <w:rFonts w:asciiTheme="minorHAnsi" w:hAnsiTheme="minorHAnsi"/>
          <w:sz w:val="22"/>
          <w:szCs w:val="22"/>
        </w:rPr>
        <w:t xml:space="preserve">and consequently, the </w:t>
      </w:r>
      <w:r w:rsidR="005729A4" w:rsidRPr="00824154">
        <w:rPr>
          <w:rFonts w:asciiTheme="minorHAnsi" w:hAnsiTheme="minorHAnsi"/>
          <w:sz w:val="22"/>
          <w:szCs w:val="22"/>
        </w:rPr>
        <w:t xml:space="preserve">UNDP </w:t>
      </w:r>
      <w:r w:rsidR="005729A4" w:rsidRPr="00824154">
        <w:rPr>
          <w:rFonts w:asciiTheme="minorHAnsi" w:hAnsiTheme="minorHAnsi"/>
          <w:sz w:val="22"/>
          <w:szCs w:val="22"/>
          <w:lang w:val="en-GB"/>
        </w:rPr>
        <w:t>programme is part of the United Nations Development Assistance Framework (UNDAF) 2012-201</w:t>
      </w:r>
      <w:r w:rsidR="00BD786B">
        <w:rPr>
          <w:rFonts w:asciiTheme="minorHAnsi" w:hAnsiTheme="minorHAnsi"/>
          <w:sz w:val="22"/>
          <w:szCs w:val="22"/>
          <w:lang w:val="en-GB"/>
        </w:rPr>
        <w:t>6</w:t>
      </w:r>
      <w:r w:rsidR="005729A4" w:rsidRPr="00824154">
        <w:rPr>
          <w:rFonts w:asciiTheme="minorHAnsi" w:hAnsiTheme="minorHAnsi"/>
          <w:sz w:val="22"/>
          <w:szCs w:val="22"/>
          <w:lang w:val="en-GB"/>
        </w:rPr>
        <w:t xml:space="preserve"> which overall objective is to reduce poverty and disparities to improve the lives of the most disadvantaged people in Mozambique. Under this framework, UNDP is contributing directly to 2 of the 3 focus areas identified in the UNDAF, namely the economic and governance areas. </w:t>
      </w:r>
    </w:p>
    <w:p w14:paraId="47742EFB" w14:textId="4B44394F" w:rsidR="00CF1E08" w:rsidRPr="00824154" w:rsidRDefault="00003D61" w:rsidP="00824154">
      <w:pPr>
        <w:pStyle w:val="BodyText2"/>
        <w:spacing w:before="120"/>
        <w:jc w:val="both"/>
        <w:rPr>
          <w:rFonts w:asciiTheme="minorHAnsi" w:hAnsiTheme="minorHAnsi" w:cs="Arial"/>
          <w:sz w:val="22"/>
          <w:szCs w:val="22"/>
          <w:shd w:val="clear" w:color="auto" w:fill="FFFFFF"/>
        </w:rPr>
      </w:pPr>
      <w:r w:rsidRPr="00824154">
        <w:rPr>
          <w:rFonts w:asciiTheme="minorHAnsi" w:hAnsiTheme="minorHAnsi" w:cs="Arial"/>
          <w:sz w:val="22"/>
          <w:szCs w:val="22"/>
          <w:shd w:val="clear" w:color="auto" w:fill="FFFFFF"/>
        </w:rPr>
        <w:t>In t</w:t>
      </w:r>
      <w:r w:rsidR="00A22278">
        <w:rPr>
          <w:rFonts w:asciiTheme="minorHAnsi" w:hAnsiTheme="minorHAnsi" w:cs="Arial"/>
          <w:sz w:val="22"/>
          <w:szCs w:val="22"/>
          <w:shd w:val="clear" w:color="auto" w:fill="FFFFFF"/>
        </w:rPr>
        <w:t>he governance area, UNDP focuses</w:t>
      </w:r>
      <w:r w:rsidRPr="00824154">
        <w:rPr>
          <w:rFonts w:asciiTheme="minorHAnsi" w:hAnsiTheme="minorHAnsi" w:cs="Arial"/>
          <w:sz w:val="22"/>
          <w:szCs w:val="22"/>
          <w:shd w:val="clear" w:color="auto" w:fill="FFFFFF"/>
        </w:rPr>
        <w:t xml:space="preserve"> on deepening democracy, increasing voice and public accountability, improving governance at the local level and ensuring better engagement and participation by local populations in their own development. </w:t>
      </w:r>
    </w:p>
    <w:p w14:paraId="51E0DBF0" w14:textId="118F497D" w:rsidR="006B3765" w:rsidRPr="00824154" w:rsidRDefault="00CF1E08" w:rsidP="00824154">
      <w:pPr>
        <w:pStyle w:val="BodyText2"/>
        <w:spacing w:before="120"/>
        <w:jc w:val="both"/>
        <w:rPr>
          <w:rFonts w:asciiTheme="minorHAnsi" w:hAnsiTheme="minorHAnsi" w:cs="Arial"/>
          <w:sz w:val="22"/>
          <w:szCs w:val="22"/>
          <w:shd w:val="clear" w:color="auto" w:fill="FFFFFF"/>
        </w:rPr>
      </w:pPr>
      <w:r w:rsidRPr="00824154">
        <w:rPr>
          <w:rFonts w:asciiTheme="minorHAnsi" w:hAnsiTheme="minorHAnsi" w:cs="Arial"/>
          <w:sz w:val="22"/>
          <w:szCs w:val="22"/>
          <w:shd w:val="clear" w:color="auto" w:fill="FFFFFF"/>
        </w:rPr>
        <w:t>T</w:t>
      </w:r>
      <w:r w:rsidR="00A90A69">
        <w:rPr>
          <w:rFonts w:asciiTheme="minorHAnsi" w:hAnsiTheme="minorHAnsi" w:cs="Arial"/>
          <w:sz w:val="22"/>
          <w:szCs w:val="22"/>
          <w:shd w:val="clear" w:color="auto" w:fill="FFFFFF"/>
        </w:rPr>
        <w:t>he specific contribution</w:t>
      </w:r>
      <w:r w:rsidR="006B3765" w:rsidRPr="00824154">
        <w:rPr>
          <w:rFonts w:asciiTheme="minorHAnsi" w:hAnsiTheme="minorHAnsi" w:cs="Arial"/>
          <w:sz w:val="22"/>
          <w:szCs w:val="22"/>
          <w:shd w:val="clear" w:color="auto" w:fill="FFFFFF"/>
        </w:rPr>
        <w:t xml:space="preserve"> of UNDP </w:t>
      </w:r>
      <w:r w:rsidR="00A22278">
        <w:rPr>
          <w:rFonts w:asciiTheme="minorHAnsi" w:hAnsiTheme="minorHAnsi" w:cs="Arial"/>
          <w:sz w:val="22"/>
          <w:szCs w:val="22"/>
          <w:shd w:val="clear" w:color="auto" w:fill="FFFFFF"/>
        </w:rPr>
        <w:t xml:space="preserve">to the electoral processes </w:t>
      </w:r>
      <w:r w:rsidR="006B3765" w:rsidRPr="00824154">
        <w:rPr>
          <w:rFonts w:asciiTheme="minorHAnsi" w:hAnsiTheme="minorHAnsi" w:cs="Arial"/>
          <w:sz w:val="22"/>
          <w:szCs w:val="22"/>
          <w:shd w:val="clear" w:color="auto" w:fill="FFFFFF"/>
        </w:rPr>
        <w:t xml:space="preserve">has </w:t>
      </w:r>
      <w:bookmarkStart w:id="0" w:name="_GoBack"/>
      <w:r w:rsidR="006B3765" w:rsidRPr="00824154">
        <w:rPr>
          <w:rFonts w:asciiTheme="minorHAnsi" w:hAnsiTheme="minorHAnsi" w:cs="Arial"/>
          <w:sz w:val="22"/>
          <w:szCs w:val="22"/>
          <w:shd w:val="clear" w:color="auto" w:fill="FFFFFF"/>
        </w:rPr>
        <w:t>b</w:t>
      </w:r>
      <w:bookmarkEnd w:id="0"/>
      <w:r w:rsidR="006B3765" w:rsidRPr="00824154">
        <w:rPr>
          <w:rFonts w:asciiTheme="minorHAnsi" w:hAnsiTheme="minorHAnsi" w:cs="Arial"/>
          <w:sz w:val="22"/>
          <w:szCs w:val="22"/>
          <w:shd w:val="clear" w:color="auto" w:fill="FFFFFF"/>
        </w:rPr>
        <w:t xml:space="preserve">een </w:t>
      </w:r>
      <w:r w:rsidR="008E6BA6" w:rsidRPr="00824154">
        <w:rPr>
          <w:rFonts w:asciiTheme="minorHAnsi" w:hAnsiTheme="minorHAnsi" w:cs="Arial"/>
          <w:sz w:val="22"/>
          <w:szCs w:val="22"/>
          <w:shd w:val="clear" w:color="auto" w:fill="FFFFFF"/>
        </w:rPr>
        <w:t>to</w:t>
      </w:r>
      <w:r w:rsidR="006B3765" w:rsidRPr="00824154">
        <w:rPr>
          <w:rFonts w:asciiTheme="minorHAnsi" w:hAnsiTheme="minorHAnsi" w:cs="Arial"/>
          <w:sz w:val="22"/>
          <w:szCs w:val="22"/>
          <w:shd w:val="clear" w:color="auto" w:fill="FFFFFF"/>
        </w:rPr>
        <w:t xml:space="preserve"> support the National Electoral Commission (CNE) in conducting extensive civic education campaigns throughout the country thus contributing to an increase of 11,1% of registered voters as compared to 2009 elections, and to </w:t>
      </w:r>
      <w:r w:rsidR="008E6BA6" w:rsidRPr="00824154">
        <w:rPr>
          <w:rFonts w:asciiTheme="minorHAnsi" w:hAnsiTheme="minorHAnsi" w:cs="Arial"/>
          <w:sz w:val="22"/>
          <w:szCs w:val="22"/>
          <w:shd w:val="clear" w:color="auto" w:fill="FFFFFF"/>
        </w:rPr>
        <w:t xml:space="preserve">a </w:t>
      </w:r>
      <w:r w:rsidR="006B3765" w:rsidRPr="00824154">
        <w:rPr>
          <w:rFonts w:asciiTheme="minorHAnsi" w:hAnsiTheme="minorHAnsi" w:cs="Arial"/>
          <w:sz w:val="22"/>
          <w:szCs w:val="22"/>
          <w:shd w:val="clear" w:color="auto" w:fill="FFFFFF"/>
        </w:rPr>
        <w:t xml:space="preserve">significant increase in the voter turnout from 36.4% in 2004 </w:t>
      </w:r>
      <w:r w:rsidRPr="00824154">
        <w:rPr>
          <w:rFonts w:asciiTheme="minorHAnsi" w:hAnsiTheme="minorHAnsi" w:cs="Arial"/>
          <w:sz w:val="22"/>
          <w:szCs w:val="22"/>
          <w:shd w:val="clear" w:color="auto" w:fill="FFFFFF"/>
        </w:rPr>
        <w:t>t</w:t>
      </w:r>
      <w:r w:rsidR="006B3765" w:rsidRPr="00824154">
        <w:rPr>
          <w:rFonts w:asciiTheme="minorHAnsi" w:hAnsiTheme="minorHAnsi" w:cs="Arial"/>
          <w:sz w:val="22"/>
          <w:szCs w:val="22"/>
          <w:shd w:val="clear" w:color="auto" w:fill="FFFFFF"/>
        </w:rPr>
        <w:t>o 48.6% in 2014.</w:t>
      </w:r>
      <w:r w:rsidR="002F336A" w:rsidRPr="00824154">
        <w:rPr>
          <w:rFonts w:asciiTheme="minorHAnsi" w:hAnsiTheme="minorHAnsi" w:cs="Arial"/>
          <w:sz w:val="22"/>
          <w:szCs w:val="22"/>
          <w:shd w:val="clear" w:color="auto" w:fill="FFFFFF"/>
        </w:rPr>
        <w:t xml:space="preserve"> </w:t>
      </w:r>
    </w:p>
    <w:p w14:paraId="6E5D97EF" w14:textId="2D0725EC" w:rsidR="008E6BA6" w:rsidRDefault="00A22278" w:rsidP="00824154">
      <w:pPr>
        <w:pStyle w:val="BodyText2"/>
        <w:spacing w:before="120"/>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In the Justice area, </w:t>
      </w:r>
      <w:r w:rsidR="006B3765" w:rsidRPr="00824154">
        <w:rPr>
          <w:rFonts w:asciiTheme="minorHAnsi" w:hAnsiTheme="minorHAnsi" w:cs="Arial"/>
          <w:sz w:val="22"/>
          <w:szCs w:val="22"/>
          <w:shd w:val="clear" w:color="auto" w:fill="FFFFFF"/>
        </w:rPr>
        <w:t xml:space="preserve">UNDP </w:t>
      </w:r>
      <w:r w:rsidR="00CA4DBB" w:rsidRPr="00824154">
        <w:rPr>
          <w:rFonts w:asciiTheme="minorHAnsi" w:hAnsiTheme="minorHAnsi" w:cs="Arial"/>
          <w:sz w:val="22"/>
          <w:szCs w:val="22"/>
          <w:shd w:val="clear" w:color="auto" w:fill="FFFFFF"/>
        </w:rPr>
        <w:t xml:space="preserve">has been supporting </w:t>
      </w:r>
      <w:r w:rsidR="006B3765" w:rsidRPr="00824154">
        <w:rPr>
          <w:rFonts w:asciiTheme="minorHAnsi" w:hAnsiTheme="minorHAnsi" w:cs="Arial"/>
          <w:sz w:val="22"/>
          <w:szCs w:val="22"/>
          <w:shd w:val="clear" w:color="auto" w:fill="FFFFFF"/>
        </w:rPr>
        <w:t xml:space="preserve">the Ministry of Justice </w:t>
      </w:r>
      <w:r w:rsidR="00CA4DBB" w:rsidRPr="00824154">
        <w:rPr>
          <w:rFonts w:asciiTheme="minorHAnsi" w:hAnsiTheme="minorHAnsi" w:cs="Arial"/>
          <w:sz w:val="22"/>
          <w:szCs w:val="22"/>
          <w:shd w:val="clear" w:color="auto" w:fill="FFFFFF"/>
        </w:rPr>
        <w:t xml:space="preserve">to promote access to justice through </w:t>
      </w:r>
      <w:r w:rsidR="006B3765" w:rsidRPr="00824154">
        <w:rPr>
          <w:rFonts w:asciiTheme="minorHAnsi" w:hAnsiTheme="minorHAnsi" w:cs="Arial"/>
          <w:sz w:val="22"/>
          <w:szCs w:val="22"/>
          <w:shd w:val="clear" w:color="auto" w:fill="FFFFFF"/>
        </w:rPr>
        <w:t xml:space="preserve">the construction of </w:t>
      </w:r>
      <w:r w:rsidR="00CA4DBB" w:rsidRPr="00824154">
        <w:rPr>
          <w:rFonts w:asciiTheme="minorHAnsi" w:hAnsiTheme="minorHAnsi" w:cs="Arial"/>
          <w:sz w:val="22"/>
          <w:szCs w:val="22"/>
          <w:shd w:val="clear" w:color="auto" w:fill="FFFFFF"/>
        </w:rPr>
        <w:t xml:space="preserve">the </w:t>
      </w:r>
      <w:r w:rsidR="006B3765" w:rsidRPr="00824154">
        <w:rPr>
          <w:rFonts w:asciiTheme="minorHAnsi" w:hAnsiTheme="minorHAnsi" w:cs="Arial"/>
          <w:sz w:val="22"/>
          <w:szCs w:val="22"/>
          <w:shd w:val="clear" w:color="auto" w:fill="FFFFFF"/>
        </w:rPr>
        <w:t>House</w:t>
      </w:r>
      <w:r w:rsidR="00CA4DBB" w:rsidRPr="00824154">
        <w:rPr>
          <w:rFonts w:asciiTheme="minorHAnsi" w:hAnsiTheme="minorHAnsi" w:cs="Arial"/>
          <w:sz w:val="22"/>
          <w:szCs w:val="22"/>
          <w:shd w:val="clear" w:color="auto" w:fill="FFFFFF"/>
        </w:rPr>
        <w:t>s</w:t>
      </w:r>
      <w:r w:rsidR="006B3765" w:rsidRPr="00824154">
        <w:rPr>
          <w:rFonts w:asciiTheme="minorHAnsi" w:hAnsiTheme="minorHAnsi" w:cs="Arial"/>
          <w:sz w:val="22"/>
          <w:szCs w:val="22"/>
          <w:shd w:val="clear" w:color="auto" w:fill="FFFFFF"/>
        </w:rPr>
        <w:t xml:space="preserve"> of Justice</w:t>
      </w:r>
      <w:r>
        <w:rPr>
          <w:rFonts w:asciiTheme="minorHAnsi" w:hAnsiTheme="minorHAnsi" w:cs="Arial"/>
          <w:sz w:val="22"/>
          <w:szCs w:val="22"/>
          <w:shd w:val="clear" w:color="auto" w:fill="FFFFFF"/>
        </w:rPr>
        <w:t xml:space="preserve"> of Ribaue </w:t>
      </w:r>
      <w:r w:rsidR="00CA4DBB" w:rsidRPr="00824154">
        <w:rPr>
          <w:rFonts w:asciiTheme="minorHAnsi" w:hAnsiTheme="minorHAnsi" w:cs="Arial"/>
          <w:sz w:val="22"/>
          <w:szCs w:val="22"/>
          <w:shd w:val="clear" w:color="auto" w:fill="FFFFFF"/>
        </w:rPr>
        <w:t>and Massinga in the past years</w:t>
      </w:r>
      <w:r w:rsidR="006B3765" w:rsidRPr="00824154">
        <w:rPr>
          <w:rFonts w:asciiTheme="minorHAnsi" w:hAnsiTheme="minorHAnsi" w:cs="Arial"/>
          <w:sz w:val="22"/>
          <w:szCs w:val="22"/>
          <w:shd w:val="clear" w:color="auto" w:fill="FFFFFF"/>
        </w:rPr>
        <w:t xml:space="preserve"> </w:t>
      </w:r>
      <w:r w:rsidR="00CA4DBB" w:rsidRPr="00824154">
        <w:rPr>
          <w:rFonts w:asciiTheme="minorHAnsi" w:hAnsiTheme="minorHAnsi" w:cs="Arial"/>
          <w:sz w:val="22"/>
          <w:szCs w:val="22"/>
          <w:shd w:val="clear" w:color="auto" w:fill="FFFFFF"/>
        </w:rPr>
        <w:t xml:space="preserve">thus increasing </w:t>
      </w:r>
      <w:r w:rsidR="006B3765" w:rsidRPr="00824154">
        <w:rPr>
          <w:rFonts w:asciiTheme="minorHAnsi" w:hAnsiTheme="minorHAnsi" w:cs="Arial"/>
          <w:sz w:val="22"/>
          <w:szCs w:val="22"/>
          <w:shd w:val="clear" w:color="auto" w:fill="FFFFFF"/>
        </w:rPr>
        <w:t>access to justice</w:t>
      </w:r>
      <w:r w:rsidR="00CA4DBB" w:rsidRPr="00824154">
        <w:rPr>
          <w:rFonts w:asciiTheme="minorHAnsi" w:hAnsiTheme="minorHAnsi" w:cs="Arial"/>
          <w:sz w:val="22"/>
          <w:szCs w:val="22"/>
          <w:shd w:val="clear" w:color="auto" w:fill="FFFFFF"/>
        </w:rPr>
        <w:t xml:space="preserve"> services, including </w:t>
      </w:r>
      <w:r w:rsidR="00D13415">
        <w:rPr>
          <w:rFonts w:asciiTheme="minorHAnsi" w:hAnsiTheme="minorHAnsi" w:cs="Arial"/>
          <w:sz w:val="22"/>
          <w:szCs w:val="22"/>
          <w:shd w:val="clear" w:color="auto" w:fill="FFFFFF"/>
        </w:rPr>
        <w:t xml:space="preserve">through the provision of </w:t>
      </w:r>
      <w:r w:rsidR="006B3765" w:rsidRPr="00824154">
        <w:rPr>
          <w:rFonts w:asciiTheme="minorHAnsi" w:hAnsiTheme="minorHAnsi" w:cs="Arial"/>
          <w:sz w:val="22"/>
          <w:szCs w:val="22"/>
          <w:shd w:val="clear" w:color="auto" w:fill="FFFFFF"/>
        </w:rPr>
        <w:t xml:space="preserve">free legal aid </w:t>
      </w:r>
      <w:r w:rsidR="00824154">
        <w:rPr>
          <w:rFonts w:asciiTheme="minorHAnsi" w:hAnsiTheme="minorHAnsi" w:cs="Arial"/>
          <w:sz w:val="22"/>
          <w:szCs w:val="22"/>
          <w:shd w:val="clear" w:color="auto" w:fill="FFFFFF"/>
        </w:rPr>
        <w:t>and mobile court services</w:t>
      </w:r>
      <w:r w:rsidR="00D13415">
        <w:rPr>
          <w:rFonts w:asciiTheme="minorHAnsi" w:hAnsiTheme="minorHAnsi" w:cs="Arial"/>
          <w:sz w:val="22"/>
          <w:szCs w:val="22"/>
          <w:shd w:val="clear" w:color="auto" w:fill="FFFFFF"/>
        </w:rPr>
        <w:t xml:space="preserve"> and the </w:t>
      </w:r>
      <w:r w:rsidR="00D13415" w:rsidRPr="00D13415">
        <w:rPr>
          <w:rFonts w:asciiTheme="minorHAnsi" w:hAnsiTheme="minorHAnsi" w:cs="Arial"/>
          <w:sz w:val="22"/>
          <w:szCs w:val="22"/>
          <w:shd w:val="clear" w:color="auto" w:fill="FFFFFF"/>
        </w:rPr>
        <w:t>establishment of one-stop-shops for justice services in underserved rural areas</w:t>
      </w:r>
      <w:r w:rsidR="006B3765" w:rsidRPr="00824154">
        <w:rPr>
          <w:rFonts w:asciiTheme="minorHAnsi" w:hAnsiTheme="minorHAnsi" w:cs="Arial"/>
          <w:sz w:val="22"/>
          <w:szCs w:val="22"/>
          <w:shd w:val="clear" w:color="auto" w:fill="FFFFFF"/>
        </w:rPr>
        <w:t>.</w:t>
      </w:r>
      <w:r w:rsidR="00D678E9">
        <w:rPr>
          <w:rFonts w:asciiTheme="minorHAnsi" w:hAnsiTheme="minorHAnsi" w:cs="Arial"/>
          <w:sz w:val="22"/>
          <w:szCs w:val="22"/>
          <w:shd w:val="clear" w:color="auto" w:fill="FFFFFF"/>
        </w:rPr>
        <w:t xml:space="preserve"> As a result,</w:t>
      </w:r>
      <w:r w:rsidR="005E1847">
        <w:rPr>
          <w:rFonts w:asciiTheme="minorHAnsi" w:hAnsiTheme="minorHAnsi" w:cs="Arial"/>
          <w:sz w:val="22"/>
          <w:szCs w:val="22"/>
          <w:shd w:val="clear" w:color="auto" w:fill="FFFFFF"/>
        </w:rPr>
        <w:t xml:space="preserve"> during the first semester of 2015, a</w:t>
      </w:r>
      <w:r w:rsidR="005E1847" w:rsidRPr="005E1847">
        <w:rPr>
          <w:rFonts w:asciiTheme="minorHAnsi" w:hAnsiTheme="minorHAnsi" w:cs="Arial"/>
          <w:sz w:val="22"/>
          <w:szCs w:val="22"/>
          <w:shd w:val="clear" w:color="auto" w:fill="FFFFFF"/>
        </w:rPr>
        <w:t xml:space="preserve"> total of 85172 people were assisted through free legal aid services of the Free Legal Aid Institute (IPAJ)</w:t>
      </w:r>
      <w:r w:rsidR="009579D0">
        <w:rPr>
          <w:rFonts w:asciiTheme="minorHAnsi" w:hAnsiTheme="minorHAnsi" w:cs="Arial"/>
          <w:sz w:val="22"/>
          <w:szCs w:val="22"/>
          <w:shd w:val="clear" w:color="auto" w:fill="FFFFFF"/>
        </w:rPr>
        <w:t xml:space="preserve">. </w:t>
      </w:r>
    </w:p>
    <w:p w14:paraId="4DA6E7A6" w14:textId="780B7AC5" w:rsidR="00D13415" w:rsidRDefault="00A22278" w:rsidP="00824154">
      <w:pPr>
        <w:pStyle w:val="BodyText2"/>
        <w:spacing w:before="120"/>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In the Human Rights area, </w:t>
      </w:r>
      <w:r w:rsidR="00366CF6" w:rsidRPr="00366CF6">
        <w:rPr>
          <w:rFonts w:asciiTheme="minorHAnsi" w:hAnsiTheme="minorHAnsi" w:cs="Arial"/>
          <w:sz w:val="22"/>
          <w:szCs w:val="22"/>
          <w:shd w:val="clear" w:color="auto" w:fill="FFFFFF"/>
        </w:rPr>
        <w:t>UNDP provided highly specialized technical and legal support for the establishment</w:t>
      </w:r>
      <w:r w:rsidR="00334CE7">
        <w:rPr>
          <w:rFonts w:asciiTheme="minorHAnsi" w:hAnsiTheme="minorHAnsi" w:cs="Arial"/>
          <w:sz w:val="22"/>
          <w:szCs w:val="22"/>
          <w:shd w:val="clear" w:color="auto" w:fill="FFFFFF"/>
        </w:rPr>
        <w:t xml:space="preserve">, in September 2012, </w:t>
      </w:r>
      <w:r w:rsidR="00366CF6" w:rsidRPr="00366CF6">
        <w:rPr>
          <w:rFonts w:asciiTheme="minorHAnsi" w:hAnsiTheme="minorHAnsi" w:cs="Arial"/>
          <w:sz w:val="22"/>
          <w:szCs w:val="22"/>
          <w:shd w:val="clear" w:color="auto" w:fill="FFFFFF"/>
        </w:rPr>
        <w:t>of the Nation</w:t>
      </w:r>
      <w:r w:rsidR="00334CE7">
        <w:rPr>
          <w:rFonts w:asciiTheme="minorHAnsi" w:hAnsiTheme="minorHAnsi" w:cs="Arial"/>
          <w:sz w:val="22"/>
          <w:szCs w:val="22"/>
          <w:shd w:val="clear" w:color="auto" w:fill="FFFFFF"/>
        </w:rPr>
        <w:t xml:space="preserve">al Human Rights Commission </w:t>
      </w:r>
      <w:r w:rsidR="00975AC2">
        <w:rPr>
          <w:rFonts w:asciiTheme="minorHAnsi" w:hAnsiTheme="minorHAnsi" w:cs="Arial"/>
          <w:sz w:val="22"/>
          <w:szCs w:val="22"/>
          <w:shd w:val="clear" w:color="auto" w:fill="FFFFFF"/>
        </w:rPr>
        <w:t>and to its</w:t>
      </w:r>
      <w:r w:rsidR="00975AC2" w:rsidRPr="00975AC2">
        <w:t xml:space="preserve"> </w:t>
      </w:r>
      <w:r w:rsidR="00975AC2" w:rsidRPr="00975AC2">
        <w:rPr>
          <w:rFonts w:asciiTheme="minorHAnsi" w:hAnsiTheme="minorHAnsi" w:cs="Arial"/>
          <w:sz w:val="22"/>
          <w:szCs w:val="22"/>
          <w:shd w:val="clear" w:color="auto" w:fill="FFFFFF"/>
        </w:rPr>
        <w:t xml:space="preserve">operationalization through </w:t>
      </w:r>
      <w:r w:rsidR="00975AC2">
        <w:rPr>
          <w:rFonts w:asciiTheme="minorHAnsi" w:hAnsiTheme="minorHAnsi" w:cs="Arial"/>
          <w:sz w:val="22"/>
          <w:szCs w:val="22"/>
          <w:shd w:val="clear" w:color="auto" w:fill="FFFFFF"/>
        </w:rPr>
        <w:t xml:space="preserve">the elaboration of </w:t>
      </w:r>
      <w:r w:rsidR="00975AC2" w:rsidRPr="00975AC2">
        <w:rPr>
          <w:rFonts w:asciiTheme="minorHAnsi" w:hAnsiTheme="minorHAnsi" w:cs="Arial"/>
          <w:sz w:val="22"/>
          <w:szCs w:val="22"/>
          <w:shd w:val="clear" w:color="auto" w:fill="FFFFFF"/>
        </w:rPr>
        <w:t>its strategic plan for 2014-2016</w:t>
      </w:r>
      <w:r w:rsidR="00975AC2">
        <w:rPr>
          <w:rFonts w:asciiTheme="minorHAnsi" w:hAnsiTheme="minorHAnsi" w:cs="Arial"/>
          <w:sz w:val="22"/>
          <w:szCs w:val="22"/>
          <w:shd w:val="clear" w:color="auto" w:fill="FFFFFF"/>
        </w:rPr>
        <w:t>.</w:t>
      </w:r>
      <w:r w:rsidR="009579D0">
        <w:rPr>
          <w:rFonts w:asciiTheme="minorHAnsi" w:hAnsiTheme="minorHAnsi" w:cs="Arial"/>
          <w:sz w:val="22"/>
          <w:szCs w:val="22"/>
          <w:shd w:val="clear" w:color="auto" w:fill="FFFFFF"/>
        </w:rPr>
        <w:t xml:space="preserve"> In addition, </w:t>
      </w:r>
      <w:r w:rsidR="001C44CF">
        <w:rPr>
          <w:rFonts w:asciiTheme="minorHAnsi" w:hAnsiTheme="minorHAnsi" w:cs="Arial"/>
          <w:sz w:val="22"/>
          <w:szCs w:val="22"/>
          <w:shd w:val="clear" w:color="auto" w:fill="FFFFFF"/>
        </w:rPr>
        <w:t xml:space="preserve">as </w:t>
      </w:r>
      <w:r w:rsidR="009579D0" w:rsidRPr="009579D0">
        <w:rPr>
          <w:rFonts w:asciiTheme="minorHAnsi" w:hAnsiTheme="minorHAnsi" w:cs="Arial"/>
          <w:sz w:val="22"/>
          <w:szCs w:val="22"/>
          <w:shd w:val="clear" w:color="auto" w:fill="FFFFFF"/>
        </w:rPr>
        <w:t>a result of UNDP advisor</w:t>
      </w:r>
      <w:r w:rsidR="001C44CF">
        <w:rPr>
          <w:rFonts w:asciiTheme="minorHAnsi" w:hAnsiTheme="minorHAnsi" w:cs="Arial"/>
          <w:sz w:val="22"/>
          <w:szCs w:val="22"/>
          <w:shd w:val="clear" w:color="auto" w:fill="FFFFFF"/>
        </w:rPr>
        <w:t xml:space="preserve">y efforts, 12 Human Rights </w:t>
      </w:r>
      <w:r w:rsidR="009579D0" w:rsidRPr="009579D0">
        <w:rPr>
          <w:rFonts w:asciiTheme="minorHAnsi" w:hAnsiTheme="minorHAnsi" w:cs="Arial"/>
          <w:sz w:val="22"/>
          <w:szCs w:val="22"/>
          <w:shd w:val="clear" w:color="auto" w:fill="FFFFFF"/>
        </w:rPr>
        <w:t>instruments have been ratified a</w:t>
      </w:r>
      <w:r w:rsidR="001C44CF">
        <w:rPr>
          <w:rFonts w:asciiTheme="minorHAnsi" w:hAnsiTheme="minorHAnsi" w:cs="Arial"/>
          <w:sz w:val="22"/>
          <w:szCs w:val="22"/>
          <w:shd w:val="clear" w:color="auto" w:fill="FFFFFF"/>
        </w:rPr>
        <w:t>s of 2015</w:t>
      </w:r>
      <w:r w:rsidR="009579D0" w:rsidRPr="009579D0">
        <w:rPr>
          <w:rFonts w:asciiTheme="minorHAnsi" w:hAnsiTheme="minorHAnsi" w:cs="Arial"/>
          <w:sz w:val="22"/>
          <w:szCs w:val="22"/>
          <w:shd w:val="clear" w:color="auto" w:fill="FFFFFF"/>
        </w:rPr>
        <w:t>. The submission of the II Cycle Universal Periodic Review Report to the H</w:t>
      </w:r>
      <w:r w:rsidR="00224F9C">
        <w:rPr>
          <w:rFonts w:asciiTheme="minorHAnsi" w:hAnsiTheme="minorHAnsi" w:cs="Arial"/>
          <w:sz w:val="22"/>
          <w:szCs w:val="22"/>
          <w:shd w:val="clear" w:color="auto" w:fill="FFFFFF"/>
        </w:rPr>
        <w:t>uman Rights</w:t>
      </w:r>
      <w:r w:rsidR="009579D0" w:rsidRPr="009579D0">
        <w:rPr>
          <w:rFonts w:asciiTheme="minorHAnsi" w:hAnsiTheme="minorHAnsi" w:cs="Arial"/>
          <w:sz w:val="22"/>
          <w:szCs w:val="22"/>
          <w:shd w:val="clear" w:color="auto" w:fill="FFFFFF"/>
        </w:rPr>
        <w:t xml:space="preserve"> Council is also an important result showing enhanced Government commitment regarding H</w:t>
      </w:r>
      <w:r w:rsidR="001C44CF">
        <w:rPr>
          <w:rFonts w:asciiTheme="minorHAnsi" w:hAnsiTheme="minorHAnsi" w:cs="Arial"/>
          <w:sz w:val="22"/>
          <w:szCs w:val="22"/>
          <w:shd w:val="clear" w:color="auto" w:fill="FFFFFF"/>
        </w:rPr>
        <w:t xml:space="preserve">uman </w:t>
      </w:r>
      <w:r w:rsidR="009579D0" w:rsidRPr="009579D0">
        <w:rPr>
          <w:rFonts w:asciiTheme="minorHAnsi" w:hAnsiTheme="minorHAnsi" w:cs="Arial"/>
          <w:sz w:val="22"/>
          <w:szCs w:val="22"/>
          <w:shd w:val="clear" w:color="auto" w:fill="FFFFFF"/>
        </w:rPr>
        <w:t>R</w:t>
      </w:r>
      <w:r w:rsidR="001C44CF">
        <w:rPr>
          <w:rFonts w:asciiTheme="minorHAnsi" w:hAnsiTheme="minorHAnsi" w:cs="Arial"/>
          <w:sz w:val="22"/>
          <w:szCs w:val="22"/>
          <w:shd w:val="clear" w:color="auto" w:fill="FFFFFF"/>
        </w:rPr>
        <w:t xml:space="preserve">ights and </w:t>
      </w:r>
      <w:r w:rsidR="009579D0" w:rsidRPr="009579D0">
        <w:rPr>
          <w:rFonts w:asciiTheme="minorHAnsi" w:hAnsiTheme="minorHAnsi" w:cs="Arial"/>
          <w:sz w:val="22"/>
          <w:szCs w:val="22"/>
          <w:shd w:val="clear" w:color="auto" w:fill="FFFFFF"/>
        </w:rPr>
        <w:t>UNDP support to the consultation</w:t>
      </w:r>
      <w:r w:rsidR="005E4E93">
        <w:rPr>
          <w:rFonts w:asciiTheme="minorHAnsi" w:hAnsiTheme="minorHAnsi" w:cs="Arial"/>
          <w:sz w:val="22"/>
          <w:szCs w:val="22"/>
          <w:shd w:val="clear" w:color="auto" w:fill="FFFFFF"/>
        </w:rPr>
        <w:t xml:space="preserve"> process carried out nationwide</w:t>
      </w:r>
      <w:r w:rsidR="009579D0" w:rsidRPr="009579D0">
        <w:rPr>
          <w:rFonts w:asciiTheme="minorHAnsi" w:hAnsiTheme="minorHAnsi" w:cs="Arial"/>
          <w:sz w:val="22"/>
          <w:szCs w:val="22"/>
          <w:shd w:val="clear" w:color="auto" w:fill="FFFFFF"/>
        </w:rPr>
        <w:t xml:space="preserve"> ensured participation of all stakeholders in the fina</w:t>
      </w:r>
      <w:r w:rsidR="001C44CF">
        <w:rPr>
          <w:rFonts w:asciiTheme="minorHAnsi" w:hAnsiTheme="minorHAnsi" w:cs="Arial"/>
          <w:sz w:val="22"/>
          <w:szCs w:val="22"/>
          <w:shd w:val="clear" w:color="auto" w:fill="FFFFFF"/>
        </w:rPr>
        <w:t>lization of the document</w:t>
      </w:r>
      <w:r w:rsidR="0096669E">
        <w:rPr>
          <w:rFonts w:asciiTheme="minorHAnsi" w:hAnsiTheme="minorHAnsi" w:cs="Arial"/>
          <w:sz w:val="22"/>
          <w:szCs w:val="22"/>
          <w:shd w:val="clear" w:color="auto" w:fill="FFFFFF"/>
        </w:rPr>
        <w:t>.</w:t>
      </w:r>
    </w:p>
    <w:p w14:paraId="037A625B" w14:textId="63BA74D2" w:rsidR="00EA4672" w:rsidRDefault="00A22278" w:rsidP="00824154">
      <w:pPr>
        <w:pStyle w:val="BodyText2"/>
        <w:spacing w:before="120"/>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Through UNDP support, t</w:t>
      </w:r>
      <w:r w:rsidR="00D13415" w:rsidRPr="00D13415">
        <w:rPr>
          <w:rFonts w:asciiTheme="minorHAnsi" w:hAnsiTheme="minorHAnsi" w:cs="Arial"/>
          <w:sz w:val="22"/>
          <w:szCs w:val="22"/>
          <w:shd w:val="clear" w:color="auto" w:fill="FFFFFF"/>
        </w:rPr>
        <w:t xml:space="preserve">he law on HIV and AIDS was revised </w:t>
      </w:r>
      <w:r w:rsidR="00D13415">
        <w:rPr>
          <w:rFonts w:asciiTheme="minorHAnsi" w:hAnsiTheme="minorHAnsi" w:cs="Arial"/>
          <w:sz w:val="22"/>
          <w:szCs w:val="22"/>
          <w:shd w:val="clear" w:color="auto" w:fill="FFFFFF"/>
        </w:rPr>
        <w:t xml:space="preserve">and approved by the Parliament in 2013. </w:t>
      </w:r>
      <w:r w:rsidR="00D13415" w:rsidRPr="00D13415">
        <w:rPr>
          <w:rFonts w:asciiTheme="minorHAnsi" w:hAnsiTheme="minorHAnsi" w:cs="Arial"/>
          <w:sz w:val="22"/>
          <w:szCs w:val="22"/>
          <w:shd w:val="clear" w:color="auto" w:fill="FFFFFF"/>
        </w:rPr>
        <w:t>This law will contribute to eliminate stigma and discrimination against people with HIV and AIDS, and ensure their full participation and contribution to the development process.</w:t>
      </w:r>
      <w:r w:rsidR="0096669E">
        <w:rPr>
          <w:rFonts w:asciiTheme="minorHAnsi" w:hAnsiTheme="minorHAnsi" w:cs="Arial"/>
          <w:sz w:val="22"/>
          <w:szCs w:val="22"/>
          <w:shd w:val="clear" w:color="auto" w:fill="FFFFFF"/>
        </w:rPr>
        <w:t xml:space="preserve"> </w:t>
      </w:r>
      <w:r w:rsidR="00B52AD3" w:rsidRPr="00B52AD3">
        <w:rPr>
          <w:rFonts w:asciiTheme="minorHAnsi" w:hAnsiTheme="minorHAnsi" w:cs="Arial"/>
          <w:sz w:val="22"/>
          <w:szCs w:val="22"/>
          <w:shd w:val="clear" w:color="auto" w:fill="FFFFFF"/>
        </w:rPr>
        <w:t>In October 2015, the National Strategic Plan to Fight against HIV/AIDS was approved by the Council of Ministers. UN</w:t>
      </w:r>
      <w:r w:rsidR="00B52AD3">
        <w:rPr>
          <w:rFonts w:asciiTheme="minorHAnsi" w:hAnsiTheme="minorHAnsi" w:cs="Arial"/>
          <w:sz w:val="22"/>
          <w:szCs w:val="22"/>
          <w:shd w:val="clear" w:color="auto" w:fill="FFFFFF"/>
        </w:rPr>
        <w:t>DP</w:t>
      </w:r>
      <w:r w:rsidR="00B52AD3" w:rsidRPr="00B52AD3">
        <w:rPr>
          <w:rFonts w:asciiTheme="minorHAnsi" w:hAnsiTheme="minorHAnsi" w:cs="Arial"/>
          <w:sz w:val="22"/>
          <w:szCs w:val="22"/>
          <w:shd w:val="clear" w:color="auto" w:fill="FFFFFF"/>
        </w:rPr>
        <w:t xml:space="preserve"> contributed to this achievement by </w:t>
      </w:r>
      <w:r w:rsidR="00B52AD3">
        <w:rPr>
          <w:rFonts w:asciiTheme="minorHAnsi" w:hAnsiTheme="minorHAnsi" w:cs="Arial"/>
          <w:sz w:val="22"/>
          <w:szCs w:val="22"/>
          <w:shd w:val="clear" w:color="auto" w:fill="FFFFFF"/>
        </w:rPr>
        <w:t xml:space="preserve">coordinating UN </w:t>
      </w:r>
      <w:r w:rsidR="00B52AD3" w:rsidRPr="00B52AD3">
        <w:rPr>
          <w:rFonts w:asciiTheme="minorHAnsi" w:hAnsiTheme="minorHAnsi" w:cs="Arial"/>
          <w:sz w:val="22"/>
          <w:szCs w:val="22"/>
          <w:shd w:val="clear" w:color="auto" w:fill="FFFFFF"/>
        </w:rPr>
        <w:t>technical assistance in the formulation of the HIV, Human Rights and Gender components of the plan and supported the consultation process held throughout the country.</w:t>
      </w:r>
    </w:p>
    <w:p w14:paraId="1F204FD5" w14:textId="2E916C40" w:rsidR="00003D61" w:rsidRDefault="00003D61" w:rsidP="00824154">
      <w:pPr>
        <w:pStyle w:val="BodyText2"/>
        <w:spacing w:before="120"/>
        <w:jc w:val="both"/>
        <w:rPr>
          <w:rFonts w:asciiTheme="minorHAnsi" w:hAnsiTheme="minorHAnsi" w:cs="Arial"/>
          <w:sz w:val="22"/>
          <w:szCs w:val="22"/>
          <w:shd w:val="clear" w:color="auto" w:fill="FFFFFF"/>
        </w:rPr>
      </w:pPr>
      <w:r w:rsidRPr="00824154">
        <w:rPr>
          <w:rFonts w:asciiTheme="minorHAnsi" w:hAnsiTheme="minorHAnsi" w:cs="Arial"/>
          <w:sz w:val="22"/>
          <w:szCs w:val="22"/>
          <w:shd w:val="clear" w:color="auto" w:fill="FFFFFF"/>
        </w:rPr>
        <w:lastRenderedPageBreak/>
        <w:t xml:space="preserve">In December 2014, the Parliament </w:t>
      </w:r>
      <w:r w:rsidR="00D13415">
        <w:rPr>
          <w:rFonts w:asciiTheme="minorHAnsi" w:hAnsiTheme="minorHAnsi" w:cs="Arial"/>
          <w:sz w:val="22"/>
          <w:szCs w:val="22"/>
          <w:shd w:val="clear" w:color="auto" w:fill="FFFFFF"/>
        </w:rPr>
        <w:t xml:space="preserve">also </w:t>
      </w:r>
      <w:r w:rsidRPr="00824154">
        <w:rPr>
          <w:rFonts w:asciiTheme="minorHAnsi" w:hAnsiTheme="minorHAnsi" w:cs="Arial"/>
          <w:sz w:val="22"/>
          <w:szCs w:val="22"/>
          <w:shd w:val="clear" w:color="auto" w:fill="FFFFFF"/>
        </w:rPr>
        <w:t>approved a new Penal Code replacing an obsolete law</w:t>
      </w:r>
      <w:r w:rsidR="00CA4DBB" w:rsidRPr="00824154">
        <w:rPr>
          <w:rFonts w:asciiTheme="minorHAnsi" w:hAnsiTheme="minorHAnsi" w:cs="Arial"/>
          <w:sz w:val="22"/>
          <w:szCs w:val="22"/>
          <w:shd w:val="clear" w:color="auto" w:fill="FFFFFF"/>
        </w:rPr>
        <w:t xml:space="preserve"> dated from </w:t>
      </w:r>
      <w:r w:rsidR="0093018A" w:rsidRPr="00824154">
        <w:rPr>
          <w:rFonts w:asciiTheme="minorHAnsi" w:hAnsiTheme="minorHAnsi" w:cs="Arial"/>
          <w:sz w:val="22"/>
          <w:szCs w:val="22"/>
          <w:shd w:val="clear" w:color="auto" w:fill="FFFFFF"/>
        </w:rPr>
        <w:t>1895</w:t>
      </w:r>
      <w:r w:rsidR="00824154">
        <w:rPr>
          <w:rFonts w:asciiTheme="minorHAnsi" w:hAnsiTheme="minorHAnsi" w:cs="Arial"/>
          <w:sz w:val="22"/>
          <w:szCs w:val="22"/>
          <w:shd w:val="clear" w:color="auto" w:fill="FFFFFF"/>
        </w:rPr>
        <w:t xml:space="preserve">, </w:t>
      </w:r>
      <w:r w:rsidRPr="00824154">
        <w:rPr>
          <w:rFonts w:asciiTheme="minorHAnsi" w:hAnsiTheme="minorHAnsi" w:cs="Arial"/>
          <w:sz w:val="22"/>
          <w:szCs w:val="22"/>
          <w:shd w:val="clear" w:color="auto" w:fill="FFFFFF"/>
        </w:rPr>
        <w:t>and introducing improved provisions on human rights, specifically women’s reproductive rights, rights of sexual minorities and anti-corruption issues.</w:t>
      </w:r>
      <w:r w:rsidR="00D13415">
        <w:rPr>
          <w:rFonts w:asciiTheme="minorHAnsi" w:hAnsiTheme="minorHAnsi" w:cs="Arial"/>
          <w:sz w:val="22"/>
          <w:szCs w:val="22"/>
          <w:shd w:val="clear" w:color="auto" w:fill="FFFFFF"/>
        </w:rPr>
        <w:t xml:space="preserve"> UNDP support was instrumental in</w:t>
      </w:r>
      <w:r w:rsidR="00D13415" w:rsidRPr="00366CF6">
        <w:rPr>
          <w:rFonts w:asciiTheme="minorHAnsi" w:hAnsiTheme="minorHAnsi" w:cs="Arial"/>
          <w:sz w:val="22"/>
          <w:szCs w:val="22"/>
          <w:shd w:val="clear" w:color="auto" w:fill="FFFFFF"/>
        </w:rPr>
        <w:t xml:space="preserve"> the drafting of the Action Plan for the implementation of the Anti-Corruption Package of Laws (Law on Witness protection Law on Ethics/Conflict of interest, Criminal Cod</w:t>
      </w:r>
      <w:r w:rsidR="00D13415">
        <w:rPr>
          <w:rFonts w:asciiTheme="minorHAnsi" w:hAnsiTheme="minorHAnsi" w:cs="Arial"/>
          <w:sz w:val="22"/>
          <w:szCs w:val="22"/>
          <w:shd w:val="clear" w:color="auto" w:fill="FFFFFF"/>
        </w:rPr>
        <w:t>e and Criminal Procedure Code) included in the new Penal Code.</w:t>
      </w:r>
    </w:p>
    <w:p w14:paraId="2A4C47F2" w14:textId="65B67600" w:rsidR="00D13415" w:rsidRDefault="00EA4672" w:rsidP="00824154">
      <w:pPr>
        <w:pStyle w:val="BodyText2"/>
        <w:spacing w:before="120"/>
        <w:jc w:val="both"/>
        <w:rPr>
          <w:rFonts w:asciiTheme="minorHAnsi" w:hAnsiTheme="minorHAnsi" w:cs="Arial"/>
          <w:sz w:val="22"/>
          <w:szCs w:val="22"/>
          <w:shd w:val="clear" w:color="auto" w:fill="FFFFFF"/>
        </w:rPr>
      </w:pPr>
      <w:r w:rsidRPr="00EA4672">
        <w:rPr>
          <w:rFonts w:asciiTheme="minorHAnsi" w:hAnsiTheme="minorHAnsi" w:cs="Arial"/>
          <w:sz w:val="22"/>
          <w:szCs w:val="22"/>
          <w:shd w:val="clear" w:color="auto" w:fill="FFFFFF"/>
        </w:rPr>
        <w:t xml:space="preserve">UNDP </w:t>
      </w:r>
      <w:r>
        <w:rPr>
          <w:rFonts w:asciiTheme="minorHAnsi" w:hAnsiTheme="minorHAnsi" w:cs="Arial"/>
          <w:sz w:val="22"/>
          <w:szCs w:val="22"/>
          <w:shd w:val="clear" w:color="auto" w:fill="FFFFFF"/>
        </w:rPr>
        <w:t xml:space="preserve">longstanding support to the local governance area contributed to the </w:t>
      </w:r>
      <w:r w:rsidR="00CD7143" w:rsidRPr="00CD7143">
        <w:rPr>
          <w:rFonts w:asciiTheme="minorHAnsi" w:hAnsiTheme="minorHAnsi" w:cs="Arial"/>
          <w:sz w:val="22"/>
          <w:szCs w:val="22"/>
          <w:shd w:val="clear" w:color="auto" w:fill="FFFFFF"/>
        </w:rPr>
        <w:t xml:space="preserve">formulation of </w:t>
      </w:r>
      <w:r w:rsidR="00CD7143">
        <w:rPr>
          <w:rFonts w:asciiTheme="minorHAnsi" w:hAnsiTheme="minorHAnsi" w:cs="Arial"/>
          <w:sz w:val="22"/>
          <w:szCs w:val="22"/>
          <w:shd w:val="clear" w:color="auto" w:fill="FFFFFF"/>
        </w:rPr>
        <w:t>the</w:t>
      </w:r>
      <w:r w:rsidR="00CD7143" w:rsidRPr="00CD7143">
        <w:rPr>
          <w:rFonts w:asciiTheme="minorHAnsi" w:hAnsiTheme="minorHAnsi" w:cs="Arial"/>
          <w:sz w:val="22"/>
          <w:szCs w:val="22"/>
          <w:shd w:val="clear" w:color="auto" w:fill="FFFFFF"/>
        </w:rPr>
        <w:t xml:space="preserve"> Decentralization Policy and Strategy, which clarifies the Government’s vision for decentralization and defining priority areas and interventions</w:t>
      </w:r>
      <w:r w:rsidR="00CD7143">
        <w:rPr>
          <w:rFonts w:asciiTheme="minorHAnsi" w:hAnsiTheme="minorHAnsi" w:cs="Arial"/>
          <w:sz w:val="22"/>
          <w:szCs w:val="22"/>
          <w:shd w:val="clear" w:color="auto" w:fill="FFFFFF"/>
        </w:rPr>
        <w:t xml:space="preserve">. In addition, UNDP contributed to the </w:t>
      </w:r>
      <w:r>
        <w:rPr>
          <w:rFonts w:asciiTheme="minorHAnsi" w:hAnsiTheme="minorHAnsi" w:cs="Arial"/>
          <w:sz w:val="22"/>
          <w:szCs w:val="22"/>
          <w:shd w:val="clear" w:color="auto" w:fill="FFFFFF"/>
        </w:rPr>
        <w:t>c</w:t>
      </w:r>
      <w:r w:rsidRPr="00EA4672">
        <w:rPr>
          <w:rFonts w:asciiTheme="minorHAnsi" w:hAnsiTheme="minorHAnsi" w:cs="Arial"/>
          <w:sz w:val="22"/>
          <w:szCs w:val="22"/>
          <w:shd w:val="clear" w:color="auto" w:fill="FFFFFF"/>
        </w:rPr>
        <w:t xml:space="preserve">onsolidation of the district planning process and </w:t>
      </w:r>
      <w:r>
        <w:rPr>
          <w:rFonts w:asciiTheme="minorHAnsi" w:hAnsiTheme="minorHAnsi" w:cs="Arial"/>
          <w:sz w:val="22"/>
          <w:szCs w:val="22"/>
          <w:shd w:val="clear" w:color="auto" w:fill="FFFFFF"/>
        </w:rPr>
        <w:t xml:space="preserve">to the development of </w:t>
      </w:r>
      <w:r w:rsidRPr="00EA4672">
        <w:rPr>
          <w:rFonts w:asciiTheme="minorHAnsi" w:hAnsiTheme="minorHAnsi" w:cs="Arial"/>
          <w:sz w:val="22"/>
          <w:szCs w:val="22"/>
          <w:shd w:val="clear" w:color="auto" w:fill="FFFFFF"/>
        </w:rPr>
        <w:t>an innovative district performance monitoring system rolled out to all 128 districts</w:t>
      </w:r>
      <w:r>
        <w:rPr>
          <w:rFonts w:asciiTheme="minorHAnsi" w:hAnsiTheme="minorHAnsi" w:cs="Arial"/>
          <w:sz w:val="22"/>
          <w:szCs w:val="22"/>
          <w:shd w:val="clear" w:color="auto" w:fill="FFFFFF"/>
        </w:rPr>
        <w:t xml:space="preserve"> in 2013. This effort also allowed the p</w:t>
      </w:r>
      <w:r w:rsidRPr="00EA4672">
        <w:rPr>
          <w:rFonts w:asciiTheme="minorHAnsi" w:hAnsiTheme="minorHAnsi" w:cs="Arial"/>
          <w:sz w:val="22"/>
          <w:szCs w:val="22"/>
          <w:shd w:val="clear" w:color="auto" w:fill="FFFFFF"/>
        </w:rPr>
        <w:t>rogressive strengthening of participatory local governance mechanisms, including</w:t>
      </w:r>
      <w:r>
        <w:rPr>
          <w:rFonts w:asciiTheme="minorHAnsi" w:hAnsiTheme="minorHAnsi" w:cs="Arial"/>
          <w:sz w:val="22"/>
          <w:szCs w:val="22"/>
          <w:shd w:val="clear" w:color="auto" w:fill="FFFFFF"/>
        </w:rPr>
        <w:t xml:space="preserve"> through the</w:t>
      </w:r>
      <w:r w:rsidRPr="00EA4672">
        <w:rPr>
          <w:rFonts w:asciiTheme="minorHAnsi" w:hAnsiTheme="minorHAnsi" w:cs="Arial"/>
          <w:sz w:val="22"/>
          <w:szCs w:val="22"/>
          <w:shd w:val="clear" w:color="auto" w:fill="FFFFFF"/>
        </w:rPr>
        <w:t xml:space="preserve"> revamped </w:t>
      </w:r>
      <w:r>
        <w:rPr>
          <w:rFonts w:asciiTheme="minorHAnsi" w:hAnsiTheme="minorHAnsi" w:cs="Arial"/>
          <w:sz w:val="22"/>
          <w:szCs w:val="22"/>
          <w:shd w:val="clear" w:color="auto" w:fill="FFFFFF"/>
        </w:rPr>
        <w:t xml:space="preserve">district </w:t>
      </w:r>
      <w:r w:rsidRPr="00EA4672">
        <w:rPr>
          <w:rFonts w:asciiTheme="minorHAnsi" w:hAnsiTheme="minorHAnsi" w:cs="Arial"/>
          <w:sz w:val="22"/>
          <w:szCs w:val="22"/>
          <w:shd w:val="clear" w:color="auto" w:fill="FFFFFF"/>
        </w:rPr>
        <w:t xml:space="preserve">consultative councils with 30% of women as members and </w:t>
      </w:r>
      <w:r>
        <w:rPr>
          <w:rFonts w:asciiTheme="minorHAnsi" w:hAnsiTheme="minorHAnsi" w:cs="Arial"/>
          <w:sz w:val="22"/>
          <w:szCs w:val="22"/>
          <w:shd w:val="clear" w:color="auto" w:fill="FFFFFF"/>
        </w:rPr>
        <w:t xml:space="preserve">enhanced </w:t>
      </w:r>
      <w:r w:rsidRPr="00EA4672">
        <w:rPr>
          <w:rFonts w:asciiTheme="minorHAnsi" w:hAnsiTheme="minorHAnsi" w:cs="Arial"/>
          <w:sz w:val="22"/>
          <w:szCs w:val="22"/>
          <w:shd w:val="clear" w:color="auto" w:fill="FFFFFF"/>
        </w:rPr>
        <w:t>civil society participation</w:t>
      </w:r>
      <w:r w:rsidR="00D13415">
        <w:rPr>
          <w:rFonts w:asciiTheme="minorHAnsi" w:hAnsiTheme="minorHAnsi" w:cs="Arial"/>
          <w:sz w:val="22"/>
          <w:szCs w:val="22"/>
          <w:shd w:val="clear" w:color="auto" w:fill="FFFFFF"/>
        </w:rPr>
        <w:t xml:space="preserve">. </w:t>
      </w:r>
      <w:r w:rsidR="00453353" w:rsidRPr="00453353">
        <w:rPr>
          <w:rFonts w:asciiTheme="minorHAnsi" w:hAnsiTheme="minorHAnsi" w:cs="Arial"/>
          <w:sz w:val="22"/>
          <w:szCs w:val="22"/>
          <w:shd w:val="clear" w:color="auto" w:fill="FFFFFF"/>
        </w:rPr>
        <w:t>UN</w:t>
      </w:r>
      <w:r w:rsidR="00453353">
        <w:rPr>
          <w:rFonts w:asciiTheme="minorHAnsi" w:hAnsiTheme="minorHAnsi" w:cs="Arial"/>
          <w:sz w:val="22"/>
          <w:szCs w:val="22"/>
          <w:shd w:val="clear" w:color="auto" w:fill="FFFFFF"/>
        </w:rPr>
        <w:t>DP</w:t>
      </w:r>
      <w:r w:rsidR="00453353" w:rsidRPr="00453353">
        <w:rPr>
          <w:rFonts w:asciiTheme="minorHAnsi" w:hAnsiTheme="minorHAnsi" w:cs="Arial"/>
          <w:sz w:val="22"/>
          <w:szCs w:val="22"/>
          <w:shd w:val="clear" w:color="auto" w:fill="FFFFFF"/>
        </w:rPr>
        <w:t xml:space="preserve"> assistance to civil society platforms has also empowered communities to demand for improved service delivery and accountability through the utilizati</w:t>
      </w:r>
      <w:r w:rsidR="00BB09C3">
        <w:rPr>
          <w:rFonts w:asciiTheme="minorHAnsi" w:hAnsiTheme="minorHAnsi" w:cs="Arial"/>
          <w:sz w:val="22"/>
          <w:szCs w:val="22"/>
          <w:shd w:val="clear" w:color="auto" w:fill="FFFFFF"/>
        </w:rPr>
        <w:t xml:space="preserve">on of Community Scorecards </w:t>
      </w:r>
      <w:r w:rsidR="00453353" w:rsidRPr="00453353">
        <w:rPr>
          <w:rFonts w:asciiTheme="minorHAnsi" w:hAnsiTheme="minorHAnsi" w:cs="Arial"/>
          <w:sz w:val="22"/>
          <w:szCs w:val="22"/>
          <w:shd w:val="clear" w:color="auto" w:fill="FFFFFF"/>
        </w:rPr>
        <w:t>and related action plans prepared to address shortfalls in the provision of basic services. In 2105, an assessment of the status of the action plans showed that health and education services have impr</w:t>
      </w:r>
      <w:r w:rsidR="006F2498">
        <w:rPr>
          <w:rFonts w:asciiTheme="minorHAnsi" w:hAnsiTheme="minorHAnsi" w:cs="Arial"/>
          <w:sz w:val="22"/>
          <w:szCs w:val="22"/>
          <w:shd w:val="clear" w:color="auto" w:fill="FFFFFF"/>
        </w:rPr>
        <w:t>oved in the selected districts.</w:t>
      </w:r>
    </w:p>
    <w:p w14:paraId="6528238B" w14:textId="584F9855" w:rsidR="008579AB" w:rsidRPr="00824154" w:rsidRDefault="00A77EB4" w:rsidP="00824154">
      <w:pPr>
        <w:spacing w:before="120"/>
        <w:jc w:val="both"/>
        <w:rPr>
          <w:rFonts w:asciiTheme="minorHAnsi" w:hAnsiTheme="minorHAnsi" w:cs="Arial"/>
          <w:sz w:val="22"/>
          <w:szCs w:val="22"/>
          <w:lang w:val="en" w:eastAsia="en-AU"/>
        </w:rPr>
      </w:pPr>
      <w:r w:rsidRPr="00824154">
        <w:rPr>
          <w:rFonts w:asciiTheme="minorHAnsi" w:hAnsiTheme="minorHAnsi" w:cs="Arial"/>
          <w:sz w:val="22"/>
          <w:szCs w:val="22"/>
          <w:shd w:val="clear" w:color="auto" w:fill="FFFFFF"/>
        </w:rPr>
        <w:t xml:space="preserve">In the </w:t>
      </w:r>
      <w:r w:rsidR="0088525D" w:rsidRPr="00824154">
        <w:rPr>
          <w:rFonts w:asciiTheme="minorHAnsi" w:hAnsiTheme="minorHAnsi" w:cs="Arial"/>
          <w:sz w:val="22"/>
          <w:szCs w:val="22"/>
          <w:shd w:val="clear" w:color="auto" w:fill="FFFFFF"/>
        </w:rPr>
        <w:t xml:space="preserve">economic area, </w:t>
      </w:r>
      <w:r w:rsidR="0088525D" w:rsidRPr="00824154">
        <w:rPr>
          <w:rFonts w:asciiTheme="minorHAnsi" w:hAnsiTheme="minorHAnsi"/>
          <w:sz w:val="22"/>
          <w:szCs w:val="22"/>
          <w:lang w:val="en-GB"/>
        </w:rPr>
        <w:t xml:space="preserve">UNDP interventions are contributing to strengthen the institutional and legal framework for fostering inclusive growth by increasing economic opportunities for micro-, small- and medium-sized enterprises in rural and peri-urban areas through inclusive market strategies. </w:t>
      </w:r>
      <w:r w:rsidR="00A22278">
        <w:rPr>
          <w:rFonts w:asciiTheme="minorHAnsi" w:hAnsiTheme="minorHAnsi"/>
          <w:sz w:val="22"/>
          <w:szCs w:val="22"/>
          <w:lang w:val="en-GB"/>
        </w:rPr>
        <w:t>Thanks to</w:t>
      </w:r>
      <w:r w:rsidR="0088525D" w:rsidRPr="00824154">
        <w:rPr>
          <w:rFonts w:asciiTheme="minorHAnsi" w:hAnsiTheme="minorHAnsi"/>
          <w:sz w:val="22"/>
          <w:szCs w:val="22"/>
          <w:lang w:val="en-GB"/>
        </w:rPr>
        <w:t xml:space="preserve"> UNDP intervention, </w:t>
      </w:r>
      <w:r w:rsidR="0088525D" w:rsidRPr="00824154">
        <w:rPr>
          <w:rFonts w:asciiTheme="minorHAnsi" w:hAnsiTheme="minorHAnsi" w:cs="Arial"/>
          <w:sz w:val="22"/>
          <w:szCs w:val="22"/>
          <w:shd w:val="clear" w:color="auto" w:fill="FFFFFF"/>
        </w:rPr>
        <w:t>L</w:t>
      </w:r>
      <w:r w:rsidR="00824154">
        <w:rPr>
          <w:rFonts w:asciiTheme="minorHAnsi" w:hAnsiTheme="minorHAnsi" w:cs="Arial"/>
          <w:sz w:val="22"/>
          <w:szCs w:val="22"/>
          <w:shd w:val="clear" w:color="auto" w:fill="FFFFFF"/>
        </w:rPr>
        <w:t xml:space="preserve">ocal Economic Development </w:t>
      </w:r>
      <w:r w:rsidR="0088525D" w:rsidRPr="00824154">
        <w:rPr>
          <w:rFonts w:asciiTheme="minorHAnsi" w:hAnsiTheme="minorHAnsi" w:cs="Arial"/>
          <w:sz w:val="22"/>
          <w:szCs w:val="22"/>
          <w:shd w:val="clear" w:color="auto" w:fill="FFFFFF"/>
        </w:rPr>
        <w:t xml:space="preserve">methodologies were mainstreamed in local planning of targeted districts </w:t>
      </w:r>
      <w:r w:rsidR="00ED6271" w:rsidRPr="00824154">
        <w:rPr>
          <w:rFonts w:asciiTheme="minorHAnsi" w:hAnsiTheme="minorHAnsi" w:cs="Arial"/>
          <w:sz w:val="22"/>
          <w:szCs w:val="22"/>
          <w:shd w:val="clear" w:color="auto" w:fill="FFFFFF"/>
        </w:rPr>
        <w:t xml:space="preserve">and </w:t>
      </w:r>
      <w:r w:rsidR="00BA2899">
        <w:rPr>
          <w:rFonts w:asciiTheme="minorHAnsi" w:hAnsiTheme="minorHAnsi" w:cs="Arial"/>
          <w:sz w:val="22"/>
          <w:szCs w:val="22"/>
          <w:shd w:val="clear" w:color="auto" w:fill="FFFFFF"/>
        </w:rPr>
        <w:t>10</w:t>
      </w:r>
      <w:r w:rsidR="00ED6271" w:rsidRPr="00824154">
        <w:rPr>
          <w:rFonts w:asciiTheme="minorHAnsi" w:hAnsiTheme="minorHAnsi" w:cs="Arial"/>
          <w:sz w:val="22"/>
          <w:szCs w:val="22"/>
          <w:shd w:val="clear" w:color="auto" w:fill="FFFFFF"/>
        </w:rPr>
        <w:t xml:space="preserve"> d</w:t>
      </w:r>
      <w:r w:rsidR="0088525D" w:rsidRPr="00824154">
        <w:rPr>
          <w:rFonts w:asciiTheme="minorHAnsi" w:hAnsiTheme="minorHAnsi" w:cs="Arial"/>
          <w:sz w:val="22"/>
          <w:szCs w:val="22"/>
          <w:shd w:val="clear" w:color="auto" w:fill="FFFFFF"/>
        </w:rPr>
        <w:t xml:space="preserve">istrict business service centers </w:t>
      </w:r>
      <w:r w:rsidR="00ED6271" w:rsidRPr="00824154">
        <w:rPr>
          <w:rFonts w:asciiTheme="minorHAnsi" w:hAnsiTheme="minorHAnsi" w:cs="Arial"/>
          <w:sz w:val="22"/>
          <w:szCs w:val="22"/>
          <w:shd w:val="clear" w:color="auto" w:fill="FFFFFF"/>
        </w:rPr>
        <w:t xml:space="preserve">were established in selected districts to provide guidance and information on business opportunities </w:t>
      </w:r>
      <w:r w:rsidR="00824154" w:rsidRPr="00824154">
        <w:rPr>
          <w:rFonts w:asciiTheme="minorHAnsi" w:hAnsiTheme="minorHAnsi" w:cs="Arial"/>
          <w:sz w:val="22"/>
          <w:szCs w:val="22"/>
          <w:shd w:val="clear" w:color="auto" w:fill="FFFFFF"/>
        </w:rPr>
        <w:t xml:space="preserve">and </w:t>
      </w:r>
      <w:r w:rsidR="00824154">
        <w:rPr>
          <w:rFonts w:asciiTheme="minorHAnsi" w:hAnsiTheme="minorHAnsi" w:cs="Arial"/>
          <w:sz w:val="22"/>
          <w:szCs w:val="22"/>
          <w:shd w:val="clear" w:color="auto" w:fill="FFFFFF"/>
        </w:rPr>
        <w:t xml:space="preserve">increase </w:t>
      </w:r>
      <w:r w:rsidR="00824154" w:rsidRPr="00824154">
        <w:rPr>
          <w:rFonts w:asciiTheme="minorHAnsi" w:hAnsiTheme="minorHAnsi" w:cs="Arial"/>
          <w:sz w:val="22"/>
          <w:szCs w:val="22"/>
          <w:shd w:val="clear" w:color="auto" w:fill="FFFFFF"/>
        </w:rPr>
        <w:t>access to microfinance products</w:t>
      </w:r>
      <w:r w:rsidR="00ED6271" w:rsidRPr="00824154">
        <w:rPr>
          <w:rFonts w:asciiTheme="minorHAnsi" w:hAnsiTheme="minorHAnsi" w:cs="Arial"/>
          <w:sz w:val="22"/>
          <w:szCs w:val="22"/>
          <w:shd w:val="clear" w:color="auto" w:fill="FFFFFF"/>
        </w:rPr>
        <w:t>.</w:t>
      </w:r>
      <w:r w:rsidR="008579AB" w:rsidRPr="00824154">
        <w:rPr>
          <w:rFonts w:asciiTheme="minorHAnsi" w:hAnsiTheme="minorHAnsi" w:cs="Arial"/>
          <w:sz w:val="22"/>
          <w:szCs w:val="22"/>
          <w:lang w:val="en" w:eastAsia="en-AU"/>
        </w:rPr>
        <w:t xml:space="preserve">  </w:t>
      </w:r>
    </w:p>
    <w:p w14:paraId="07CD02C3" w14:textId="44B7B5F4" w:rsidR="00A22278" w:rsidRDefault="008579AB" w:rsidP="00A22278">
      <w:pPr>
        <w:spacing w:before="120"/>
        <w:jc w:val="both"/>
        <w:rPr>
          <w:rFonts w:asciiTheme="minorHAnsi" w:hAnsiTheme="minorHAnsi"/>
          <w:sz w:val="22"/>
          <w:szCs w:val="22"/>
          <w:lang w:val="en-GB"/>
        </w:rPr>
      </w:pPr>
      <w:r w:rsidRPr="00824154">
        <w:rPr>
          <w:rFonts w:asciiTheme="minorHAnsi" w:hAnsiTheme="minorHAnsi"/>
          <w:sz w:val="22"/>
          <w:szCs w:val="22"/>
          <w:lang w:val="en-GB"/>
        </w:rPr>
        <w:t>Under th</w:t>
      </w:r>
      <w:r w:rsidR="002701BA">
        <w:rPr>
          <w:rFonts w:asciiTheme="minorHAnsi" w:hAnsiTheme="minorHAnsi"/>
          <w:sz w:val="22"/>
          <w:szCs w:val="22"/>
          <w:lang w:val="en-GB"/>
        </w:rPr>
        <w:t xml:space="preserve">e </w:t>
      </w:r>
      <w:r w:rsidR="0028252A">
        <w:rPr>
          <w:rFonts w:asciiTheme="minorHAnsi" w:hAnsiTheme="minorHAnsi"/>
          <w:sz w:val="22"/>
          <w:szCs w:val="22"/>
          <w:lang w:val="en-GB"/>
        </w:rPr>
        <w:t>environment and crises prevention portfolio</w:t>
      </w:r>
      <w:r w:rsidR="00180A21">
        <w:rPr>
          <w:rFonts w:asciiTheme="minorHAnsi" w:hAnsiTheme="minorHAnsi"/>
          <w:sz w:val="22"/>
          <w:szCs w:val="22"/>
          <w:lang w:val="en-GB"/>
        </w:rPr>
        <w:t>s</w:t>
      </w:r>
      <w:r w:rsidR="0028252A">
        <w:rPr>
          <w:rFonts w:asciiTheme="minorHAnsi" w:hAnsiTheme="minorHAnsi"/>
          <w:sz w:val="22"/>
          <w:szCs w:val="22"/>
          <w:lang w:val="en-GB"/>
        </w:rPr>
        <w:t xml:space="preserve">, </w:t>
      </w:r>
      <w:r w:rsidR="0088525D" w:rsidRPr="00824154">
        <w:rPr>
          <w:rFonts w:asciiTheme="minorHAnsi" w:hAnsiTheme="minorHAnsi"/>
          <w:sz w:val="22"/>
          <w:szCs w:val="22"/>
          <w:lang w:val="en-GB"/>
        </w:rPr>
        <w:t xml:space="preserve">UNDP </w:t>
      </w:r>
      <w:r w:rsidR="0028252A">
        <w:rPr>
          <w:rFonts w:asciiTheme="minorHAnsi" w:hAnsiTheme="minorHAnsi"/>
          <w:sz w:val="22"/>
          <w:szCs w:val="22"/>
          <w:lang w:val="en-GB"/>
        </w:rPr>
        <w:t xml:space="preserve">intervention </w:t>
      </w:r>
      <w:r w:rsidRPr="00824154">
        <w:rPr>
          <w:rFonts w:asciiTheme="minorHAnsi" w:hAnsiTheme="minorHAnsi"/>
          <w:sz w:val="22"/>
          <w:szCs w:val="22"/>
          <w:lang w:val="en-GB"/>
        </w:rPr>
        <w:t xml:space="preserve">focused </w:t>
      </w:r>
      <w:r w:rsidR="0088525D" w:rsidRPr="00824154">
        <w:rPr>
          <w:rFonts w:asciiTheme="minorHAnsi" w:hAnsiTheme="minorHAnsi"/>
          <w:sz w:val="22"/>
          <w:szCs w:val="22"/>
          <w:lang w:val="en-GB"/>
        </w:rPr>
        <w:t>on the closely linked concerns of disaster risk reductio</w:t>
      </w:r>
      <w:r w:rsidR="00824154">
        <w:rPr>
          <w:rFonts w:asciiTheme="minorHAnsi" w:hAnsiTheme="minorHAnsi"/>
          <w:sz w:val="22"/>
          <w:szCs w:val="22"/>
          <w:lang w:val="en-GB"/>
        </w:rPr>
        <w:t>n, adaptation to climate change</w:t>
      </w:r>
      <w:r w:rsidR="0088525D" w:rsidRPr="00824154">
        <w:rPr>
          <w:rFonts w:asciiTheme="minorHAnsi" w:hAnsiTheme="minorHAnsi"/>
          <w:sz w:val="22"/>
          <w:szCs w:val="22"/>
          <w:lang w:val="en-GB"/>
        </w:rPr>
        <w:t xml:space="preserve"> and environment and natural resource management, with the aim of strengthening the legislative framework as well as planning and managem</w:t>
      </w:r>
      <w:r w:rsidR="00824154">
        <w:rPr>
          <w:rFonts w:asciiTheme="minorHAnsi" w:hAnsiTheme="minorHAnsi"/>
          <w:sz w:val="22"/>
          <w:szCs w:val="22"/>
          <w:lang w:val="en-GB"/>
        </w:rPr>
        <w:t>ent capacities of national and local institutions</w:t>
      </w:r>
      <w:r w:rsidR="0088525D" w:rsidRPr="00824154">
        <w:rPr>
          <w:rFonts w:asciiTheme="minorHAnsi" w:hAnsiTheme="minorHAnsi"/>
          <w:sz w:val="22"/>
          <w:szCs w:val="22"/>
          <w:lang w:val="en-GB"/>
        </w:rPr>
        <w:t xml:space="preserve">. </w:t>
      </w:r>
    </w:p>
    <w:p w14:paraId="53B9E973" w14:textId="0F4B7925" w:rsidR="008E6BA6" w:rsidRPr="00E41678" w:rsidRDefault="006B3765" w:rsidP="00A22278">
      <w:pPr>
        <w:spacing w:before="120"/>
        <w:jc w:val="both"/>
        <w:rPr>
          <w:rFonts w:asciiTheme="minorHAnsi" w:hAnsiTheme="minorHAnsi" w:cs="Arial"/>
          <w:sz w:val="22"/>
          <w:szCs w:val="22"/>
          <w:shd w:val="clear" w:color="auto" w:fill="FFFFFF"/>
        </w:rPr>
      </w:pPr>
      <w:r w:rsidRPr="00824154">
        <w:rPr>
          <w:rFonts w:asciiTheme="minorHAnsi" w:hAnsiTheme="minorHAnsi" w:cs="Arial"/>
          <w:sz w:val="22"/>
          <w:szCs w:val="22"/>
          <w:shd w:val="clear" w:color="auto" w:fill="FFFFFF"/>
        </w:rPr>
        <w:t xml:space="preserve">UNDP </w:t>
      </w:r>
      <w:r w:rsidR="008579AB" w:rsidRPr="00824154">
        <w:rPr>
          <w:rFonts w:asciiTheme="minorHAnsi" w:hAnsiTheme="minorHAnsi" w:cs="Arial"/>
          <w:sz w:val="22"/>
          <w:szCs w:val="22"/>
          <w:shd w:val="clear" w:color="auto" w:fill="FFFFFF"/>
        </w:rPr>
        <w:t xml:space="preserve">has been providing high level </w:t>
      </w:r>
      <w:r w:rsidRPr="00824154">
        <w:rPr>
          <w:rFonts w:asciiTheme="minorHAnsi" w:hAnsiTheme="minorHAnsi" w:cs="Arial"/>
          <w:sz w:val="22"/>
          <w:szCs w:val="22"/>
          <w:shd w:val="clear" w:color="auto" w:fill="FFFFFF"/>
        </w:rPr>
        <w:t xml:space="preserve">technical support to </w:t>
      </w:r>
      <w:r w:rsidR="00824154">
        <w:rPr>
          <w:rFonts w:asciiTheme="minorHAnsi" w:hAnsiTheme="minorHAnsi" w:cs="Arial"/>
          <w:sz w:val="22"/>
          <w:szCs w:val="22"/>
          <w:shd w:val="clear" w:color="auto" w:fill="FFFFFF"/>
        </w:rPr>
        <w:t xml:space="preserve">the </w:t>
      </w:r>
      <w:r w:rsidRPr="00824154">
        <w:rPr>
          <w:rFonts w:asciiTheme="minorHAnsi" w:hAnsiTheme="minorHAnsi" w:cs="Arial"/>
          <w:sz w:val="22"/>
          <w:szCs w:val="22"/>
          <w:shd w:val="clear" w:color="auto" w:fill="FFFFFF"/>
        </w:rPr>
        <w:t xml:space="preserve">development of legal, strategic and operational documents and studies </w:t>
      </w:r>
      <w:r w:rsidR="008579AB" w:rsidRPr="00824154">
        <w:rPr>
          <w:rFonts w:asciiTheme="minorHAnsi" w:hAnsiTheme="minorHAnsi" w:cs="Arial"/>
          <w:sz w:val="22"/>
          <w:szCs w:val="22"/>
          <w:shd w:val="clear" w:color="auto" w:fill="FFFFFF"/>
        </w:rPr>
        <w:t>leading to</w:t>
      </w:r>
      <w:r w:rsidRPr="00824154">
        <w:rPr>
          <w:rFonts w:asciiTheme="minorHAnsi" w:hAnsiTheme="minorHAnsi" w:cs="Arial"/>
          <w:sz w:val="22"/>
          <w:szCs w:val="22"/>
          <w:shd w:val="clear" w:color="auto" w:fill="FFFFFF"/>
        </w:rPr>
        <w:t xml:space="preserve"> the approval and implementation </w:t>
      </w:r>
      <w:r w:rsidR="008579AB" w:rsidRPr="00824154">
        <w:rPr>
          <w:rFonts w:asciiTheme="minorHAnsi" w:hAnsiTheme="minorHAnsi" w:cs="Arial"/>
          <w:sz w:val="22"/>
          <w:szCs w:val="22"/>
          <w:shd w:val="clear" w:color="auto" w:fill="FFFFFF"/>
        </w:rPr>
        <w:t xml:space="preserve">in 2014 </w:t>
      </w:r>
      <w:r w:rsidRPr="00824154">
        <w:rPr>
          <w:rFonts w:asciiTheme="minorHAnsi" w:hAnsiTheme="minorHAnsi" w:cs="Arial"/>
          <w:sz w:val="22"/>
          <w:szCs w:val="22"/>
          <w:shd w:val="clear" w:color="auto" w:fill="FFFFFF"/>
        </w:rPr>
        <w:t xml:space="preserve">of the Conservation Law, the Disaster Risk Management </w:t>
      </w:r>
      <w:r w:rsidR="00824154">
        <w:rPr>
          <w:rFonts w:asciiTheme="minorHAnsi" w:hAnsiTheme="minorHAnsi" w:cs="Arial"/>
          <w:sz w:val="22"/>
          <w:szCs w:val="22"/>
          <w:shd w:val="clear" w:color="auto" w:fill="FFFFFF"/>
        </w:rPr>
        <w:t xml:space="preserve">Law and the Climate Change </w:t>
      </w:r>
      <w:r w:rsidRPr="00824154">
        <w:rPr>
          <w:rFonts w:asciiTheme="minorHAnsi" w:hAnsiTheme="minorHAnsi" w:cs="Arial"/>
          <w:sz w:val="22"/>
          <w:szCs w:val="22"/>
          <w:shd w:val="clear" w:color="auto" w:fill="FFFFFF"/>
        </w:rPr>
        <w:t>Adaptation Strategy, as well as the institutionalization of the co</w:t>
      </w:r>
      <w:r w:rsidR="005E6B78">
        <w:rPr>
          <w:rFonts w:asciiTheme="minorHAnsi" w:hAnsiTheme="minorHAnsi" w:cs="Arial"/>
          <w:sz w:val="22"/>
          <w:szCs w:val="22"/>
          <w:shd w:val="clear" w:color="auto" w:fill="FFFFFF"/>
        </w:rPr>
        <w:t>nserv</w:t>
      </w:r>
      <w:r w:rsidR="00E41678">
        <w:rPr>
          <w:rFonts w:asciiTheme="minorHAnsi" w:hAnsiTheme="minorHAnsi" w:cs="Arial"/>
          <w:sz w:val="22"/>
          <w:szCs w:val="22"/>
          <w:shd w:val="clear" w:color="auto" w:fill="FFFFFF"/>
        </w:rPr>
        <w:t xml:space="preserve">ation trust fund (BIOFUND). In 2015, the Biofund </w:t>
      </w:r>
      <w:r w:rsidR="005E6B78" w:rsidRPr="00E41678">
        <w:rPr>
          <w:rFonts w:asciiTheme="minorHAnsi" w:hAnsiTheme="minorHAnsi" w:cs="Arial"/>
          <w:sz w:val="22"/>
          <w:szCs w:val="22"/>
          <w:shd w:val="clear" w:color="auto" w:fill="FFFFFF"/>
        </w:rPr>
        <w:t>op</w:t>
      </w:r>
      <w:r w:rsidR="00E41678" w:rsidRPr="00E41678">
        <w:rPr>
          <w:rFonts w:asciiTheme="minorHAnsi" w:hAnsiTheme="minorHAnsi" w:cs="Arial"/>
          <w:sz w:val="22"/>
          <w:szCs w:val="22"/>
          <w:shd w:val="clear" w:color="auto" w:fill="FFFFFF"/>
        </w:rPr>
        <w:t xml:space="preserve">erationalization and </w:t>
      </w:r>
      <w:r w:rsidR="005E6B78" w:rsidRPr="00E41678">
        <w:rPr>
          <w:rFonts w:asciiTheme="minorHAnsi" w:hAnsiTheme="minorHAnsi" w:cs="Arial"/>
          <w:sz w:val="22"/>
          <w:szCs w:val="22"/>
          <w:shd w:val="clear" w:color="auto" w:fill="FFFFFF"/>
        </w:rPr>
        <w:t xml:space="preserve">capitalization </w:t>
      </w:r>
      <w:r w:rsidR="00E41678" w:rsidRPr="00E41678">
        <w:rPr>
          <w:rFonts w:asciiTheme="minorHAnsi" w:hAnsiTheme="minorHAnsi" w:cs="Arial"/>
          <w:sz w:val="22"/>
          <w:szCs w:val="22"/>
          <w:shd w:val="clear" w:color="auto" w:fill="FFFFFF"/>
        </w:rPr>
        <w:t>was completed and the fund h</w:t>
      </w:r>
      <w:r w:rsidR="005E6B78" w:rsidRPr="00E41678">
        <w:rPr>
          <w:rFonts w:asciiTheme="minorHAnsi" w:hAnsiTheme="minorHAnsi" w:cs="Arial"/>
          <w:sz w:val="22"/>
          <w:szCs w:val="22"/>
          <w:shd w:val="clear" w:color="auto" w:fill="FFFFFF"/>
        </w:rPr>
        <w:t>as now a level of capitalisation of around 22 million USD. The medium term objective is to generate an annual level of disbursement of 7 million USD, covering about 80% of the running costs of the national system of conservation areas.</w:t>
      </w:r>
    </w:p>
    <w:p w14:paraId="40585AA4" w14:textId="2BEE9661" w:rsidR="008E6BA6" w:rsidRDefault="008579AB" w:rsidP="00824154">
      <w:pPr>
        <w:pStyle w:val="BodyText2"/>
        <w:spacing w:before="120"/>
        <w:jc w:val="both"/>
        <w:rPr>
          <w:rFonts w:asciiTheme="minorHAnsi" w:hAnsiTheme="minorHAnsi" w:cs="Arial"/>
          <w:sz w:val="22"/>
          <w:szCs w:val="22"/>
          <w:shd w:val="clear" w:color="auto" w:fill="FFFFFF"/>
        </w:rPr>
      </w:pPr>
      <w:r w:rsidRPr="00824154">
        <w:rPr>
          <w:rFonts w:asciiTheme="minorHAnsi" w:hAnsiTheme="minorHAnsi" w:cs="Arial"/>
          <w:sz w:val="22"/>
          <w:szCs w:val="22"/>
          <w:shd w:val="clear" w:color="auto" w:fill="FFFFFF"/>
        </w:rPr>
        <w:t xml:space="preserve">In addition, </w:t>
      </w:r>
      <w:r w:rsidR="006B3765" w:rsidRPr="00824154">
        <w:rPr>
          <w:rFonts w:asciiTheme="minorHAnsi" w:hAnsiTheme="minorHAnsi" w:cs="Arial"/>
          <w:sz w:val="22"/>
          <w:szCs w:val="22"/>
          <w:shd w:val="clear" w:color="auto" w:fill="FFFFFF"/>
        </w:rPr>
        <w:t>UNDP substantially contributed to high-level political commitment for integrating disaster risk reduction and CC adaptation into national and local planning, through the inclusion of pro-poor sustainable natural resource management objectives in the 2015 plans of 9 ministries. Six provincial land use plans have been reviewed for climate proofing and 15 indicators that link poverty, environment and green economy have been included in the draft national env</w:t>
      </w:r>
      <w:r w:rsidR="008E6BA6" w:rsidRPr="00824154">
        <w:rPr>
          <w:rFonts w:asciiTheme="minorHAnsi" w:hAnsiTheme="minorHAnsi" w:cs="Arial"/>
          <w:sz w:val="22"/>
          <w:szCs w:val="22"/>
          <w:shd w:val="clear" w:color="auto" w:fill="FFFFFF"/>
        </w:rPr>
        <w:t xml:space="preserve">ironmental statistics strategy. </w:t>
      </w:r>
      <w:r w:rsidR="004A4975">
        <w:rPr>
          <w:rFonts w:asciiTheme="minorHAnsi" w:hAnsiTheme="minorHAnsi" w:cs="Arial"/>
          <w:sz w:val="22"/>
          <w:szCs w:val="22"/>
          <w:shd w:val="clear" w:color="auto" w:fill="FFFFFF"/>
        </w:rPr>
        <w:t xml:space="preserve">UNDP </w:t>
      </w:r>
      <w:r w:rsidR="004A4975" w:rsidRPr="004A4975">
        <w:rPr>
          <w:rFonts w:asciiTheme="minorHAnsi" w:hAnsiTheme="minorHAnsi" w:cs="Arial"/>
          <w:sz w:val="22"/>
          <w:szCs w:val="22"/>
          <w:shd w:val="clear" w:color="auto" w:fill="FFFFFF"/>
        </w:rPr>
        <w:t>provided relevant support for the improvement of climate information systems</w:t>
      </w:r>
      <w:r w:rsidR="0069414D">
        <w:rPr>
          <w:rFonts w:asciiTheme="minorHAnsi" w:hAnsiTheme="minorHAnsi" w:cs="Arial"/>
          <w:sz w:val="22"/>
          <w:szCs w:val="22"/>
          <w:shd w:val="clear" w:color="auto" w:fill="FFFFFF"/>
        </w:rPr>
        <w:t xml:space="preserve"> and</w:t>
      </w:r>
      <w:r w:rsidR="004A4975" w:rsidRPr="004A4975">
        <w:rPr>
          <w:rFonts w:asciiTheme="minorHAnsi" w:hAnsiTheme="minorHAnsi" w:cs="Arial"/>
          <w:sz w:val="22"/>
          <w:szCs w:val="22"/>
          <w:shd w:val="clear" w:color="auto" w:fill="FFFFFF"/>
        </w:rPr>
        <w:t xml:space="preserve"> </w:t>
      </w:r>
      <w:r w:rsidR="00BB0921">
        <w:rPr>
          <w:rFonts w:asciiTheme="minorHAnsi" w:hAnsiTheme="minorHAnsi" w:cs="Arial"/>
          <w:sz w:val="22"/>
          <w:szCs w:val="22"/>
          <w:shd w:val="clear" w:color="auto" w:fill="FFFFFF"/>
        </w:rPr>
        <w:t xml:space="preserve">to the </w:t>
      </w:r>
      <w:r w:rsidR="004A4975" w:rsidRPr="004A4975">
        <w:rPr>
          <w:rFonts w:asciiTheme="minorHAnsi" w:hAnsiTheme="minorHAnsi" w:cs="Arial"/>
          <w:sz w:val="22"/>
          <w:szCs w:val="22"/>
          <w:shd w:val="clear" w:color="auto" w:fill="FFFFFF"/>
        </w:rPr>
        <w:t>increase from 50 (2014) to 148 (2015) the number of vulnerable communities with capacities to adapt to climate change.</w:t>
      </w:r>
    </w:p>
    <w:p w14:paraId="6B5821AE" w14:textId="2A141787" w:rsidR="006B3765" w:rsidRPr="007628CB" w:rsidRDefault="00EE73A9" w:rsidP="00824154">
      <w:pPr>
        <w:pStyle w:val="BodyText2"/>
        <w:spacing w:before="120"/>
        <w:jc w:val="both"/>
        <w:rPr>
          <w:rFonts w:asciiTheme="minorHAnsi" w:hAnsiTheme="minorHAnsi" w:cs="Arial"/>
          <w:sz w:val="22"/>
          <w:szCs w:val="22"/>
          <w:shd w:val="clear" w:color="auto" w:fill="FFFFFF"/>
        </w:rPr>
      </w:pPr>
      <w:r w:rsidRPr="007628CB">
        <w:rPr>
          <w:rFonts w:asciiTheme="minorHAnsi" w:hAnsiTheme="minorHAnsi" w:cs="Arial"/>
          <w:sz w:val="22"/>
          <w:szCs w:val="22"/>
          <w:shd w:val="clear" w:color="auto" w:fill="FFFFFF"/>
        </w:rPr>
        <w:t>UNDP support to the Government during the last 2 decades contributed significantly to the clearance of over 55.494.569 m2 leading to the official declaration of Mozambique as mine-free in September 2015 hence achieving the target set under CPD Outcome 61 Indicator 2. The demining operations started in 1993 and resulted in the removal of 86.392 anti-personal land mines, 136 anti-tank mines, 5.475 items of unexploded ordnance</w:t>
      </w:r>
      <w:r w:rsidR="006B3765" w:rsidRPr="00824154">
        <w:rPr>
          <w:rFonts w:asciiTheme="minorHAnsi" w:hAnsiTheme="minorHAnsi" w:cs="Arial"/>
          <w:sz w:val="22"/>
          <w:szCs w:val="22"/>
          <w:shd w:val="clear" w:color="auto" w:fill="FFFFFF"/>
        </w:rPr>
        <w:t>.</w:t>
      </w:r>
      <w:r w:rsidR="006B3765" w:rsidRPr="007628CB">
        <w:t> </w:t>
      </w:r>
      <w:r w:rsidR="00D678E9" w:rsidRPr="007628CB">
        <w:t xml:space="preserve">UNDP supported mine action in Mozambique from beginning to </w:t>
      </w:r>
      <w:r w:rsidR="00D678E9" w:rsidRPr="007628CB">
        <w:lastRenderedPageBreak/>
        <w:t>end providing a set of technical advisors to the National Institute of Demining and other partners, channeling funds to these organizations and coordinating donor support.</w:t>
      </w:r>
    </w:p>
    <w:p w14:paraId="0EC02A62" w14:textId="2705AE5B" w:rsidR="007628CB" w:rsidRPr="007628CB" w:rsidRDefault="006D24E7" w:rsidP="007628CB">
      <w:pPr>
        <w:pStyle w:val="BodyText2"/>
        <w:spacing w:before="120"/>
        <w:jc w:val="both"/>
        <w:rPr>
          <w:rFonts w:asciiTheme="minorHAnsi" w:hAnsiTheme="minorHAnsi" w:cs="Arial"/>
          <w:sz w:val="22"/>
          <w:szCs w:val="22"/>
          <w:shd w:val="clear" w:color="auto" w:fill="FFFFFF"/>
        </w:rPr>
      </w:pPr>
      <w:r w:rsidRPr="00824154">
        <w:rPr>
          <w:rFonts w:asciiTheme="minorHAnsi" w:hAnsiTheme="minorHAnsi" w:cs="Arial"/>
          <w:sz w:val="22"/>
          <w:szCs w:val="22"/>
          <w:shd w:val="clear" w:color="auto" w:fill="FFFFFF"/>
        </w:rPr>
        <w:t xml:space="preserve">In 2014, UNDP </w:t>
      </w:r>
      <w:r w:rsidR="00BB0921">
        <w:rPr>
          <w:rFonts w:asciiTheme="minorHAnsi" w:hAnsiTheme="minorHAnsi" w:cs="Arial"/>
          <w:sz w:val="22"/>
          <w:szCs w:val="22"/>
          <w:shd w:val="clear" w:color="auto" w:fill="FFFFFF"/>
        </w:rPr>
        <w:t xml:space="preserve">has </w:t>
      </w:r>
      <w:r w:rsidRPr="00824154">
        <w:rPr>
          <w:rFonts w:asciiTheme="minorHAnsi" w:hAnsiTheme="minorHAnsi" w:cs="Arial"/>
          <w:sz w:val="22"/>
          <w:szCs w:val="22"/>
          <w:shd w:val="clear" w:color="auto" w:fill="FFFFFF"/>
        </w:rPr>
        <w:t xml:space="preserve">also broadened its </w:t>
      </w:r>
      <w:r w:rsidR="00BB0921">
        <w:rPr>
          <w:rFonts w:asciiTheme="minorHAnsi" w:hAnsiTheme="minorHAnsi" w:cs="Arial"/>
          <w:sz w:val="22"/>
          <w:szCs w:val="22"/>
          <w:shd w:val="clear" w:color="auto" w:fill="FFFFFF"/>
        </w:rPr>
        <w:t>intervention in the extractive industries field establ</w:t>
      </w:r>
      <w:r w:rsidRPr="00824154">
        <w:rPr>
          <w:rFonts w:asciiTheme="minorHAnsi" w:hAnsiTheme="minorHAnsi" w:cs="Arial"/>
          <w:sz w:val="22"/>
          <w:szCs w:val="22"/>
          <w:shd w:val="clear" w:color="auto" w:fill="FFFFFF"/>
        </w:rPr>
        <w:t xml:space="preserve">ishing itself as a strategic partner in this area. </w:t>
      </w:r>
      <w:r w:rsidR="007628CB" w:rsidRPr="007628CB">
        <w:rPr>
          <w:rFonts w:asciiTheme="minorHAnsi" w:hAnsiTheme="minorHAnsi" w:cs="Arial"/>
          <w:sz w:val="22"/>
          <w:szCs w:val="22"/>
          <w:shd w:val="clear" w:color="auto" w:fill="FFFFFF"/>
        </w:rPr>
        <w:t>As chair of the Environment Working Group, UNDP coordinated partners’ advocacy efforts towards an improved engagement from the Government in the area of environment, climate change and resilience hence contributing to the inclusion of these issues as 1 of the 5 priorities of the Government’s 5 Year Plan (PQG)</w:t>
      </w:r>
      <w:r w:rsidR="002A23C1">
        <w:rPr>
          <w:rFonts w:asciiTheme="minorHAnsi" w:hAnsiTheme="minorHAnsi" w:cs="Arial"/>
          <w:sz w:val="22"/>
          <w:szCs w:val="22"/>
          <w:shd w:val="clear" w:color="auto" w:fill="FFFFFF"/>
        </w:rPr>
        <w:t xml:space="preserve"> approved in 2015</w:t>
      </w:r>
      <w:r w:rsidR="007628CB" w:rsidRPr="007628CB">
        <w:rPr>
          <w:rFonts w:asciiTheme="minorHAnsi" w:hAnsiTheme="minorHAnsi" w:cs="Arial"/>
          <w:sz w:val="22"/>
          <w:szCs w:val="22"/>
          <w:shd w:val="clear" w:color="auto" w:fill="FFFFFF"/>
        </w:rPr>
        <w:t xml:space="preserve">. As a further result of this commitment, the CO secured 15,7 million USD from GEF to support wildlife and biodiversity conservation in the next years. </w:t>
      </w:r>
    </w:p>
    <w:p w14:paraId="43C24439" w14:textId="77777777" w:rsidR="007628CB" w:rsidRPr="00824154" w:rsidRDefault="007628CB" w:rsidP="00824154">
      <w:pPr>
        <w:pStyle w:val="BodyText2"/>
        <w:spacing w:before="120"/>
        <w:jc w:val="both"/>
        <w:rPr>
          <w:rFonts w:asciiTheme="minorHAnsi" w:hAnsiTheme="minorHAnsi" w:cs="Arial"/>
          <w:sz w:val="22"/>
          <w:szCs w:val="22"/>
          <w:shd w:val="clear" w:color="auto" w:fill="FFFFFF"/>
        </w:rPr>
      </w:pPr>
    </w:p>
    <w:p w14:paraId="6B720003" w14:textId="77777777" w:rsidR="0037523B" w:rsidRPr="00AB430F" w:rsidRDefault="0037523B" w:rsidP="00824154">
      <w:pPr>
        <w:pStyle w:val="BodyText2"/>
        <w:spacing w:before="120"/>
        <w:jc w:val="both"/>
        <w:rPr>
          <w:rFonts w:asciiTheme="minorHAnsi" w:hAnsiTheme="minorHAnsi"/>
          <w:b/>
          <w:sz w:val="24"/>
        </w:rPr>
      </w:pPr>
    </w:p>
    <w:p w14:paraId="0F775819" w14:textId="77777777" w:rsidR="0037523B" w:rsidRPr="00AB430F" w:rsidRDefault="0037523B" w:rsidP="00824154">
      <w:pPr>
        <w:pStyle w:val="BodyText2"/>
        <w:spacing w:before="120"/>
        <w:jc w:val="both"/>
        <w:rPr>
          <w:rFonts w:asciiTheme="minorHAnsi" w:hAnsiTheme="minorHAnsi"/>
          <w:b/>
          <w:sz w:val="24"/>
        </w:rPr>
      </w:pPr>
    </w:p>
    <w:p w14:paraId="707B64DC" w14:textId="77777777" w:rsidR="0037523B" w:rsidRPr="00AB430F" w:rsidRDefault="0037523B" w:rsidP="00975566">
      <w:pPr>
        <w:pStyle w:val="BodyText2"/>
        <w:jc w:val="center"/>
        <w:rPr>
          <w:rFonts w:asciiTheme="minorHAnsi" w:hAnsiTheme="minorHAnsi"/>
          <w:b/>
          <w:sz w:val="24"/>
        </w:rPr>
      </w:pPr>
    </w:p>
    <w:p w14:paraId="48D94B73" w14:textId="77777777" w:rsidR="0037523B" w:rsidRPr="00AB430F" w:rsidRDefault="0037523B" w:rsidP="00975566">
      <w:pPr>
        <w:pStyle w:val="BodyText2"/>
        <w:jc w:val="center"/>
        <w:rPr>
          <w:rFonts w:asciiTheme="minorHAnsi" w:hAnsiTheme="minorHAnsi"/>
          <w:b/>
          <w:sz w:val="24"/>
        </w:rPr>
        <w:sectPr w:rsidR="0037523B" w:rsidRPr="00AB430F">
          <w:footerReference w:type="default" r:id="rId13"/>
          <w:endnotePr>
            <w:numFmt w:val="decimal"/>
          </w:endnotePr>
          <w:pgSz w:w="11907" w:h="16840" w:code="9"/>
          <w:pgMar w:top="1440" w:right="1440" w:bottom="1440" w:left="1440" w:header="720" w:footer="720" w:gutter="0"/>
          <w:cols w:space="720"/>
        </w:sectPr>
      </w:pPr>
    </w:p>
    <w:p w14:paraId="53305A9C" w14:textId="77777777" w:rsidR="00975566" w:rsidRPr="00AB430F" w:rsidRDefault="006900FE" w:rsidP="008440D9">
      <w:pPr>
        <w:pStyle w:val="Heading3"/>
        <w:jc w:val="left"/>
        <w:rPr>
          <w:rFonts w:asciiTheme="minorHAnsi" w:hAnsiTheme="minorHAnsi"/>
          <w:b/>
        </w:rPr>
      </w:pPr>
      <w:r w:rsidRPr="00AB430F">
        <w:rPr>
          <w:rFonts w:asciiTheme="minorHAnsi" w:hAnsiTheme="minorHAnsi"/>
          <w:b/>
        </w:rPr>
        <w:lastRenderedPageBreak/>
        <w:t>II</w:t>
      </w:r>
      <w:r w:rsidR="0081403B" w:rsidRPr="00AB430F">
        <w:rPr>
          <w:rFonts w:asciiTheme="minorHAnsi" w:hAnsiTheme="minorHAnsi"/>
          <w:b/>
        </w:rPr>
        <w:t xml:space="preserve">: </w:t>
      </w:r>
      <w:r w:rsidR="000C09B4" w:rsidRPr="00AB430F">
        <w:rPr>
          <w:rFonts w:asciiTheme="minorHAnsi" w:hAnsiTheme="minorHAnsi"/>
          <w:b/>
        </w:rPr>
        <w:t xml:space="preserve">Country Programme Performance </w:t>
      </w:r>
      <w:r w:rsidR="00975566" w:rsidRPr="00AB430F">
        <w:rPr>
          <w:rFonts w:asciiTheme="minorHAnsi" w:hAnsiTheme="minorHAnsi"/>
          <w:b/>
        </w:rPr>
        <w:t>Summary</w:t>
      </w:r>
    </w:p>
    <w:p w14:paraId="0110F8BA" w14:textId="77777777" w:rsidR="00DC7354" w:rsidRPr="00AB430F" w:rsidRDefault="00DC7354" w:rsidP="00975566">
      <w:pPr>
        <w:pStyle w:val="BodyText2"/>
        <w:jc w:val="center"/>
        <w:rPr>
          <w:rFonts w:asciiTheme="minorHAnsi" w:hAnsiTheme="minorHAnsi"/>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AB430F" w14:paraId="41D84EB6" w14:textId="77777777" w:rsidTr="009E7526">
        <w:tc>
          <w:tcPr>
            <w:tcW w:w="3150" w:type="dxa"/>
            <w:gridSpan w:val="2"/>
            <w:tcBorders>
              <w:right w:val="nil"/>
            </w:tcBorders>
            <w:shd w:val="clear" w:color="auto" w:fill="FFC000"/>
          </w:tcPr>
          <w:p w14:paraId="0322BA30" w14:textId="77777777" w:rsidR="00CB647D" w:rsidRPr="00AB430F" w:rsidRDefault="00CB647D">
            <w:pPr>
              <w:pStyle w:val="BodyText2"/>
              <w:rPr>
                <w:rFonts w:asciiTheme="minorHAnsi" w:hAnsiTheme="minorHAnsi"/>
                <w:b/>
                <w:sz w:val="24"/>
              </w:rPr>
            </w:pPr>
            <w:r w:rsidRPr="00AB430F">
              <w:rPr>
                <w:rFonts w:asciiTheme="minorHAnsi" w:hAnsiTheme="minorHAnsi"/>
                <w:b/>
              </w:rPr>
              <w:t>Country information</w:t>
            </w:r>
          </w:p>
        </w:tc>
        <w:tc>
          <w:tcPr>
            <w:tcW w:w="10890" w:type="dxa"/>
            <w:gridSpan w:val="3"/>
            <w:tcBorders>
              <w:left w:val="nil"/>
            </w:tcBorders>
            <w:shd w:val="clear" w:color="auto" w:fill="FFC000"/>
          </w:tcPr>
          <w:p w14:paraId="664D62E8" w14:textId="77777777" w:rsidR="00CB647D" w:rsidRPr="00AB430F" w:rsidRDefault="00CB647D">
            <w:pPr>
              <w:pStyle w:val="BodyText2"/>
              <w:rPr>
                <w:rFonts w:asciiTheme="minorHAnsi" w:hAnsiTheme="minorHAnsi"/>
                <w:b/>
                <w:sz w:val="24"/>
              </w:rPr>
            </w:pPr>
          </w:p>
        </w:tc>
      </w:tr>
      <w:tr w:rsidR="009B76A1" w:rsidRPr="00AB430F" w14:paraId="00A52DE4" w14:textId="77777777" w:rsidTr="00BC65CB">
        <w:tc>
          <w:tcPr>
            <w:tcW w:w="14040" w:type="dxa"/>
            <w:gridSpan w:val="5"/>
          </w:tcPr>
          <w:p w14:paraId="225060FA" w14:textId="77777777" w:rsidR="009B76A1" w:rsidRPr="00AB430F" w:rsidRDefault="009B76A1">
            <w:pPr>
              <w:pStyle w:val="BodyText2"/>
              <w:rPr>
                <w:rFonts w:asciiTheme="minorHAnsi" w:hAnsiTheme="minorHAnsi"/>
                <w:b/>
                <w:sz w:val="24"/>
              </w:rPr>
            </w:pPr>
            <w:r w:rsidRPr="00AB430F">
              <w:rPr>
                <w:rFonts w:asciiTheme="minorHAnsi" w:hAnsiTheme="minorHAnsi"/>
                <w:b/>
              </w:rPr>
              <w:t>Country name:</w:t>
            </w:r>
            <w:r w:rsidR="00675517" w:rsidRPr="00AB430F">
              <w:rPr>
                <w:rFonts w:asciiTheme="minorHAnsi" w:hAnsiTheme="minorHAnsi"/>
                <w:b/>
              </w:rPr>
              <w:t xml:space="preserve"> Mozambique</w:t>
            </w:r>
          </w:p>
        </w:tc>
      </w:tr>
      <w:tr w:rsidR="009B76A1" w:rsidRPr="00AB430F" w14:paraId="775E389C" w14:textId="77777777" w:rsidTr="00BC65CB">
        <w:tc>
          <w:tcPr>
            <w:tcW w:w="14040" w:type="dxa"/>
            <w:gridSpan w:val="5"/>
          </w:tcPr>
          <w:p w14:paraId="5BDE39DA" w14:textId="46F511CA" w:rsidR="009B76A1" w:rsidRPr="00AB430F" w:rsidRDefault="009B76A1">
            <w:pPr>
              <w:pStyle w:val="BodyText2"/>
              <w:rPr>
                <w:rFonts w:asciiTheme="minorHAnsi" w:hAnsiTheme="minorHAnsi"/>
                <w:b/>
              </w:rPr>
            </w:pPr>
            <w:r w:rsidRPr="00AB430F">
              <w:rPr>
                <w:rFonts w:asciiTheme="minorHAnsi" w:hAnsiTheme="minorHAnsi"/>
                <w:b/>
              </w:rPr>
              <w:t>Current country programme period:</w:t>
            </w:r>
            <w:r w:rsidR="00675517" w:rsidRPr="00AB430F">
              <w:rPr>
                <w:rFonts w:asciiTheme="minorHAnsi" w:hAnsiTheme="minorHAnsi"/>
                <w:b/>
              </w:rPr>
              <w:t xml:space="preserve"> 2012-201</w:t>
            </w:r>
            <w:r w:rsidR="00702A48">
              <w:rPr>
                <w:rFonts w:asciiTheme="minorHAnsi" w:hAnsiTheme="minorHAnsi"/>
                <w:b/>
              </w:rPr>
              <w:t>6</w:t>
            </w:r>
          </w:p>
        </w:tc>
      </w:tr>
      <w:tr w:rsidR="003B037A" w:rsidRPr="00AB430F" w14:paraId="52275555" w14:textId="77777777" w:rsidTr="009E7526">
        <w:tc>
          <w:tcPr>
            <w:tcW w:w="3150" w:type="dxa"/>
            <w:gridSpan w:val="2"/>
          </w:tcPr>
          <w:p w14:paraId="74AEAADC" w14:textId="77777777" w:rsidR="003B037A" w:rsidRPr="00AB430F" w:rsidRDefault="003B037A">
            <w:pPr>
              <w:pStyle w:val="BodyText2"/>
              <w:rPr>
                <w:rFonts w:asciiTheme="minorHAnsi" w:hAnsiTheme="minorHAnsi"/>
                <w:b/>
                <w:sz w:val="24"/>
              </w:rPr>
            </w:pPr>
            <w:r w:rsidRPr="00AB430F">
              <w:rPr>
                <w:rFonts w:asciiTheme="minorHAnsi" w:hAnsiTheme="minorHAnsi"/>
                <w:b/>
                <w:sz w:val="24"/>
              </w:rPr>
              <w:t>Outcome</w:t>
            </w:r>
            <w:r w:rsidR="00700521" w:rsidRPr="00AB430F">
              <w:rPr>
                <w:rFonts w:asciiTheme="minorHAnsi" w:hAnsiTheme="minorHAnsi"/>
                <w:b/>
                <w:sz w:val="24"/>
              </w:rPr>
              <w:t>s</w:t>
            </w:r>
          </w:p>
        </w:tc>
        <w:tc>
          <w:tcPr>
            <w:tcW w:w="1440" w:type="dxa"/>
            <w:shd w:val="clear" w:color="auto" w:fill="auto"/>
          </w:tcPr>
          <w:p w14:paraId="6BDDB33A" w14:textId="77777777" w:rsidR="003B037A" w:rsidRPr="00824154" w:rsidRDefault="003B037A">
            <w:pPr>
              <w:pStyle w:val="BodyText2"/>
              <w:rPr>
                <w:rFonts w:asciiTheme="minorHAnsi" w:hAnsiTheme="minorHAnsi"/>
                <w:b/>
                <w:sz w:val="22"/>
              </w:rPr>
            </w:pPr>
            <w:r w:rsidRPr="00824154">
              <w:rPr>
                <w:rFonts w:asciiTheme="minorHAnsi" w:hAnsiTheme="minorHAnsi"/>
                <w:b/>
                <w:sz w:val="22"/>
              </w:rPr>
              <w:t>Total Expenditure</w:t>
            </w:r>
          </w:p>
        </w:tc>
        <w:tc>
          <w:tcPr>
            <w:tcW w:w="3960" w:type="dxa"/>
            <w:tcBorders>
              <w:left w:val="single" w:sz="4" w:space="0" w:color="auto"/>
            </w:tcBorders>
          </w:tcPr>
          <w:p w14:paraId="3331BB45" w14:textId="77777777" w:rsidR="003B037A" w:rsidRPr="00AB430F" w:rsidRDefault="003B037A">
            <w:pPr>
              <w:pStyle w:val="BodyText2"/>
              <w:rPr>
                <w:rFonts w:asciiTheme="minorHAnsi" w:hAnsiTheme="minorHAnsi"/>
                <w:b/>
                <w:sz w:val="22"/>
              </w:rPr>
            </w:pPr>
            <w:r w:rsidRPr="00AB430F">
              <w:rPr>
                <w:rFonts w:asciiTheme="minorHAnsi" w:hAnsiTheme="minorHAnsi"/>
                <w:b/>
                <w:sz w:val="22"/>
              </w:rPr>
              <w:t>Key Indicators of outcome (1-4 per outcome)</w:t>
            </w:r>
          </w:p>
        </w:tc>
        <w:tc>
          <w:tcPr>
            <w:tcW w:w="5490" w:type="dxa"/>
          </w:tcPr>
          <w:p w14:paraId="15EA2202" w14:textId="77777777" w:rsidR="003B037A" w:rsidRPr="00AB430F" w:rsidRDefault="003B037A">
            <w:pPr>
              <w:pStyle w:val="BodyText2"/>
              <w:rPr>
                <w:rFonts w:asciiTheme="minorHAnsi" w:hAnsiTheme="minorHAnsi"/>
                <w:b/>
                <w:sz w:val="22"/>
              </w:rPr>
            </w:pPr>
            <w:r w:rsidRPr="00AB430F">
              <w:rPr>
                <w:rFonts w:asciiTheme="minorHAnsi" w:hAnsiTheme="minorHAnsi"/>
                <w:b/>
                <w:sz w:val="22"/>
              </w:rPr>
              <w:t>Progress made against key indicators</w:t>
            </w:r>
          </w:p>
        </w:tc>
      </w:tr>
      <w:tr w:rsidR="000823AC" w:rsidRPr="00AB430F" w14:paraId="23609BC6" w14:textId="77777777" w:rsidTr="000823AC">
        <w:tc>
          <w:tcPr>
            <w:tcW w:w="3150" w:type="dxa"/>
            <w:gridSpan w:val="2"/>
            <w:tcBorders>
              <w:bottom w:val="single" w:sz="4" w:space="0" w:color="auto"/>
            </w:tcBorders>
            <w:shd w:val="clear" w:color="auto" w:fill="95B3D7" w:themeFill="accent1" w:themeFillTint="99"/>
          </w:tcPr>
          <w:p w14:paraId="4A0176F8" w14:textId="77777777" w:rsidR="00675517" w:rsidRPr="00AB430F" w:rsidRDefault="003B037A" w:rsidP="00675517">
            <w:pPr>
              <w:pStyle w:val="BodyText2"/>
              <w:rPr>
                <w:rFonts w:asciiTheme="minorHAnsi" w:hAnsiTheme="minorHAnsi"/>
                <w:b/>
              </w:rPr>
            </w:pPr>
            <w:r w:rsidRPr="00AB430F">
              <w:rPr>
                <w:rFonts w:asciiTheme="minorHAnsi" w:hAnsiTheme="minorHAnsi"/>
                <w:b/>
              </w:rPr>
              <w:t xml:space="preserve">1. </w:t>
            </w:r>
            <w:r w:rsidR="00675517" w:rsidRPr="00AB430F">
              <w:rPr>
                <w:rFonts w:asciiTheme="minorHAnsi" w:hAnsiTheme="minorHAnsi"/>
                <w:b/>
              </w:rPr>
              <w:t>Vulnerable groups demand and</w:t>
            </w:r>
          </w:p>
          <w:p w14:paraId="353DE0CF" w14:textId="77777777" w:rsidR="003B037A" w:rsidRPr="00AB430F" w:rsidRDefault="00675517" w:rsidP="00675517">
            <w:pPr>
              <w:pStyle w:val="BodyText2"/>
              <w:rPr>
                <w:rFonts w:asciiTheme="minorHAnsi" w:hAnsiTheme="minorHAnsi"/>
                <w:b/>
              </w:rPr>
            </w:pPr>
            <w:r w:rsidRPr="00AB430F">
              <w:rPr>
                <w:rFonts w:asciiTheme="minorHAnsi" w:hAnsiTheme="minorHAnsi"/>
                <w:b/>
              </w:rPr>
              <w:t>ensure production and productivity in the primary sector to increase their own food security.</w:t>
            </w:r>
          </w:p>
          <w:p w14:paraId="21E64170" w14:textId="77777777" w:rsidR="00675517" w:rsidRPr="00AB430F" w:rsidRDefault="00675517" w:rsidP="00675517">
            <w:pPr>
              <w:pStyle w:val="BodyText2"/>
              <w:rPr>
                <w:rFonts w:asciiTheme="minorHAnsi" w:hAnsiTheme="minorHAnsi"/>
                <w:b/>
              </w:rPr>
            </w:pPr>
          </w:p>
          <w:p w14:paraId="1969302B" w14:textId="77777777" w:rsidR="00675517" w:rsidRPr="00AB430F" w:rsidRDefault="00675517" w:rsidP="00675517">
            <w:pPr>
              <w:pStyle w:val="BodyText2"/>
              <w:rPr>
                <w:rFonts w:asciiTheme="minorHAnsi" w:hAnsiTheme="minorHAnsi"/>
                <w:b/>
              </w:rPr>
            </w:pPr>
          </w:p>
        </w:tc>
        <w:tc>
          <w:tcPr>
            <w:tcW w:w="1440" w:type="dxa"/>
            <w:tcBorders>
              <w:bottom w:val="single" w:sz="4" w:space="0" w:color="auto"/>
            </w:tcBorders>
            <w:shd w:val="clear" w:color="auto" w:fill="auto"/>
          </w:tcPr>
          <w:p w14:paraId="3753FD63" w14:textId="77777777" w:rsidR="004709C4" w:rsidRDefault="004709C4">
            <w:pPr>
              <w:pStyle w:val="BodyText2"/>
              <w:rPr>
                <w:rFonts w:asciiTheme="minorHAnsi" w:hAnsiTheme="minorHAnsi"/>
              </w:rPr>
            </w:pPr>
          </w:p>
          <w:p w14:paraId="51F1E31D" w14:textId="5DFC68F9" w:rsidR="00702A48" w:rsidRDefault="004709C4">
            <w:pPr>
              <w:pStyle w:val="BodyText2"/>
              <w:rPr>
                <w:rFonts w:asciiTheme="minorHAnsi" w:hAnsiTheme="minorHAnsi"/>
              </w:rPr>
            </w:pPr>
            <w:r>
              <w:rPr>
                <w:rFonts w:asciiTheme="minorHAnsi" w:hAnsiTheme="minorHAnsi"/>
              </w:rPr>
              <w:t>465,247</w:t>
            </w:r>
          </w:p>
          <w:p w14:paraId="7369AA39" w14:textId="05FA0702" w:rsidR="00702A48" w:rsidRPr="00824154" w:rsidRDefault="00702A48">
            <w:pPr>
              <w:pStyle w:val="BodyText2"/>
              <w:rPr>
                <w:rFonts w:asciiTheme="minorHAnsi" w:hAnsiTheme="minorHAnsi"/>
              </w:rPr>
            </w:pPr>
          </w:p>
        </w:tc>
        <w:tc>
          <w:tcPr>
            <w:tcW w:w="3960" w:type="dxa"/>
            <w:tcBorders>
              <w:left w:val="single" w:sz="4" w:space="0" w:color="auto"/>
              <w:bottom w:val="single" w:sz="4" w:space="0" w:color="auto"/>
            </w:tcBorders>
          </w:tcPr>
          <w:p w14:paraId="37B44D49" w14:textId="77777777" w:rsidR="00675517" w:rsidRPr="00AB430F" w:rsidRDefault="00675517" w:rsidP="00675517">
            <w:pPr>
              <w:pStyle w:val="BodyText2"/>
              <w:numPr>
                <w:ilvl w:val="0"/>
                <w:numId w:val="13"/>
              </w:numPr>
              <w:rPr>
                <w:rFonts w:asciiTheme="minorHAnsi" w:hAnsiTheme="minorHAnsi"/>
                <w:i/>
              </w:rPr>
            </w:pPr>
            <w:r w:rsidRPr="00AB430F">
              <w:rPr>
                <w:rFonts w:asciiTheme="minorHAnsi" w:hAnsiTheme="minorHAnsi"/>
                <w:i/>
              </w:rPr>
              <w:t>% of population with chronic malnutrition and food insecurity</w:t>
            </w:r>
          </w:p>
          <w:p w14:paraId="1B05B7AC" w14:textId="77777777" w:rsidR="003B037A" w:rsidRDefault="00675517" w:rsidP="00675517">
            <w:pPr>
              <w:pStyle w:val="BodyText2"/>
              <w:numPr>
                <w:ilvl w:val="0"/>
                <w:numId w:val="13"/>
              </w:numPr>
              <w:rPr>
                <w:rFonts w:asciiTheme="minorHAnsi" w:hAnsiTheme="minorHAnsi"/>
                <w:i/>
              </w:rPr>
            </w:pPr>
            <w:r w:rsidRPr="00AB430F">
              <w:rPr>
                <w:rFonts w:asciiTheme="minorHAnsi" w:hAnsiTheme="minorHAnsi"/>
                <w:i/>
              </w:rPr>
              <w:t>Production of cereals per province</w:t>
            </w:r>
          </w:p>
          <w:p w14:paraId="41FCF875" w14:textId="719C5A57" w:rsidR="006A1828" w:rsidRPr="00AB430F" w:rsidRDefault="006A1828" w:rsidP="006A1828">
            <w:pPr>
              <w:pStyle w:val="BodyText2"/>
              <w:numPr>
                <w:ilvl w:val="0"/>
                <w:numId w:val="13"/>
              </w:numPr>
              <w:rPr>
                <w:rFonts w:asciiTheme="minorHAnsi" w:hAnsiTheme="minorHAnsi"/>
                <w:i/>
              </w:rPr>
            </w:pPr>
            <w:r>
              <w:rPr>
                <w:rFonts w:asciiTheme="minorHAnsi" w:hAnsiTheme="minorHAnsi"/>
                <w:i/>
              </w:rPr>
              <w:t>Fish catc</w:t>
            </w:r>
            <w:r w:rsidRPr="006A1828">
              <w:rPr>
                <w:rFonts w:asciiTheme="minorHAnsi" w:hAnsiTheme="minorHAnsi"/>
                <w:i/>
              </w:rPr>
              <w:t>hes by domestic artisanal fishe</w:t>
            </w:r>
            <w:r>
              <w:rPr>
                <w:rFonts w:asciiTheme="minorHAnsi" w:hAnsiTheme="minorHAnsi"/>
                <w:i/>
              </w:rPr>
              <w:t>r</w:t>
            </w:r>
            <w:r w:rsidRPr="006A1828">
              <w:rPr>
                <w:rFonts w:asciiTheme="minorHAnsi" w:hAnsiTheme="minorHAnsi"/>
                <w:i/>
              </w:rPr>
              <w:t>men</w:t>
            </w:r>
          </w:p>
          <w:p w14:paraId="45640645" w14:textId="77777777" w:rsidR="0066648B" w:rsidRPr="00AB430F" w:rsidRDefault="0066648B" w:rsidP="0066648B">
            <w:pPr>
              <w:pStyle w:val="BodyText2"/>
              <w:ind w:left="360"/>
              <w:rPr>
                <w:rFonts w:asciiTheme="minorHAnsi" w:hAnsiTheme="minorHAnsi"/>
                <w:i/>
              </w:rPr>
            </w:pPr>
          </w:p>
        </w:tc>
        <w:tc>
          <w:tcPr>
            <w:tcW w:w="5490" w:type="dxa"/>
            <w:tcBorders>
              <w:bottom w:val="single" w:sz="4" w:space="0" w:color="auto"/>
            </w:tcBorders>
            <w:shd w:val="clear" w:color="auto" w:fill="auto"/>
          </w:tcPr>
          <w:p w14:paraId="2951552B" w14:textId="77777777" w:rsidR="003B037A" w:rsidRPr="00AB430F" w:rsidRDefault="0066648B" w:rsidP="000F77FD">
            <w:pPr>
              <w:pStyle w:val="BodyText2"/>
              <w:numPr>
                <w:ilvl w:val="0"/>
                <w:numId w:val="14"/>
              </w:numPr>
              <w:rPr>
                <w:rFonts w:asciiTheme="minorHAnsi" w:hAnsiTheme="minorHAnsi"/>
                <w:i/>
              </w:rPr>
            </w:pPr>
            <w:r w:rsidRPr="00AB430F">
              <w:rPr>
                <w:rFonts w:asciiTheme="minorHAnsi" w:hAnsiTheme="minorHAnsi"/>
                <w:i/>
              </w:rPr>
              <w:t xml:space="preserve">In 2014, </w:t>
            </w:r>
            <w:r w:rsidR="00553530">
              <w:rPr>
                <w:rFonts w:asciiTheme="minorHAnsi" w:hAnsiTheme="minorHAnsi"/>
                <w:i/>
              </w:rPr>
              <w:t xml:space="preserve">the </w:t>
            </w:r>
            <w:r w:rsidRPr="00AB430F">
              <w:rPr>
                <w:rFonts w:asciiTheme="minorHAnsi" w:hAnsiTheme="minorHAnsi"/>
                <w:i/>
              </w:rPr>
              <w:t xml:space="preserve">target to </w:t>
            </w:r>
            <w:r w:rsidR="00553530">
              <w:rPr>
                <w:rFonts w:asciiTheme="minorHAnsi" w:hAnsiTheme="minorHAnsi"/>
                <w:i/>
              </w:rPr>
              <w:t xml:space="preserve">decrease the baseline 35 % </w:t>
            </w:r>
            <w:r w:rsidRPr="00AB430F">
              <w:rPr>
                <w:rFonts w:asciiTheme="minorHAnsi" w:hAnsiTheme="minorHAnsi"/>
                <w:i/>
              </w:rPr>
              <w:t xml:space="preserve">to 24% was achieved. The data refers </w:t>
            </w:r>
            <w:r w:rsidR="00553530">
              <w:rPr>
                <w:rFonts w:asciiTheme="minorHAnsi" w:hAnsiTheme="minorHAnsi"/>
                <w:i/>
              </w:rPr>
              <w:t>t</w:t>
            </w:r>
            <w:r w:rsidRPr="00AB430F">
              <w:rPr>
                <w:rFonts w:asciiTheme="minorHAnsi" w:hAnsiTheme="minorHAnsi"/>
                <w:i/>
              </w:rPr>
              <w:t xml:space="preserve">o households, </w:t>
            </w:r>
            <w:r w:rsidR="00553530">
              <w:rPr>
                <w:rFonts w:asciiTheme="minorHAnsi" w:hAnsiTheme="minorHAnsi"/>
                <w:i/>
              </w:rPr>
              <w:t xml:space="preserve">since </w:t>
            </w:r>
            <w:r w:rsidRPr="00AB430F">
              <w:rPr>
                <w:rFonts w:asciiTheme="minorHAnsi" w:hAnsiTheme="minorHAnsi"/>
                <w:i/>
              </w:rPr>
              <w:t xml:space="preserve">no data </w:t>
            </w:r>
            <w:r w:rsidR="00553530">
              <w:rPr>
                <w:rFonts w:asciiTheme="minorHAnsi" w:hAnsiTheme="minorHAnsi"/>
                <w:i/>
              </w:rPr>
              <w:t xml:space="preserve">is </w:t>
            </w:r>
            <w:r w:rsidRPr="00AB430F">
              <w:rPr>
                <w:rFonts w:asciiTheme="minorHAnsi" w:hAnsiTheme="minorHAnsi"/>
                <w:i/>
              </w:rPr>
              <w:t xml:space="preserve">available for population. </w:t>
            </w:r>
          </w:p>
          <w:p w14:paraId="303D0CC4" w14:textId="7323CB1B" w:rsidR="0066648B" w:rsidRDefault="00553530" w:rsidP="000F77FD">
            <w:pPr>
              <w:pStyle w:val="BodyText2"/>
              <w:numPr>
                <w:ilvl w:val="0"/>
                <w:numId w:val="14"/>
              </w:numPr>
              <w:rPr>
                <w:rFonts w:asciiTheme="minorHAnsi" w:hAnsiTheme="minorHAnsi"/>
                <w:i/>
              </w:rPr>
            </w:pPr>
            <w:r>
              <w:rPr>
                <w:rFonts w:asciiTheme="minorHAnsi" w:hAnsiTheme="minorHAnsi"/>
                <w:i/>
              </w:rPr>
              <w:t xml:space="preserve">There is </w:t>
            </w:r>
            <w:r w:rsidR="00BC65CB">
              <w:rPr>
                <w:rFonts w:asciiTheme="minorHAnsi" w:hAnsiTheme="minorHAnsi"/>
                <w:i/>
              </w:rPr>
              <w:t xml:space="preserve">an </w:t>
            </w:r>
            <w:r>
              <w:rPr>
                <w:rFonts w:asciiTheme="minorHAnsi" w:hAnsiTheme="minorHAnsi"/>
                <w:i/>
              </w:rPr>
              <w:t>i</w:t>
            </w:r>
            <w:r w:rsidR="0066648B" w:rsidRPr="00AB430F">
              <w:rPr>
                <w:rFonts w:asciiTheme="minorHAnsi" w:hAnsiTheme="minorHAnsi"/>
                <w:i/>
              </w:rPr>
              <w:t>ncrease of total production of cereals in the country</w:t>
            </w:r>
            <w:r>
              <w:rPr>
                <w:rFonts w:asciiTheme="minorHAnsi" w:hAnsiTheme="minorHAnsi"/>
                <w:i/>
              </w:rPr>
              <w:t xml:space="preserve"> </w:t>
            </w:r>
            <w:r w:rsidRPr="00AB430F">
              <w:rPr>
                <w:rFonts w:asciiTheme="minorHAnsi" w:hAnsiTheme="minorHAnsi"/>
                <w:i/>
              </w:rPr>
              <w:t>to 3.5 million tons</w:t>
            </w:r>
            <w:r>
              <w:rPr>
                <w:rFonts w:asciiTheme="minorHAnsi" w:hAnsiTheme="minorHAnsi"/>
                <w:i/>
              </w:rPr>
              <w:t xml:space="preserve"> in 2014</w:t>
            </w:r>
            <w:r w:rsidR="0066648B" w:rsidRPr="00AB430F">
              <w:rPr>
                <w:rFonts w:asciiTheme="minorHAnsi" w:hAnsiTheme="minorHAnsi"/>
                <w:i/>
              </w:rPr>
              <w:t xml:space="preserve">, </w:t>
            </w:r>
            <w:r>
              <w:rPr>
                <w:rFonts w:asciiTheme="minorHAnsi" w:hAnsiTheme="minorHAnsi"/>
                <w:i/>
              </w:rPr>
              <w:t xml:space="preserve">as </w:t>
            </w:r>
            <w:r w:rsidR="0066648B" w:rsidRPr="00AB430F">
              <w:rPr>
                <w:rFonts w:asciiTheme="minorHAnsi" w:hAnsiTheme="minorHAnsi"/>
                <w:i/>
              </w:rPr>
              <w:t>compared to the baseline of 2.6 million in 2011.</w:t>
            </w:r>
            <w:r w:rsidR="006A1828">
              <w:rPr>
                <w:rFonts w:asciiTheme="minorHAnsi" w:hAnsiTheme="minorHAnsi"/>
                <w:i/>
              </w:rPr>
              <w:t>Annual data for 2015 has not yet been released.</w:t>
            </w:r>
          </w:p>
          <w:p w14:paraId="311F933F" w14:textId="42B85776" w:rsidR="0066648B" w:rsidRPr="005D7225" w:rsidRDefault="005D7225" w:rsidP="005D7225">
            <w:pPr>
              <w:pStyle w:val="BodyText2"/>
              <w:numPr>
                <w:ilvl w:val="0"/>
                <w:numId w:val="14"/>
              </w:numPr>
              <w:rPr>
                <w:rFonts w:asciiTheme="minorHAnsi" w:hAnsiTheme="minorHAnsi"/>
                <w:i/>
              </w:rPr>
            </w:pPr>
            <w:r w:rsidRPr="005D7225">
              <w:rPr>
                <w:rFonts w:asciiTheme="minorHAnsi" w:hAnsiTheme="minorHAnsi"/>
                <w:i/>
              </w:rPr>
              <w:t>The</w:t>
            </w:r>
            <w:r>
              <w:rPr>
                <w:rFonts w:asciiTheme="minorHAnsi" w:hAnsiTheme="minorHAnsi"/>
                <w:i/>
              </w:rPr>
              <w:t xml:space="preserve">re is an increase of total fis catches by domestic artisanal fishermen up tot 111,400 tons during the first semester of 2015. </w:t>
            </w:r>
            <w:r w:rsidRPr="005D7225">
              <w:rPr>
                <w:rFonts w:asciiTheme="minorHAnsi" w:hAnsiTheme="minorHAnsi"/>
                <w:i/>
              </w:rPr>
              <w:t>No annual data is available so far.</w:t>
            </w:r>
            <w:r>
              <w:rPr>
                <w:rFonts w:asciiTheme="minorHAnsi" w:hAnsiTheme="minorHAnsi"/>
                <w:i/>
              </w:rPr>
              <w:t xml:space="preserve"> </w:t>
            </w:r>
            <w:r w:rsidRPr="005D7225">
              <w:rPr>
                <w:rFonts w:asciiTheme="minorHAnsi" w:hAnsiTheme="minorHAnsi"/>
                <w:i/>
              </w:rPr>
              <w:t>It is however highly probable that the annual target will be surpassed in the second semester of 2015.</w:t>
            </w:r>
          </w:p>
        </w:tc>
      </w:tr>
      <w:tr w:rsidR="00530FDE" w:rsidRPr="00AB430F" w14:paraId="50E1383C" w14:textId="77777777" w:rsidTr="009E7526">
        <w:tc>
          <w:tcPr>
            <w:tcW w:w="14040" w:type="dxa"/>
            <w:gridSpan w:val="5"/>
          </w:tcPr>
          <w:p w14:paraId="4C44C422" w14:textId="1EBF4EAF" w:rsidR="00843006" w:rsidRPr="00824154" w:rsidRDefault="00837C4B" w:rsidP="00366CF6">
            <w:pPr>
              <w:pStyle w:val="BodyText2"/>
              <w:spacing w:before="120" w:after="120"/>
              <w:jc w:val="both"/>
              <w:rPr>
                <w:rFonts w:asciiTheme="minorHAnsi" w:hAnsiTheme="minorHAnsi"/>
                <w:b/>
                <w:sz w:val="22"/>
                <w:szCs w:val="22"/>
              </w:rPr>
            </w:pPr>
            <w:r w:rsidRPr="00824154">
              <w:rPr>
                <w:rFonts w:asciiTheme="minorHAnsi" w:hAnsiTheme="minorHAnsi"/>
                <w:b/>
                <w:sz w:val="22"/>
                <w:szCs w:val="22"/>
              </w:rPr>
              <w:t>UNDP Con</w:t>
            </w:r>
            <w:r w:rsidR="00BC65CB" w:rsidRPr="00824154">
              <w:rPr>
                <w:rFonts w:asciiTheme="minorHAnsi" w:hAnsiTheme="minorHAnsi"/>
                <w:b/>
                <w:sz w:val="22"/>
                <w:szCs w:val="22"/>
              </w:rPr>
              <w:t>tribution</w:t>
            </w:r>
          </w:p>
          <w:p w14:paraId="052537F4" w14:textId="77777777" w:rsidR="00B00E5C" w:rsidRPr="00824154" w:rsidRDefault="00B00E5C" w:rsidP="00366CF6">
            <w:pPr>
              <w:pStyle w:val="BodyText2"/>
              <w:spacing w:before="120" w:after="120"/>
              <w:jc w:val="both"/>
              <w:rPr>
                <w:rFonts w:asciiTheme="minorHAnsi" w:hAnsiTheme="minorHAnsi"/>
                <w:sz w:val="22"/>
                <w:szCs w:val="22"/>
              </w:rPr>
            </w:pPr>
            <w:r w:rsidRPr="00824154">
              <w:rPr>
                <w:rFonts w:asciiTheme="minorHAnsi" w:hAnsiTheme="minorHAnsi"/>
                <w:sz w:val="22"/>
                <w:szCs w:val="22"/>
                <w:u w:val="single"/>
              </w:rPr>
              <w:t>CP Outputs</w:t>
            </w:r>
            <w:r w:rsidR="00845340" w:rsidRPr="00824154">
              <w:rPr>
                <w:rFonts w:asciiTheme="minorHAnsi" w:hAnsiTheme="minorHAnsi"/>
                <w:sz w:val="22"/>
                <w:szCs w:val="22"/>
              </w:rPr>
              <w:t>:</w:t>
            </w:r>
          </w:p>
          <w:p w14:paraId="7FE038D2" w14:textId="5A46DAF1" w:rsidR="00D464F1" w:rsidRPr="00824154" w:rsidRDefault="007E21DF" w:rsidP="00366CF6">
            <w:pPr>
              <w:pStyle w:val="BodyText2"/>
              <w:spacing w:before="120" w:after="120"/>
              <w:jc w:val="both"/>
              <w:rPr>
                <w:rFonts w:asciiTheme="minorHAnsi" w:hAnsiTheme="minorHAnsi"/>
                <w:sz w:val="22"/>
                <w:szCs w:val="22"/>
              </w:rPr>
            </w:pPr>
            <w:r w:rsidRPr="00824154">
              <w:rPr>
                <w:rFonts w:asciiTheme="minorHAnsi" w:hAnsiTheme="minorHAnsi"/>
                <w:sz w:val="22"/>
                <w:szCs w:val="22"/>
              </w:rPr>
              <w:t>The UNDP CP identified one major output to support Government in achieving this outcome</w:t>
            </w:r>
            <w:r w:rsidR="00366CF6">
              <w:rPr>
                <w:rFonts w:asciiTheme="minorHAnsi" w:hAnsiTheme="minorHAnsi"/>
                <w:sz w:val="22"/>
                <w:szCs w:val="22"/>
              </w:rPr>
              <w:t>:</w:t>
            </w:r>
            <w:r w:rsidRPr="00824154">
              <w:rPr>
                <w:rFonts w:asciiTheme="minorHAnsi" w:hAnsiTheme="minorHAnsi"/>
                <w:sz w:val="22"/>
                <w:szCs w:val="22"/>
              </w:rPr>
              <w:t xml:space="preserve"> (a) l</w:t>
            </w:r>
            <w:r w:rsidR="00D464F1" w:rsidRPr="00824154">
              <w:rPr>
                <w:rFonts w:asciiTheme="minorHAnsi" w:hAnsiTheme="minorHAnsi"/>
                <w:sz w:val="22"/>
                <w:szCs w:val="22"/>
              </w:rPr>
              <w:t>egislation on the right to food developed.</w:t>
            </w:r>
          </w:p>
          <w:p w14:paraId="5DC2CCC2" w14:textId="6365A9F0" w:rsidR="00B5113D" w:rsidRPr="00B5113D" w:rsidRDefault="00B00E5C" w:rsidP="00B5113D">
            <w:pPr>
              <w:pStyle w:val="BodyText2"/>
              <w:spacing w:before="120" w:after="120"/>
              <w:jc w:val="both"/>
              <w:rPr>
                <w:rStyle w:val="roaranswertext"/>
                <w:rFonts w:asciiTheme="minorHAnsi" w:hAnsiTheme="minorHAnsi" w:cs="Arial"/>
                <w:sz w:val="22"/>
                <w:szCs w:val="22"/>
                <w:bdr w:val="none" w:sz="0" w:space="0" w:color="auto" w:frame="1"/>
                <w:shd w:val="clear" w:color="auto" w:fill="FFFFFF"/>
              </w:rPr>
            </w:pPr>
            <w:r w:rsidRPr="00824154">
              <w:rPr>
                <w:rFonts w:asciiTheme="minorHAnsi" w:hAnsiTheme="minorHAnsi"/>
                <w:sz w:val="22"/>
                <w:szCs w:val="22"/>
                <w:u w:val="single"/>
              </w:rPr>
              <w:t>Progress and Achievements</w:t>
            </w:r>
            <w:r w:rsidR="00845340" w:rsidRPr="00824154">
              <w:rPr>
                <w:rFonts w:asciiTheme="minorHAnsi" w:hAnsiTheme="minorHAnsi"/>
                <w:sz w:val="22"/>
                <w:szCs w:val="22"/>
              </w:rPr>
              <w:t>:</w:t>
            </w:r>
            <w:r w:rsidR="00B75A8F" w:rsidRPr="00824154">
              <w:rPr>
                <w:rStyle w:val="roaranswertext"/>
                <w:rFonts w:asciiTheme="minorHAnsi" w:hAnsiTheme="minorHAnsi" w:cs="Arial"/>
                <w:sz w:val="22"/>
                <w:szCs w:val="22"/>
                <w:bdr w:val="none" w:sz="0" w:space="0" w:color="auto" w:frame="1"/>
                <w:shd w:val="clear" w:color="auto" w:fill="FFFFFF"/>
              </w:rPr>
              <w:t xml:space="preserve"> </w:t>
            </w:r>
            <w:r w:rsidR="00B5113D" w:rsidRPr="00B5113D">
              <w:rPr>
                <w:rStyle w:val="roaranswertext"/>
                <w:rFonts w:asciiTheme="minorHAnsi" w:hAnsiTheme="minorHAnsi" w:cs="Arial"/>
                <w:sz w:val="22"/>
                <w:szCs w:val="22"/>
                <w:bdr w:val="none" w:sz="0" w:space="0" w:color="auto" w:frame="1"/>
                <w:shd w:val="clear" w:color="auto" w:fill="FFFFFF"/>
              </w:rPr>
              <w:t xml:space="preserve">CPD </w:t>
            </w:r>
            <w:r w:rsidR="00B5113D">
              <w:rPr>
                <w:rStyle w:val="roaranswertext"/>
                <w:rFonts w:asciiTheme="minorHAnsi" w:hAnsiTheme="minorHAnsi" w:cs="Arial"/>
                <w:sz w:val="22"/>
                <w:szCs w:val="22"/>
                <w:bdr w:val="none" w:sz="0" w:space="0" w:color="auto" w:frame="1"/>
                <w:shd w:val="clear" w:color="auto" w:fill="FFFFFF"/>
              </w:rPr>
              <w:t xml:space="preserve">indicators under this outcome are </w:t>
            </w:r>
            <w:r w:rsidR="00B5113D" w:rsidRPr="00B5113D">
              <w:rPr>
                <w:rStyle w:val="roaranswertext"/>
                <w:rFonts w:asciiTheme="minorHAnsi" w:hAnsiTheme="minorHAnsi" w:cs="Arial"/>
                <w:sz w:val="22"/>
                <w:szCs w:val="22"/>
                <w:bdr w:val="none" w:sz="0" w:space="0" w:color="auto" w:frame="1"/>
                <w:shd w:val="clear" w:color="auto" w:fill="FFFFFF"/>
              </w:rPr>
              <w:t xml:space="preserve">showing very good progress and 3 out of 4 indicators' targets were achieved or are showing significant progress towards the reaching the targets. In particular, the percentage of households in situation of chronic food insecurity dropped from 35% (2009) to 24% (2014), hence surpassing the target set for </w:t>
            </w:r>
            <w:r w:rsidR="00DB1983">
              <w:rPr>
                <w:rStyle w:val="roaranswertext"/>
                <w:rFonts w:asciiTheme="minorHAnsi" w:hAnsiTheme="minorHAnsi" w:cs="Arial"/>
                <w:sz w:val="22"/>
                <w:szCs w:val="22"/>
                <w:bdr w:val="none" w:sz="0" w:space="0" w:color="auto" w:frame="1"/>
                <w:shd w:val="clear" w:color="auto" w:fill="FFFFFF"/>
              </w:rPr>
              <w:t>this specific indicator</w:t>
            </w:r>
            <w:r w:rsidR="00B5113D" w:rsidRPr="00B5113D">
              <w:rPr>
                <w:rStyle w:val="roaranswertext"/>
                <w:rFonts w:asciiTheme="minorHAnsi" w:hAnsiTheme="minorHAnsi" w:cs="Arial"/>
                <w:sz w:val="22"/>
                <w:szCs w:val="22"/>
                <w:bdr w:val="none" w:sz="0" w:space="0" w:color="auto" w:frame="1"/>
                <w:shd w:val="clear" w:color="auto" w:fill="FFFFFF"/>
              </w:rPr>
              <w:t>. Moreover, data available from Ministry</w:t>
            </w:r>
            <w:r w:rsidR="00DB1983">
              <w:rPr>
                <w:rStyle w:val="roaranswertext"/>
                <w:rFonts w:asciiTheme="minorHAnsi" w:hAnsiTheme="minorHAnsi" w:cs="Arial"/>
                <w:sz w:val="22"/>
                <w:szCs w:val="22"/>
                <w:bdr w:val="none" w:sz="0" w:space="0" w:color="auto" w:frame="1"/>
                <w:shd w:val="clear" w:color="auto" w:fill="FFFFFF"/>
              </w:rPr>
              <w:t xml:space="preserve"> of Economy and Finance </w:t>
            </w:r>
            <w:r w:rsidR="00B5113D" w:rsidRPr="00B5113D">
              <w:rPr>
                <w:rStyle w:val="roaranswertext"/>
                <w:rFonts w:asciiTheme="minorHAnsi" w:hAnsiTheme="minorHAnsi" w:cs="Arial"/>
                <w:sz w:val="22"/>
                <w:szCs w:val="22"/>
                <w:bdr w:val="none" w:sz="0" w:space="0" w:color="auto" w:frame="1"/>
                <w:shd w:val="clear" w:color="auto" w:fill="FFFFFF"/>
              </w:rPr>
              <w:t>regarding the results achieved during the first semester of 2015 in terms of fish ca</w:t>
            </w:r>
            <w:r w:rsidR="004A3F65">
              <w:rPr>
                <w:rStyle w:val="roaranswertext"/>
                <w:rFonts w:asciiTheme="minorHAnsi" w:hAnsiTheme="minorHAnsi" w:cs="Arial"/>
                <w:sz w:val="22"/>
                <w:szCs w:val="22"/>
                <w:bdr w:val="none" w:sz="0" w:space="0" w:color="auto" w:frame="1"/>
                <w:shd w:val="clear" w:color="auto" w:fill="FFFFFF"/>
              </w:rPr>
              <w:t>tches by artisanal fishermen (2.</w:t>
            </w:r>
            <w:r w:rsidR="00B5113D" w:rsidRPr="00B5113D">
              <w:rPr>
                <w:rStyle w:val="roaranswertext"/>
                <w:rFonts w:asciiTheme="minorHAnsi" w:hAnsiTheme="minorHAnsi" w:cs="Arial"/>
                <w:sz w:val="22"/>
                <w:szCs w:val="22"/>
                <w:bdr w:val="none" w:sz="0" w:space="0" w:color="auto" w:frame="1"/>
                <w:shd w:val="clear" w:color="auto" w:fill="FFFFFF"/>
              </w:rPr>
              <w:t xml:space="preserve">51 million of tons) and of production of cereals in the country (111400 tons) already show very significant progress if compared to the baselines of 2011 and it is highly probable that the annual targets set for 2015 for these two indicators will be surpassed at the end of 2015. </w:t>
            </w:r>
          </w:p>
          <w:p w14:paraId="15361309" w14:textId="35ABFF93" w:rsidR="00B5113D" w:rsidRPr="00B5113D" w:rsidRDefault="00B5113D" w:rsidP="00B5113D">
            <w:pPr>
              <w:pStyle w:val="BodyText2"/>
              <w:spacing w:before="120" w:after="120"/>
              <w:jc w:val="both"/>
              <w:rPr>
                <w:rStyle w:val="roaranswertext"/>
                <w:rFonts w:asciiTheme="minorHAnsi" w:hAnsiTheme="minorHAnsi" w:cs="Arial"/>
                <w:sz w:val="22"/>
                <w:szCs w:val="22"/>
                <w:bdr w:val="none" w:sz="0" w:space="0" w:color="auto" w:frame="1"/>
                <w:shd w:val="clear" w:color="auto" w:fill="FFFFFF"/>
              </w:rPr>
            </w:pPr>
            <w:r w:rsidRPr="00B5113D">
              <w:rPr>
                <w:rStyle w:val="roaranswertext"/>
                <w:rFonts w:asciiTheme="minorHAnsi" w:hAnsiTheme="minorHAnsi" w:cs="Arial"/>
                <w:sz w:val="22"/>
                <w:szCs w:val="22"/>
                <w:bdr w:val="none" w:sz="0" w:space="0" w:color="auto" w:frame="1"/>
                <w:shd w:val="clear" w:color="auto" w:fill="FFFFFF"/>
              </w:rPr>
              <w:t xml:space="preserve">Although CO interventions under </w:t>
            </w:r>
            <w:r w:rsidR="00C21BDB">
              <w:rPr>
                <w:rStyle w:val="roaranswertext"/>
                <w:rFonts w:asciiTheme="minorHAnsi" w:hAnsiTheme="minorHAnsi" w:cs="Arial"/>
                <w:sz w:val="22"/>
                <w:szCs w:val="22"/>
                <w:bdr w:val="none" w:sz="0" w:space="0" w:color="auto" w:frame="1"/>
                <w:shd w:val="clear" w:color="auto" w:fill="FFFFFF"/>
              </w:rPr>
              <w:t xml:space="preserve">this CPD Outcome </w:t>
            </w:r>
            <w:r w:rsidRPr="00B5113D">
              <w:rPr>
                <w:rStyle w:val="roaranswertext"/>
                <w:rFonts w:asciiTheme="minorHAnsi" w:hAnsiTheme="minorHAnsi" w:cs="Arial"/>
                <w:sz w:val="22"/>
                <w:szCs w:val="22"/>
                <w:bdr w:val="none" w:sz="0" w:space="0" w:color="auto" w:frame="1"/>
                <w:shd w:val="clear" w:color="auto" w:fill="FFFFFF"/>
              </w:rPr>
              <w:t xml:space="preserve">were delayed in 2015 and the revision and finalization of the Law on Agriculture, Food Security and Nutrition was not completed, UNDP significantly contributed in the last 2 decades to the results achieved in the demining area and the country was officially </w:t>
            </w:r>
            <w:r w:rsidRPr="00B5113D">
              <w:rPr>
                <w:rStyle w:val="roaranswertext"/>
                <w:rFonts w:asciiTheme="minorHAnsi" w:hAnsiTheme="minorHAnsi" w:cs="Arial"/>
                <w:sz w:val="22"/>
                <w:szCs w:val="22"/>
                <w:bdr w:val="none" w:sz="0" w:space="0" w:color="auto" w:frame="1"/>
                <w:shd w:val="clear" w:color="auto" w:fill="FFFFFF"/>
              </w:rPr>
              <w:lastRenderedPageBreak/>
              <w:t>declared free of lan</w:t>
            </w:r>
            <w:r w:rsidR="00C21BDB">
              <w:rPr>
                <w:rStyle w:val="roaranswertext"/>
                <w:rFonts w:asciiTheme="minorHAnsi" w:hAnsiTheme="minorHAnsi" w:cs="Arial"/>
                <w:sz w:val="22"/>
                <w:szCs w:val="22"/>
                <w:bdr w:val="none" w:sz="0" w:space="0" w:color="auto" w:frame="1"/>
                <w:shd w:val="clear" w:color="auto" w:fill="FFFFFF"/>
              </w:rPr>
              <w:t>dmines in September 2015</w:t>
            </w:r>
            <w:r w:rsidRPr="00B5113D">
              <w:rPr>
                <w:rStyle w:val="roaranswertext"/>
                <w:rFonts w:asciiTheme="minorHAnsi" w:hAnsiTheme="minorHAnsi" w:cs="Arial"/>
                <w:sz w:val="22"/>
                <w:szCs w:val="22"/>
                <w:bdr w:val="none" w:sz="0" w:space="0" w:color="auto" w:frame="1"/>
                <w:shd w:val="clear" w:color="auto" w:fill="FFFFFF"/>
              </w:rPr>
              <w:t>. It is estimated that an extension of 55.494.569 sq</w:t>
            </w:r>
            <w:r w:rsidR="00C21BDB">
              <w:rPr>
                <w:rStyle w:val="roaranswertext"/>
                <w:rFonts w:asciiTheme="minorHAnsi" w:hAnsiTheme="minorHAnsi" w:cs="Arial"/>
                <w:sz w:val="22"/>
                <w:szCs w:val="22"/>
                <w:bdr w:val="none" w:sz="0" w:space="0" w:color="auto" w:frame="1"/>
                <w:shd w:val="clear" w:color="auto" w:fill="FFFFFF"/>
              </w:rPr>
              <w:t>uare meters were cleared</w:t>
            </w:r>
            <w:r w:rsidRPr="00B5113D">
              <w:rPr>
                <w:rStyle w:val="roaranswertext"/>
                <w:rFonts w:asciiTheme="minorHAnsi" w:hAnsiTheme="minorHAnsi" w:cs="Arial"/>
                <w:sz w:val="22"/>
                <w:szCs w:val="22"/>
                <w:bdr w:val="none" w:sz="0" w:space="0" w:color="auto" w:frame="1"/>
                <w:shd w:val="clear" w:color="auto" w:fill="FFFFFF"/>
              </w:rPr>
              <w:t xml:space="preserve"> from landmines increasing thus the availability of land to be used for productive purposes, including for food production.   </w:t>
            </w:r>
          </w:p>
          <w:p w14:paraId="1A6FDF96" w14:textId="1B29C0D1" w:rsidR="00700521" w:rsidRPr="000C760E" w:rsidRDefault="00B5113D" w:rsidP="004E38E6">
            <w:pPr>
              <w:pStyle w:val="BodyText2"/>
              <w:spacing w:before="120" w:after="120"/>
              <w:jc w:val="both"/>
              <w:rPr>
                <w:rFonts w:asciiTheme="minorHAnsi" w:hAnsiTheme="minorHAnsi"/>
              </w:rPr>
            </w:pPr>
            <w:r w:rsidRPr="00B5113D">
              <w:rPr>
                <w:rStyle w:val="roaranswertext"/>
                <w:rFonts w:asciiTheme="minorHAnsi" w:hAnsiTheme="minorHAnsi" w:cs="Arial"/>
                <w:sz w:val="22"/>
                <w:szCs w:val="22"/>
                <w:bdr w:val="none" w:sz="0" w:space="0" w:color="auto" w:frame="1"/>
                <w:shd w:val="clear" w:color="auto" w:fill="FFFFFF"/>
              </w:rPr>
              <w:t>Moreover, as the rural production is heavily influenced by the natural disasters and it is assessed that 120,000 producers were affected by the disasters occurred in th</w:t>
            </w:r>
            <w:r w:rsidR="00C21BDB">
              <w:rPr>
                <w:rStyle w:val="roaranswertext"/>
                <w:rFonts w:asciiTheme="minorHAnsi" w:hAnsiTheme="minorHAnsi" w:cs="Arial"/>
                <w:sz w:val="22"/>
                <w:szCs w:val="22"/>
                <w:bdr w:val="none" w:sz="0" w:space="0" w:color="auto" w:frame="1"/>
                <w:shd w:val="clear" w:color="auto" w:fill="FFFFFF"/>
              </w:rPr>
              <w:t>e first semester of 2015</w:t>
            </w:r>
            <w:r w:rsidRPr="00B5113D">
              <w:rPr>
                <w:rStyle w:val="roaranswertext"/>
                <w:rFonts w:asciiTheme="minorHAnsi" w:hAnsiTheme="minorHAnsi" w:cs="Arial"/>
                <w:sz w:val="22"/>
                <w:szCs w:val="22"/>
                <w:bdr w:val="none" w:sz="0" w:space="0" w:color="auto" w:frame="1"/>
                <w:shd w:val="clear" w:color="auto" w:fill="FFFFFF"/>
              </w:rPr>
              <w:t xml:space="preserve">, UNDP support to the Government's efforts towards the reduction of disaster's impacts plays a critical role in terms of agricultural </w:t>
            </w:r>
            <w:r w:rsidR="00C21BDB">
              <w:rPr>
                <w:rStyle w:val="roaranswertext"/>
                <w:rFonts w:asciiTheme="minorHAnsi" w:hAnsiTheme="minorHAnsi" w:cs="Arial"/>
                <w:sz w:val="22"/>
                <w:szCs w:val="22"/>
                <w:bdr w:val="none" w:sz="0" w:space="0" w:color="auto" w:frame="1"/>
                <w:shd w:val="clear" w:color="auto" w:fill="FFFFFF"/>
              </w:rPr>
              <w:t>production</w:t>
            </w:r>
            <w:r w:rsidRPr="00B5113D">
              <w:rPr>
                <w:rStyle w:val="roaranswertext"/>
                <w:rFonts w:asciiTheme="minorHAnsi" w:hAnsiTheme="minorHAnsi" w:cs="Arial"/>
                <w:sz w:val="22"/>
                <w:szCs w:val="22"/>
                <w:bdr w:val="none" w:sz="0" w:space="0" w:color="auto" w:frame="1"/>
                <w:shd w:val="clear" w:color="auto" w:fill="FFFFFF"/>
              </w:rPr>
              <w:t>. In addition, in Gaza province, 300 families, out of which 196 were female headed households, benefitted from enhanced agricultural production as a result of UNDP support to post</w:t>
            </w:r>
            <w:r w:rsidR="004E38E6">
              <w:rPr>
                <w:rStyle w:val="roaranswertext"/>
                <w:rFonts w:asciiTheme="minorHAnsi" w:hAnsiTheme="minorHAnsi" w:cs="Arial"/>
                <w:sz w:val="22"/>
                <w:szCs w:val="22"/>
                <w:bdr w:val="none" w:sz="0" w:space="0" w:color="auto" w:frame="1"/>
                <w:shd w:val="clear" w:color="auto" w:fill="FFFFFF"/>
              </w:rPr>
              <w:t xml:space="preserve"> floods recovery efforts</w:t>
            </w:r>
            <w:r w:rsidRPr="00B5113D">
              <w:rPr>
                <w:rStyle w:val="roaranswertext"/>
                <w:rFonts w:asciiTheme="minorHAnsi" w:hAnsiTheme="minorHAnsi" w:cs="Arial"/>
                <w:sz w:val="22"/>
                <w:szCs w:val="22"/>
                <w:bdr w:val="none" w:sz="0" w:space="0" w:color="auto" w:frame="1"/>
                <w:shd w:val="clear" w:color="auto" w:fill="FFFFFF"/>
              </w:rPr>
              <w:t xml:space="preserve">. </w:t>
            </w:r>
          </w:p>
        </w:tc>
      </w:tr>
      <w:tr w:rsidR="003B037A" w:rsidRPr="00AB430F" w14:paraId="711749D9" w14:textId="77777777" w:rsidTr="000823AC">
        <w:tc>
          <w:tcPr>
            <w:tcW w:w="3060" w:type="dxa"/>
            <w:shd w:val="clear" w:color="auto" w:fill="95B3D7" w:themeFill="accent1" w:themeFillTint="99"/>
          </w:tcPr>
          <w:p w14:paraId="6B373F38" w14:textId="77777777" w:rsidR="00D464F1" w:rsidRPr="00AB430F" w:rsidRDefault="003B037A" w:rsidP="00D464F1">
            <w:pPr>
              <w:pStyle w:val="BodyText2"/>
              <w:rPr>
                <w:rFonts w:asciiTheme="minorHAnsi" w:hAnsiTheme="minorHAnsi"/>
                <w:b/>
              </w:rPr>
            </w:pPr>
            <w:r w:rsidRPr="00AB430F">
              <w:rPr>
                <w:rFonts w:asciiTheme="minorHAnsi" w:hAnsiTheme="minorHAnsi"/>
                <w:b/>
              </w:rPr>
              <w:lastRenderedPageBreak/>
              <w:t>2</w:t>
            </w:r>
            <w:r w:rsidR="00D464F1" w:rsidRPr="00AB430F">
              <w:rPr>
                <w:rFonts w:asciiTheme="minorHAnsi" w:hAnsiTheme="minorHAnsi"/>
                <w:b/>
              </w:rPr>
              <w:t>. Vulnerable</w:t>
            </w:r>
          </w:p>
          <w:p w14:paraId="418136FD" w14:textId="77777777" w:rsidR="003B037A" w:rsidRPr="00AB430F" w:rsidRDefault="00D464F1" w:rsidP="00D464F1">
            <w:pPr>
              <w:pStyle w:val="BodyText2"/>
              <w:rPr>
                <w:rFonts w:asciiTheme="minorHAnsi" w:hAnsiTheme="minorHAnsi"/>
                <w:b/>
              </w:rPr>
            </w:pPr>
            <w:r w:rsidRPr="00AB430F">
              <w:rPr>
                <w:rFonts w:asciiTheme="minorHAnsi" w:hAnsiTheme="minorHAnsi"/>
                <w:b/>
              </w:rPr>
              <w:t>groups access opportunities for improved income and livelihoods, with a special focus on decent employment</w:t>
            </w:r>
          </w:p>
          <w:p w14:paraId="15275444" w14:textId="77777777" w:rsidR="00D464F1" w:rsidRPr="00AB430F" w:rsidRDefault="00D464F1" w:rsidP="00D464F1">
            <w:pPr>
              <w:pStyle w:val="BodyText2"/>
              <w:rPr>
                <w:rFonts w:asciiTheme="minorHAnsi" w:hAnsiTheme="minorHAnsi"/>
                <w:b/>
              </w:rPr>
            </w:pPr>
          </w:p>
        </w:tc>
        <w:tc>
          <w:tcPr>
            <w:tcW w:w="1530" w:type="dxa"/>
            <w:gridSpan w:val="2"/>
            <w:shd w:val="clear" w:color="auto" w:fill="auto"/>
          </w:tcPr>
          <w:p w14:paraId="27E134D0" w14:textId="3AC5A781" w:rsidR="004709C4" w:rsidRPr="00AB430F" w:rsidRDefault="004709C4" w:rsidP="004709C4">
            <w:pPr>
              <w:pStyle w:val="BodyText2"/>
              <w:rPr>
                <w:rFonts w:asciiTheme="minorHAnsi" w:hAnsiTheme="minorHAnsi"/>
              </w:rPr>
            </w:pPr>
          </w:p>
          <w:p w14:paraId="20D86BB4" w14:textId="0DA6E3F1" w:rsidR="003B037A" w:rsidRPr="00AB430F" w:rsidRDefault="004709C4" w:rsidP="00BD43BE">
            <w:pPr>
              <w:pStyle w:val="BodyText2"/>
              <w:rPr>
                <w:rFonts w:asciiTheme="minorHAnsi" w:hAnsiTheme="minorHAnsi"/>
              </w:rPr>
            </w:pPr>
            <w:r>
              <w:rPr>
                <w:rFonts w:asciiTheme="minorHAnsi" w:hAnsiTheme="minorHAnsi"/>
              </w:rPr>
              <w:t>4,306,388</w:t>
            </w:r>
          </w:p>
        </w:tc>
        <w:tc>
          <w:tcPr>
            <w:tcW w:w="3960" w:type="dxa"/>
            <w:tcBorders>
              <w:left w:val="single" w:sz="4" w:space="0" w:color="auto"/>
            </w:tcBorders>
          </w:tcPr>
          <w:p w14:paraId="29A8984E" w14:textId="77777777" w:rsidR="008514D3" w:rsidRPr="00AB430F" w:rsidRDefault="00D464F1" w:rsidP="00D464F1">
            <w:pPr>
              <w:pStyle w:val="BodyText2"/>
              <w:numPr>
                <w:ilvl w:val="0"/>
                <w:numId w:val="15"/>
              </w:numPr>
              <w:rPr>
                <w:rFonts w:asciiTheme="minorHAnsi" w:hAnsiTheme="minorHAnsi"/>
                <w:i/>
              </w:rPr>
            </w:pPr>
            <w:r w:rsidRPr="00AB430F">
              <w:rPr>
                <w:rFonts w:asciiTheme="minorHAnsi" w:hAnsiTheme="minorHAnsi"/>
                <w:i/>
              </w:rPr>
              <w:t xml:space="preserve">% of durable goods owned by women; </w:t>
            </w:r>
          </w:p>
          <w:p w14:paraId="43E7BFDA" w14:textId="77777777" w:rsidR="00D464F1" w:rsidRPr="00AB430F" w:rsidRDefault="00D464F1" w:rsidP="00D464F1">
            <w:pPr>
              <w:pStyle w:val="BodyText2"/>
              <w:numPr>
                <w:ilvl w:val="0"/>
                <w:numId w:val="15"/>
              </w:numPr>
              <w:rPr>
                <w:rFonts w:asciiTheme="minorHAnsi" w:hAnsiTheme="minorHAnsi"/>
                <w:i/>
              </w:rPr>
            </w:pPr>
            <w:r w:rsidRPr="00AB430F">
              <w:rPr>
                <w:rFonts w:asciiTheme="minorHAnsi" w:hAnsiTheme="minorHAnsi"/>
                <w:i/>
              </w:rPr>
              <w:t xml:space="preserve"># of knowledge transfer centres; </w:t>
            </w:r>
          </w:p>
          <w:p w14:paraId="2CB7EE08" w14:textId="77777777" w:rsidR="003B037A" w:rsidRDefault="00D464F1" w:rsidP="00D464F1">
            <w:pPr>
              <w:pStyle w:val="BodyText2"/>
              <w:numPr>
                <w:ilvl w:val="0"/>
                <w:numId w:val="15"/>
              </w:numPr>
              <w:rPr>
                <w:rFonts w:asciiTheme="minorHAnsi" w:hAnsiTheme="minorHAnsi"/>
                <w:i/>
              </w:rPr>
            </w:pPr>
            <w:r w:rsidRPr="00AB430F">
              <w:rPr>
                <w:rFonts w:asciiTheme="minorHAnsi" w:hAnsiTheme="minorHAnsi"/>
                <w:i/>
              </w:rPr>
              <w:t># of youth and women with access to employment after professional training.</w:t>
            </w:r>
          </w:p>
          <w:p w14:paraId="17CB3272" w14:textId="77777777" w:rsidR="003B037A" w:rsidRDefault="006A142C" w:rsidP="006A142C">
            <w:pPr>
              <w:pStyle w:val="BodyText2"/>
              <w:numPr>
                <w:ilvl w:val="0"/>
                <w:numId w:val="15"/>
              </w:numPr>
              <w:rPr>
                <w:rFonts w:asciiTheme="minorHAnsi" w:hAnsiTheme="minorHAnsi"/>
                <w:i/>
              </w:rPr>
            </w:pPr>
            <w:r w:rsidRPr="006A142C">
              <w:rPr>
                <w:rFonts w:asciiTheme="minorHAnsi" w:hAnsiTheme="minorHAnsi"/>
                <w:i/>
              </w:rPr>
              <w:t>Number of Mediation and Arbitration Centers at the national level for l</w:t>
            </w:r>
            <w:r>
              <w:rPr>
                <w:rFonts w:asciiTheme="minorHAnsi" w:hAnsiTheme="minorHAnsi"/>
                <w:i/>
              </w:rPr>
              <w:t>abour conflicts operationalized.</w:t>
            </w:r>
          </w:p>
          <w:p w14:paraId="27336899" w14:textId="74037117" w:rsidR="006A142C" w:rsidRPr="00AB430F" w:rsidRDefault="006A142C" w:rsidP="006A142C">
            <w:pPr>
              <w:pStyle w:val="BodyText2"/>
              <w:numPr>
                <w:ilvl w:val="0"/>
                <w:numId w:val="15"/>
              </w:numPr>
              <w:rPr>
                <w:rFonts w:asciiTheme="minorHAnsi" w:hAnsiTheme="minorHAnsi"/>
                <w:i/>
              </w:rPr>
            </w:pPr>
            <w:r w:rsidRPr="006A142C">
              <w:rPr>
                <w:rFonts w:asciiTheme="minorHAnsi" w:hAnsiTheme="minorHAnsi"/>
                <w:i/>
              </w:rPr>
              <w:t>Number of rural population with access to micro-finance services</w:t>
            </w:r>
          </w:p>
        </w:tc>
        <w:tc>
          <w:tcPr>
            <w:tcW w:w="5490" w:type="dxa"/>
            <w:shd w:val="clear" w:color="auto" w:fill="auto"/>
          </w:tcPr>
          <w:p w14:paraId="7A407831" w14:textId="77777777" w:rsidR="008514D3" w:rsidRPr="00535F54" w:rsidRDefault="003B037A" w:rsidP="00424E4F">
            <w:pPr>
              <w:pStyle w:val="BodyText2"/>
              <w:numPr>
                <w:ilvl w:val="0"/>
                <w:numId w:val="16"/>
              </w:numPr>
              <w:rPr>
                <w:rFonts w:asciiTheme="minorHAnsi" w:hAnsiTheme="minorHAnsi"/>
                <w:i/>
              </w:rPr>
            </w:pPr>
            <w:r w:rsidRPr="00535F54">
              <w:rPr>
                <w:rFonts w:asciiTheme="minorHAnsi" w:hAnsiTheme="minorHAnsi"/>
                <w:i/>
              </w:rPr>
              <w:t>In 200</w:t>
            </w:r>
            <w:r w:rsidR="008514D3" w:rsidRPr="00535F54">
              <w:rPr>
                <w:rFonts w:asciiTheme="minorHAnsi" w:hAnsiTheme="minorHAnsi"/>
                <w:i/>
              </w:rPr>
              <w:t>9</w:t>
            </w:r>
            <w:r w:rsidR="00553530" w:rsidRPr="00535F54">
              <w:rPr>
                <w:rFonts w:asciiTheme="minorHAnsi" w:hAnsiTheme="minorHAnsi"/>
                <w:i/>
              </w:rPr>
              <w:t>, the baseline was</w:t>
            </w:r>
            <w:r w:rsidRPr="00535F54">
              <w:rPr>
                <w:rFonts w:asciiTheme="minorHAnsi" w:hAnsiTheme="minorHAnsi"/>
                <w:i/>
              </w:rPr>
              <w:t xml:space="preserve"> </w:t>
            </w:r>
            <w:r w:rsidR="008514D3" w:rsidRPr="00535F54">
              <w:rPr>
                <w:rFonts w:asciiTheme="minorHAnsi" w:hAnsiTheme="minorHAnsi"/>
                <w:i/>
              </w:rPr>
              <w:t>31% of women and 69</w:t>
            </w:r>
            <w:r w:rsidR="00553530" w:rsidRPr="00535F54">
              <w:rPr>
                <w:rFonts w:asciiTheme="minorHAnsi" w:hAnsiTheme="minorHAnsi"/>
                <w:i/>
              </w:rPr>
              <w:t xml:space="preserve">% of men. As of 2014 there is no indicated change </w:t>
            </w:r>
            <w:r w:rsidR="008514D3" w:rsidRPr="00535F54">
              <w:rPr>
                <w:rFonts w:asciiTheme="minorHAnsi" w:hAnsiTheme="minorHAnsi"/>
                <w:i/>
              </w:rPr>
              <w:t>since</w:t>
            </w:r>
            <w:r w:rsidR="00553530" w:rsidRPr="00535F54">
              <w:rPr>
                <w:rFonts w:asciiTheme="minorHAnsi" w:hAnsiTheme="minorHAnsi"/>
                <w:i/>
              </w:rPr>
              <w:t xml:space="preserve"> there is no</w:t>
            </w:r>
            <w:r w:rsidR="008514D3" w:rsidRPr="00535F54">
              <w:rPr>
                <w:rFonts w:asciiTheme="minorHAnsi" w:hAnsiTheme="minorHAnsi"/>
                <w:i/>
              </w:rPr>
              <w:t xml:space="preserve"> new data available</w:t>
            </w:r>
            <w:r w:rsidR="00553530" w:rsidRPr="00535F54">
              <w:rPr>
                <w:rFonts w:asciiTheme="minorHAnsi" w:hAnsiTheme="minorHAnsi"/>
                <w:i/>
              </w:rPr>
              <w:t>, and</w:t>
            </w:r>
            <w:r w:rsidR="008514D3" w:rsidRPr="00535F54">
              <w:rPr>
                <w:rFonts w:asciiTheme="minorHAnsi" w:hAnsiTheme="minorHAnsi"/>
                <w:i/>
              </w:rPr>
              <w:t xml:space="preserve"> no survey was conducted. For 2015 target PARP targets will be used when finalized. </w:t>
            </w:r>
          </w:p>
          <w:p w14:paraId="164FDC00" w14:textId="4F497A26" w:rsidR="008514D3" w:rsidRPr="00535F54" w:rsidRDefault="008514D3" w:rsidP="008514D3">
            <w:pPr>
              <w:pStyle w:val="BodyText2"/>
              <w:numPr>
                <w:ilvl w:val="0"/>
                <w:numId w:val="16"/>
              </w:numPr>
              <w:rPr>
                <w:rFonts w:asciiTheme="minorHAnsi" w:hAnsiTheme="minorHAnsi"/>
                <w:i/>
              </w:rPr>
            </w:pPr>
            <w:r w:rsidRPr="00535F54">
              <w:rPr>
                <w:rFonts w:asciiTheme="minorHAnsi" w:hAnsiTheme="minorHAnsi"/>
                <w:i/>
              </w:rPr>
              <w:t>In 2011</w:t>
            </w:r>
            <w:r w:rsidR="00535F54" w:rsidRPr="00535F54">
              <w:rPr>
                <w:rFonts w:asciiTheme="minorHAnsi" w:hAnsiTheme="minorHAnsi"/>
                <w:i/>
              </w:rPr>
              <w:t>,</w:t>
            </w:r>
            <w:r w:rsidRPr="00535F54">
              <w:rPr>
                <w:rFonts w:asciiTheme="minorHAnsi" w:hAnsiTheme="minorHAnsi"/>
                <w:i/>
              </w:rPr>
              <w:t xml:space="preserve"> the baseline was zero. The target for 2015 is 3 incubators and 3 knowledge centers. In 201</w:t>
            </w:r>
            <w:r w:rsidR="005B5CBE">
              <w:rPr>
                <w:rFonts w:asciiTheme="minorHAnsi" w:hAnsiTheme="minorHAnsi"/>
                <w:i/>
              </w:rPr>
              <w:t>5</w:t>
            </w:r>
            <w:r w:rsidRPr="00535F54">
              <w:rPr>
                <w:rFonts w:asciiTheme="minorHAnsi" w:hAnsiTheme="minorHAnsi"/>
                <w:i/>
              </w:rPr>
              <w:t>,</w:t>
            </w:r>
            <w:r w:rsidRPr="005B5CBE">
              <w:rPr>
                <w:rFonts w:asciiTheme="minorHAnsi" w:hAnsiTheme="minorHAnsi"/>
                <w:i/>
              </w:rPr>
              <w:t xml:space="preserve"> </w:t>
            </w:r>
            <w:r w:rsidR="005B5CBE">
              <w:rPr>
                <w:rFonts w:asciiTheme="minorHAnsi" w:hAnsiTheme="minorHAnsi"/>
                <w:i/>
              </w:rPr>
              <w:t>the target wa</w:t>
            </w:r>
            <w:r w:rsidR="00535F54" w:rsidRPr="005B5CBE">
              <w:rPr>
                <w:rFonts w:asciiTheme="minorHAnsi" w:hAnsiTheme="minorHAnsi"/>
                <w:i/>
              </w:rPr>
              <w:t xml:space="preserve">s already surpassed, since there are </w:t>
            </w:r>
            <w:r w:rsidRPr="00535F54">
              <w:rPr>
                <w:rFonts w:asciiTheme="minorHAnsi" w:hAnsiTheme="minorHAnsi"/>
                <w:i/>
              </w:rPr>
              <w:t xml:space="preserve">2 Knowledge Centers </w:t>
            </w:r>
            <w:r w:rsidR="00535F54" w:rsidRPr="00535F54">
              <w:rPr>
                <w:rFonts w:asciiTheme="minorHAnsi" w:hAnsiTheme="minorHAnsi"/>
                <w:i/>
              </w:rPr>
              <w:t xml:space="preserve">(Namaita and Namialo) and </w:t>
            </w:r>
            <w:r w:rsidR="005B5CBE">
              <w:rPr>
                <w:rFonts w:asciiTheme="minorHAnsi" w:hAnsiTheme="minorHAnsi"/>
                <w:i/>
              </w:rPr>
              <w:t>10</w:t>
            </w:r>
            <w:r w:rsidRPr="00535F54">
              <w:rPr>
                <w:rFonts w:asciiTheme="minorHAnsi" w:hAnsiTheme="minorHAnsi"/>
                <w:i/>
              </w:rPr>
              <w:t xml:space="preserve"> district Busine</w:t>
            </w:r>
            <w:r w:rsidR="005B5CBE">
              <w:rPr>
                <w:rFonts w:asciiTheme="minorHAnsi" w:hAnsiTheme="minorHAnsi"/>
                <w:i/>
              </w:rPr>
              <w:t>ss Services Centers established.</w:t>
            </w:r>
          </w:p>
          <w:p w14:paraId="2988C626" w14:textId="77777777" w:rsidR="003B037A" w:rsidRDefault="00535F54" w:rsidP="006A142C">
            <w:pPr>
              <w:pStyle w:val="BodyText2"/>
              <w:numPr>
                <w:ilvl w:val="0"/>
                <w:numId w:val="16"/>
              </w:numPr>
              <w:rPr>
                <w:rFonts w:asciiTheme="minorHAnsi" w:hAnsiTheme="minorHAnsi"/>
                <w:i/>
              </w:rPr>
            </w:pPr>
            <w:r w:rsidRPr="00535F54">
              <w:rPr>
                <w:rFonts w:asciiTheme="minorHAnsi" w:hAnsiTheme="minorHAnsi"/>
                <w:i/>
              </w:rPr>
              <w:t xml:space="preserve">In </w:t>
            </w:r>
            <w:r w:rsidR="008514D3" w:rsidRPr="00535F54">
              <w:rPr>
                <w:rFonts w:asciiTheme="minorHAnsi" w:hAnsiTheme="minorHAnsi"/>
                <w:i/>
              </w:rPr>
              <w:t>2011</w:t>
            </w:r>
            <w:r w:rsidRPr="00535F54">
              <w:rPr>
                <w:rFonts w:asciiTheme="minorHAnsi" w:hAnsiTheme="minorHAnsi"/>
                <w:i/>
              </w:rPr>
              <w:t xml:space="preserve"> the baseline was</w:t>
            </w:r>
            <w:r w:rsidR="008514D3" w:rsidRPr="00535F54">
              <w:rPr>
                <w:rFonts w:asciiTheme="minorHAnsi" w:hAnsiTheme="minorHAnsi"/>
                <w:i/>
              </w:rPr>
              <w:t xml:space="preserve"> 101,726</w:t>
            </w:r>
            <w:r w:rsidRPr="00535F54">
              <w:rPr>
                <w:rFonts w:asciiTheme="minorHAnsi" w:hAnsiTheme="minorHAnsi"/>
                <w:i/>
              </w:rPr>
              <w:t>, with annual target of 100,000 per year.</w:t>
            </w:r>
            <w:r w:rsidR="008514D3" w:rsidRPr="00535F54">
              <w:rPr>
                <w:rFonts w:asciiTheme="minorHAnsi" w:hAnsiTheme="minorHAnsi"/>
                <w:i/>
              </w:rPr>
              <w:t xml:space="preserve"> </w:t>
            </w:r>
            <w:r w:rsidR="006A142C" w:rsidRPr="006A142C">
              <w:rPr>
                <w:rFonts w:asciiTheme="minorHAnsi" w:hAnsiTheme="minorHAnsi"/>
                <w:i/>
              </w:rPr>
              <w:t xml:space="preserve">No data on people with access to employment after professional training is available. However, </w:t>
            </w:r>
            <w:r w:rsidR="006A142C">
              <w:rPr>
                <w:rFonts w:asciiTheme="minorHAnsi" w:hAnsiTheme="minorHAnsi"/>
                <w:i/>
              </w:rPr>
              <w:t xml:space="preserve">during the first semester of 2015, </w:t>
            </w:r>
            <w:r w:rsidR="006A142C" w:rsidRPr="006A142C">
              <w:rPr>
                <w:rFonts w:asciiTheme="minorHAnsi" w:hAnsiTheme="minorHAnsi"/>
                <w:i/>
              </w:rPr>
              <w:t>the Government reported that 49,772 people received p</w:t>
            </w:r>
            <w:r w:rsidR="006A142C">
              <w:rPr>
                <w:rFonts w:asciiTheme="minorHAnsi" w:hAnsiTheme="minorHAnsi"/>
                <w:i/>
              </w:rPr>
              <w:t xml:space="preserve">rofessional training </w:t>
            </w:r>
            <w:r w:rsidR="006A142C" w:rsidRPr="006A142C">
              <w:rPr>
                <w:rFonts w:asciiTheme="minorHAnsi" w:hAnsiTheme="minorHAnsi"/>
                <w:i/>
              </w:rPr>
              <w:t xml:space="preserve">(women: 17,672 / men: 32,100). </w:t>
            </w:r>
          </w:p>
          <w:p w14:paraId="332D8453" w14:textId="77777777" w:rsidR="006A142C" w:rsidRDefault="00ED42B1" w:rsidP="00ED42B1">
            <w:pPr>
              <w:pStyle w:val="BodyText2"/>
              <w:numPr>
                <w:ilvl w:val="0"/>
                <w:numId w:val="16"/>
              </w:numPr>
              <w:rPr>
                <w:rFonts w:asciiTheme="minorHAnsi" w:hAnsiTheme="minorHAnsi"/>
                <w:i/>
              </w:rPr>
            </w:pPr>
            <w:r>
              <w:rPr>
                <w:rFonts w:asciiTheme="minorHAnsi" w:hAnsiTheme="minorHAnsi"/>
                <w:i/>
              </w:rPr>
              <w:t xml:space="preserve">As of 2015, </w:t>
            </w:r>
            <w:r w:rsidR="006A142C" w:rsidRPr="006A142C">
              <w:rPr>
                <w:rFonts w:asciiTheme="minorHAnsi" w:hAnsiTheme="minorHAnsi"/>
                <w:i/>
              </w:rPr>
              <w:t xml:space="preserve">11 Mediation Centers operationalized. </w:t>
            </w:r>
            <w:r>
              <w:rPr>
                <w:rFonts w:asciiTheme="minorHAnsi" w:hAnsiTheme="minorHAnsi"/>
                <w:i/>
              </w:rPr>
              <w:t>However, t</w:t>
            </w:r>
            <w:r w:rsidR="006A142C" w:rsidRPr="006A142C">
              <w:rPr>
                <w:rFonts w:asciiTheme="minorHAnsi" w:hAnsiTheme="minorHAnsi"/>
                <w:i/>
              </w:rPr>
              <w:t xml:space="preserve">he arbitration mechanisms are not in place. </w:t>
            </w:r>
          </w:p>
          <w:p w14:paraId="10B7AA91" w14:textId="6F2C2540" w:rsidR="00ED42B1" w:rsidRPr="00AB430F" w:rsidRDefault="00ED42B1" w:rsidP="00ED42B1">
            <w:pPr>
              <w:pStyle w:val="BodyText2"/>
              <w:numPr>
                <w:ilvl w:val="0"/>
                <w:numId w:val="16"/>
              </w:numPr>
              <w:rPr>
                <w:rFonts w:asciiTheme="minorHAnsi" w:hAnsiTheme="minorHAnsi"/>
                <w:i/>
              </w:rPr>
            </w:pPr>
            <w:r>
              <w:rPr>
                <w:rFonts w:asciiTheme="minorHAnsi" w:hAnsiTheme="minorHAnsi"/>
                <w:i/>
              </w:rPr>
              <w:t>The Ministry of State Administration estimates that 400,000 people have access to micro-finance services a</w:t>
            </w:r>
            <w:r w:rsidRPr="00ED42B1">
              <w:rPr>
                <w:rFonts w:asciiTheme="minorHAnsi" w:hAnsiTheme="minorHAnsi"/>
                <w:i/>
              </w:rPr>
              <w:t xml:space="preserve">nd </w:t>
            </w:r>
            <w:r w:rsidR="004A3F65">
              <w:rPr>
                <w:rFonts w:asciiTheme="minorHAnsi" w:hAnsiTheme="minorHAnsi"/>
                <w:i/>
              </w:rPr>
              <w:t>re</w:t>
            </w:r>
            <w:r>
              <w:rPr>
                <w:rFonts w:asciiTheme="minorHAnsi" w:hAnsiTheme="minorHAnsi"/>
                <w:i/>
              </w:rPr>
              <w:t xml:space="preserve">ported </w:t>
            </w:r>
            <w:r w:rsidRPr="00ED42B1">
              <w:rPr>
                <w:rFonts w:asciiTheme="minorHAnsi" w:hAnsiTheme="minorHAnsi"/>
                <w:i/>
              </w:rPr>
              <w:t>that 9124 new clients had access to formal and informal finance system</w:t>
            </w:r>
            <w:r>
              <w:rPr>
                <w:rFonts w:asciiTheme="minorHAnsi" w:hAnsiTheme="minorHAnsi"/>
                <w:i/>
              </w:rPr>
              <w:t>s in the first semester of 2015.</w:t>
            </w:r>
          </w:p>
        </w:tc>
      </w:tr>
      <w:tr w:rsidR="00700521" w:rsidRPr="00AB430F" w14:paraId="3FA92774" w14:textId="77777777" w:rsidTr="009E7526">
        <w:tc>
          <w:tcPr>
            <w:tcW w:w="14040" w:type="dxa"/>
            <w:gridSpan w:val="5"/>
          </w:tcPr>
          <w:p w14:paraId="25790D7C" w14:textId="5AE09E6E" w:rsidR="00700521" w:rsidRPr="00824154" w:rsidRDefault="00DB5BCA" w:rsidP="00366CF6">
            <w:pPr>
              <w:pStyle w:val="BodyText2"/>
              <w:spacing w:before="120" w:after="120"/>
              <w:jc w:val="both"/>
              <w:rPr>
                <w:rFonts w:asciiTheme="minorHAnsi" w:hAnsiTheme="minorHAnsi"/>
                <w:b/>
                <w:sz w:val="22"/>
                <w:szCs w:val="22"/>
              </w:rPr>
            </w:pPr>
            <w:r w:rsidRPr="00824154">
              <w:rPr>
                <w:rFonts w:asciiTheme="minorHAnsi" w:hAnsiTheme="minorHAnsi"/>
                <w:b/>
                <w:sz w:val="22"/>
                <w:szCs w:val="22"/>
              </w:rPr>
              <w:t>UNDP Contribution</w:t>
            </w:r>
          </w:p>
          <w:p w14:paraId="6B4A3AEC" w14:textId="7A768E76" w:rsidR="00366CF6" w:rsidRDefault="008B06DD" w:rsidP="00366CF6">
            <w:pPr>
              <w:pStyle w:val="BodyText2"/>
              <w:spacing w:before="120" w:after="120"/>
              <w:jc w:val="both"/>
              <w:rPr>
                <w:rFonts w:asciiTheme="minorHAnsi" w:hAnsiTheme="minorHAnsi"/>
                <w:sz w:val="22"/>
                <w:szCs w:val="22"/>
              </w:rPr>
            </w:pPr>
            <w:r w:rsidRPr="00824154">
              <w:rPr>
                <w:rFonts w:asciiTheme="minorHAnsi" w:hAnsiTheme="minorHAnsi"/>
                <w:sz w:val="22"/>
                <w:szCs w:val="22"/>
                <w:u w:val="single"/>
              </w:rPr>
              <w:t>CP Outputs</w:t>
            </w:r>
            <w:r w:rsidR="00845340" w:rsidRPr="00824154">
              <w:rPr>
                <w:rFonts w:asciiTheme="minorHAnsi" w:hAnsiTheme="minorHAnsi"/>
                <w:sz w:val="22"/>
                <w:szCs w:val="22"/>
              </w:rPr>
              <w:t>:</w:t>
            </w:r>
            <w:r w:rsidR="00463C72" w:rsidRPr="00824154">
              <w:rPr>
                <w:rFonts w:asciiTheme="minorHAnsi" w:hAnsiTheme="minorHAnsi"/>
                <w:sz w:val="22"/>
                <w:szCs w:val="22"/>
              </w:rPr>
              <w:t xml:space="preserve"> </w:t>
            </w:r>
            <w:r w:rsidR="00B20E1D" w:rsidRPr="00824154">
              <w:rPr>
                <w:rFonts w:asciiTheme="minorHAnsi" w:hAnsiTheme="minorHAnsi"/>
                <w:sz w:val="22"/>
                <w:szCs w:val="22"/>
              </w:rPr>
              <w:t>The UNDP CP identified three major outputs to support Government in achieving this outcome</w:t>
            </w:r>
            <w:r w:rsidR="00366CF6">
              <w:rPr>
                <w:rFonts w:asciiTheme="minorHAnsi" w:hAnsiTheme="minorHAnsi"/>
                <w:sz w:val="22"/>
                <w:szCs w:val="22"/>
              </w:rPr>
              <w:t>:</w:t>
            </w:r>
          </w:p>
          <w:p w14:paraId="7596AACD" w14:textId="48CDC1C5" w:rsidR="00366CF6" w:rsidRDefault="00B20E1D" w:rsidP="00366CF6">
            <w:pPr>
              <w:pStyle w:val="BodyText2"/>
              <w:spacing w:before="120" w:after="120"/>
              <w:jc w:val="both"/>
              <w:rPr>
                <w:rFonts w:asciiTheme="minorHAnsi" w:hAnsiTheme="minorHAnsi"/>
                <w:sz w:val="22"/>
                <w:szCs w:val="22"/>
              </w:rPr>
            </w:pPr>
            <w:r w:rsidRPr="00824154">
              <w:rPr>
                <w:rFonts w:asciiTheme="minorHAnsi" w:hAnsiTheme="minorHAnsi"/>
                <w:sz w:val="22"/>
                <w:szCs w:val="22"/>
              </w:rPr>
              <w:t>(a) r</w:t>
            </w:r>
            <w:r w:rsidR="00D464F1" w:rsidRPr="00824154">
              <w:rPr>
                <w:rFonts w:asciiTheme="minorHAnsi" w:hAnsiTheme="minorHAnsi"/>
                <w:sz w:val="22"/>
                <w:szCs w:val="22"/>
              </w:rPr>
              <w:t>ural/microfinance strategies adopted at national level and implemented by se</w:t>
            </w:r>
            <w:r w:rsidR="00CD7143">
              <w:rPr>
                <w:rFonts w:asciiTheme="minorHAnsi" w:hAnsiTheme="minorHAnsi"/>
                <w:sz w:val="22"/>
                <w:szCs w:val="22"/>
              </w:rPr>
              <w:t>lected provinces and districts;</w:t>
            </w:r>
          </w:p>
          <w:p w14:paraId="4C8AE7BF" w14:textId="5325F925" w:rsidR="00366CF6" w:rsidRDefault="00B20E1D" w:rsidP="00366CF6">
            <w:pPr>
              <w:pStyle w:val="BodyText2"/>
              <w:spacing w:before="120" w:after="120"/>
              <w:jc w:val="both"/>
              <w:rPr>
                <w:rFonts w:asciiTheme="minorHAnsi" w:hAnsiTheme="minorHAnsi"/>
                <w:sz w:val="22"/>
                <w:szCs w:val="22"/>
              </w:rPr>
            </w:pPr>
            <w:r w:rsidRPr="00824154">
              <w:rPr>
                <w:rFonts w:asciiTheme="minorHAnsi" w:hAnsiTheme="minorHAnsi"/>
                <w:sz w:val="22"/>
                <w:szCs w:val="22"/>
              </w:rPr>
              <w:t>(b) s</w:t>
            </w:r>
            <w:r w:rsidR="00D464F1" w:rsidRPr="00824154">
              <w:rPr>
                <w:rFonts w:asciiTheme="minorHAnsi" w:hAnsiTheme="minorHAnsi"/>
                <w:sz w:val="22"/>
                <w:szCs w:val="22"/>
              </w:rPr>
              <w:t>elected provincial departments of rural development and local economic development agencies removing barriers for MSMEs, esp. f</w:t>
            </w:r>
            <w:r w:rsidRPr="00824154">
              <w:rPr>
                <w:rFonts w:asciiTheme="minorHAnsi" w:hAnsiTheme="minorHAnsi"/>
                <w:sz w:val="22"/>
                <w:szCs w:val="22"/>
              </w:rPr>
              <w:t xml:space="preserve">or women </w:t>
            </w:r>
            <w:r w:rsidR="00CD7143">
              <w:rPr>
                <w:rFonts w:asciiTheme="minorHAnsi" w:hAnsiTheme="minorHAnsi"/>
                <w:sz w:val="22"/>
                <w:szCs w:val="22"/>
              </w:rPr>
              <w:t>and vulnerable groups;</w:t>
            </w:r>
          </w:p>
          <w:p w14:paraId="3D022239" w14:textId="07E95791" w:rsidR="00D464F1" w:rsidRPr="00824154" w:rsidRDefault="00B20E1D" w:rsidP="00366CF6">
            <w:pPr>
              <w:pStyle w:val="BodyText2"/>
              <w:spacing w:before="120" w:after="120"/>
              <w:jc w:val="both"/>
              <w:rPr>
                <w:rFonts w:asciiTheme="minorHAnsi" w:hAnsiTheme="minorHAnsi"/>
                <w:sz w:val="22"/>
                <w:szCs w:val="22"/>
              </w:rPr>
            </w:pPr>
            <w:r w:rsidRPr="00824154">
              <w:rPr>
                <w:rFonts w:asciiTheme="minorHAnsi" w:hAnsiTheme="minorHAnsi"/>
                <w:sz w:val="22"/>
                <w:szCs w:val="22"/>
              </w:rPr>
              <w:lastRenderedPageBreak/>
              <w:t>(c)</w:t>
            </w:r>
            <w:r w:rsidR="00D464F1" w:rsidRPr="00824154">
              <w:rPr>
                <w:rFonts w:asciiTheme="minorHAnsi" w:hAnsiTheme="minorHAnsi"/>
                <w:sz w:val="22"/>
                <w:szCs w:val="22"/>
              </w:rPr>
              <w:t xml:space="preserve"> </w:t>
            </w:r>
            <w:r w:rsidRPr="00824154">
              <w:rPr>
                <w:rFonts w:asciiTheme="minorHAnsi" w:hAnsiTheme="minorHAnsi"/>
                <w:sz w:val="22"/>
                <w:szCs w:val="22"/>
              </w:rPr>
              <w:t>s</w:t>
            </w:r>
            <w:r w:rsidR="00D464F1" w:rsidRPr="00824154">
              <w:rPr>
                <w:rFonts w:asciiTheme="minorHAnsi" w:hAnsiTheme="minorHAnsi"/>
                <w:sz w:val="22"/>
                <w:szCs w:val="22"/>
              </w:rPr>
              <w:t>mall producers, esp. women and vulnerable groups, access and utilize markets in selected districts</w:t>
            </w:r>
            <w:r w:rsidR="00366CF6">
              <w:rPr>
                <w:rFonts w:asciiTheme="minorHAnsi" w:hAnsiTheme="minorHAnsi"/>
                <w:sz w:val="22"/>
                <w:szCs w:val="22"/>
              </w:rPr>
              <w:t>.</w:t>
            </w:r>
          </w:p>
          <w:p w14:paraId="0E91540B" w14:textId="3EF89CA5" w:rsidR="00E96A18" w:rsidRPr="00E96A18" w:rsidRDefault="008B06DD" w:rsidP="00E96A18">
            <w:pPr>
              <w:pStyle w:val="BodyText2"/>
              <w:spacing w:before="120" w:after="120"/>
              <w:jc w:val="both"/>
              <w:rPr>
                <w:rStyle w:val="roaranswertext"/>
                <w:rFonts w:asciiTheme="minorHAnsi" w:hAnsiTheme="minorHAnsi" w:cs="Arial"/>
                <w:sz w:val="22"/>
                <w:szCs w:val="22"/>
                <w:bdr w:val="none" w:sz="0" w:space="0" w:color="auto" w:frame="1"/>
                <w:shd w:val="clear" w:color="auto" w:fill="FFFFFF"/>
              </w:rPr>
            </w:pPr>
            <w:r w:rsidRPr="00824154">
              <w:rPr>
                <w:rFonts w:asciiTheme="minorHAnsi" w:hAnsiTheme="minorHAnsi"/>
                <w:sz w:val="22"/>
                <w:szCs w:val="22"/>
                <w:u w:val="single"/>
              </w:rPr>
              <w:t>Progress and Achievements</w:t>
            </w:r>
            <w:r w:rsidR="00845340" w:rsidRPr="00824154">
              <w:rPr>
                <w:rFonts w:asciiTheme="minorHAnsi" w:hAnsiTheme="minorHAnsi"/>
                <w:sz w:val="22"/>
                <w:szCs w:val="22"/>
              </w:rPr>
              <w:t>:</w:t>
            </w:r>
            <w:r w:rsidR="00B20E1D" w:rsidRPr="00824154">
              <w:rPr>
                <w:rStyle w:val="roaranswertext"/>
                <w:rFonts w:asciiTheme="minorHAnsi" w:hAnsiTheme="minorHAnsi" w:cs="Arial"/>
                <w:sz w:val="22"/>
                <w:szCs w:val="22"/>
                <w:bdr w:val="none" w:sz="0" w:space="0" w:color="auto" w:frame="1"/>
                <w:shd w:val="clear" w:color="auto" w:fill="FFFFFF"/>
              </w:rPr>
              <w:t xml:space="preserve"> </w:t>
            </w:r>
            <w:r w:rsidR="00E96A18">
              <w:rPr>
                <w:rStyle w:val="roaranswertext"/>
                <w:rFonts w:asciiTheme="minorHAnsi" w:hAnsiTheme="minorHAnsi" w:cs="Arial"/>
                <w:sz w:val="22"/>
                <w:szCs w:val="22"/>
                <w:bdr w:val="none" w:sz="0" w:space="0" w:color="auto" w:frame="1"/>
                <w:shd w:val="clear" w:color="auto" w:fill="FFFFFF"/>
              </w:rPr>
              <w:t xml:space="preserve">In 2015, the Government reported that </w:t>
            </w:r>
            <w:r w:rsidR="00E96A18" w:rsidRPr="00E96A18">
              <w:rPr>
                <w:rStyle w:val="roaranswertext"/>
                <w:rFonts w:asciiTheme="minorHAnsi" w:hAnsiTheme="minorHAnsi" w:cs="Arial"/>
                <w:sz w:val="22"/>
                <w:szCs w:val="22"/>
                <w:bdr w:val="none" w:sz="0" w:space="0" w:color="auto" w:frame="1"/>
                <w:shd w:val="clear" w:color="auto" w:fill="FFFFFF"/>
              </w:rPr>
              <w:t>9124 new c</w:t>
            </w:r>
            <w:r w:rsidR="00B234E5">
              <w:rPr>
                <w:rStyle w:val="roaranswertext"/>
                <w:rFonts w:asciiTheme="minorHAnsi" w:hAnsiTheme="minorHAnsi" w:cs="Arial"/>
                <w:sz w:val="22"/>
                <w:szCs w:val="22"/>
                <w:bdr w:val="none" w:sz="0" w:space="0" w:color="auto" w:frame="1"/>
                <w:shd w:val="clear" w:color="auto" w:fill="FFFFFF"/>
              </w:rPr>
              <w:t xml:space="preserve">lients </w:t>
            </w:r>
            <w:r w:rsidR="00E96A18" w:rsidRPr="00E96A18">
              <w:rPr>
                <w:rStyle w:val="roaranswertext"/>
                <w:rFonts w:asciiTheme="minorHAnsi" w:hAnsiTheme="minorHAnsi" w:cs="Arial"/>
                <w:sz w:val="22"/>
                <w:szCs w:val="22"/>
                <w:bdr w:val="none" w:sz="0" w:space="0" w:color="auto" w:frame="1"/>
                <w:shd w:val="clear" w:color="auto" w:fill="FFFFFF"/>
              </w:rPr>
              <w:t>had access to formal and informal finance</w:t>
            </w:r>
            <w:r w:rsidR="00B234E5">
              <w:rPr>
                <w:rStyle w:val="roaranswertext"/>
                <w:rFonts w:asciiTheme="minorHAnsi" w:hAnsiTheme="minorHAnsi" w:cs="Arial"/>
                <w:sz w:val="22"/>
                <w:szCs w:val="22"/>
                <w:bdr w:val="none" w:sz="0" w:space="0" w:color="auto" w:frame="1"/>
                <w:shd w:val="clear" w:color="auto" w:fill="FFFFFF"/>
              </w:rPr>
              <w:t xml:space="preserve"> systems</w:t>
            </w:r>
            <w:r w:rsidR="00E96A18" w:rsidRPr="00E96A18">
              <w:rPr>
                <w:rStyle w:val="roaranswertext"/>
                <w:rFonts w:asciiTheme="minorHAnsi" w:hAnsiTheme="minorHAnsi" w:cs="Arial"/>
                <w:sz w:val="22"/>
                <w:szCs w:val="22"/>
                <w:bdr w:val="none" w:sz="0" w:space="0" w:color="auto" w:frame="1"/>
                <w:shd w:val="clear" w:color="auto" w:fill="FFFFFF"/>
              </w:rPr>
              <w:t>. This represents a positive trend considering that the figure only refers to the 1st half of 2015. In 2015 UNDP contributed to this trend by enhancing access to financial services through raising awareness and visibility events such as the Financial Inclusion Fair aiming at bridging the gap between the potential beneficiaries of financial services and financial institutions. A total of 3980 people from local communities visited the fair and 1185 people adhered to the financial services expo</w:t>
            </w:r>
            <w:r w:rsidR="00B234E5">
              <w:rPr>
                <w:rStyle w:val="roaranswertext"/>
                <w:rFonts w:asciiTheme="minorHAnsi" w:hAnsiTheme="minorHAnsi" w:cs="Arial"/>
                <w:sz w:val="22"/>
                <w:szCs w:val="22"/>
                <w:bdr w:val="none" w:sz="0" w:space="0" w:color="auto" w:frame="1"/>
                <w:shd w:val="clear" w:color="auto" w:fill="FFFFFF"/>
              </w:rPr>
              <w:t>sed</w:t>
            </w:r>
            <w:r w:rsidR="00E96A18" w:rsidRPr="00E96A18">
              <w:rPr>
                <w:rStyle w:val="roaranswertext"/>
                <w:rFonts w:asciiTheme="minorHAnsi" w:hAnsiTheme="minorHAnsi" w:cs="Arial"/>
                <w:sz w:val="22"/>
                <w:szCs w:val="22"/>
                <w:bdr w:val="none" w:sz="0" w:space="0" w:color="auto" w:frame="1"/>
                <w:shd w:val="clear" w:color="auto" w:fill="FFFFFF"/>
              </w:rPr>
              <w:t xml:space="preserve">. </w:t>
            </w:r>
            <w:r w:rsidR="00B234E5">
              <w:rPr>
                <w:rStyle w:val="roaranswertext"/>
                <w:rFonts w:asciiTheme="minorHAnsi" w:hAnsiTheme="minorHAnsi" w:cs="Arial"/>
                <w:sz w:val="22"/>
                <w:szCs w:val="22"/>
                <w:bdr w:val="none" w:sz="0" w:space="0" w:color="auto" w:frame="1"/>
                <w:shd w:val="clear" w:color="auto" w:fill="FFFFFF"/>
              </w:rPr>
              <w:t xml:space="preserve">In addition, </w:t>
            </w:r>
            <w:r w:rsidR="00B202F8">
              <w:rPr>
                <w:rStyle w:val="roaranswertext"/>
                <w:rFonts w:asciiTheme="minorHAnsi" w:hAnsiTheme="minorHAnsi" w:cs="Arial"/>
                <w:sz w:val="22"/>
                <w:szCs w:val="22"/>
                <w:bdr w:val="none" w:sz="0" w:space="0" w:color="auto" w:frame="1"/>
                <w:shd w:val="clear" w:color="auto" w:fill="FFFFFF"/>
              </w:rPr>
              <w:t xml:space="preserve">the Government estimates that a 400,000 </w:t>
            </w:r>
            <w:r w:rsidR="00B202F8" w:rsidRPr="00B202F8">
              <w:rPr>
                <w:rStyle w:val="roaranswertext"/>
                <w:rFonts w:asciiTheme="minorHAnsi" w:hAnsiTheme="minorHAnsi" w:cs="Arial"/>
                <w:sz w:val="22"/>
                <w:szCs w:val="22"/>
                <w:bdr w:val="none" w:sz="0" w:space="0" w:color="auto" w:frame="1"/>
                <w:shd w:val="clear" w:color="auto" w:fill="FFFFFF"/>
              </w:rPr>
              <w:t xml:space="preserve">people </w:t>
            </w:r>
            <w:r w:rsidR="00B202F8">
              <w:rPr>
                <w:rStyle w:val="roaranswertext"/>
                <w:rFonts w:asciiTheme="minorHAnsi" w:hAnsiTheme="minorHAnsi" w:cs="Arial"/>
                <w:sz w:val="22"/>
                <w:szCs w:val="22"/>
                <w:bdr w:val="none" w:sz="0" w:space="0" w:color="auto" w:frame="1"/>
                <w:shd w:val="clear" w:color="auto" w:fill="FFFFFF"/>
              </w:rPr>
              <w:t xml:space="preserve">have </w:t>
            </w:r>
            <w:r w:rsidR="00B202F8" w:rsidRPr="00B202F8">
              <w:rPr>
                <w:rStyle w:val="roaranswertext"/>
                <w:rFonts w:asciiTheme="minorHAnsi" w:hAnsiTheme="minorHAnsi" w:cs="Arial"/>
                <w:sz w:val="22"/>
                <w:szCs w:val="22"/>
                <w:bdr w:val="none" w:sz="0" w:space="0" w:color="auto" w:frame="1"/>
                <w:shd w:val="clear" w:color="auto" w:fill="FFFFFF"/>
              </w:rPr>
              <w:t xml:space="preserve">access </w:t>
            </w:r>
            <w:r w:rsidR="00B202F8">
              <w:rPr>
                <w:rStyle w:val="roaranswertext"/>
                <w:rFonts w:asciiTheme="minorHAnsi" w:hAnsiTheme="minorHAnsi" w:cs="Arial"/>
                <w:sz w:val="22"/>
                <w:szCs w:val="22"/>
                <w:bdr w:val="none" w:sz="0" w:space="0" w:color="auto" w:frame="1"/>
                <w:shd w:val="clear" w:color="auto" w:fill="FFFFFF"/>
              </w:rPr>
              <w:t xml:space="preserve">to microfinance services. </w:t>
            </w:r>
          </w:p>
          <w:p w14:paraId="7851D108" w14:textId="64D55FA3" w:rsidR="00E96A18" w:rsidRPr="00E96A18" w:rsidRDefault="007E688D" w:rsidP="00E96A18">
            <w:pPr>
              <w:pStyle w:val="BodyText2"/>
              <w:spacing w:before="120" w:after="120"/>
              <w:jc w:val="both"/>
              <w:rPr>
                <w:rStyle w:val="roaranswertext"/>
                <w:rFonts w:asciiTheme="minorHAnsi" w:hAnsiTheme="minorHAnsi" w:cs="Arial"/>
                <w:sz w:val="22"/>
                <w:szCs w:val="22"/>
                <w:bdr w:val="none" w:sz="0" w:space="0" w:color="auto" w:frame="1"/>
                <w:shd w:val="clear" w:color="auto" w:fill="FFFFFF"/>
              </w:rPr>
            </w:pPr>
            <w:r>
              <w:rPr>
                <w:rStyle w:val="roaranswertext"/>
                <w:rFonts w:asciiTheme="minorHAnsi" w:hAnsiTheme="minorHAnsi" w:cs="Arial"/>
                <w:sz w:val="22"/>
                <w:szCs w:val="22"/>
                <w:bdr w:val="none" w:sz="0" w:space="0" w:color="auto" w:frame="1"/>
                <w:shd w:val="clear" w:color="auto" w:fill="FFFFFF"/>
              </w:rPr>
              <w:t>I</w:t>
            </w:r>
            <w:r w:rsidR="00E96A18" w:rsidRPr="00E96A18">
              <w:rPr>
                <w:rStyle w:val="roaranswertext"/>
                <w:rFonts w:asciiTheme="minorHAnsi" w:hAnsiTheme="minorHAnsi" w:cs="Arial"/>
                <w:sz w:val="22"/>
                <w:szCs w:val="22"/>
                <w:bdr w:val="none" w:sz="0" w:space="0" w:color="auto" w:frame="1"/>
                <w:shd w:val="clear" w:color="auto" w:fill="FFFFFF"/>
              </w:rPr>
              <w:t xml:space="preserve">n 2015, 2 additional District Business Centers (DBCs) were made operational. The country has now 10 DBCs </w:t>
            </w:r>
            <w:r w:rsidR="00053FEE">
              <w:rPr>
                <w:rStyle w:val="roaranswertext"/>
                <w:rFonts w:asciiTheme="minorHAnsi" w:hAnsiTheme="minorHAnsi" w:cs="Arial"/>
                <w:sz w:val="22"/>
                <w:szCs w:val="22"/>
                <w:bdr w:val="none" w:sz="0" w:space="0" w:color="auto" w:frame="1"/>
                <w:shd w:val="clear" w:color="auto" w:fill="FFFFFF"/>
              </w:rPr>
              <w:t xml:space="preserve">and </w:t>
            </w:r>
            <w:r w:rsidR="00053FEE" w:rsidRPr="00053FEE">
              <w:rPr>
                <w:rStyle w:val="roaranswertext"/>
                <w:rFonts w:cs="Arial"/>
                <w:sz w:val="22"/>
                <w:szCs w:val="22"/>
                <w:bdr w:val="none" w:sz="0" w:space="0" w:color="auto" w:frame="1"/>
                <w:shd w:val="clear" w:color="auto" w:fill="FFFFFF"/>
              </w:rPr>
              <w:t>2 Knowledge Centers (Namaita and Namialo)</w:t>
            </w:r>
            <w:r w:rsidR="00053FEE">
              <w:rPr>
                <w:rStyle w:val="roaranswertext"/>
                <w:rFonts w:cs="Arial"/>
                <w:sz w:val="22"/>
                <w:szCs w:val="22"/>
                <w:bdr w:val="none" w:sz="0" w:space="0" w:color="auto" w:frame="1"/>
                <w:shd w:val="clear" w:color="auto" w:fill="FFFFFF"/>
              </w:rPr>
              <w:t xml:space="preserve"> </w:t>
            </w:r>
            <w:r w:rsidR="00E96A18" w:rsidRPr="00E96A18">
              <w:rPr>
                <w:rStyle w:val="roaranswertext"/>
                <w:rFonts w:asciiTheme="minorHAnsi" w:hAnsiTheme="minorHAnsi" w:cs="Arial"/>
                <w:sz w:val="22"/>
                <w:szCs w:val="22"/>
                <w:bdr w:val="none" w:sz="0" w:space="0" w:color="auto" w:frame="1"/>
                <w:shd w:val="clear" w:color="auto" w:fill="FFFFFF"/>
              </w:rPr>
              <w:t>thus increasing access to opportunities for improvement of livelihoods for rural an</w:t>
            </w:r>
            <w:r>
              <w:rPr>
                <w:rStyle w:val="roaranswertext"/>
                <w:rFonts w:asciiTheme="minorHAnsi" w:hAnsiTheme="minorHAnsi" w:cs="Arial"/>
                <w:sz w:val="22"/>
                <w:szCs w:val="22"/>
                <w:bdr w:val="none" w:sz="0" w:space="0" w:color="auto" w:frame="1"/>
                <w:shd w:val="clear" w:color="auto" w:fill="FFFFFF"/>
              </w:rPr>
              <w:t>d peri-urban populations</w:t>
            </w:r>
            <w:r w:rsidR="00E96A18" w:rsidRPr="00E96A18">
              <w:rPr>
                <w:rStyle w:val="roaranswertext"/>
                <w:rFonts w:asciiTheme="minorHAnsi" w:hAnsiTheme="minorHAnsi" w:cs="Arial"/>
                <w:sz w:val="22"/>
                <w:szCs w:val="22"/>
                <w:bdr w:val="none" w:sz="0" w:space="0" w:color="auto" w:frame="1"/>
                <w:shd w:val="clear" w:color="auto" w:fill="FFFFFF"/>
              </w:rPr>
              <w:t>. UNDP contributed directly to the establishment of the</w:t>
            </w:r>
            <w:r w:rsidR="00053FEE">
              <w:rPr>
                <w:rStyle w:val="roaranswertext"/>
                <w:rFonts w:asciiTheme="minorHAnsi" w:hAnsiTheme="minorHAnsi" w:cs="Arial"/>
                <w:sz w:val="22"/>
                <w:szCs w:val="22"/>
                <w:bdr w:val="none" w:sz="0" w:space="0" w:color="auto" w:frame="1"/>
                <w:shd w:val="clear" w:color="auto" w:fill="FFFFFF"/>
              </w:rPr>
              <w:t xml:space="preserve">se centers </w:t>
            </w:r>
            <w:r w:rsidR="00E96A18" w:rsidRPr="00E96A18">
              <w:rPr>
                <w:rStyle w:val="roaranswertext"/>
                <w:rFonts w:asciiTheme="minorHAnsi" w:hAnsiTheme="minorHAnsi" w:cs="Arial"/>
                <w:sz w:val="22"/>
                <w:szCs w:val="22"/>
                <w:bdr w:val="none" w:sz="0" w:space="0" w:color="auto" w:frame="1"/>
                <w:shd w:val="clear" w:color="auto" w:fill="FFFFFF"/>
              </w:rPr>
              <w:t>by making the DBCs functional through the rehabilitation and equipping of the premises and building capacities of staff in charge of assisting beneficiaries. Additionally, awareness was raised among the local population about the existence of the DBCs thro</w:t>
            </w:r>
            <w:r w:rsidR="00053FEE">
              <w:rPr>
                <w:rStyle w:val="roaranswertext"/>
                <w:rFonts w:asciiTheme="minorHAnsi" w:hAnsiTheme="minorHAnsi" w:cs="Arial"/>
                <w:sz w:val="22"/>
                <w:szCs w:val="22"/>
                <w:bdr w:val="none" w:sz="0" w:space="0" w:color="auto" w:frame="1"/>
                <w:shd w:val="clear" w:color="auto" w:fill="FFFFFF"/>
              </w:rPr>
              <w:t>ugh visibility campaigns</w:t>
            </w:r>
            <w:r w:rsidR="00E96A18" w:rsidRPr="00E96A18">
              <w:rPr>
                <w:rStyle w:val="roaranswertext"/>
                <w:rFonts w:asciiTheme="minorHAnsi" w:hAnsiTheme="minorHAnsi" w:cs="Arial"/>
                <w:sz w:val="22"/>
                <w:szCs w:val="22"/>
                <w:bdr w:val="none" w:sz="0" w:space="0" w:color="auto" w:frame="1"/>
                <w:shd w:val="clear" w:color="auto" w:fill="FFFFFF"/>
              </w:rPr>
              <w:t xml:space="preserve">. The impact of the 10 DBCs </w:t>
            </w:r>
            <w:r w:rsidR="00B56C0F">
              <w:rPr>
                <w:rStyle w:val="roaranswertext"/>
                <w:rFonts w:asciiTheme="minorHAnsi" w:hAnsiTheme="minorHAnsi" w:cs="Arial"/>
                <w:sz w:val="22"/>
                <w:szCs w:val="22"/>
                <w:bdr w:val="none" w:sz="0" w:space="0" w:color="auto" w:frame="1"/>
                <w:shd w:val="clear" w:color="auto" w:fill="FFFFFF"/>
              </w:rPr>
              <w:t xml:space="preserve">and </w:t>
            </w:r>
            <w:r w:rsidR="00053FEE">
              <w:rPr>
                <w:rStyle w:val="roaranswertext"/>
                <w:rFonts w:asciiTheme="minorHAnsi" w:hAnsiTheme="minorHAnsi" w:cs="Arial"/>
                <w:sz w:val="22"/>
                <w:szCs w:val="22"/>
                <w:bdr w:val="none" w:sz="0" w:space="0" w:color="auto" w:frame="1"/>
                <w:shd w:val="clear" w:color="auto" w:fill="FFFFFF"/>
              </w:rPr>
              <w:t xml:space="preserve">the knowledge centers </w:t>
            </w:r>
            <w:r w:rsidR="00E96A18" w:rsidRPr="00E96A18">
              <w:rPr>
                <w:rStyle w:val="roaranswertext"/>
                <w:rFonts w:asciiTheme="minorHAnsi" w:hAnsiTheme="minorHAnsi" w:cs="Arial"/>
                <w:sz w:val="22"/>
                <w:szCs w:val="22"/>
                <w:bdr w:val="none" w:sz="0" w:space="0" w:color="auto" w:frame="1"/>
                <w:shd w:val="clear" w:color="auto" w:fill="FFFFFF"/>
              </w:rPr>
              <w:t>in the livelihoods of people in the targeted districts will be further enhanced as these are districts where extractive industries are heavily i</w:t>
            </w:r>
            <w:r w:rsidR="00B56C0F">
              <w:rPr>
                <w:rStyle w:val="roaranswertext"/>
                <w:rFonts w:asciiTheme="minorHAnsi" w:hAnsiTheme="minorHAnsi" w:cs="Arial"/>
                <w:sz w:val="22"/>
                <w:szCs w:val="22"/>
                <w:bdr w:val="none" w:sz="0" w:space="0" w:color="auto" w:frame="1"/>
                <w:shd w:val="clear" w:color="auto" w:fill="FFFFFF"/>
              </w:rPr>
              <w:t>nfluencing local markets</w:t>
            </w:r>
            <w:r w:rsidR="00E96A18" w:rsidRPr="00E96A18">
              <w:rPr>
                <w:rStyle w:val="roaranswertext"/>
                <w:rFonts w:asciiTheme="minorHAnsi" w:hAnsiTheme="minorHAnsi" w:cs="Arial"/>
                <w:sz w:val="22"/>
                <w:szCs w:val="22"/>
                <w:bdr w:val="none" w:sz="0" w:space="0" w:color="auto" w:frame="1"/>
                <w:shd w:val="clear" w:color="auto" w:fill="FFFFFF"/>
              </w:rPr>
              <w:t xml:space="preserve">. </w:t>
            </w:r>
          </w:p>
          <w:p w14:paraId="75CD1218" w14:textId="321B2CFE" w:rsidR="00E96A18" w:rsidRPr="00E96A18" w:rsidRDefault="00E96A18" w:rsidP="00E96A18">
            <w:pPr>
              <w:pStyle w:val="BodyText2"/>
              <w:spacing w:before="120" w:after="120"/>
              <w:jc w:val="both"/>
              <w:rPr>
                <w:rStyle w:val="roaranswertext"/>
                <w:rFonts w:asciiTheme="minorHAnsi" w:hAnsiTheme="minorHAnsi" w:cs="Arial"/>
                <w:sz w:val="22"/>
                <w:szCs w:val="22"/>
                <w:bdr w:val="none" w:sz="0" w:space="0" w:color="auto" w:frame="1"/>
                <w:shd w:val="clear" w:color="auto" w:fill="FFFFFF"/>
              </w:rPr>
            </w:pPr>
            <w:r w:rsidRPr="00E96A18">
              <w:rPr>
                <w:rStyle w:val="roaranswertext"/>
                <w:rFonts w:asciiTheme="minorHAnsi" w:hAnsiTheme="minorHAnsi" w:cs="Arial"/>
                <w:sz w:val="22"/>
                <w:szCs w:val="22"/>
                <w:bdr w:val="none" w:sz="0" w:space="0" w:color="auto" w:frame="1"/>
                <w:shd w:val="clear" w:color="auto" w:fill="FFFFFF"/>
              </w:rPr>
              <w:t>Despite no data on people with access to employment after professional training is availa</w:t>
            </w:r>
            <w:r w:rsidR="00B56C0F">
              <w:rPr>
                <w:rStyle w:val="roaranswertext"/>
                <w:rFonts w:asciiTheme="minorHAnsi" w:hAnsiTheme="minorHAnsi" w:cs="Arial"/>
                <w:sz w:val="22"/>
                <w:szCs w:val="22"/>
                <w:bdr w:val="none" w:sz="0" w:space="0" w:color="auto" w:frame="1"/>
                <w:shd w:val="clear" w:color="auto" w:fill="FFFFFF"/>
              </w:rPr>
              <w:t>ble, in 2015</w:t>
            </w:r>
            <w:r w:rsidRPr="00E96A18">
              <w:rPr>
                <w:rStyle w:val="roaranswertext"/>
                <w:rFonts w:asciiTheme="minorHAnsi" w:hAnsiTheme="minorHAnsi" w:cs="Arial"/>
                <w:sz w:val="22"/>
                <w:szCs w:val="22"/>
                <w:bdr w:val="none" w:sz="0" w:space="0" w:color="auto" w:frame="1"/>
                <w:shd w:val="clear" w:color="auto" w:fill="FFFFFF"/>
              </w:rPr>
              <w:t xml:space="preserve"> the Government reported that 49,772 people benefited from professional training hence increasing their capacities to respond to national employment market. The data refers to the 1st h</w:t>
            </w:r>
            <w:r w:rsidR="00B56C0F">
              <w:rPr>
                <w:rStyle w:val="roaranswertext"/>
                <w:rFonts w:asciiTheme="minorHAnsi" w:hAnsiTheme="minorHAnsi" w:cs="Arial"/>
                <w:sz w:val="22"/>
                <w:szCs w:val="22"/>
                <w:bdr w:val="none" w:sz="0" w:space="0" w:color="auto" w:frame="1"/>
                <w:shd w:val="clear" w:color="auto" w:fill="FFFFFF"/>
              </w:rPr>
              <w:t>alf of 2015</w:t>
            </w:r>
            <w:r w:rsidRPr="00E96A18">
              <w:rPr>
                <w:rStyle w:val="roaranswertext"/>
                <w:rFonts w:asciiTheme="minorHAnsi" w:hAnsiTheme="minorHAnsi" w:cs="Arial"/>
                <w:sz w:val="22"/>
                <w:szCs w:val="22"/>
                <w:bdr w:val="none" w:sz="0" w:space="0" w:color="auto" w:frame="1"/>
                <w:shd w:val="clear" w:color="auto" w:fill="FFFFFF"/>
              </w:rPr>
              <w:t xml:space="preserve">. </w:t>
            </w:r>
          </w:p>
          <w:p w14:paraId="2183282E" w14:textId="36E94468" w:rsidR="00366CF6" w:rsidRPr="00366CF6" w:rsidRDefault="00E96A18" w:rsidP="00E96A18">
            <w:pPr>
              <w:pStyle w:val="BodyText2"/>
              <w:spacing w:before="120" w:after="120"/>
              <w:jc w:val="both"/>
              <w:rPr>
                <w:rFonts w:asciiTheme="minorHAnsi" w:hAnsiTheme="minorHAnsi" w:cs="Arial"/>
                <w:sz w:val="22"/>
                <w:szCs w:val="22"/>
                <w:shd w:val="clear" w:color="auto" w:fill="FFFFFF"/>
              </w:rPr>
            </w:pPr>
            <w:r w:rsidRPr="00E96A18">
              <w:rPr>
                <w:rStyle w:val="roaranswertext"/>
                <w:rFonts w:asciiTheme="minorHAnsi" w:hAnsiTheme="minorHAnsi" w:cs="Arial"/>
                <w:sz w:val="22"/>
                <w:szCs w:val="22"/>
                <w:bdr w:val="none" w:sz="0" w:space="0" w:color="auto" w:frame="1"/>
                <w:shd w:val="clear" w:color="auto" w:fill="FFFFFF"/>
              </w:rPr>
              <w:t>Through UNDP support, 2 irrigation schemes were rehabilitated, a goat rotation</w:t>
            </w:r>
            <w:r w:rsidR="00B56C0F">
              <w:rPr>
                <w:rStyle w:val="roaranswertext"/>
                <w:rFonts w:asciiTheme="minorHAnsi" w:hAnsiTheme="minorHAnsi" w:cs="Arial"/>
                <w:sz w:val="22"/>
                <w:szCs w:val="22"/>
                <w:bdr w:val="none" w:sz="0" w:space="0" w:color="auto" w:frame="1"/>
                <w:shd w:val="clear" w:color="auto" w:fill="FFFFFF"/>
              </w:rPr>
              <w:t xml:space="preserve"> system was implemented </w:t>
            </w:r>
            <w:r w:rsidRPr="00E96A18">
              <w:rPr>
                <w:rStyle w:val="roaranswertext"/>
                <w:rFonts w:asciiTheme="minorHAnsi" w:hAnsiTheme="minorHAnsi" w:cs="Arial"/>
                <w:sz w:val="22"/>
                <w:szCs w:val="22"/>
                <w:bdr w:val="none" w:sz="0" w:space="0" w:color="auto" w:frame="1"/>
                <w:shd w:val="clear" w:color="auto" w:fill="FFFFFF"/>
              </w:rPr>
              <w:t>benefiting 501 families (out of which 377 were female headed households) and additional 384 people had access to ener</w:t>
            </w:r>
            <w:r w:rsidR="00B56C0F">
              <w:rPr>
                <w:rStyle w:val="roaranswertext"/>
                <w:rFonts w:asciiTheme="minorHAnsi" w:hAnsiTheme="minorHAnsi" w:cs="Arial"/>
                <w:sz w:val="22"/>
                <w:szCs w:val="22"/>
                <w:bdr w:val="none" w:sz="0" w:space="0" w:color="auto" w:frame="1"/>
                <w:shd w:val="clear" w:color="auto" w:fill="FFFFFF"/>
              </w:rPr>
              <w:t xml:space="preserve">gy </w:t>
            </w:r>
            <w:r w:rsidRPr="00E96A18">
              <w:rPr>
                <w:rStyle w:val="roaranswertext"/>
                <w:rFonts w:asciiTheme="minorHAnsi" w:hAnsiTheme="minorHAnsi" w:cs="Arial"/>
                <w:sz w:val="22"/>
                <w:szCs w:val="22"/>
                <w:bdr w:val="none" w:sz="0" w:space="0" w:color="auto" w:frame="1"/>
                <w:shd w:val="clear" w:color="auto" w:fill="FFFFFF"/>
              </w:rPr>
              <w:t>used to make the third irri</w:t>
            </w:r>
            <w:r w:rsidR="00B56C0F">
              <w:rPr>
                <w:rStyle w:val="roaranswertext"/>
                <w:rFonts w:asciiTheme="minorHAnsi" w:hAnsiTheme="minorHAnsi" w:cs="Arial"/>
                <w:sz w:val="22"/>
                <w:szCs w:val="22"/>
                <w:bdr w:val="none" w:sz="0" w:space="0" w:color="auto" w:frame="1"/>
                <w:shd w:val="clear" w:color="auto" w:fill="FFFFFF"/>
              </w:rPr>
              <w:t>gation scheme functional</w:t>
            </w:r>
            <w:r w:rsidRPr="00E96A18">
              <w:rPr>
                <w:rStyle w:val="roaranswertext"/>
                <w:rFonts w:asciiTheme="minorHAnsi" w:hAnsiTheme="minorHAnsi" w:cs="Arial"/>
                <w:sz w:val="22"/>
                <w:szCs w:val="22"/>
                <w:bdr w:val="none" w:sz="0" w:space="0" w:color="auto" w:frame="1"/>
                <w:shd w:val="clear" w:color="auto" w:fill="FFFFFF"/>
              </w:rPr>
              <w:t>. Livelihoods were hence strengthened for 2884 peop</w:t>
            </w:r>
            <w:r w:rsidR="00370DCF">
              <w:rPr>
                <w:rStyle w:val="roaranswertext"/>
                <w:rFonts w:asciiTheme="minorHAnsi" w:hAnsiTheme="minorHAnsi" w:cs="Arial"/>
                <w:sz w:val="22"/>
                <w:szCs w:val="22"/>
                <w:bdr w:val="none" w:sz="0" w:space="0" w:color="auto" w:frame="1"/>
                <w:shd w:val="clear" w:color="auto" w:fill="FFFFFF"/>
              </w:rPr>
              <w:t>le</w:t>
            </w:r>
            <w:r w:rsidRPr="00E96A18">
              <w:rPr>
                <w:rStyle w:val="roaranswertext"/>
                <w:rFonts w:asciiTheme="minorHAnsi" w:hAnsiTheme="minorHAnsi" w:cs="Arial"/>
                <w:sz w:val="22"/>
                <w:szCs w:val="22"/>
                <w:bdr w:val="none" w:sz="0" w:space="0" w:color="auto" w:frame="1"/>
                <w:shd w:val="clear" w:color="auto" w:fill="FFFFFF"/>
              </w:rPr>
              <w:t>.</w:t>
            </w:r>
          </w:p>
        </w:tc>
      </w:tr>
      <w:tr w:rsidR="00D464F1" w:rsidRPr="00AB430F" w14:paraId="47EA984B" w14:textId="77777777" w:rsidTr="00BC65CB">
        <w:tc>
          <w:tcPr>
            <w:tcW w:w="3060" w:type="dxa"/>
            <w:shd w:val="clear" w:color="auto" w:fill="95B3D7" w:themeFill="accent1" w:themeFillTint="99"/>
          </w:tcPr>
          <w:p w14:paraId="575B7690" w14:textId="77777777" w:rsidR="00D464F1" w:rsidRPr="00AB430F" w:rsidRDefault="00D464F1" w:rsidP="00BC65CB">
            <w:pPr>
              <w:pStyle w:val="BodyText2"/>
              <w:rPr>
                <w:rFonts w:asciiTheme="minorHAnsi" w:hAnsiTheme="minorHAnsi"/>
                <w:b/>
              </w:rPr>
            </w:pPr>
            <w:r w:rsidRPr="00AB430F">
              <w:rPr>
                <w:rFonts w:asciiTheme="minorHAnsi" w:hAnsiTheme="minorHAnsi"/>
                <w:b/>
              </w:rPr>
              <w:lastRenderedPageBreak/>
              <w:t>3. Sustainable and effective management of natural resources and disaster risk reduction benefit all people in Mozambique, particularly the most vulnerable.</w:t>
            </w:r>
          </w:p>
        </w:tc>
        <w:tc>
          <w:tcPr>
            <w:tcW w:w="1530" w:type="dxa"/>
            <w:gridSpan w:val="2"/>
            <w:shd w:val="clear" w:color="auto" w:fill="auto"/>
          </w:tcPr>
          <w:p w14:paraId="755D8D78" w14:textId="77777777" w:rsidR="00D464F1" w:rsidRDefault="00D464F1" w:rsidP="004709C4">
            <w:pPr>
              <w:pStyle w:val="BodyText2"/>
              <w:rPr>
                <w:rFonts w:asciiTheme="minorHAnsi" w:hAnsiTheme="minorHAnsi"/>
              </w:rPr>
            </w:pPr>
          </w:p>
          <w:p w14:paraId="6AE061F4" w14:textId="11FAE702" w:rsidR="004709C4" w:rsidRPr="00824154" w:rsidRDefault="004709C4" w:rsidP="004709C4">
            <w:pPr>
              <w:pStyle w:val="BodyText2"/>
              <w:rPr>
                <w:rFonts w:asciiTheme="minorHAnsi" w:hAnsiTheme="minorHAnsi"/>
              </w:rPr>
            </w:pPr>
            <w:r>
              <w:rPr>
                <w:rFonts w:asciiTheme="minorHAnsi" w:hAnsiTheme="minorHAnsi"/>
              </w:rPr>
              <w:t>36,891,151</w:t>
            </w:r>
          </w:p>
        </w:tc>
        <w:tc>
          <w:tcPr>
            <w:tcW w:w="3960" w:type="dxa"/>
            <w:tcBorders>
              <w:left w:val="single" w:sz="4" w:space="0" w:color="auto"/>
            </w:tcBorders>
          </w:tcPr>
          <w:p w14:paraId="3D1AC035" w14:textId="77777777" w:rsidR="00D464F1" w:rsidRPr="00AB430F" w:rsidRDefault="00D464F1" w:rsidP="00AB430F">
            <w:pPr>
              <w:pStyle w:val="BodyText2"/>
              <w:numPr>
                <w:ilvl w:val="0"/>
                <w:numId w:val="20"/>
              </w:numPr>
              <w:ind w:left="342" w:hanging="342"/>
              <w:rPr>
                <w:rFonts w:asciiTheme="minorHAnsi" w:hAnsiTheme="minorHAnsi"/>
                <w:i/>
              </w:rPr>
            </w:pPr>
            <w:r w:rsidRPr="00AB430F">
              <w:rPr>
                <w:rFonts w:asciiTheme="minorHAnsi" w:hAnsiTheme="minorHAnsi"/>
                <w:i/>
              </w:rPr>
              <w:t xml:space="preserve"># of vulnerable communities adapting to climate change (CC); </w:t>
            </w:r>
          </w:p>
          <w:p w14:paraId="464C80C1" w14:textId="77777777" w:rsidR="00D464F1" w:rsidRPr="00AB430F" w:rsidRDefault="00D464F1" w:rsidP="00AB430F">
            <w:pPr>
              <w:pStyle w:val="BodyText2"/>
              <w:numPr>
                <w:ilvl w:val="0"/>
                <w:numId w:val="20"/>
              </w:numPr>
              <w:ind w:left="342" w:hanging="342"/>
              <w:rPr>
                <w:rFonts w:asciiTheme="minorHAnsi" w:hAnsiTheme="minorHAnsi"/>
                <w:i/>
              </w:rPr>
            </w:pPr>
            <w:r w:rsidRPr="00AB430F">
              <w:rPr>
                <w:rFonts w:asciiTheme="minorHAnsi" w:hAnsiTheme="minorHAnsi"/>
                <w:i/>
              </w:rPr>
              <w:t xml:space="preserve"># of districts classified as mine free; </w:t>
            </w:r>
          </w:p>
          <w:p w14:paraId="7FF43B3C" w14:textId="77777777" w:rsidR="00D464F1" w:rsidRPr="00AB430F" w:rsidRDefault="00D464F1" w:rsidP="00AB430F">
            <w:pPr>
              <w:pStyle w:val="BodyText2"/>
              <w:numPr>
                <w:ilvl w:val="0"/>
                <w:numId w:val="20"/>
              </w:numPr>
              <w:ind w:left="342" w:hanging="342"/>
              <w:rPr>
                <w:rFonts w:asciiTheme="minorHAnsi" w:hAnsiTheme="minorHAnsi"/>
                <w:i/>
              </w:rPr>
            </w:pPr>
            <w:r w:rsidRPr="00AB430F">
              <w:rPr>
                <w:rFonts w:asciiTheme="minorHAnsi" w:hAnsiTheme="minorHAnsi"/>
                <w:i/>
              </w:rPr>
              <w:t>% of sectors with specific responses to the needs of women, girls, men and boys in the contingency plan</w:t>
            </w:r>
          </w:p>
        </w:tc>
        <w:tc>
          <w:tcPr>
            <w:tcW w:w="5490" w:type="dxa"/>
            <w:shd w:val="clear" w:color="auto" w:fill="auto"/>
          </w:tcPr>
          <w:p w14:paraId="579165CE" w14:textId="541DF710" w:rsidR="00D464F1" w:rsidRPr="00AB430F" w:rsidRDefault="00535F54" w:rsidP="00495C03">
            <w:pPr>
              <w:pStyle w:val="BodyText2"/>
              <w:numPr>
                <w:ilvl w:val="0"/>
                <w:numId w:val="21"/>
              </w:numPr>
              <w:ind w:left="409"/>
              <w:rPr>
                <w:rFonts w:asciiTheme="minorHAnsi" w:hAnsiTheme="minorHAnsi"/>
                <w:i/>
              </w:rPr>
            </w:pPr>
            <w:r>
              <w:rPr>
                <w:rFonts w:asciiTheme="minorHAnsi" w:hAnsiTheme="minorHAnsi"/>
                <w:i/>
              </w:rPr>
              <w:t xml:space="preserve">In </w:t>
            </w:r>
            <w:r w:rsidR="008514D3" w:rsidRPr="00AB430F">
              <w:rPr>
                <w:rFonts w:asciiTheme="minorHAnsi" w:hAnsiTheme="minorHAnsi"/>
                <w:i/>
              </w:rPr>
              <w:t xml:space="preserve">2012 </w:t>
            </w:r>
            <w:r>
              <w:rPr>
                <w:rFonts w:asciiTheme="minorHAnsi" w:hAnsiTheme="minorHAnsi"/>
                <w:i/>
              </w:rPr>
              <w:t xml:space="preserve">the </w:t>
            </w:r>
            <w:r w:rsidR="008514D3" w:rsidRPr="00AB430F">
              <w:rPr>
                <w:rFonts w:asciiTheme="minorHAnsi" w:hAnsiTheme="minorHAnsi"/>
                <w:i/>
              </w:rPr>
              <w:t xml:space="preserve">baseline </w:t>
            </w:r>
            <w:r>
              <w:rPr>
                <w:rFonts w:asciiTheme="minorHAnsi" w:hAnsiTheme="minorHAnsi"/>
                <w:i/>
              </w:rPr>
              <w:t xml:space="preserve">was </w:t>
            </w:r>
            <w:r w:rsidR="008514D3" w:rsidRPr="00AB430F">
              <w:rPr>
                <w:rFonts w:asciiTheme="minorHAnsi" w:hAnsiTheme="minorHAnsi"/>
                <w:i/>
              </w:rPr>
              <w:t>5 commu</w:t>
            </w:r>
            <w:r w:rsidR="007F62AB">
              <w:rPr>
                <w:rFonts w:asciiTheme="minorHAnsi" w:hAnsiTheme="minorHAnsi"/>
                <w:i/>
              </w:rPr>
              <w:t>nities (in Guij</w:t>
            </w:r>
            <w:r w:rsidR="008514D3" w:rsidRPr="00AB430F">
              <w:rPr>
                <w:rFonts w:asciiTheme="minorHAnsi" w:hAnsiTheme="minorHAnsi"/>
                <w:i/>
              </w:rPr>
              <w:t xml:space="preserve">a </w:t>
            </w:r>
            <w:r w:rsidR="001666CE">
              <w:rPr>
                <w:rFonts w:asciiTheme="minorHAnsi" w:hAnsiTheme="minorHAnsi"/>
                <w:i/>
              </w:rPr>
              <w:t xml:space="preserve">and Chicualacuala). </w:t>
            </w:r>
            <w:r>
              <w:rPr>
                <w:rFonts w:asciiTheme="minorHAnsi" w:hAnsiTheme="minorHAnsi"/>
                <w:i/>
              </w:rPr>
              <w:t xml:space="preserve">By </w:t>
            </w:r>
            <w:r w:rsidR="008514D3" w:rsidRPr="00AB430F">
              <w:rPr>
                <w:rFonts w:asciiTheme="minorHAnsi" w:hAnsiTheme="minorHAnsi"/>
                <w:i/>
              </w:rPr>
              <w:t>201</w:t>
            </w:r>
            <w:r w:rsidR="001666CE">
              <w:rPr>
                <w:rFonts w:asciiTheme="minorHAnsi" w:hAnsiTheme="minorHAnsi"/>
                <w:i/>
              </w:rPr>
              <w:t>5</w:t>
            </w:r>
            <w:r w:rsidR="008514D3" w:rsidRPr="00AB430F">
              <w:rPr>
                <w:rFonts w:asciiTheme="minorHAnsi" w:hAnsiTheme="minorHAnsi"/>
                <w:i/>
              </w:rPr>
              <w:t xml:space="preserve"> </w:t>
            </w:r>
            <w:r>
              <w:rPr>
                <w:rFonts w:asciiTheme="minorHAnsi" w:hAnsiTheme="minorHAnsi"/>
                <w:i/>
              </w:rPr>
              <w:t xml:space="preserve">significant progress was made, and </w:t>
            </w:r>
            <w:r w:rsidR="001666CE" w:rsidRPr="001666CE">
              <w:rPr>
                <w:rFonts w:asciiTheme="minorHAnsi" w:hAnsiTheme="minorHAnsi"/>
                <w:i/>
              </w:rPr>
              <w:t>148</w:t>
            </w:r>
            <w:r w:rsidR="008514D3" w:rsidRPr="00AB430F">
              <w:rPr>
                <w:rFonts w:asciiTheme="minorHAnsi" w:hAnsiTheme="minorHAnsi"/>
                <w:i/>
              </w:rPr>
              <w:t xml:space="preserve"> communities </w:t>
            </w:r>
            <w:r w:rsidR="00266146">
              <w:rPr>
                <w:rFonts w:asciiTheme="minorHAnsi" w:hAnsiTheme="minorHAnsi"/>
                <w:i/>
              </w:rPr>
              <w:t xml:space="preserve">(out of 200) </w:t>
            </w:r>
            <w:r>
              <w:rPr>
                <w:rFonts w:asciiTheme="minorHAnsi" w:hAnsiTheme="minorHAnsi"/>
                <w:i/>
              </w:rPr>
              <w:t xml:space="preserve">were </w:t>
            </w:r>
            <w:r w:rsidR="008514D3" w:rsidRPr="00AB430F">
              <w:rPr>
                <w:rFonts w:asciiTheme="minorHAnsi" w:hAnsiTheme="minorHAnsi"/>
                <w:i/>
              </w:rPr>
              <w:t xml:space="preserve">successfully targeted. </w:t>
            </w:r>
          </w:p>
          <w:p w14:paraId="059D7615" w14:textId="77777777" w:rsidR="007C6866" w:rsidRDefault="00535F54" w:rsidP="007C6866">
            <w:pPr>
              <w:pStyle w:val="BodyText2"/>
              <w:numPr>
                <w:ilvl w:val="0"/>
                <w:numId w:val="21"/>
              </w:numPr>
              <w:ind w:left="432" w:hanging="432"/>
              <w:rPr>
                <w:rFonts w:asciiTheme="minorHAnsi" w:hAnsiTheme="minorHAnsi"/>
                <w:i/>
              </w:rPr>
            </w:pPr>
            <w:r w:rsidRPr="00535F54">
              <w:rPr>
                <w:rFonts w:asciiTheme="minorHAnsi" w:hAnsiTheme="minorHAnsi"/>
                <w:i/>
              </w:rPr>
              <w:t xml:space="preserve">In </w:t>
            </w:r>
            <w:r w:rsidR="008514D3" w:rsidRPr="00535F54">
              <w:rPr>
                <w:rFonts w:asciiTheme="minorHAnsi" w:hAnsiTheme="minorHAnsi"/>
                <w:i/>
              </w:rPr>
              <w:t xml:space="preserve">2013 </w:t>
            </w:r>
            <w:r w:rsidRPr="00535F54">
              <w:rPr>
                <w:rFonts w:asciiTheme="minorHAnsi" w:hAnsiTheme="minorHAnsi"/>
                <w:i/>
              </w:rPr>
              <w:t xml:space="preserve">the </w:t>
            </w:r>
            <w:r w:rsidR="008514D3" w:rsidRPr="00535F54">
              <w:rPr>
                <w:rFonts w:asciiTheme="minorHAnsi" w:hAnsiTheme="minorHAnsi"/>
                <w:i/>
              </w:rPr>
              <w:t xml:space="preserve">baseline </w:t>
            </w:r>
            <w:r w:rsidRPr="00535F54">
              <w:rPr>
                <w:rFonts w:asciiTheme="minorHAnsi" w:hAnsiTheme="minorHAnsi"/>
                <w:i/>
              </w:rPr>
              <w:t xml:space="preserve">was </w:t>
            </w:r>
            <w:r w:rsidR="00495C03">
              <w:rPr>
                <w:rFonts w:asciiTheme="minorHAnsi" w:hAnsiTheme="minorHAnsi"/>
                <w:i/>
              </w:rPr>
              <w:t>102 districts. The target was achieved as the country was officially declared mine-free in September 2015.</w:t>
            </w:r>
          </w:p>
          <w:p w14:paraId="6D174C3D" w14:textId="04C7BA1B" w:rsidR="008514D3" w:rsidRPr="007C6866" w:rsidRDefault="00535F54" w:rsidP="007C6866">
            <w:pPr>
              <w:pStyle w:val="BodyText2"/>
              <w:numPr>
                <w:ilvl w:val="0"/>
                <w:numId w:val="21"/>
              </w:numPr>
              <w:ind w:left="432" w:hanging="432"/>
              <w:rPr>
                <w:rFonts w:asciiTheme="minorHAnsi" w:hAnsiTheme="minorHAnsi"/>
                <w:i/>
              </w:rPr>
            </w:pPr>
            <w:r w:rsidRPr="007C6866">
              <w:rPr>
                <w:rFonts w:asciiTheme="minorHAnsi" w:hAnsiTheme="minorHAnsi"/>
                <w:i/>
              </w:rPr>
              <w:t xml:space="preserve">In </w:t>
            </w:r>
            <w:r w:rsidR="008514D3" w:rsidRPr="007C6866">
              <w:rPr>
                <w:rFonts w:asciiTheme="minorHAnsi" w:hAnsiTheme="minorHAnsi"/>
                <w:i/>
              </w:rPr>
              <w:t xml:space="preserve">2011 </w:t>
            </w:r>
            <w:r w:rsidRPr="007C6866">
              <w:rPr>
                <w:rFonts w:asciiTheme="minorHAnsi" w:hAnsiTheme="minorHAnsi"/>
                <w:i/>
              </w:rPr>
              <w:t xml:space="preserve">the </w:t>
            </w:r>
            <w:r w:rsidR="008514D3" w:rsidRPr="007C6866">
              <w:rPr>
                <w:rFonts w:asciiTheme="minorHAnsi" w:hAnsiTheme="minorHAnsi"/>
                <w:i/>
              </w:rPr>
              <w:t xml:space="preserve">baseline </w:t>
            </w:r>
            <w:r w:rsidRPr="007C6866">
              <w:rPr>
                <w:rFonts w:asciiTheme="minorHAnsi" w:hAnsiTheme="minorHAnsi"/>
                <w:i/>
              </w:rPr>
              <w:t xml:space="preserve">was </w:t>
            </w:r>
            <w:r w:rsidR="00495C03" w:rsidRPr="007C6866">
              <w:rPr>
                <w:rFonts w:asciiTheme="minorHAnsi" w:hAnsiTheme="minorHAnsi"/>
                <w:i/>
              </w:rPr>
              <w:t xml:space="preserve">25%. </w:t>
            </w:r>
            <w:r w:rsidRPr="007C6866">
              <w:rPr>
                <w:rFonts w:asciiTheme="minorHAnsi" w:hAnsiTheme="minorHAnsi"/>
                <w:i/>
              </w:rPr>
              <w:t xml:space="preserve">The target by </w:t>
            </w:r>
            <w:r w:rsidR="008514D3" w:rsidRPr="007C6866">
              <w:rPr>
                <w:rFonts w:asciiTheme="minorHAnsi" w:hAnsiTheme="minorHAnsi"/>
                <w:i/>
              </w:rPr>
              <w:t>201</w:t>
            </w:r>
            <w:r w:rsidR="000A4544" w:rsidRPr="007C6866">
              <w:rPr>
                <w:rFonts w:asciiTheme="minorHAnsi" w:hAnsiTheme="minorHAnsi"/>
                <w:i/>
              </w:rPr>
              <w:t>5</w:t>
            </w:r>
            <w:r w:rsidR="003C3615" w:rsidRPr="007C6866">
              <w:rPr>
                <w:rFonts w:asciiTheme="minorHAnsi" w:hAnsiTheme="minorHAnsi"/>
                <w:i/>
              </w:rPr>
              <w:t xml:space="preserve"> </w:t>
            </w:r>
            <w:r w:rsidRPr="007C6866">
              <w:rPr>
                <w:rFonts w:asciiTheme="minorHAnsi" w:hAnsiTheme="minorHAnsi"/>
                <w:i/>
              </w:rPr>
              <w:t xml:space="preserve">was </w:t>
            </w:r>
            <w:r w:rsidR="003C3615" w:rsidRPr="007C6866">
              <w:rPr>
                <w:rFonts w:asciiTheme="minorHAnsi" w:hAnsiTheme="minorHAnsi"/>
                <w:i/>
              </w:rPr>
              <w:t xml:space="preserve">80%, </w:t>
            </w:r>
            <w:r w:rsidRPr="007C6866">
              <w:rPr>
                <w:rFonts w:asciiTheme="minorHAnsi" w:hAnsiTheme="minorHAnsi"/>
                <w:i/>
              </w:rPr>
              <w:t xml:space="preserve">however </w:t>
            </w:r>
            <w:r w:rsidR="000A4544" w:rsidRPr="007C6866">
              <w:rPr>
                <w:rFonts w:asciiTheme="minorHAnsi" w:hAnsiTheme="minorHAnsi"/>
                <w:i/>
              </w:rPr>
              <w:t xml:space="preserve">it was not met as in 2015 only 3 sectors out of the 10 represented </w:t>
            </w:r>
            <w:r w:rsidR="00B50C4F" w:rsidRPr="007C6866">
              <w:rPr>
                <w:rFonts w:asciiTheme="minorHAnsi" w:hAnsiTheme="minorHAnsi"/>
                <w:i/>
              </w:rPr>
              <w:t xml:space="preserve">(30%) </w:t>
            </w:r>
            <w:r w:rsidR="000A4544" w:rsidRPr="007C6866">
              <w:rPr>
                <w:rFonts w:asciiTheme="minorHAnsi" w:hAnsiTheme="minorHAnsi"/>
                <w:i/>
              </w:rPr>
              <w:t>have specific responses to the needs of women, girls, men and boys</w:t>
            </w:r>
            <w:r w:rsidR="00B50C4F" w:rsidRPr="007C6866">
              <w:rPr>
                <w:rFonts w:asciiTheme="minorHAnsi" w:hAnsiTheme="minorHAnsi"/>
                <w:i/>
              </w:rPr>
              <w:t xml:space="preserve"> in the contingency plan.</w:t>
            </w:r>
          </w:p>
          <w:p w14:paraId="31D4B32D" w14:textId="77777777" w:rsidR="008514D3" w:rsidRPr="00AB430F" w:rsidRDefault="008514D3" w:rsidP="008514D3">
            <w:pPr>
              <w:pStyle w:val="BodyText2"/>
              <w:rPr>
                <w:rFonts w:asciiTheme="minorHAnsi" w:hAnsiTheme="minorHAnsi"/>
                <w:i/>
              </w:rPr>
            </w:pPr>
          </w:p>
        </w:tc>
      </w:tr>
      <w:tr w:rsidR="00D464F1" w:rsidRPr="00AB430F" w14:paraId="024795FF" w14:textId="77777777" w:rsidTr="00BC65CB">
        <w:tc>
          <w:tcPr>
            <w:tcW w:w="14040" w:type="dxa"/>
            <w:gridSpan w:val="5"/>
          </w:tcPr>
          <w:p w14:paraId="0DE15203" w14:textId="77777777" w:rsidR="00D464F1" w:rsidRPr="00366CF6" w:rsidRDefault="00D464F1" w:rsidP="00366CF6">
            <w:pPr>
              <w:pStyle w:val="BodyText2"/>
              <w:spacing w:before="120" w:after="120"/>
              <w:jc w:val="both"/>
              <w:rPr>
                <w:rFonts w:asciiTheme="minorHAnsi" w:hAnsiTheme="minorHAnsi"/>
                <w:b/>
                <w:sz w:val="22"/>
                <w:szCs w:val="22"/>
              </w:rPr>
            </w:pPr>
            <w:r w:rsidRPr="00366CF6">
              <w:rPr>
                <w:rFonts w:asciiTheme="minorHAnsi" w:hAnsiTheme="minorHAnsi"/>
                <w:b/>
                <w:sz w:val="22"/>
                <w:szCs w:val="22"/>
              </w:rPr>
              <w:t>UNDP Contribution:</w:t>
            </w:r>
          </w:p>
          <w:p w14:paraId="4F4304E2" w14:textId="77777777" w:rsidR="00266146" w:rsidRPr="00366CF6" w:rsidRDefault="00266146" w:rsidP="00366CF6">
            <w:pPr>
              <w:pStyle w:val="BodyText2"/>
              <w:spacing w:before="120" w:after="120"/>
              <w:jc w:val="both"/>
              <w:rPr>
                <w:rFonts w:asciiTheme="minorHAnsi" w:hAnsiTheme="minorHAnsi"/>
                <w:sz w:val="22"/>
                <w:szCs w:val="22"/>
                <w:u w:val="single"/>
              </w:rPr>
            </w:pPr>
            <w:r w:rsidRPr="00366CF6">
              <w:rPr>
                <w:rFonts w:asciiTheme="minorHAnsi" w:hAnsiTheme="minorHAnsi"/>
                <w:sz w:val="22"/>
                <w:szCs w:val="22"/>
                <w:u w:val="single"/>
              </w:rPr>
              <w:t>CP Outputs:</w:t>
            </w:r>
          </w:p>
          <w:p w14:paraId="31444AC4" w14:textId="77777777" w:rsidR="00366CF6" w:rsidRDefault="0026614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lastRenderedPageBreak/>
              <w:t xml:space="preserve">The UNDP CP identified four major outputs to support Government in achieving this outcome: </w:t>
            </w:r>
          </w:p>
          <w:p w14:paraId="0AC56192" w14:textId="42C620B6" w:rsidR="00366CF6" w:rsidRDefault="0026614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(a) Institutions strengthened to develop/improve policies, strategies and plans for CC, environm</w:t>
            </w:r>
            <w:r w:rsidR="00CD7143">
              <w:rPr>
                <w:rFonts w:asciiTheme="minorHAnsi" w:hAnsiTheme="minorHAnsi"/>
                <w:sz w:val="22"/>
                <w:szCs w:val="22"/>
              </w:rPr>
              <w:t>ent and disaster risk reduction;</w:t>
            </w:r>
            <w:r w:rsidRPr="00366CF6">
              <w:rPr>
                <w:rFonts w:asciiTheme="minorHAnsi" w:hAnsiTheme="minorHAnsi"/>
                <w:sz w:val="22"/>
                <w:szCs w:val="22"/>
              </w:rPr>
              <w:t xml:space="preserve"> </w:t>
            </w:r>
          </w:p>
          <w:p w14:paraId="272730A4" w14:textId="7EAB0166" w:rsidR="00366CF6" w:rsidRDefault="0026614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(b) Info systems strengthened on C</w:t>
            </w:r>
            <w:r w:rsidR="00CD7143">
              <w:rPr>
                <w:rFonts w:asciiTheme="minorHAnsi" w:hAnsiTheme="minorHAnsi"/>
                <w:sz w:val="22"/>
                <w:szCs w:val="22"/>
              </w:rPr>
              <w:t>C, environment, and DRR;</w:t>
            </w:r>
          </w:p>
          <w:p w14:paraId="0085B5A7" w14:textId="1A67C166" w:rsidR="00366CF6" w:rsidRDefault="0026614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(c) Quality of data/its analysis on demi</w:t>
            </w:r>
            <w:r w:rsidR="00CD7143">
              <w:rPr>
                <w:rFonts w:asciiTheme="minorHAnsi" w:hAnsiTheme="minorHAnsi"/>
                <w:sz w:val="22"/>
                <w:szCs w:val="22"/>
              </w:rPr>
              <w:t>ning for Ottawa Convention;</w:t>
            </w:r>
          </w:p>
          <w:p w14:paraId="591F2EF0" w14:textId="719F5547" w:rsidR="00266146" w:rsidRPr="00366CF6" w:rsidRDefault="0026614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(d) Mechanism for residual risks established for mine and unexploded-ordnance-affected communities</w:t>
            </w:r>
            <w:r w:rsidR="00CD7143">
              <w:rPr>
                <w:rFonts w:asciiTheme="minorHAnsi" w:hAnsiTheme="minorHAnsi"/>
                <w:sz w:val="22"/>
                <w:szCs w:val="22"/>
              </w:rPr>
              <w:t>.</w:t>
            </w:r>
          </w:p>
          <w:p w14:paraId="0B8E85BA" w14:textId="4BAB3043" w:rsidR="00266146" w:rsidRDefault="00266146" w:rsidP="00366CF6">
            <w:pPr>
              <w:pStyle w:val="BodyText2"/>
              <w:spacing w:before="120" w:after="120"/>
              <w:jc w:val="both"/>
              <w:rPr>
                <w:rFonts w:asciiTheme="minorHAnsi" w:hAnsiTheme="minorHAnsi"/>
                <w:sz w:val="22"/>
                <w:szCs w:val="22"/>
                <w:u w:val="single"/>
              </w:rPr>
            </w:pPr>
            <w:r w:rsidRPr="00366CF6">
              <w:rPr>
                <w:rFonts w:asciiTheme="minorHAnsi" w:hAnsiTheme="minorHAnsi"/>
                <w:sz w:val="22"/>
                <w:szCs w:val="22"/>
                <w:u w:val="single"/>
              </w:rPr>
              <w:t xml:space="preserve">Progress and Achievements: </w:t>
            </w:r>
          </w:p>
          <w:p w14:paraId="6B57544A" w14:textId="61809D5C" w:rsidR="007C6866" w:rsidRPr="004A3F65" w:rsidRDefault="007C6866" w:rsidP="007C6866">
            <w:pPr>
              <w:pStyle w:val="BodyText2"/>
              <w:spacing w:before="120" w:after="120"/>
              <w:jc w:val="both"/>
              <w:rPr>
                <w:rFonts w:asciiTheme="minorHAnsi" w:hAnsiTheme="minorHAnsi"/>
                <w:sz w:val="22"/>
                <w:szCs w:val="22"/>
              </w:rPr>
            </w:pPr>
            <w:r w:rsidRPr="007C6866">
              <w:rPr>
                <w:rFonts w:asciiTheme="minorHAnsi" w:hAnsiTheme="minorHAnsi"/>
                <w:sz w:val="22"/>
                <w:szCs w:val="22"/>
              </w:rPr>
              <w:t>In 2015, the country was d</w:t>
            </w:r>
            <w:r w:rsidR="00863BF7">
              <w:rPr>
                <w:rFonts w:asciiTheme="minorHAnsi" w:hAnsiTheme="minorHAnsi"/>
                <w:sz w:val="22"/>
                <w:szCs w:val="22"/>
              </w:rPr>
              <w:t xml:space="preserve">eclared free from mines </w:t>
            </w:r>
            <w:r w:rsidRPr="007C6866">
              <w:rPr>
                <w:rFonts w:asciiTheme="minorHAnsi" w:hAnsiTheme="minorHAnsi"/>
                <w:sz w:val="22"/>
                <w:szCs w:val="22"/>
              </w:rPr>
              <w:t xml:space="preserve">and the target of </w:t>
            </w:r>
            <w:r w:rsidR="00863BF7">
              <w:rPr>
                <w:rFonts w:asciiTheme="minorHAnsi" w:hAnsiTheme="minorHAnsi"/>
                <w:sz w:val="22"/>
                <w:szCs w:val="22"/>
              </w:rPr>
              <w:t xml:space="preserve">this </w:t>
            </w:r>
            <w:r w:rsidRPr="007C6866">
              <w:rPr>
                <w:rFonts w:asciiTheme="minorHAnsi" w:hAnsiTheme="minorHAnsi"/>
                <w:sz w:val="22"/>
                <w:szCs w:val="22"/>
              </w:rPr>
              <w:t xml:space="preserve">CPD Outcome </w:t>
            </w:r>
            <w:r w:rsidR="00863BF7">
              <w:rPr>
                <w:rFonts w:asciiTheme="minorHAnsi" w:hAnsiTheme="minorHAnsi"/>
                <w:sz w:val="22"/>
                <w:szCs w:val="22"/>
              </w:rPr>
              <w:t>was</w:t>
            </w:r>
            <w:r w:rsidRPr="007C6866">
              <w:rPr>
                <w:rFonts w:asciiTheme="minorHAnsi" w:hAnsiTheme="minorHAnsi"/>
                <w:sz w:val="22"/>
                <w:szCs w:val="22"/>
              </w:rPr>
              <w:t xml:space="preserve"> achieved. The overall cost of demining activities in the country are estimated </w:t>
            </w:r>
            <w:r w:rsidR="00863BF7">
              <w:rPr>
                <w:rFonts w:asciiTheme="minorHAnsi" w:hAnsiTheme="minorHAnsi"/>
                <w:sz w:val="22"/>
                <w:szCs w:val="22"/>
              </w:rPr>
              <w:t xml:space="preserve">at over 220 million USD </w:t>
            </w:r>
            <w:r w:rsidRPr="007C6866">
              <w:rPr>
                <w:rFonts w:asciiTheme="minorHAnsi" w:hAnsiTheme="minorHAnsi"/>
                <w:sz w:val="22"/>
                <w:szCs w:val="22"/>
              </w:rPr>
              <w:t xml:space="preserve">and UNDP played a crucial role to achieve this result. In addition to providing core and non-core resources, throughout the years, UNDP assistance </w:t>
            </w:r>
            <w:r w:rsidRPr="004A3F65">
              <w:rPr>
                <w:rFonts w:asciiTheme="minorHAnsi" w:hAnsiTheme="minorHAnsi"/>
                <w:sz w:val="22"/>
                <w:szCs w:val="22"/>
              </w:rPr>
              <w:t>significantly contributed to ensure the professionalization of the national counterparts, to assist the National Institute for Demining in its coordination functions as well as to mobilize donors</w:t>
            </w:r>
            <w:r w:rsidR="00863BF7" w:rsidRPr="004A3F65">
              <w:rPr>
                <w:rFonts w:asciiTheme="minorHAnsi" w:hAnsiTheme="minorHAnsi"/>
                <w:sz w:val="22"/>
                <w:szCs w:val="22"/>
              </w:rPr>
              <w:t xml:space="preserve"> support around the issue</w:t>
            </w:r>
            <w:r w:rsidRPr="004A3F65">
              <w:rPr>
                <w:rFonts w:asciiTheme="minorHAnsi" w:hAnsiTheme="minorHAnsi"/>
                <w:sz w:val="22"/>
                <w:szCs w:val="22"/>
              </w:rPr>
              <w:t>. This success will allow the population to increase access to land, water, and soci</w:t>
            </w:r>
            <w:r w:rsidR="00863BF7" w:rsidRPr="004A3F65">
              <w:rPr>
                <w:rFonts w:asciiTheme="minorHAnsi" w:hAnsiTheme="minorHAnsi"/>
                <w:sz w:val="22"/>
                <w:szCs w:val="22"/>
              </w:rPr>
              <w:t>oeconomic infrastructure</w:t>
            </w:r>
            <w:r w:rsidRPr="004A3F65">
              <w:rPr>
                <w:rFonts w:asciiTheme="minorHAnsi" w:hAnsiTheme="minorHAnsi"/>
                <w:sz w:val="22"/>
                <w:szCs w:val="22"/>
              </w:rPr>
              <w:t xml:space="preserve">.  </w:t>
            </w:r>
          </w:p>
          <w:p w14:paraId="1049923F" w14:textId="26EFAD7E" w:rsidR="007C6866" w:rsidRPr="004A3F65" w:rsidRDefault="007C6866" w:rsidP="007C6866">
            <w:pPr>
              <w:pStyle w:val="BodyText2"/>
              <w:spacing w:before="120" w:after="120"/>
              <w:jc w:val="both"/>
              <w:rPr>
                <w:rFonts w:asciiTheme="minorHAnsi" w:hAnsiTheme="minorHAnsi"/>
                <w:sz w:val="22"/>
                <w:szCs w:val="22"/>
              </w:rPr>
            </w:pPr>
            <w:r w:rsidRPr="004A3F65">
              <w:rPr>
                <w:rFonts w:asciiTheme="minorHAnsi" w:hAnsiTheme="minorHAnsi"/>
                <w:sz w:val="22"/>
                <w:szCs w:val="22"/>
              </w:rPr>
              <w:t xml:space="preserve">In 2015 UNDP provided relevant support for the improvement of climate information systems. Capacity building efforts enabled the Government to effectively mainstream climate change and DRR issues into national ad district plans. As a result, 8 local adaptation plans developed in 2015 at the district level, hence contributing to increase </w:t>
            </w:r>
            <w:r w:rsidR="00863BF7" w:rsidRPr="004A3F65">
              <w:rPr>
                <w:rFonts w:asciiTheme="minorHAnsi" w:hAnsiTheme="minorHAnsi"/>
                <w:sz w:val="22"/>
                <w:szCs w:val="22"/>
              </w:rPr>
              <w:t xml:space="preserve">to 148 </w:t>
            </w:r>
            <w:r w:rsidRPr="004A3F65">
              <w:rPr>
                <w:rFonts w:asciiTheme="minorHAnsi" w:hAnsiTheme="minorHAnsi"/>
                <w:sz w:val="22"/>
                <w:szCs w:val="22"/>
              </w:rPr>
              <w:t>the number of vulnerable communities with capacities to adapt to climate</w:t>
            </w:r>
            <w:r w:rsidR="00863BF7" w:rsidRPr="004A3F65">
              <w:rPr>
                <w:rFonts w:asciiTheme="minorHAnsi" w:hAnsiTheme="minorHAnsi"/>
                <w:sz w:val="22"/>
                <w:szCs w:val="22"/>
              </w:rPr>
              <w:t xml:space="preserve"> change</w:t>
            </w:r>
            <w:r w:rsidRPr="004A3F65">
              <w:rPr>
                <w:rFonts w:asciiTheme="minorHAnsi" w:hAnsiTheme="minorHAnsi"/>
                <w:sz w:val="22"/>
                <w:szCs w:val="22"/>
              </w:rPr>
              <w:t>.</w:t>
            </w:r>
          </w:p>
          <w:p w14:paraId="1109FAC4" w14:textId="7D0C02C1" w:rsidR="002B09F4" w:rsidRPr="004A3F65" w:rsidRDefault="008E4906" w:rsidP="007C6866">
            <w:pPr>
              <w:pStyle w:val="BodyText2"/>
              <w:spacing w:before="120" w:after="120"/>
              <w:jc w:val="both"/>
              <w:rPr>
                <w:rFonts w:asciiTheme="minorHAnsi" w:hAnsiTheme="minorHAnsi"/>
                <w:sz w:val="22"/>
                <w:szCs w:val="22"/>
              </w:rPr>
            </w:pPr>
            <w:r w:rsidRPr="004A3F65">
              <w:rPr>
                <w:rFonts w:asciiTheme="minorHAnsi" w:hAnsiTheme="minorHAnsi"/>
                <w:sz w:val="22"/>
                <w:szCs w:val="22"/>
              </w:rPr>
              <w:t xml:space="preserve">UNDP also provided technical advisory and financial support for the development and adoption of legal and legislative frameworks (Conservation Law, Disaster Risk Management (DRM) Law, Green Economy (GE) Action Plan and the DRR Gender Strategy. </w:t>
            </w:r>
            <w:r w:rsidR="002B09F4" w:rsidRPr="004A3F65">
              <w:rPr>
                <w:rFonts w:asciiTheme="minorHAnsi" w:hAnsiTheme="minorHAnsi"/>
                <w:sz w:val="22"/>
                <w:szCs w:val="22"/>
              </w:rPr>
              <w:t>UNDP technical assistance to the National Institute for Disaster Management (INGC) focused on the reinforcement of the DRM Law through the development of the draft statutes and regulations to allow its operationalization. In addition, the Sendai Framework for Disaster Risk Reduction (SFDRR) was disseminated in country and UNDP assisted the Government in the process of defining national indicators, targets as well as the guiding principles to implement the SFDRR measures in Mozambique</w:t>
            </w:r>
            <w:r w:rsidR="00227EED" w:rsidRPr="004A3F65">
              <w:rPr>
                <w:rFonts w:asciiTheme="minorHAnsi" w:hAnsiTheme="minorHAnsi"/>
                <w:sz w:val="22"/>
                <w:szCs w:val="22"/>
              </w:rPr>
              <w:t xml:space="preserve">. </w:t>
            </w:r>
            <w:r w:rsidR="002B09F4" w:rsidRPr="004A3F65">
              <w:rPr>
                <w:rFonts w:asciiTheme="minorHAnsi" w:hAnsiTheme="minorHAnsi"/>
                <w:sz w:val="22"/>
                <w:szCs w:val="22"/>
              </w:rPr>
              <w:t>Through UNDP contribution, the national KMIS was strengthened with acquisition and installation of 7 meteorological stations in 2014, the conclusion of a basin Early Warning System and the multi risk assessment for Maputo City.</w:t>
            </w:r>
          </w:p>
          <w:p w14:paraId="717C3BFF" w14:textId="2A420DDB" w:rsidR="007C6866" w:rsidRPr="007C6866" w:rsidRDefault="007C6866" w:rsidP="007C6866">
            <w:pPr>
              <w:pStyle w:val="BodyText2"/>
              <w:spacing w:before="120" w:after="120"/>
              <w:jc w:val="both"/>
              <w:rPr>
                <w:rFonts w:asciiTheme="minorHAnsi" w:hAnsiTheme="minorHAnsi"/>
                <w:sz w:val="22"/>
                <w:szCs w:val="22"/>
              </w:rPr>
            </w:pPr>
            <w:r w:rsidRPr="007C6866">
              <w:rPr>
                <w:rFonts w:asciiTheme="minorHAnsi" w:hAnsiTheme="minorHAnsi"/>
                <w:sz w:val="22"/>
                <w:szCs w:val="22"/>
              </w:rPr>
              <w:t>As a result of UNDP technical and financial support throughout the CPD cycle, the 1st environmental fund in the coun</w:t>
            </w:r>
            <w:r w:rsidR="00D8119E">
              <w:rPr>
                <w:rFonts w:asciiTheme="minorHAnsi" w:hAnsiTheme="minorHAnsi"/>
                <w:sz w:val="22"/>
                <w:szCs w:val="22"/>
              </w:rPr>
              <w:t>try, the BIOFUND</w:t>
            </w:r>
            <w:r w:rsidRPr="007C6866">
              <w:rPr>
                <w:rFonts w:asciiTheme="minorHAnsi" w:hAnsiTheme="minorHAnsi"/>
                <w:sz w:val="22"/>
                <w:szCs w:val="22"/>
              </w:rPr>
              <w:t>, was officially launched in 2015. The BIOFUND has now a level of capitalisa</w:t>
            </w:r>
            <w:r w:rsidR="00D8119E">
              <w:rPr>
                <w:rFonts w:asciiTheme="minorHAnsi" w:hAnsiTheme="minorHAnsi"/>
                <w:sz w:val="22"/>
                <w:szCs w:val="22"/>
              </w:rPr>
              <w:t>tion of 15</w:t>
            </w:r>
            <w:r w:rsidR="004A3F65">
              <w:rPr>
                <w:rFonts w:asciiTheme="minorHAnsi" w:hAnsiTheme="minorHAnsi"/>
                <w:sz w:val="22"/>
                <w:szCs w:val="22"/>
              </w:rPr>
              <w:t>.</w:t>
            </w:r>
            <w:r w:rsidR="00D8119E">
              <w:rPr>
                <w:rFonts w:asciiTheme="minorHAnsi" w:hAnsiTheme="minorHAnsi"/>
                <w:sz w:val="22"/>
                <w:szCs w:val="22"/>
              </w:rPr>
              <w:t>9 million USD</w:t>
            </w:r>
            <w:r w:rsidRPr="007C6866">
              <w:rPr>
                <w:rFonts w:asciiTheme="minorHAnsi" w:hAnsiTheme="minorHAnsi"/>
                <w:sz w:val="22"/>
                <w:szCs w:val="22"/>
              </w:rPr>
              <w:t>. In addition, the successful mobilization of additional resources (15,7 million USD) under GEF6 will further contribute to Government efforts to address wildlife trade issues and the establishment of conservancies in the country. Progress was also made in the management of the national protected areas systems, with UNDP supporting the National Administration of Protected Areas in the elaboration of key management instruments for its institutionalization. Strategic plan, business plan, financial plan and surveillance strategy were developed with UNDP technical assistance and will contribute to improve decision making process for sustainability of the</w:t>
            </w:r>
            <w:r w:rsidR="00D8119E">
              <w:rPr>
                <w:rFonts w:asciiTheme="minorHAnsi" w:hAnsiTheme="minorHAnsi"/>
                <w:sz w:val="22"/>
                <w:szCs w:val="22"/>
              </w:rPr>
              <w:t xml:space="preserve"> protected areas systems</w:t>
            </w:r>
            <w:r w:rsidRPr="007C6866">
              <w:rPr>
                <w:rFonts w:asciiTheme="minorHAnsi" w:hAnsiTheme="minorHAnsi"/>
                <w:sz w:val="22"/>
                <w:szCs w:val="22"/>
              </w:rPr>
              <w:t xml:space="preserve">. </w:t>
            </w:r>
          </w:p>
          <w:p w14:paraId="4F0808D4" w14:textId="50D2A4F7" w:rsidR="00B75A8F" w:rsidRPr="00366CF6" w:rsidRDefault="007C6866" w:rsidP="002B09F4">
            <w:pPr>
              <w:pStyle w:val="BodyText2"/>
              <w:spacing w:before="120" w:after="120"/>
              <w:jc w:val="both"/>
              <w:rPr>
                <w:rFonts w:asciiTheme="minorHAnsi" w:hAnsiTheme="minorHAnsi"/>
                <w:sz w:val="22"/>
                <w:szCs w:val="22"/>
              </w:rPr>
            </w:pPr>
            <w:r w:rsidRPr="007C6866">
              <w:rPr>
                <w:rFonts w:asciiTheme="minorHAnsi" w:hAnsiTheme="minorHAnsi"/>
                <w:sz w:val="22"/>
                <w:szCs w:val="22"/>
              </w:rPr>
              <w:t xml:space="preserve">UNDP also contributed for the improvement of national environment data analysis systems by supporting the development of a Strategy for Development of Environmental Statistics (2016-2020). In addition, a Gender and DRR strategy was drafted by the National Disaster Management Institute through UNDP </w:t>
            </w:r>
            <w:r w:rsidRPr="007C6866">
              <w:rPr>
                <w:rFonts w:asciiTheme="minorHAnsi" w:hAnsiTheme="minorHAnsi"/>
                <w:sz w:val="22"/>
                <w:szCs w:val="22"/>
              </w:rPr>
              <w:lastRenderedPageBreak/>
              <w:t>and UNWomen support to address gender conce</w:t>
            </w:r>
            <w:r w:rsidR="00D8119E">
              <w:rPr>
                <w:rFonts w:asciiTheme="minorHAnsi" w:hAnsiTheme="minorHAnsi"/>
                <w:sz w:val="22"/>
                <w:szCs w:val="22"/>
              </w:rPr>
              <w:t>rns in DRR interventions</w:t>
            </w:r>
            <w:r w:rsidRPr="007C6866">
              <w:rPr>
                <w:rFonts w:asciiTheme="minorHAnsi" w:hAnsiTheme="minorHAnsi"/>
                <w:sz w:val="22"/>
                <w:szCs w:val="22"/>
              </w:rPr>
              <w:t>. As a result, 30% of the sectors have included specific responses to the needs of women, girls, men, and boys in th</w:t>
            </w:r>
            <w:r w:rsidR="00D8119E">
              <w:rPr>
                <w:rFonts w:asciiTheme="minorHAnsi" w:hAnsiTheme="minorHAnsi"/>
                <w:sz w:val="22"/>
                <w:szCs w:val="22"/>
              </w:rPr>
              <w:t>e national contingency plan</w:t>
            </w:r>
            <w:r w:rsidRPr="007C6866">
              <w:rPr>
                <w:rFonts w:asciiTheme="minorHAnsi" w:hAnsiTheme="minorHAnsi"/>
                <w:sz w:val="22"/>
                <w:szCs w:val="22"/>
              </w:rPr>
              <w:t>.</w:t>
            </w:r>
          </w:p>
        </w:tc>
      </w:tr>
      <w:tr w:rsidR="00D464F1" w:rsidRPr="00AB430F" w14:paraId="0F30BD30" w14:textId="77777777" w:rsidTr="00BC65CB">
        <w:tc>
          <w:tcPr>
            <w:tcW w:w="3060" w:type="dxa"/>
            <w:shd w:val="clear" w:color="auto" w:fill="95B3D7" w:themeFill="accent1" w:themeFillTint="99"/>
          </w:tcPr>
          <w:p w14:paraId="0F51F71C" w14:textId="77777777" w:rsidR="00D464F1" w:rsidRPr="00AB430F" w:rsidRDefault="003C3615" w:rsidP="00D464F1">
            <w:pPr>
              <w:pStyle w:val="BodyText2"/>
              <w:rPr>
                <w:rFonts w:asciiTheme="minorHAnsi" w:hAnsiTheme="minorHAnsi"/>
                <w:b/>
              </w:rPr>
            </w:pPr>
            <w:r w:rsidRPr="00AB430F">
              <w:rPr>
                <w:rFonts w:asciiTheme="minorHAnsi" w:hAnsiTheme="minorHAnsi"/>
                <w:b/>
              </w:rPr>
              <w:lastRenderedPageBreak/>
              <w:t>6</w:t>
            </w:r>
            <w:r w:rsidR="00D464F1" w:rsidRPr="00AB430F">
              <w:rPr>
                <w:rFonts w:asciiTheme="minorHAnsi" w:hAnsiTheme="minorHAnsi"/>
                <w:b/>
              </w:rPr>
              <w:t>. Strengthened democratic systems and processes guarantee equity, rule of law, and human</w:t>
            </w:r>
          </w:p>
          <w:p w14:paraId="5681ABBD" w14:textId="77777777" w:rsidR="00D464F1" w:rsidRPr="00AB430F" w:rsidRDefault="00D464F1" w:rsidP="00D464F1">
            <w:pPr>
              <w:pStyle w:val="BodyText2"/>
              <w:rPr>
                <w:rFonts w:asciiTheme="minorHAnsi" w:hAnsiTheme="minorHAnsi"/>
                <w:b/>
              </w:rPr>
            </w:pPr>
            <w:r w:rsidRPr="00AB430F">
              <w:rPr>
                <w:rFonts w:asciiTheme="minorHAnsi" w:hAnsiTheme="minorHAnsi"/>
                <w:b/>
              </w:rPr>
              <w:t>rights at all levels.</w:t>
            </w:r>
          </w:p>
        </w:tc>
        <w:tc>
          <w:tcPr>
            <w:tcW w:w="1530" w:type="dxa"/>
            <w:gridSpan w:val="2"/>
            <w:shd w:val="clear" w:color="auto" w:fill="auto"/>
          </w:tcPr>
          <w:p w14:paraId="60ED11BE" w14:textId="77777777" w:rsidR="004709C4" w:rsidRDefault="004709C4" w:rsidP="004709C4">
            <w:pPr>
              <w:pStyle w:val="BodyText2"/>
              <w:rPr>
                <w:rFonts w:asciiTheme="minorHAnsi" w:hAnsiTheme="minorHAnsi"/>
              </w:rPr>
            </w:pPr>
          </w:p>
          <w:p w14:paraId="47A655D7" w14:textId="5CEC8E0B" w:rsidR="004709C4" w:rsidRPr="00AB430F" w:rsidRDefault="004709C4" w:rsidP="004709C4">
            <w:pPr>
              <w:pStyle w:val="BodyText2"/>
              <w:rPr>
                <w:rFonts w:asciiTheme="minorHAnsi" w:hAnsiTheme="minorHAnsi"/>
              </w:rPr>
            </w:pPr>
            <w:r w:rsidRPr="004709C4">
              <w:rPr>
                <w:rFonts w:asciiTheme="minorHAnsi" w:hAnsiTheme="minorHAnsi"/>
              </w:rPr>
              <w:t>12,914,991</w:t>
            </w:r>
          </w:p>
        </w:tc>
        <w:tc>
          <w:tcPr>
            <w:tcW w:w="3960" w:type="dxa"/>
            <w:tcBorders>
              <w:left w:val="single" w:sz="4" w:space="0" w:color="auto"/>
            </w:tcBorders>
          </w:tcPr>
          <w:p w14:paraId="5337ED53" w14:textId="77777777" w:rsidR="003C3615" w:rsidRPr="00AB430F" w:rsidRDefault="00D464F1" w:rsidP="00AB430F">
            <w:pPr>
              <w:pStyle w:val="BodyText2"/>
              <w:numPr>
                <w:ilvl w:val="0"/>
                <w:numId w:val="22"/>
              </w:numPr>
              <w:ind w:left="342" w:hanging="342"/>
              <w:rPr>
                <w:rFonts w:asciiTheme="minorHAnsi" w:hAnsiTheme="minorHAnsi"/>
                <w:i/>
              </w:rPr>
            </w:pPr>
            <w:r w:rsidRPr="00AB430F">
              <w:rPr>
                <w:rFonts w:asciiTheme="minorHAnsi" w:hAnsiTheme="minorHAnsi"/>
                <w:i/>
              </w:rPr>
              <w:t xml:space="preserve">% of districts with electoral civic education; </w:t>
            </w:r>
          </w:p>
          <w:p w14:paraId="2398694A" w14:textId="77777777" w:rsidR="003C3615" w:rsidRPr="00AB430F" w:rsidRDefault="00D464F1" w:rsidP="00AB430F">
            <w:pPr>
              <w:pStyle w:val="BodyText2"/>
              <w:numPr>
                <w:ilvl w:val="0"/>
                <w:numId w:val="22"/>
              </w:numPr>
              <w:ind w:left="342" w:hanging="342"/>
              <w:rPr>
                <w:rFonts w:asciiTheme="minorHAnsi" w:hAnsiTheme="minorHAnsi"/>
                <w:i/>
              </w:rPr>
            </w:pPr>
            <w:r w:rsidRPr="00AB430F">
              <w:rPr>
                <w:rFonts w:asciiTheme="minorHAnsi" w:hAnsiTheme="minorHAnsi"/>
                <w:i/>
              </w:rPr>
              <w:t xml:space="preserve">% of State budget for provinces and districts; </w:t>
            </w:r>
          </w:p>
          <w:p w14:paraId="290BF115" w14:textId="77777777" w:rsidR="003C3615" w:rsidRPr="00AB430F" w:rsidRDefault="00D464F1" w:rsidP="00AB430F">
            <w:pPr>
              <w:pStyle w:val="BodyText2"/>
              <w:numPr>
                <w:ilvl w:val="0"/>
                <w:numId w:val="22"/>
              </w:numPr>
              <w:ind w:left="342" w:hanging="342"/>
              <w:rPr>
                <w:rFonts w:asciiTheme="minorHAnsi" w:hAnsiTheme="minorHAnsi"/>
                <w:i/>
              </w:rPr>
            </w:pPr>
            <w:r w:rsidRPr="00AB430F">
              <w:rPr>
                <w:rFonts w:asciiTheme="minorHAnsi" w:hAnsiTheme="minorHAnsi"/>
                <w:i/>
              </w:rPr>
              <w:t xml:space="preserve"># of international instruments ratified and operationalized; </w:t>
            </w:r>
          </w:p>
          <w:p w14:paraId="4A2C8B1E" w14:textId="77777777" w:rsidR="00D464F1" w:rsidRPr="00AB430F" w:rsidRDefault="00D464F1" w:rsidP="00AB430F">
            <w:pPr>
              <w:pStyle w:val="BodyText2"/>
              <w:numPr>
                <w:ilvl w:val="0"/>
                <w:numId w:val="22"/>
              </w:numPr>
              <w:ind w:left="342" w:hanging="342"/>
              <w:rPr>
                <w:rFonts w:asciiTheme="minorHAnsi" w:hAnsiTheme="minorHAnsi"/>
                <w:i/>
              </w:rPr>
            </w:pPr>
            <w:r w:rsidRPr="00AB430F">
              <w:rPr>
                <w:rFonts w:asciiTheme="minorHAnsi" w:hAnsiTheme="minorHAnsi"/>
                <w:i/>
              </w:rPr>
              <w:t># of government surveys disaggregated and publicly available.</w:t>
            </w:r>
            <w:r w:rsidRPr="00AB430F">
              <w:rPr>
                <w:rFonts w:asciiTheme="minorHAnsi" w:hAnsiTheme="minorHAnsi"/>
              </w:rPr>
              <w:t xml:space="preserve"> </w:t>
            </w:r>
          </w:p>
        </w:tc>
        <w:tc>
          <w:tcPr>
            <w:tcW w:w="5490" w:type="dxa"/>
            <w:shd w:val="clear" w:color="auto" w:fill="auto"/>
          </w:tcPr>
          <w:p w14:paraId="36C0B905" w14:textId="77777777" w:rsidR="00BB6C5C" w:rsidRDefault="00E471F8" w:rsidP="00BB6C5C">
            <w:pPr>
              <w:pStyle w:val="BodyText2"/>
              <w:numPr>
                <w:ilvl w:val="0"/>
                <w:numId w:val="23"/>
              </w:numPr>
              <w:ind w:left="432" w:hanging="432"/>
              <w:rPr>
                <w:rFonts w:asciiTheme="minorHAnsi" w:hAnsiTheme="minorHAnsi"/>
                <w:i/>
              </w:rPr>
            </w:pPr>
            <w:r>
              <w:rPr>
                <w:rFonts w:asciiTheme="minorHAnsi" w:hAnsiTheme="minorHAnsi"/>
                <w:i/>
              </w:rPr>
              <w:t xml:space="preserve">In </w:t>
            </w:r>
            <w:r w:rsidR="003C3615" w:rsidRPr="00AB430F">
              <w:rPr>
                <w:rFonts w:asciiTheme="minorHAnsi" w:hAnsiTheme="minorHAnsi"/>
                <w:i/>
              </w:rPr>
              <w:t xml:space="preserve">2011 </w:t>
            </w:r>
            <w:r>
              <w:rPr>
                <w:rFonts w:asciiTheme="minorHAnsi" w:hAnsiTheme="minorHAnsi"/>
                <w:i/>
              </w:rPr>
              <w:t xml:space="preserve">the </w:t>
            </w:r>
            <w:r w:rsidR="003C3615" w:rsidRPr="00AB430F">
              <w:rPr>
                <w:rFonts w:asciiTheme="minorHAnsi" w:hAnsiTheme="minorHAnsi"/>
                <w:i/>
              </w:rPr>
              <w:t xml:space="preserve">baseline </w:t>
            </w:r>
            <w:r>
              <w:rPr>
                <w:rFonts w:asciiTheme="minorHAnsi" w:hAnsiTheme="minorHAnsi"/>
                <w:i/>
              </w:rPr>
              <w:t xml:space="preserve">was </w:t>
            </w:r>
            <w:r w:rsidR="003C3615" w:rsidRPr="00AB430F">
              <w:rPr>
                <w:rFonts w:asciiTheme="minorHAnsi" w:hAnsiTheme="minorHAnsi"/>
                <w:i/>
              </w:rPr>
              <w:t>4%;</w:t>
            </w:r>
            <w:r>
              <w:rPr>
                <w:rFonts w:asciiTheme="minorHAnsi" w:hAnsiTheme="minorHAnsi"/>
                <w:i/>
              </w:rPr>
              <w:t xml:space="preserve"> By</w:t>
            </w:r>
            <w:r w:rsidR="003C3615" w:rsidRPr="00AB430F">
              <w:rPr>
                <w:rFonts w:asciiTheme="minorHAnsi" w:hAnsiTheme="minorHAnsi"/>
                <w:i/>
              </w:rPr>
              <w:t xml:space="preserve"> 201</w:t>
            </w:r>
            <w:r w:rsidR="00983D7D">
              <w:rPr>
                <w:rFonts w:asciiTheme="minorHAnsi" w:hAnsiTheme="minorHAnsi"/>
                <w:i/>
              </w:rPr>
              <w:t>5</w:t>
            </w:r>
            <w:r>
              <w:rPr>
                <w:rFonts w:asciiTheme="minorHAnsi" w:hAnsiTheme="minorHAnsi"/>
                <w:i/>
              </w:rPr>
              <w:t>,</w:t>
            </w:r>
            <w:r w:rsidR="003C3615" w:rsidRPr="00AB430F">
              <w:rPr>
                <w:rFonts w:asciiTheme="minorHAnsi" w:hAnsiTheme="minorHAnsi"/>
                <w:i/>
              </w:rPr>
              <w:t xml:space="preserve"> 86% of the districts </w:t>
            </w:r>
            <w:r>
              <w:rPr>
                <w:rFonts w:asciiTheme="minorHAnsi" w:hAnsiTheme="minorHAnsi"/>
                <w:i/>
              </w:rPr>
              <w:t xml:space="preserve">are </w:t>
            </w:r>
            <w:r w:rsidR="003C3615" w:rsidRPr="00AB430F">
              <w:rPr>
                <w:rFonts w:asciiTheme="minorHAnsi" w:hAnsiTheme="minorHAnsi"/>
                <w:i/>
              </w:rPr>
              <w:t xml:space="preserve">covered by electoral civic education (ECE). However, </w:t>
            </w:r>
            <w:r w:rsidR="003C3615" w:rsidRPr="0021015A">
              <w:rPr>
                <w:rFonts w:asciiTheme="minorHAnsi" w:hAnsiTheme="minorHAnsi"/>
                <w:i/>
              </w:rPr>
              <w:t>institutionalized permanent system of ECE is pending approval by the Government.</w:t>
            </w:r>
          </w:p>
          <w:p w14:paraId="5B17FD0F" w14:textId="1A86C6A4" w:rsidR="003C3615" w:rsidRPr="00BB6C5C" w:rsidRDefault="00E471F8" w:rsidP="00BB6C5C">
            <w:pPr>
              <w:pStyle w:val="BodyText2"/>
              <w:numPr>
                <w:ilvl w:val="0"/>
                <w:numId w:val="23"/>
              </w:numPr>
              <w:ind w:left="432" w:hanging="432"/>
              <w:rPr>
                <w:rFonts w:asciiTheme="minorHAnsi" w:hAnsiTheme="minorHAnsi"/>
                <w:i/>
              </w:rPr>
            </w:pPr>
            <w:r w:rsidRPr="00BB6C5C">
              <w:rPr>
                <w:rFonts w:asciiTheme="minorHAnsi" w:hAnsiTheme="minorHAnsi"/>
                <w:i/>
              </w:rPr>
              <w:t xml:space="preserve">In </w:t>
            </w:r>
            <w:r w:rsidR="003C3615" w:rsidRPr="00BB6C5C">
              <w:rPr>
                <w:rFonts w:asciiTheme="minorHAnsi" w:hAnsiTheme="minorHAnsi"/>
                <w:i/>
              </w:rPr>
              <w:t xml:space="preserve">2010 </w:t>
            </w:r>
            <w:r w:rsidRPr="00BB6C5C">
              <w:rPr>
                <w:rFonts w:asciiTheme="minorHAnsi" w:hAnsiTheme="minorHAnsi"/>
                <w:i/>
              </w:rPr>
              <w:t xml:space="preserve">the </w:t>
            </w:r>
            <w:r w:rsidR="003C3615" w:rsidRPr="00BB6C5C">
              <w:rPr>
                <w:rFonts w:asciiTheme="minorHAnsi" w:hAnsiTheme="minorHAnsi"/>
                <w:i/>
              </w:rPr>
              <w:t>baseline</w:t>
            </w:r>
            <w:r w:rsidRPr="00BB6C5C">
              <w:rPr>
                <w:rFonts w:asciiTheme="minorHAnsi" w:hAnsiTheme="minorHAnsi"/>
                <w:i/>
              </w:rPr>
              <w:t xml:space="preserve"> was</w:t>
            </w:r>
            <w:r w:rsidR="003C3615" w:rsidRPr="00BB6C5C">
              <w:rPr>
                <w:rFonts w:asciiTheme="minorHAnsi" w:hAnsiTheme="minorHAnsi"/>
                <w:i/>
              </w:rPr>
              <w:t xml:space="preserve"> 24% for provinces and 5.2% for </w:t>
            </w:r>
            <w:r w:rsidRPr="00BB6C5C">
              <w:rPr>
                <w:rFonts w:asciiTheme="minorHAnsi" w:hAnsiTheme="minorHAnsi"/>
                <w:i/>
              </w:rPr>
              <w:t>districts</w:t>
            </w:r>
            <w:r w:rsidR="003C3615" w:rsidRPr="00BB6C5C">
              <w:rPr>
                <w:rFonts w:asciiTheme="minorHAnsi" w:hAnsiTheme="minorHAnsi"/>
                <w:i/>
              </w:rPr>
              <w:t xml:space="preserve">; </w:t>
            </w:r>
            <w:r w:rsidRPr="00BB6C5C">
              <w:rPr>
                <w:rFonts w:asciiTheme="minorHAnsi" w:hAnsiTheme="minorHAnsi"/>
                <w:i/>
              </w:rPr>
              <w:t xml:space="preserve">By </w:t>
            </w:r>
            <w:r w:rsidR="003C3615" w:rsidRPr="00BB6C5C">
              <w:rPr>
                <w:rFonts w:asciiTheme="minorHAnsi" w:hAnsiTheme="minorHAnsi"/>
                <w:i/>
              </w:rPr>
              <w:t>201</w:t>
            </w:r>
            <w:r w:rsidR="00983D7D" w:rsidRPr="00BB6C5C">
              <w:rPr>
                <w:rFonts w:asciiTheme="minorHAnsi" w:hAnsiTheme="minorHAnsi"/>
                <w:i/>
              </w:rPr>
              <w:t>5</w:t>
            </w:r>
            <w:r w:rsidR="003C3615" w:rsidRPr="00BB6C5C">
              <w:rPr>
                <w:rFonts w:asciiTheme="minorHAnsi" w:hAnsiTheme="minorHAnsi"/>
                <w:i/>
              </w:rPr>
              <w:t xml:space="preserve"> </w:t>
            </w:r>
            <w:r w:rsidRPr="00BB6C5C">
              <w:rPr>
                <w:rFonts w:asciiTheme="minorHAnsi" w:hAnsiTheme="minorHAnsi"/>
                <w:i/>
              </w:rPr>
              <w:t xml:space="preserve">the indicator is showing </w:t>
            </w:r>
            <w:r w:rsidR="003C3615" w:rsidRPr="00BB6C5C">
              <w:rPr>
                <w:rFonts w:asciiTheme="minorHAnsi" w:hAnsiTheme="minorHAnsi"/>
                <w:i/>
              </w:rPr>
              <w:t xml:space="preserve">significant </w:t>
            </w:r>
            <w:r w:rsidRPr="00BB6C5C">
              <w:rPr>
                <w:rFonts w:asciiTheme="minorHAnsi" w:hAnsiTheme="minorHAnsi"/>
                <w:i/>
              </w:rPr>
              <w:t xml:space="preserve">progress </w:t>
            </w:r>
            <w:r w:rsidR="00A22278" w:rsidRPr="00BB6C5C">
              <w:rPr>
                <w:rFonts w:asciiTheme="minorHAnsi" w:hAnsiTheme="minorHAnsi"/>
                <w:i/>
              </w:rPr>
              <w:t>in absolute terms although the increase is not reflected in the percentage for the P</w:t>
            </w:r>
            <w:r w:rsidR="003C3615" w:rsidRPr="00BB6C5C">
              <w:rPr>
                <w:rFonts w:asciiTheme="minorHAnsi" w:hAnsiTheme="minorHAnsi"/>
                <w:i/>
              </w:rPr>
              <w:t>rovinces</w:t>
            </w:r>
            <w:r w:rsidR="00A22278" w:rsidRPr="00BB6C5C">
              <w:rPr>
                <w:rFonts w:asciiTheme="minorHAnsi" w:hAnsiTheme="minorHAnsi"/>
                <w:i/>
              </w:rPr>
              <w:t xml:space="preserve"> (</w:t>
            </w:r>
            <w:r w:rsidR="00BB6C5C" w:rsidRPr="00BB6C5C">
              <w:rPr>
                <w:rFonts w:asciiTheme="minorHAnsi" w:hAnsiTheme="minorHAnsi"/>
                <w:i/>
              </w:rPr>
              <w:t>Provinces: 22,2% / Districts: 17.2%</w:t>
            </w:r>
            <w:r w:rsidR="00A22278" w:rsidRPr="00BB6C5C">
              <w:rPr>
                <w:rFonts w:asciiTheme="minorHAnsi" w:hAnsiTheme="minorHAnsi"/>
                <w:i/>
              </w:rPr>
              <w:t xml:space="preserve">) </w:t>
            </w:r>
            <w:r w:rsidR="003C3615" w:rsidRPr="00BB6C5C">
              <w:rPr>
                <w:rFonts w:asciiTheme="minorHAnsi" w:hAnsiTheme="minorHAnsi"/>
                <w:i/>
              </w:rPr>
              <w:t>.</w:t>
            </w:r>
          </w:p>
          <w:p w14:paraId="4254164B" w14:textId="2642AC60" w:rsidR="003C3615" w:rsidRPr="0021015A" w:rsidRDefault="00E471F8" w:rsidP="00AB430F">
            <w:pPr>
              <w:pStyle w:val="BodyText2"/>
              <w:numPr>
                <w:ilvl w:val="0"/>
                <w:numId w:val="23"/>
              </w:numPr>
              <w:ind w:left="432" w:hanging="432"/>
              <w:rPr>
                <w:rFonts w:asciiTheme="minorHAnsi" w:hAnsiTheme="minorHAnsi"/>
                <w:i/>
              </w:rPr>
            </w:pPr>
            <w:r w:rsidRPr="0021015A">
              <w:rPr>
                <w:rFonts w:asciiTheme="minorHAnsi" w:hAnsiTheme="minorHAnsi"/>
                <w:i/>
              </w:rPr>
              <w:t xml:space="preserve">In </w:t>
            </w:r>
            <w:r w:rsidR="003C3615" w:rsidRPr="0021015A">
              <w:rPr>
                <w:rFonts w:asciiTheme="minorHAnsi" w:hAnsiTheme="minorHAnsi"/>
                <w:i/>
              </w:rPr>
              <w:t xml:space="preserve">2009 </w:t>
            </w:r>
            <w:r w:rsidRPr="0021015A">
              <w:rPr>
                <w:rFonts w:asciiTheme="minorHAnsi" w:hAnsiTheme="minorHAnsi"/>
                <w:i/>
              </w:rPr>
              <w:t xml:space="preserve">the </w:t>
            </w:r>
            <w:r w:rsidR="003C3615" w:rsidRPr="0021015A">
              <w:rPr>
                <w:rFonts w:asciiTheme="minorHAnsi" w:hAnsiTheme="minorHAnsi"/>
                <w:i/>
              </w:rPr>
              <w:t>baseline was 8</w:t>
            </w:r>
            <w:r w:rsidRPr="0021015A">
              <w:rPr>
                <w:rFonts w:asciiTheme="minorHAnsi" w:hAnsiTheme="minorHAnsi"/>
                <w:i/>
              </w:rPr>
              <w:t xml:space="preserve"> instruments</w:t>
            </w:r>
            <w:r w:rsidR="003C3615" w:rsidRPr="0021015A">
              <w:rPr>
                <w:rFonts w:asciiTheme="minorHAnsi" w:hAnsiTheme="minorHAnsi"/>
                <w:i/>
              </w:rPr>
              <w:t xml:space="preserve">; </w:t>
            </w:r>
            <w:r w:rsidRPr="0021015A">
              <w:rPr>
                <w:rFonts w:asciiTheme="minorHAnsi" w:hAnsiTheme="minorHAnsi"/>
                <w:i/>
              </w:rPr>
              <w:t>By</w:t>
            </w:r>
            <w:r w:rsidR="003C3615" w:rsidRPr="0021015A">
              <w:rPr>
                <w:rFonts w:asciiTheme="minorHAnsi" w:hAnsiTheme="minorHAnsi"/>
                <w:i/>
              </w:rPr>
              <w:t xml:space="preserve"> 201</w:t>
            </w:r>
            <w:r w:rsidR="000D3C49">
              <w:rPr>
                <w:rFonts w:asciiTheme="minorHAnsi" w:hAnsiTheme="minorHAnsi"/>
                <w:i/>
              </w:rPr>
              <w:t>5</w:t>
            </w:r>
            <w:r w:rsidR="003C3615" w:rsidRPr="0021015A">
              <w:rPr>
                <w:rFonts w:asciiTheme="minorHAnsi" w:hAnsiTheme="minorHAnsi"/>
                <w:i/>
              </w:rPr>
              <w:t xml:space="preserve"> there are 12, </w:t>
            </w:r>
            <w:r w:rsidRPr="0021015A">
              <w:rPr>
                <w:rFonts w:asciiTheme="minorHAnsi" w:hAnsiTheme="minorHAnsi"/>
                <w:i/>
              </w:rPr>
              <w:t xml:space="preserve">with </w:t>
            </w:r>
            <w:r w:rsidR="003C3615" w:rsidRPr="0021015A">
              <w:rPr>
                <w:rFonts w:asciiTheme="minorHAnsi" w:hAnsiTheme="minorHAnsi"/>
                <w:i/>
              </w:rPr>
              <w:t xml:space="preserve">target </w:t>
            </w:r>
            <w:r w:rsidRPr="0021015A">
              <w:rPr>
                <w:rFonts w:asciiTheme="minorHAnsi" w:hAnsiTheme="minorHAnsi"/>
                <w:i/>
              </w:rPr>
              <w:t xml:space="preserve">being reached and surpassed. </w:t>
            </w:r>
          </w:p>
          <w:p w14:paraId="1A216BC9" w14:textId="66DBB4D1" w:rsidR="003C3615" w:rsidRPr="00AB430F" w:rsidRDefault="00E471F8" w:rsidP="000D3C49">
            <w:pPr>
              <w:pStyle w:val="BodyText2"/>
              <w:numPr>
                <w:ilvl w:val="0"/>
                <w:numId w:val="23"/>
              </w:numPr>
              <w:ind w:left="432" w:hanging="432"/>
              <w:rPr>
                <w:rFonts w:asciiTheme="minorHAnsi" w:hAnsiTheme="minorHAnsi"/>
                <w:i/>
              </w:rPr>
            </w:pPr>
            <w:r w:rsidRPr="0021015A">
              <w:rPr>
                <w:rFonts w:asciiTheme="minorHAnsi" w:hAnsiTheme="minorHAnsi"/>
                <w:i/>
              </w:rPr>
              <w:t>The b</w:t>
            </w:r>
            <w:r w:rsidR="003C3615" w:rsidRPr="0021015A">
              <w:rPr>
                <w:rFonts w:asciiTheme="minorHAnsi" w:hAnsiTheme="minorHAnsi"/>
                <w:i/>
              </w:rPr>
              <w:t xml:space="preserve">aseline </w:t>
            </w:r>
            <w:r w:rsidRPr="0021015A">
              <w:rPr>
                <w:rFonts w:asciiTheme="minorHAnsi" w:hAnsiTheme="minorHAnsi"/>
                <w:i/>
              </w:rPr>
              <w:t>was</w:t>
            </w:r>
            <w:r w:rsidR="003C3615" w:rsidRPr="0021015A">
              <w:rPr>
                <w:rFonts w:asciiTheme="minorHAnsi" w:hAnsiTheme="minorHAnsi"/>
                <w:i/>
              </w:rPr>
              <w:t xml:space="preserve"> 1</w:t>
            </w:r>
            <w:r w:rsidRPr="0021015A">
              <w:rPr>
                <w:rFonts w:asciiTheme="minorHAnsi" w:hAnsiTheme="minorHAnsi"/>
                <w:i/>
              </w:rPr>
              <w:t xml:space="preserve">and </w:t>
            </w:r>
            <w:r w:rsidR="003C3615" w:rsidRPr="0021015A">
              <w:rPr>
                <w:rFonts w:asciiTheme="minorHAnsi" w:hAnsiTheme="minorHAnsi"/>
                <w:i/>
              </w:rPr>
              <w:t>target</w:t>
            </w:r>
            <w:r w:rsidRPr="0021015A">
              <w:rPr>
                <w:rFonts w:asciiTheme="minorHAnsi" w:hAnsiTheme="minorHAnsi"/>
                <w:i/>
              </w:rPr>
              <w:t xml:space="preserve"> 6. However, </w:t>
            </w:r>
            <w:r w:rsidR="003C3615" w:rsidRPr="0021015A">
              <w:rPr>
                <w:rFonts w:asciiTheme="minorHAnsi" w:hAnsiTheme="minorHAnsi"/>
                <w:i/>
              </w:rPr>
              <w:t xml:space="preserve">there is no change, </w:t>
            </w:r>
            <w:r w:rsidRPr="0021015A">
              <w:rPr>
                <w:rFonts w:asciiTheme="minorHAnsi" w:hAnsiTheme="minorHAnsi"/>
                <w:i/>
              </w:rPr>
              <w:t xml:space="preserve">and </w:t>
            </w:r>
            <w:r w:rsidR="003C3615" w:rsidRPr="0021015A">
              <w:rPr>
                <w:rFonts w:asciiTheme="minorHAnsi" w:hAnsiTheme="minorHAnsi"/>
                <w:i/>
              </w:rPr>
              <w:t xml:space="preserve">indicator </w:t>
            </w:r>
            <w:r w:rsidRPr="0021015A">
              <w:rPr>
                <w:rFonts w:asciiTheme="minorHAnsi" w:hAnsiTheme="minorHAnsi"/>
                <w:i/>
              </w:rPr>
              <w:t xml:space="preserve">is </w:t>
            </w:r>
            <w:r w:rsidR="003C3615" w:rsidRPr="0021015A">
              <w:rPr>
                <w:rFonts w:asciiTheme="minorHAnsi" w:hAnsiTheme="minorHAnsi"/>
                <w:i/>
              </w:rPr>
              <w:t>not measurable</w:t>
            </w:r>
            <w:r w:rsidR="003C3615" w:rsidRPr="00AB430F">
              <w:rPr>
                <w:rFonts w:asciiTheme="minorHAnsi" w:hAnsiTheme="minorHAnsi"/>
                <w:i/>
              </w:rPr>
              <w:t xml:space="preserve">. </w:t>
            </w:r>
          </w:p>
        </w:tc>
      </w:tr>
      <w:tr w:rsidR="00D464F1" w:rsidRPr="00AB430F" w14:paraId="123BB383" w14:textId="77777777" w:rsidTr="00BC65CB">
        <w:tc>
          <w:tcPr>
            <w:tcW w:w="14040" w:type="dxa"/>
            <w:gridSpan w:val="5"/>
          </w:tcPr>
          <w:p w14:paraId="5BD692A2" w14:textId="77777777" w:rsidR="00D464F1" w:rsidRPr="00366CF6" w:rsidRDefault="00D464F1" w:rsidP="00366CF6">
            <w:pPr>
              <w:pStyle w:val="BodyText2"/>
              <w:spacing w:before="120" w:after="120"/>
              <w:jc w:val="both"/>
              <w:rPr>
                <w:rFonts w:asciiTheme="minorHAnsi" w:hAnsiTheme="minorHAnsi"/>
                <w:b/>
                <w:sz w:val="22"/>
                <w:szCs w:val="22"/>
              </w:rPr>
            </w:pPr>
            <w:r w:rsidRPr="00366CF6">
              <w:rPr>
                <w:rFonts w:asciiTheme="minorHAnsi" w:hAnsiTheme="minorHAnsi"/>
                <w:b/>
                <w:sz w:val="22"/>
                <w:szCs w:val="22"/>
              </w:rPr>
              <w:t>UNDP Contribution:</w:t>
            </w:r>
          </w:p>
          <w:p w14:paraId="51C43388" w14:textId="77777777" w:rsidR="00D464F1" w:rsidRPr="00366CF6" w:rsidRDefault="00D464F1" w:rsidP="00366CF6">
            <w:pPr>
              <w:pStyle w:val="BodyText2"/>
              <w:spacing w:before="120" w:after="120"/>
              <w:jc w:val="both"/>
              <w:rPr>
                <w:rFonts w:asciiTheme="minorHAnsi" w:hAnsiTheme="minorHAnsi"/>
                <w:sz w:val="22"/>
                <w:szCs w:val="22"/>
              </w:rPr>
            </w:pPr>
            <w:r w:rsidRPr="00366CF6">
              <w:rPr>
                <w:rFonts w:asciiTheme="minorHAnsi" w:hAnsiTheme="minorHAnsi"/>
                <w:sz w:val="22"/>
                <w:szCs w:val="22"/>
                <w:u w:val="single"/>
              </w:rPr>
              <w:t>CP Outputs</w:t>
            </w:r>
            <w:r w:rsidRPr="00366CF6">
              <w:rPr>
                <w:rFonts w:asciiTheme="minorHAnsi" w:hAnsiTheme="minorHAnsi"/>
                <w:sz w:val="22"/>
                <w:szCs w:val="22"/>
              </w:rPr>
              <w:t>:</w:t>
            </w:r>
            <w:r w:rsidR="00BC0F06" w:rsidRPr="00366CF6">
              <w:rPr>
                <w:rFonts w:asciiTheme="minorHAnsi" w:hAnsiTheme="minorHAnsi"/>
                <w:sz w:val="22"/>
                <w:szCs w:val="22"/>
              </w:rPr>
              <w:t xml:space="preserve"> The UNDP CP identified nine major outputs to support Government in achieving this outcome:</w:t>
            </w:r>
          </w:p>
          <w:p w14:paraId="6EF9CAB6" w14:textId="710323EE" w:rsidR="00D464F1" w:rsidRPr="00366CF6" w:rsidRDefault="00BC0F0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a.</w:t>
            </w:r>
            <w:r w:rsidR="00D464F1" w:rsidRPr="00366CF6">
              <w:rPr>
                <w:rFonts w:asciiTheme="minorHAnsi" w:hAnsiTheme="minorHAnsi"/>
                <w:sz w:val="22"/>
                <w:szCs w:val="22"/>
              </w:rPr>
              <w:t xml:space="preserve"> Institutional capacity of Parliamentary commissions and selected provincial assemblies in publi</w:t>
            </w:r>
            <w:r w:rsidR="00CD7143">
              <w:rPr>
                <w:rFonts w:asciiTheme="minorHAnsi" w:hAnsiTheme="minorHAnsi"/>
                <w:sz w:val="22"/>
                <w:szCs w:val="22"/>
              </w:rPr>
              <w:t>c finance and service delivery;</w:t>
            </w:r>
          </w:p>
          <w:p w14:paraId="7FE28DF1" w14:textId="5AC1620B" w:rsidR="00D464F1" w:rsidRPr="00366CF6" w:rsidRDefault="00BC0F0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b.</w:t>
            </w:r>
            <w:r w:rsidR="00D464F1" w:rsidRPr="00366CF6">
              <w:rPr>
                <w:rFonts w:asciiTheme="minorHAnsi" w:hAnsiTheme="minorHAnsi"/>
                <w:sz w:val="22"/>
                <w:szCs w:val="22"/>
              </w:rPr>
              <w:t xml:space="preserve"> Institutional and technical capacities of Parliamentary commi</w:t>
            </w:r>
            <w:r w:rsidR="00CD7143">
              <w:rPr>
                <w:rFonts w:asciiTheme="minorHAnsi" w:hAnsiTheme="minorHAnsi"/>
                <w:sz w:val="22"/>
                <w:szCs w:val="22"/>
              </w:rPr>
              <w:t>ssions to initiate/review laws;</w:t>
            </w:r>
          </w:p>
          <w:p w14:paraId="316C510F" w14:textId="3F046FAD" w:rsidR="00D464F1" w:rsidRPr="00366CF6" w:rsidRDefault="00BC0F0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c. Awareness</w:t>
            </w:r>
            <w:r w:rsidR="00D464F1" w:rsidRPr="00366CF6">
              <w:rPr>
                <w:rFonts w:asciiTheme="minorHAnsi" w:hAnsiTheme="minorHAnsi"/>
                <w:sz w:val="22"/>
                <w:szCs w:val="22"/>
              </w:rPr>
              <w:t xml:space="preserve"> of electoral civic responsibili</w:t>
            </w:r>
            <w:r w:rsidR="00CD7143">
              <w:rPr>
                <w:rFonts w:asciiTheme="minorHAnsi" w:hAnsiTheme="minorHAnsi"/>
                <w:sz w:val="22"/>
                <w:szCs w:val="22"/>
              </w:rPr>
              <w:t>ty esp. at decentralized level;</w:t>
            </w:r>
          </w:p>
          <w:p w14:paraId="236E85B1" w14:textId="4BEC9CA7" w:rsidR="00D464F1" w:rsidRPr="00366CF6" w:rsidRDefault="00BC0F0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d</w:t>
            </w:r>
            <w:r w:rsidR="00D464F1" w:rsidRPr="00366CF6">
              <w:rPr>
                <w:rFonts w:asciiTheme="minorHAnsi" w:hAnsiTheme="minorHAnsi"/>
                <w:sz w:val="22"/>
                <w:szCs w:val="22"/>
              </w:rPr>
              <w:t>. Justice innovations developed at national level and implemented in selected provinces</w:t>
            </w:r>
            <w:r w:rsidR="00CD7143">
              <w:rPr>
                <w:rFonts w:asciiTheme="minorHAnsi" w:hAnsiTheme="minorHAnsi"/>
                <w:sz w:val="22"/>
                <w:szCs w:val="22"/>
              </w:rPr>
              <w:t>;</w:t>
            </w:r>
            <w:r w:rsidR="00D464F1" w:rsidRPr="00366CF6">
              <w:rPr>
                <w:rFonts w:asciiTheme="minorHAnsi" w:hAnsiTheme="minorHAnsi"/>
                <w:sz w:val="22"/>
                <w:szCs w:val="22"/>
              </w:rPr>
              <w:t xml:space="preserve"> </w:t>
            </w:r>
          </w:p>
          <w:p w14:paraId="620B9796" w14:textId="45745BA7" w:rsidR="00D464F1" w:rsidRPr="00366CF6" w:rsidRDefault="00BC0F0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e</w:t>
            </w:r>
            <w:r w:rsidR="00D464F1" w:rsidRPr="00366CF6">
              <w:rPr>
                <w:rFonts w:asciiTheme="minorHAnsi" w:hAnsiTheme="minorHAnsi"/>
                <w:sz w:val="22"/>
                <w:szCs w:val="22"/>
              </w:rPr>
              <w:t>. Vulnerable groups esp. women are aware of their rights and use justice</w:t>
            </w:r>
            <w:r w:rsidR="00CD7143">
              <w:rPr>
                <w:rFonts w:asciiTheme="minorHAnsi" w:hAnsiTheme="minorHAnsi"/>
                <w:sz w:val="22"/>
                <w:szCs w:val="22"/>
              </w:rPr>
              <w:t xml:space="preserve"> services in selected districts;</w:t>
            </w:r>
            <w:r w:rsidR="00D464F1" w:rsidRPr="00366CF6">
              <w:rPr>
                <w:rFonts w:asciiTheme="minorHAnsi" w:hAnsiTheme="minorHAnsi"/>
                <w:sz w:val="22"/>
                <w:szCs w:val="22"/>
              </w:rPr>
              <w:t xml:space="preserve"> </w:t>
            </w:r>
          </w:p>
          <w:p w14:paraId="71C34FD9" w14:textId="692C1CBC" w:rsidR="00D464F1" w:rsidRPr="00366CF6" w:rsidRDefault="00BC0F0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f.</w:t>
            </w:r>
            <w:r w:rsidR="00D464F1" w:rsidRPr="00366CF6">
              <w:rPr>
                <w:rFonts w:asciiTheme="minorHAnsi" w:hAnsiTheme="minorHAnsi"/>
                <w:sz w:val="22"/>
                <w:szCs w:val="22"/>
              </w:rPr>
              <w:t xml:space="preserve"> National human rights commiss</w:t>
            </w:r>
            <w:r w:rsidR="00CD7143">
              <w:rPr>
                <w:rFonts w:asciiTheme="minorHAnsi" w:hAnsiTheme="minorHAnsi"/>
                <w:sz w:val="22"/>
                <w:szCs w:val="22"/>
              </w:rPr>
              <w:t>ion established and functional;</w:t>
            </w:r>
          </w:p>
          <w:p w14:paraId="6CDB296C" w14:textId="1D979BED" w:rsidR="00D464F1" w:rsidRPr="00366CF6" w:rsidRDefault="00BC0F0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g.</w:t>
            </w:r>
            <w:r w:rsidR="00D464F1" w:rsidRPr="00366CF6">
              <w:rPr>
                <w:rFonts w:asciiTheme="minorHAnsi" w:hAnsiTheme="minorHAnsi"/>
                <w:sz w:val="22"/>
                <w:szCs w:val="22"/>
              </w:rPr>
              <w:t xml:space="preserve"> </w:t>
            </w:r>
            <w:r w:rsidR="00CD7143">
              <w:rPr>
                <w:rFonts w:asciiTheme="minorHAnsi" w:hAnsiTheme="minorHAnsi"/>
                <w:sz w:val="22"/>
                <w:szCs w:val="22"/>
              </w:rPr>
              <w:t>NCO established and functional;</w:t>
            </w:r>
          </w:p>
          <w:p w14:paraId="2ED0FC29" w14:textId="72E0E038" w:rsidR="00D464F1" w:rsidRPr="00366CF6" w:rsidRDefault="00BC0F0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h</w:t>
            </w:r>
            <w:r w:rsidR="00D464F1" w:rsidRPr="00366CF6">
              <w:rPr>
                <w:rFonts w:asciiTheme="minorHAnsi" w:hAnsiTheme="minorHAnsi"/>
                <w:sz w:val="22"/>
                <w:szCs w:val="22"/>
              </w:rPr>
              <w:t>. MDGs and HDRs and other policy docum</w:t>
            </w:r>
            <w:r w:rsidR="00CD7143">
              <w:rPr>
                <w:rFonts w:asciiTheme="minorHAnsi" w:hAnsiTheme="minorHAnsi"/>
                <w:sz w:val="22"/>
                <w:szCs w:val="22"/>
              </w:rPr>
              <w:t>ents produced and disseminated;</w:t>
            </w:r>
          </w:p>
          <w:p w14:paraId="22668857" w14:textId="03F5392E" w:rsidR="00D464F1" w:rsidRPr="00366CF6" w:rsidRDefault="00BC0F06"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i</w:t>
            </w:r>
            <w:r w:rsidR="00D464F1" w:rsidRPr="00366CF6">
              <w:rPr>
                <w:rFonts w:asciiTheme="minorHAnsi" w:hAnsiTheme="minorHAnsi"/>
                <w:sz w:val="22"/>
                <w:szCs w:val="22"/>
              </w:rPr>
              <w:t>. The coordination function of national AIDS council enhanced and the grant model approved</w:t>
            </w:r>
            <w:r w:rsidR="00CD7143">
              <w:rPr>
                <w:rFonts w:asciiTheme="minorHAnsi" w:hAnsiTheme="minorHAnsi"/>
                <w:sz w:val="22"/>
                <w:szCs w:val="22"/>
              </w:rPr>
              <w:t>.</w:t>
            </w:r>
          </w:p>
          <w:p w14:paraId="723B09FB" w14:textId="37ECD83F" w:rsidR="00EF4321" w:rsidRPr="008D6D7B" w:rsidRDefault="00D464F1" w:rsidP="00366CF6">
            <w:pPr>
              <w:pStyle w:val="BodyText2"/>
              <w:spacing w:before="120" w:after="120"/>
              <w:jc w:val="both"/>
              <w:rPr>
                <w:rFonts w:asciiTheme="minorHAnsi" w:hAnsiTheme="minorHAnsi"/>
                <w:b/>
                <w:bCs/>
                <w:sz w:val="22"/>
                <w:szCs w:val="22"/>
              </w:rPr>
            </w:pPr>
            <w:r w:rsidRPr="00366CF6">
              <w:rPr>
                <w:rFonts w:asciiTheme="minorHAnsi" w:hAnsiTheme="minorHAnsi"/>
                <w:sz w:val="22"/>
                <w:szCs w:val="22"/>
                <w:u w:val="single"/>
              </w:rPr>
              <w:t>Progress and Achievements</w:t>
            </w:r>
            <w:r w:rsidRPr="00366CF6">
              <w:rPr>
                <w:rFonts w:asciiTheme="minorHAnsi" w:hAnsiTheme="minorHAnsi"/>
                <w:sz w:val="22"/>
                <w:szCs w:val="22"/>
              </w:rPr>
              <w:t>:</w:t>
            </w:r>
            <w:r w:rsidR="00366CF6" w:rsidRPr="00366CF6">
              <w:rPr>
                <w:rFonts w:asciiTheme="minorHAnsi" w:hAnsiTheme="minorHAnsi"/>
                <w:b/>
                <w:bCs/>
                <w:sz w:val="22"/>
                <w:szCs w:val="22"/>
              </w:rPr>
              <w:t xml:space="preserve"> </w:t>
            </w:r>
          </w:p>
          <w:p w14:paraId="4906B92C" w14:textId="77777777" w:rsidR="000359A9" w:rsidRPr="00366CF6" w:rsidRDefault="000359A9" w:rsidP="000359A9">
            <w:pPr>
              <w:pStyle w:val="BodyText2"/>
              <w:spacing w:before="120" w:after="120"/>
              <w:jc w:val="both"/>
              <w:rPr>
                <w:rFonts w:asciiTheme="minorHAnsi" w:hAnsiTheme="minorHAnsi" w:cs="Arial"/>
                <w:sz w:val="22"/>
                <w:szCs w:val="22"/>
                <w:shd w:val="clear" w:color="auto" w:fill="FFFFFF"/>
              </w:rPr>
            </w:pPr>
            <w:r w:rsidRPr="00366CF6">
              <w:rPr>
                <w:rFonts w:asciiTheme="minorHAnsi" w:hAnsiTheme="minorHAnsi" w:cs="Arial"/>
                <w:sz w:val="22"/>
                <w:szCs w:val="22"/>
                <w:shd w:val="clear" w:color="auto" w:fill="FFFFFF"/>
              </w:rPr>
              <w:lastRenderedPageBreak/>
              <w:t>In 2014, the participation to the elections significantly improved as a result of UNDP support to civic education initiatives</w:t>
            </w:r>
            <w:r>
              <w:rPr>
                <w:rFonts w:asciiTheme="minorHAnsi" w:hAnsiTheme="minorHAnsi" w:cs="Arial"/>
                <w:sz w:val="22"/>
                <w:szCs w:val="22"/>
                <w:shd w:val="clear" w:color="auto" w:fill="FFFFFF"/>
              </w:rPr>
              <w:t xml:space="preserve"> during the Country Programme cycle</w:t>
            </w:r>
            <w:r w:rsidRPr="00366CF6">
              <w:rPr>
                <w:rFonts w:asciiTheme="minorHAnsi" w:hAnsiTheme="minorHAnsi" w:cs="Arial"/>
                <w:sz w:val="22"/>
                <w:szCs w:val="22"/>
                <w:shd w:val="clear" w:color="auto" w:fill="FFFFFF"/>
              </w:rPr>
              <w:t xml:space="preserve">. The number of registered voters increased by 11.1% as compared to previous electoral census held in 2009 and the voter turnout in general elections showed a significant increase from 36.42% in 2004 to 48.64% in 2014. In addition, UNDP strengthened electoral management bodies (EMB) capacities by training more than 1,900 new EMB members in the crucial pre-electoral period following the late approval of the new electoral law in February 2014, thus contributing to the orderly conduct of the elections. </w:t>
            </w:r>
          </w:p>
          <w:p w14:paraId="79424A5F" w14:textId="03162CA0" w:rsidR="00EF4321" w:rsidRPr="00366CF6" w:rsidRDefault="00EF4321" w:rsidP="00366CF6">
            <w:pPr>
              <w:pStyle w:val="BodyText2"/>
              <w:spacing w:before="120" w:after="120"/>
              <w:jc w:val="both"/>
              <w:rPr>
                <w:rFonts w:asciiTheme="minorHAnsi" w:hAnsiTheme="minorHAnsi" w:cs="Arial"/>
                <w:sz w:val="22"/>
                <w:szCs w:val="22"/>
                <w:shd w:val="clear" w:color="auto" w:fill="FFFFFF"/>
              </w:rPr>
            </w:pPr>
            <w:r w:rsidRPr="00366CF6">
              <w:rPr>
                <w:rFonts w:asciiTheme="minorHAnsi" w:hAnsiTheme="minorHAnsi" w:cs="Arial"/>
                <w:sz w:val="22"/>
                <w:szCs w:val="22"/>
                <w:shd w:val="clear" w:color="auto" w:fill="FFFFFF"/>
              </w:rPr>
              <w:t>UNDP technical and financial support to the Justice sector contributed to an increased access to justice thanks to the finalization and operationalization of the House</w:t>
            </w:r>
            <w:r w:rsidR="00366CF6">
              <w:rPr>
                <w:rFonts w:asciiTheme="minorHAnsi" w:hAnsiTheme="minorHAnsi" w:cs="Arial"/>
                <w:sz w:val="22"/>
                <w:szCs w:val="22"/>
                <w:shd w:val="clear" w:color="auto" w:fill="FFFFFF"/>
              </w:rPr>
              <w:t xml:space="preserve">s of Justice </w:t>
            </w:r>
            <w:r w:rsidR="00576972">
              <w:rPr>
                <w:rFonts w:asciiTheme="minorHAnsi" w:hAnsiTheme="minorHAnsi" w:cs="Arial"/>
                <w:sz w:val="22"/>
                <w:szCs w:val="22"/>
                <w:shd w:val="clear" w:color="auto" w:fill="FFFFFF"/>
              </w:rPr>
              <w:t xml:space="preserve">in </w:t>
            </w:r>
            <w:r w:rsidR="00366CF6">
              <w:rPr>
                <w:rFonts w:asciiTheme="minorHAnsi" w:hAnsiTheme="minorHAnsi" w:cs="Arial"/>
                <w:sz w:val="22"/>
                <w:szCs w:val="22"/>
                <w:shd w:val="clear" w:color="auto" w:fill="FFFFFF"/>
              </w:rPr>
              <w:t xml:space="preserve">Ribaue and </w:t>
            </w:r>
            <w:r w:rsidRPr="00366CF6">
              <w:rPr>
                <w:rFonts w:asciiTheme="minorHAnsi" w:hAnsiTheme="minorHAnsi" w:cs="Arial"/>
                <w:sz w:val="22"/>
                <w:szCs w:val="22"/>
                <w:shd w:val="clear" w:color="auto" w:fill="FFFFFF"/>
              </w:rPr>
              <w:t>Massinga. As a result of UNDP contribution, the country has now 5 H</w:t>
            </w:r>
            <w:r w:rsidR="00366CF6">
              <w:rPr>
                <w:rFonts w:asciiTheme="minorHAnsi" w:hAnsiTheme="minorHAnsi" w:cs="Arial"/>
                <w:sz w:val="22"/>
                <w:szCs w:val="22"/>
                <w:shd w:val="clear" w:color="auto" w:fill="FFFFFF"/>
              </w:rPr>
              <w:t>ouses of Justice</w:t>
            </w:r>
            <w:r w:rsidRPr="00366CF6">
              <w:rPr>
                <w:rFonts w:asciiTheme="minorHAnsi" w:hAnsiTheme="minorHAnsi" w:cs="Arial"/>
                <w:sz w:val="22"/>
                <w:szCs w:val="22"/>
                <w:shd w:val="clear" w:color="auto" w:fill="FFFFFF"/>
              </w:rPr>
              <w:t xml:space="preserve"> providing communities with integrated justice services in remote areas, including free legal </w:t>
            </w:r>
            <w:r w:rsidR="008D6D7B">
              <w:rPr>
                <w:rFonts w:asciiTheme="minorHAnsi" w:hAnsiTheme="minorHAnsi" w:cs="Arial"/>
                <w:sz w:val="22"/>
                <w:szCs w:val="22"/>
                <w:shd w:val="clear" w:color="auto" w:fill="FFFFFF"/>
              </w:rPr>
              <w:t>aid and mobile courts services. A</w:t>
            </w:r>
            <w:r w:rsidR="008D6D7B" w:rsidRPr="008D6D7B">
              <w:rPr>
                <w:rFonts w:asciiTheme="minorHAnsi" w:hAnsiTheme="minorHAnsi" w:cs="Arial"/>
                <w:sz w:val="22"/>
                <w:szCs w:val="22"/>
                <w:shd w:val="clear" w:color="auto" w:fill="FFFFFF"/>
              </w:rPr>
              <w:t xml:space="preserve">s a result, a total of 85172 people (men: 51954/women: 33217) were assisted through the </w:t>
            </w:r>
            <w:r w:rsidR="008D6D7B">
              <w:rPr>
                <w:rFonts w:asciiTheme="minorHAnsi" w:hAnsiTheme="minorHAnsi" w:cs="Arial"/>
                <w:sz w:val="22"/>
                <w:szCs w:val="22"/>
                <w:shd w:val="clear" w:color="auto" w:fill="FFFFFF"/>
              </w:rPr>
              <w:t>Free Legal Aid Institute (</w:t>
            </w:r>
            <w:r w:rsidR="008D6D7B" w:rsidRPr="008D6D7B">
              <w:rPr>
                <w:rFonts w:asciiTheme="minorHAnsi" w:hAnsiTheme="minorHAnsi" w:cs="Arial"/>
                <w:sz w:val="22"/>
                <w:szCs w:val="22"/>
                <w:shd w:val="clear" w:color="auto" w:fill="FFFFFF"/>
              </w:rPr>
              <w:t>IPAJ</w:t>
            </w:r>
            <w:r w:rsidR="008D6D7B">
              <w:rPr>
                <w:rFonts w:asciiTheme="minorHAnsi" w:hAnsiTheme="minorHAnsi" w:cs="Arial"/>
                <w:sz w:val="22"/>
                <w:szCs w:val="22"/>
                <w:shd w:val="clear" w:color="auto" w:fill="FFFFFF"/>
              </w:rPr>
              <w:t>)</w:t>
            </w:r>
            <w:r w:rsidR="008D6D7B" w:rsidRPr="008D6D7B">
              <w:rPr>
                <w:rFonts w:asciiTheme="minorHAnsi" w:hAnsiTheme="minorHAnsi" w:cs="Arial"/>
                <w:sz w:val="22"/>
                <w:szCs w:val="22"/>
                <w:shd w:val="clear" w:color="auto" w:fill="FFFFFF"/>
              </w:rPr>
              <w:t xml:space="preserve"> during the first semester of 2015. Annual data will only be available in 2016 but the 2015 target of 77000 people was already abundantly surpassed.</w:t>
            </w:r>
          </w:p>
          <w:p w14:paraId="7F2C180B" w14:textId="258FA5B2" w:rsidR="00EF4321" w:rsidRDefault="00EF4321" w:rsidP="00366CF6">
            <w:pPr>
              <w:pStyle w:val="BodyText2"/>
              <w:spacing w:before="120" w:after="120"/>
              <w:jc w:val="both"/>
              <w:rPr>
                <w:rFonts w:asciiTheme="minorHAnsi" w:hAnsiTheme="minorHAnsi" w:cs="Arial"/>
                <w:sz w:val="22"/>
                <w:szCs w:val="22"/>
                <w:shd w:val="clear" w:color="auto" w:fill="FFFFFF"/>
              </w:rPr>
            </w:pPr>
            <w:r w:rsidRPr="00366CF6">
              <w:rPr>
                <w:rFonts w:asciiTheme="minorHAnsi" w:hAnsiTheme="minorHAnsi" w:cs="Arial"/>
                <w:sz w:val="22"/>
                <w:szCs w:val="22"/>
                <w:shd w:val="clear" w:color="auto" w:fill="FFFFFF"/>
              </w:rPr>
              <w:t xml:space="preserve">UNDP technical assistance was also instrumental to the approval </w:t>
            </w:r>
            <w:r w:rsidR="000359A9">
              <w:rPr>
                <w:rFonts w:asciiTheme="minorHAnsi" w:hAnsiTheme="minorHAnsi" w:cs="Arial"/>
                <w:sz w:val="22"/>
                <w:szCs w:val="22"/>
                <w:shd w:val="clear" w:color="auto" w:fill="FFFFFF"/>
              </w:rPr>
              <w:t xml:space="preserve">in December 2014 </w:t>
            </w:r>
            <w:r w:rsidRPr="00366CF6">
              <w:rPr>
                <w:rFonts w:asciiTheme="minorHAnsi" w:hAnsiTheme="minorHAnsi" w:cs="Arial"/>
                <w:sz w:val="22"/>
                <w:szCs w:val="22"/>
                <w:shd w:val="clear" w:color="auto" w:fill="FFFFFF"/>
              </w:rPr>
              <w:t>of the new Penal Code which replaced an obsolete law of 1895. Specifically, UNDP supported the drafting of the Action Plan for the implementation of the Anti-Corruption Package of Laws (Law on Witness protection Law on Ethics/Conflict of interest, Criminal Cod</w:t>
            </w:r>
            <w:r w:rsidR="00366CF6">
              <w:rPr>
                <w:rFonts w:asciiTheme="minorHAnsi" w:hAnsiTheme="minorHAnsi" w:cs="Arial"/>
                <w:sz w:val="22"/>
                <w:szCs w:val="22"/>
                <w:shd w:val="clear" w:color="auto" w:fill="FFFFFF"/>
              </w:rPr>
              <w:t>e and Criminal Procedure Code).</w:t>
            </w:r>
          </w:p>
          <w:p w14:paraId="5C227CC4" w14:textId="3AFDEBD7" w:rsidR="00EA7AB0" w:rsidRPr="00366CF6" w:rsidRDefault="00EA7AB0" w:rsidP="00EA7AB0">
            <w:pPr>
              <w:pStyle w:val="BodyText2"/>
              <w:spacing w:before="120"/>
              <w:jc w:val="both"/>
              <w:rPr>
                <w:rFonts w:asciiTheme="minorHAnsi" w:hAnsiTheme="minorHAnsi" w:cs="Arial"/>
                <w:sz w:val="22"/>
                <w:szCs w:val="22"/>
                <w:shd w:val="clear" w:color="auto" w:fill="FFFFFF"/>
              </w:rPr>
            </w:pPr>
            <w:r w:rsidRPr="00D13415">
              <w:rPr>
                <w:rFonts w:asciiTheme="minorHAnsi" w:hAnsiTheme="minorHAnsi" w:cs="Arial"/>
                <w:sz w:val="22"/>
                <w:szCs w:val="22"/>
                <w:shd w:val="clear" w:color="auto" w:fill="FFFFFF"/>
              </w:rPr>
              <w:t xml:space="preserve">The law on HIV and AIDS was revised </w:t>
            </w:r>
            <w:r>
              <w:rPr>
                <w:rFonts w:asciiTheme="minorHAnsi" w:hAnsiTheme="minorHAnsi" w:cs="Arial"/>
                <w:sz w:val="22"/>
                <w:szCs w:val="22"/>
                <w:shd w:val="clear" w:color="auto" w:fill="FFFFFF"/>
              </w:rPr>
              <w:t xml:space="preserve">in 2012 and approved by the Parliament in 2013. </w:t>
            </w:r>
            <w:r w:rsidRPr="00D13415">
              <w:rPr>
                <w:rFonts w:asciiTheme="minorHAnsi" w:hAnsiTheme="minorHAnsi" w:cs="Arial"/>
                <w:sz w:val="22"/>
                <w:szCs w:val="22"/>
                <w:shd w:val="clear" w:color="auto" w:fill="FFFFFF"/>
              </w:rPr>
              <w:t>This law will contribute to eliminate stigma and discrimination against people with HIV and AIDS, and ensure their full participation and contribution to the development process.</w:t>
            </w:r>
            <w:r w:rsidR="00EC34A3">
              <w:rPr>
                <w:rFonts w:asciiTheme="minorHAnsi" w:hAnsiTheme="minorHAnsi" w:cs="Arial"/>
                <w:sz w:val="22"/>
                <w:szCs w:val="22"/>
                <w:shd w:val="clear" w:color="auto" w:fill="FFFFFF"/>
              </w:rPr>
              <w:t xml:space="preserve"> </w:t>
            </w:r>
            <w:r w:rsidR="00EC34A3" w:rsidRPr="00EC34A3">
              <w:rPr>
                <w:rFonts w:asciiTheme="minorHAnsi" w:hAnsiTheme="minorHAnsi" w:cs="Arial"/>
                <w:sz w:val="22"/>
                <w:szCs w:val="22"/>
                <w:shd w:val="clear" w:color="auto" w:fill="FFFFFF"/>
              </w:rPr>
              <w:t xml:space="preserve">In October 2015, the National Strategic Plan to Fight against HIV/AIDS was approved by </w:t>
            </w:r>
            <w:r w:rsidR="00EC34A3">
              <w:rPr>
                <w:rFonts w:asciiTheme="minorHAnsi" w:hAnsiTheme="minorHAnsi" w:cs="Arial"/>
                <w:sz w:val="22"/>
                <w:szCs w:val="22"/>
                <w:shd w:val="clear" w:color="auto" w:fill="FFFFFF"/>
              </w:rPr>
              <w:t>the Council of Ministers</w:t>
            </w:r>
            <w:r w:rsidR="00EC34A3" w:rsidRPr="00EC34A3">
              <w:rPr>
                <w:rFonts w:asciiTheme="minorHAnsi" w:hAnsiTheme="minorHAnsi" w:cs="Arial"/>
                <w:sz w:val="22"/>
                <w:szCs w:val="22"/>
                <w:shd w:val="clear" w:color="auto" w:fill="FFFFFF"/>
              </w:rPr>
              <w:t>. UNDP contributed directly to this achievement by coordinating UN Agencies (UNAIDS, ILO, UNWomen) technical assistance in the formulation of the HIV, Human Rights and Gender components of the plan and provided support to the consultation process hel</w:t>
            </w:r>
            <w:r w:rsidR="000359A9">
              <w:rPr>
                <w:rFonts w:asciiTheme="minorHAnsi" w:hAnsiTheme="minorHAnsi" w:cs="Arial"/>
                <w:sz w:val="22"/>
                <w:szCs w:val="22"/>
                <w:shd w:val="clear" w:color="auto" w:fill="FFFFFF"/>
              </w:rPr>
              <w:t>d throughout the country</w:t>
            </w:r>
            <w:r w:rsidR="00EC34A3" w:rsidRPr="00EC34A3">
              <w:rPr>
                <w:rFonts w:asciiTheme="minorHAnsi" w:hAnsiTheme="minorHAnsi" w:cs="Arial"/>
                <w:sz w:val="22"/>
                <w:szCs w:val="22"/>
                <w:shd w:val="clear" w:color="auto" w:fill="FFFFFF"/>
              </w:rPr>
              <w:t>. In addition, UNDP in collaboration with UNAIDS, supported the launching in Mozambique of the Fast-Track Cities Initiative in December 2015 targeting high level Government officials and enhanced awareness and commitment of the Municipal Governments of the 3 most HIV affected cities of Mozambique (Maputo, Matola and Xai Xai) thus setting the stage for the preparation of municipalities' action plans to fight against HIV/AIDS and putting the issue at the center of the municipalities' agend</w:t>
            </w:r>
            <w:r w:rsidR="000359A9">
              <w:rPr>
                <w:rFonts w:asciiTheme="minorHAnsi" w:hAnsiTheme="minorHAnsi" w:cs="Arial"/>
                <w:sz w:val="22"/>
                <w:szCs w:val="22"/>
                <w:shd w:val="clear" w:color="auto" w:fill="FFFFFF"/>
              </w:rPr>
              <w:t>a for the upcoming years</w:t>
            </w:r>
            <w:r w:rsidR="00EC34A3" w:rsidRPr="00EC34A3">
              <w:rPr>
                <w:rFonts w:asciiTheme="minorHAnsi" w:hAnsiTheme="minorHAnsi" w:cs="Arial"/>
                <w:sz w:val="22"/>
                <w:szCs w:val="22"/>
                <w:shd w:val="clear" w:color="auto" w:fill="FFFFFF"/>
              </w:rPr>
              <w:t>.</w:t>
            </w:r>
          </w:p>
          <w:p w14:paraId="36A5D07A" w14:textId="6C0AD4A8" w:rsidR="00D464F1" w:rsidRPr="007D4271" w:rsidRDefault="00EF4321" w:rsidP="00EC34A3">
            <w:pPr>
              <w:pStyle w:val="BodyText2"/>
              <w:spacing w:before="120" w:after="120"/>
              <w:jc w:val="both"/>
              <w:rPr>
                <w:rFonts w:asciiTheme="minorHAnsi" w:hAnsiTheme="minorHAnsi" w:cs="Arial"/>
                <w:sz w:val="22"/>
                <w:szCs w:val="22"/>
                <w:shd w:val="clear" w:color="auto" w:fill="FFFFFF"/>
              </w:rPr>
            </w:pPr>
            <w:r w:rsidRPr="00366CF6">
              <w:rPr>
                <w:rFonts w:asciiTheme="minorHAnsi" w:hAnsiTheme="minorHAnsi" w:cs="Arial"/>
                <w:sz w:val="22"/>
                <w:szCs w:val="22"/>
                <w:shd w:val="clear" w:color="auto" w:fill="FFFFFF"/>
              </w:rPr>
              <w:t>In the H</w:t>
            </w:r>
            <w:r w:rsidR="00366CF6">
              <w:rPr>
                <w:rFonts w:asciiTheme="minorHAnsi" w:hAnsiTheme="minorHAnsi" w:cs="Arial"/>
                <w:sz w:val="22"/>
                <w:szCs w:val="22"/>
                <w:shd w:val="clear" w:color="auto" w:fill="FFFFFF"/>
              </w:rPr>
              <w:t xml:space="preserve">uman </w:t>
            </w:r>
            <w:r w:rsidRPr="00366CF6">
              <w:rPr>
                <w:rFonts w:asciiTheme="minorHAnsi" w:hAnsiTheme="minorHAnsi" w:cs="Arial"/>
                <w:sz w:val="22"/>
                <w:szCs w:val="22"/>
                <w:shd w:val="clear" w:color="auto" w:fill="FFFFFF"/>
              </w:rPr>
              <w:t>R</w:t>
            </w:r>
            <w:r w:rsidR="00366CF6">
              <w:rPr>
                <w:rFonts w:asciiTheme="minorHAnsi" w:hAnsiTheme="minorHAnsi" w:cs="Arial"/>
                <w:sz w:val="22"/>
                <w:szCs w:val="22"/>
                <w:shd w:val="clear" w:color="auto" w:fill="FFFFFF"/>
              </w:rPr>
              <w:t>ights</w:t>
            </w:r>
            <w:r w:rsidRPr="00366CF6">
              <w:rPr>
                <w:rFonts w:asciiTheme="minorHAnsi" w:hAnsiTheme="minorHAnsi" w:cs="Arial"/>
                <w:sz w:val="22"/>
                <w:szCs w:val="22"/>
                <w:shd w:val="clear" w:color="auto" w:fill="FFFFFF"/>
              </w:rPr>
              <w:t xml:space="preserve"> area, UNDP support </w:t>
            </w:r>
            <w:r w:rsidR="00366CF6">
              <w:rPr>
                <w:rFonts w:asciiTheme="minorHAnsi" w:hAnsiTheme="minorHAnsi" w:cs="Arial"/>
                <w:sz w:val="22"/>
                <w:szCs w:val="22"/>
                <w:shd w:val="clear" w:color="auto" w:fill="FFFFFF"/>
              </w:rPr>
              <w:t xml:space="preserve">during the Country Programme cycle contributed to the establishment of the National Human Rights Commission and </w:t>
            </w:r>
            <w:r w:rsidRPr="00366CF6">
              <w:rPr>
                <w:rFonts w:asciiTheme="minorHAnsi" w:hAnsiTheme="minorHAnsi" w:cs="Arial"/>
                <w:sz w:val="22"/>
                <w:szCs w:val="22"/>
                <w:shd w:val="clear" w:color="auto" w:fill="FFFFFF"/>
              </w:rPr>
              <w:t xml:space="preserve">to </w:t>
            </w:r>
            <w:r w:rsidR="007D4271">
              <w:rPr>
                <w:rFonts w:asciiTheme="minorHAnsi" w:hAnsiTheme="minorHAnsi" w:cs="Arial"/>
                <w:sz w:val="22"/>
                <w:szCs w:val="22"/>
                <w:shd w:val="clear" w:color="auto" w:fill="FFFFFF"/>
              </w:rPr>
              <w:t xml:space="preserve">its operationalization as well as to </w:t>
            </w:r>
            <w:r w:rsidRPr="00366CF6">
              <w:rPr>
                <w:rFonts w:asciiTheme="minorHAnsi" w:hAnsiTheme="minorHAnsi" w:cs="Arial"/>
                <w:sz w:val="22"/>
                <w:szCs w:val="22"/>
                <w:shd w:val="clear" w:color="auto" w:fill="FFFFFF"/>
              </w:rPr>
              <w:t>the implementation of the Universal Periodic Review recommendations.</w:t>
            </w:r>
            <w:r w:rsidRPr="00366CF6">
              <w:rPr>
                <w:rStyle w:val="apple-converted-space"/>
                <w:rFonts w:asciiTheme="minorHAnsi" w:hAnsiTheme="minorHAnsi" w:cs="Arial"/>
                <w:sz w:val="22"/>
                <w:szCs w:val="22"/>
                <w:shd w:val="clear" w:color="auto" w:fill="FFFFFF"/>
              </w:rPr>
              <w:t> </w:t>
            </w:r>
            <w:r w:rsidR="00EC34A3">
              <w:rPr>
                <w:rStyle w:val="apple-converted-space"/>
                <w:rFonts w:asciiTheme="minorHAnsi" w:hAnsiTheme="minorHAnsi" w:cs="Arial"/>
                <w:sz w:val="22"/>
                <w:szCs w:val="22"/>
                <w:shd w:val="clear" w:color="auto" w:fill="FFFFFF"/>
              </w:rPr>
              <w:t>As a result, t</w:t>
            </w:r>
            <w:r w:rsidR="00EC34A3" w:rsidRPr="00EC34A3">
              <w:rPr>
                <w:rStyle w:val="apple-converted-space"/>
                <w:rFonts w:asciiTheme="minorHAnsi" w:hAnsiTheme="minorHAnsi" w:cs="Arial"/>
                <w:sz w:val="22"/>
                <w:szCs w:val="22"/>
                <w:shd w:val="clear" w:color="auto" w:fill="FFFFFF"/>
              </w:rPr>
              <w:t>he National Universal Periodic Review report was produced and submitted in December 2015 to the Human Rights Council. UNDP played a crucial role by providing technical assistance to the Ministry of Justice in the drafting process as well as supporting the consultation process in all provinces ensuring all relevant stakeholders (Government and CSOs) were involved</w:t>
            </w:r>
            <w:r w:rsidR="00F75C9E">
              <w:rPr>
                <w:rStyle w:val="apple-converted-space"/>
                <w:rFonts w:asciiTheme="minorHAnsi" w:hAnsiTheme="minorHAnsi" w:cs="Arial"/>
                <w:sz w:val="22"/>
                <w:szCs w:val="22"/>
                <w:shd w:val="clear" w:color="auto" w:fill="FFFFFF"/>
              </w:rPr>
              <w:t>.</w:t>
            </w:r>
          </w:p>
        </w:tc>
      </w:tr>
      <w:tr w:rsidR="00D464F1" w:rsidRPr="00AB430F" w14:paraId="3050E20B" w14:textId="77777777" w:rsidTr="00BC65CB">
        <w:tc>
          <w:tcPr>
            <w:tcW w:w="3060" w:type="dxa"/>
            <w:shd w:val="clear" w:color="auto" w:fill="95B3D7" w:themeFill="accent1" w:themeFillTint="99"/>
          </w:tcPr>
          <w:p w14:paraId="17625E3E" w14:textId="77777777" w:rsidR="00D464F1" w:rsidRPr="00AB430F" w:rsidRDefault="00D464F1" w:rsidP="00D464F1">
            <w:pPr>
              <w:pStyle w:val="BodyText2"/>
              <w:rPr>
                <w:rFonts w:asciiTheme="minorHAnsi" w:hAnsiTheme="minorHAnsi"/>
                <w:b/>
              </w:rPr>
            </w:pPr>
            <w:r w:rsidRPr="00AB430F">
              <w:rPr>
                <w:rFonts w:asciiTheme="minorHAnsi" w:hAnsiTheme="minorHAnsi"/>
                <w:b/>
              </w:rPr>
              <w:lastRenderedPageBreak/>
              <w:t xml:space="preserve">5. </w:t>
            </w:r>
            <w:r w:rsidRPr="00AB430F">
              <w:rPr>
                <w:rFonts w:asciiTheme="minorHAnsi" w:hAnsiTheme="minorHAnsi"/>
              </w:rPr>
              <w:t xml:space="preserve">People in Mozambique participate in shaping and monitoring a transparent and equitable national development agenda </w:t>
            </w:r>
          </w:p>
        </w:tc>
        <w:tc>
          <w:tcPr>
            <w:tcW w:w="1530" w:type="dxa"/>
            <w:gridSpan w:val="2"/>
            <w:shd w:val="clear" w:color="auto" w:fill="auto"/>
          </w:tcPr>
          <w:p w14:paraId="49BA9B0B" w14:textId="77777777" w:rsidR="004709C4" w:rsidRDefault="004709C4" w:rsidP="004709C4">
            <w:pPr>
              <w:widowControl/>
              <w:rPr>
                <w:rFonts w:ascii="Calibri" w:hAnsi="Calibri"/>
                <w:color w:val="000000"/>
                <w:sz w:val="22"/>
                <w:szCs w:val="22"/>
              </w:rPr>
            </w:pPr>
          </w:p>
          <w:p w14:paraId="1F7E7FEB" w14:textId="649BD801" w:rsidR="004709C4" w:rsidRDefault="004709C4" w:rsidP="004709C4">
            <w:pPr>
              <w:widowControl/>
              <w:rPr>
                <w:rFonts w:ascii="Calibri" w:hAnsi="Calibri"/>
                <w:color w:val="000000"/>
                <w:sz w:val="22"/>
                <w:szCs w:val="22"/>
              </w:rPr>
            </w:pPr>
            <w:r>
              <w:rPr>
                <w:rFonts w:ascii="Calibri" w:hAnsi="Calibri"/>
                <w:color w:val="000000"/>
                <w:sz w:val="22"/>
                <w:szCs w:val="22"/>
              </w:rPr>
              <w:t>1,726,198</w:t>
            </w:r>
          </w:p>
          <w:p w14:paraId="33C62619" w14:textId="52FE19AF" w:rsidR="004709C4" w:rsidRPr="00AB430F" w:rsidRDefault="004709C4" w:rsidP="004709C4">
            <w:pPr>
              <w:widowControl/>
              <w:rPr>
                <w:rFonts w:asciiTheme="minorHAnsi" w:hAnsiTheme="minorHAnsi"/>
              </w:rPr>
            </w:pPr>
            <w:r w:rsidRPr="00AB430F">
              <w:rPr>
                <w:rFonts w:asciiTheme="minorHAnsi" w:hAnsiTheme="minorHAnsi"/>
              </w:rPr>
              <w:t xml:space="preserve"> </w:t>
            </w:r>
          </w:p>
        </w:tc>
        <w:tc>
          <w:tcPr>
            <w:tcW w:w="3960" w:type="dxa"/>
            <w:tcBorders>
              <w:left w:val="single" w:sz="4" w:space="0" w:color="auto"/>
            </w:tcBorders>
          </w:tcPr>
          <w:p w14:paraId="53B0620D" w14:textId="77777777" w:rsidR="003C3615" w:rsidRPr="00AB430F" w:rsidRDefault="00D464F1" w:rsidP="00AB430F">
            <w:pPr>
              <w:pStyle w:val="BodyText2"/>
              <w:numPr>
                <w:ilvl w:val="0"/>
                <w:numId w:val="24"/>
              </w:numPr>
              <w:ind w:left="342" w:hanging="270"/>
              <w:rPr>
                <w:rFonts w:asciiTheme="minorHAnsi" w:hAnsiTheme="minorHAnsi"/>
                <w:i/>
              </w:rPr>
            </w:pPr>
            <w:r w:rsidRPr="00AB430F">
              <w:rPr>
                <w:rFonts w:asciiTheme="minorHAnsi" w:hAnsiTheme="minorHAnsi"/>
                <w:i/>
              </w:rPr>
              <w:t xml:space="preserve"># of local councils as per established standards; </w:t>
            </w:r>
          </w:p>
          <w:p w14:paraId="30AE65D0" w14:textId="77777777" w:rsidR="003C3615" w:rsidRPr="00AB430F" w:rsidRDefault="00D464F1" w:rsidP="00AB430F">
            <w:pPr>
              <w:pStyle w:val="BodyText2"/>
              <w:numPr>
                <w:ilvl w:val="0"/>
                <w:numId w:val="24"/>
              </w:numPr>
              <w:ind w:left="342" w:hanging="270"/>
              <w:rPr>
                <w:rFonts w:asciiTheme="minorHAnsi" w:hAnsiTheme="minorHAnsi"/>
                <w:i/>
              </w:rPr>
            </w:pPr>
            <w:r w:rsidRPr="00AB430F">
              <w:rPr>
                <w:rFonts w:asciiTheme="minorHAnsi" w:hAnsiTheme="minorHAnsi"/>
                <w:i/>
              </w:rPr>
              <w:t xml:space="preserve"># </w:t>
            </w:r>
            <w:r w:rsidR="00EF4321">
              <w:rPr>
                <w:rFonts w:asciiTheme="minorHAnsi" w:hAnsiTheme="minorHAnsi"/>
                <w:i/>
              </w:rPr>
              <w:t>of development observatories (DO</w:t>
            </w:r>
            <w:r w:rsidRPr="00AB430F">
              <w:rPr>
                <w:rFonts w:asciiTheme="minorHAnsi" w:hAnsiTheme="minorHAnsi"/>
                <w:i/>
              </w:rPr>
              <w:t xml:space="preserve">s) with CSO unified statement; </w:t>
            </w:r>
          </w:p>
          <w:p w14:paraId="2D84B547" w14:textId="77777777" w:rsidR="003C3615" w:rsidRPr="00AB430F" w:rsidRDefault="00D464F1" w:rsidP="00AB430F">
            <w:pPr>
              <w:pStyle w:val="BodyText2"/>
              <w:numPr>
                <w:ilvl w:val="0"/>
                <w:numId w:val="24"/>
              </w:numPr>
              <w:ind w:left="342" w:hanging="270"/>
              <w:rPr>
                <w:rFonts w:asciiTheme="minorHAnsi" w:hAnsiTheme="minorHAnsi"/>
                <w:i/>
              </w:rPr>
            </w:pPr>
            <w:r w:rsidRPr="00AB430F">
              <w:rPr>
                <w:rFonts w:asciiTheme="minorHAnsi" w:hAnsiTheme="minorHAnsi"/>
                <w:i/>
              </w:rPr>
              <w:t xml:space="preserve">% of laws with civil society participation; </w:t>
            </w:r>
          </w:p>
          <w:p w14:paraId="572B4107" w14:textId="77777777" w:rsidR="003C3615" w:rsidRPr="00AB430F" w:rsidRDefault="00D464F1" w:rsidP="00AB430F">
            <w:pPr>
              <w:pStyle w:val="BodyText2"/>
              <w:numPr>
                <w:ilvl w:val="0"/>
                <w:numId w:val="24"/>
              </w:numPr>
              <w:ind w:left="342" w:hanging="270"/>
              <w:rPr>
                <w:rFonts w:asciiTheme="minorHAnsi" w:hAnsiTheme="minorHAnsi"/>
                <w:i/>
              </w:rPr>
            </w:pPr>
            <w:r w:rsidRPr="00AB430F">
              <w:rPr>
                <w:rFonts w:asciiTheme="minorHAnsi" w:hAnsiTheme="minorHAnsi"/>
                <w:i/>
              </w:rPr>
              <w:lastRenderedPageBreak/>
              <w:t xml:space="preserve">Fight against corruption strengthened through justice sector; </w:t>
            </w:r>
          </w:p>
          <w:p w14:paraId="316A9A63" w14:textId="77777777" w:rsidR="00D464F1" w:rsidRPr="00AB430F" w:rsidRDefault="00D464F1" w:rsidP="00AB430F">
            <w:pPr>
              <w:pStyle w:val="BodyText2"/>
              <w:numPr>
                <w:ilvl w:val="0"/>
                <w:numId w:val="24"/>
              </w:numPr>
              <w:ind w:left="342" w:hanging="270"/>
              <w:rPr>
                <w:rFonts w:asciiTheme="minorHAnsi" w:hAnsiTheme="minorHAnsi"/>
                <w:i/>
              </w:rPr>
            </w:pPr>
            <w:r w:rsidRPr="00AB430F">
              <w:rPr>
                <w:rFonts w:asciiTheme="minorHAnsi" w:hAnsiTheme="minorHAnsi"/>
                <w:i/>
              </w:rPr>
              <w:t>% of women in political and government positions.</w:t>
            </w:r>
          </w:p>
        </w:tc>
        <w:tc>
          <w:tcPr>
            <w:tcW w:w="5490" w:type="dxa"/>
            <w:shd w:val="clear" w:color="auto" w:fill="auto"/>
          </w:tcPr>
          <w:p w14:paraId="61B19092" w14:textId="718B9A71" w:rsidR="00D464F1" w:rsidRPr="00AB430F" w:rsidRDefault="00E471F8" w:rsidP="00AB430F">
            <w:pPr>
              <w:pStyle w:val="BodyText2"/>
              <w:numPr>
                <w:ilvl w:val="0"/>
                <w:numId w:val="25"/>
              </w:numPr>
              <w:ind w:left="432" w:hanging="432"/>
              <w:rPr>
                <w:rFonts w:asciiTheme="minorHAnsi" w:hAnsiTheme="minorHAnsi"/>
                <w:i/>
              </w:rPr>
            </w:pPr>
            <w:r>
              <w:rPr>
                <w:rFonts w:asciiTheme="minorHAnsi" w:hAnsiTheme="minorHAnsi"/>
                <w:i/>
              </w:rPr>
              <w:lastRenderedPageBreak/>
              <w:t xml:space="preserve">In </w:t>
            </w:r>
            <w:r w:rsidR="003C3615" w:rsidRPr="00AB430F">
              <w:rPr>
                <w:rFonts w:asciiTheme="minorHAnsi" w:hAnsiTheme="minorHAnsi"/>
                <w:i/>
              </w:rPr>
              <w:t xml:space="preserve">2010 </w:t>
            </w:r>
            <w:r>
              <w:rPr>
                <w:rFonts w:asciiTheme="minorHAnsi" w:hAnsiTheme="minorHAnsi"/>
                <w:i/>
              </w:rPr>
              <w:t xml:space="preserve">the </w:t>
            </w:r>
            <w:r w:rsidR="003C3615" w:rsidRPr="00AB430F">
              <w:rPr>
                <w:rFonts w:asciiTheme="minorHAnsi" w:hAnsiTheme="minorHAnsi"/>
                <w:i/>
              </w:rPr>
              <w:t xml:space="preserve">baseline </w:t>
            </w:r>
            <w:r>
              <w:rPr>
                <w:rFonts w:asciiTheme="minorHAnsi" w:hAnsiTheme="minorHAnsi"/>
                <w:i/>
              </w:rPr>
              <w:t>was 7 districts, by</w:t>
            </w:r>
            <w:r w:rsidR="003C3615" w:rsidRPr="00AB430F">
              <w:rPr>
                <w:rFonts w:asciiTheme="minorHAnsi" w:hAnsiTheme="minorHAnsi"/>
                <w:i/>
              </w:rPr>
              <w:t xml:space="preserve"> 201</w:t>
            </w:r>
            <w:r w:rsidR="00535566">
              <w:rPr>
                <w:rFonts w:asciiTheme="minorHAnsi" w:hAnsiTheme="minorHAnsi"/>
                <w:i/>
              </w:rPr>
              <w:t>5</w:t>
            </w:r>
            <w:r w:rsidR="003C3615" w:rsidRPr="00AB430F">
              <w:rPr>
                <w:rFonts w:asciiTheme="minorHAnsi" w:hAnsiTheme="minorHAnsi"/>
                <w:i/>
              </w:rPr>
              <w:t xml:space="preserve"> </w:t>
            </w:r>
            <w:r>
              <w:rPr>
                <w:rFonts w:asciiTheme="minorHAnsi" w:hAnsiTheme="minorHAnsi"/>
                <w:i/>
              </w:rPr>
              <w:t xml:space="preserve">a </w:t>
            </w:r>
            <w:r w:rsidR="003C3615" w:rsidRPr="00AB430F">
              <w:rPr>
                <w:rFonts w:asciiTheme="minorHAnsi" w:hAnsiTheme="minorHAnsi"/>
                <w:i/>
              </w:rPr>
              <w:t>significant progress</w:t>
            </w:r>
            <w:r>
              <w:rPr>
                <w:rFonts w:asciiTheme="minorHAnsi" w:hAnsiTheme="minorHAnsi"/>
                <w:i/>
              </w:rPr>
              <w:t xml:space="preserve"> was made with </w:t>
            </w:r>
            <w:r w:rsidR="003C3615" w:rsidRPr="00AB430F">
              <w:rPr>
                <w:rFonts w:asciiTheme="minorHAnsi" w:hAnsiTheme="minorHAnsi"/>
                <w:i/>
              </w:rPr>
              <w:t xml:space="preserve"># of districts </w:t>
            </w:r>
            <w:r>
              <w:rPr>
                <w:rFonts w:asciiTheme="minorHAnsi" w:hAnsiTheme="minorHAnsi"/>
                <w:i/>
              </w:rPr>
              <w:t>being</w:t>
            </w:r>
            <w:r w:rsidR="003C3615" w:rsidRPr="00AB430F">
              <w:rPr>
                <w:rFonts w:asciiTheme="minorHAnsi" w:hAnsiTheme="minorHAnsi"/>
                <w:i/>
              </w:rPr>
              <w:t xml:space="preserve"> </w:t>
            </w:r>
            <w:r w:rsidR="00535566">
              <w:rPr>
                <w:rFonts w:asciiTheme="minorHAnsi" w:hAnsiTheme="minorHAnsi"/>
                <w:i/>
              </w:rPr>
              <w:t>43</w:t>
            </w:r>
            <w:r w:rsidR="003C3615" w:rsidRPr="00AB430F">
              <w:rPr>
                <w:rFonts w:asciiTheme="minorHAnsi" w:hAnsiTheme="minorHAnsi"/>
                <w:i/>
              </w:rPr>
              <w:t>.</w:t>
            </w:r>
          </w:p>
          <w:p w14:paraId="74040B40" w14:textId="654DB9CE" w:rsidR="003C3615" w:rsidRPr="00AB430F" w:rsidRDefault="00E471F8" w:rsidP="00AB430F">
            <w:pPr>
              <w:pStyle w:val="BodyText2"/>
              <w:numPr>
                <w:ilvl w:val="0"/>
                <w:numId w:val="25"/>
              </w:numPr>
              <w:ind w:left="432" w:hanging="432"/>
              <w:rPr>
                <w:rFonts w:asciiTheme="minorHAnsi" w:hAnsiTheme="minorHAnsi"/>
                <w:i/>
              </w:rPr>
            </w:pPr>
            <w:r>
              <w:rPr>
                <w:rFonts w:asciiTheme="minorHAnsi" w:hAnsiTheme="minorHAnsi"/>
                <w:i/>
              </w:rPr>
              <w:t xml:space="preserve">In </w:t>
            </w:r>
            <w:r w:rsidR="003C3615" w:rsidRPr="00AB430F">
              <w:rPr>
                <w:rFonts w:asciiTheme="minorHAnsi" w:hAnsiTheme="minorHAnsi"/>
                <w:i/>
              </w:rPr>
              <w:t xml:space="preserve">2009 </w:t>
            </w:r>
            <w:r>
              <w:rPr>
                <w:rFonts w:asciiTheme="minorHAnsi" w:hAnsiTheme="minorHAnsi"/>
                <w:i/>
              </w:rPr>
              <w:t xml:space="preserve">the </w:t>
            </w:r>
            <w:r w:rsidR="003C3615" w:rsidRPr="00AB430F">
              <w:rPr>
                <w:rFonts w:asciiTheme="minorHAnsi" w:hAnsiTheme="minorHAnsi"/>
                <w:i/>
              </w:rPr>
              <w:t xml:space="preserve">baseline </w:t>
            </w:r>
            <w:r>
              <w:rPr>
                <w:rFonts w:asciiTheme="minorHAnsi" w:hAnsiTheme="minorHAnsi"/>
                <w:i/>
              </w:rPr>
              <w:t>wa</w:t>
            </w:r>
            <w:r w:rsidR="003C3615" w:rsidRPr="00AB430F">
              <w:rPr>
                <w:rFonts w:asciiTheme="minorHAnsi" w:hAnsiTheme="minorHAnsi"/>
                <w:i/>
              </w:rPr>
              <w:t xml:space="preserve">s 1; </w:t>
            </w:r>
            <w:r>
              <w:rPr>
                <w:rFonts w:asciiTheme="minorHAnsi" w:hAnsiTheme="minorHAnsi"/>
                <w:i/>
              </w:rPr>
              <w:t xml:space="preserve">By </w:t>
            </w:r>
            <w:r w:rsidR="003C3615" w:rsidRPr="00AB430F">
              <w:rPr>
                <w:rFonts w:asciiTheme="minorHAnsi" w:hAnsiTheme="minorHAnsi"/>
                <w:i/>
              </w:rPr>
              <w:t>201</w:t>
            </w:r>
            <w:r w:rsidR="00535566">
              <w:rPr>
                <w:rFonts w:asciiTheme="minorHAnsi" w:hAnsiTheme="minorHAnsi"/>
                <w:i/>
              </w:rPr>
              <w:t>5</w:t>
            </w:r>
            <w:r w:rsidR="003C3615" w:rsidRPr="00AB430F">
              <w:rPr>
                <w:rFonts w:asciiTheme="minorHAnsi" w:hAnsiTheme="minorHAnsi"/>
                <w:i/>
              </w:rPr>
              <w:t xml:space="preserve"> </w:t>
            </w:r>
            <w:r>
              <w:rPr>
                <w:rFonts w:asciiTheme="minorHAnsi" w:hAnsiTheme="minorHAnsi"/>
                <w:i/>
              </w:rPr>
              <w:t xml:space="preserve">the </w:t>
            </w:r>
            <w:r w:rsidR="003C3615" w:rsidRPr="00AB430F">
              <w:rPr>
                <w:rFonts w:asciiTheme="minorHAnsi" w:hAnsiTheme="minorHAnsi"/>
                <w:i/>
              </w:rPr>
              <w:t xml:space="preserve">target of 11 </w:t>
            </w:r>
            <w:r>
              <w:rPr>
                <w:rFonts w:asciiTheme="minorHAnsi" w:hAnsiTheme="minorHAnsi"/>
                <w:i/>
              </w:rPr>
              <w:t xml:space="preserve">is </w:t>
            </w:r>
            <w:r w:rsidR="003C3615" w:rsidRPr="00AB430F">
              <w:rPr>
                <w:rFonts w:asciiTheme="minorHAnsi" w:hAnsiTheme="minorHAnsi"/>
                <w:i/>
              </w:rPr>
              <w:t xml:space="preserve">reached and surpassed, </w:t>
            </w:r>
            <w:r>
              <w:rPr>
                <w:rFonts w:asciiTheme="minorHAnsi" w:hAnsiTheme="minorHAnsi"/>
                <w:i/>
              </w:rPr>
              <w:t xml:space="preserve">In total </w:t>
            </w:r>
            <w:r w:rsidR="003C3615" w:rsidRPr="00AB430F">
              <w:rPr>
                <w:rFonts w:asciiTheme="minorHAnsi" w:hAnsiTheme="minorHAnsi"/>
                <w:i/>
              </w:rPr>
              <w:t>1</w:t>
            </w:r>
            <w:r w:rsidR="00535566">
              <w:rPr>
                <w:rFonts w:asciiTheme="minorHAnsi" w:hAnsiTheme="minorHAnsi"/>
                <w:i/>
              </w:rPr>
              <w:t>6</w:t>
            </w:r>
            <w:r w:rsidR="003C3615" w:rsidRPr="00AB430F">
              <w:rPr>
                <w:rFonts w:asciiTheme="minorHAnsi" w:hAnsiTheme="minorHAnsi"/>
                <w:i/>
              </w:rPr>
              <w:t xml:space="preserve"> D</w:t>
            </w:r>
            <w:r>
              <w:rPr>
                <w:rFonts w:asciiTheme="minorHAnsi" w:hAnsiTheme="minorHAnsi"/>
                <w:i/>
              </w:rPr>
              <w:t>O</w:t>
            </w:r>
            <w:r w:rsidR="003C3615" w:rsidRPr="00AB430F">
              <w:rPr>
                <w:rFonts w:asciiTheme="minorHAnsi" w:hAnsiTheme="minorHAnsi"/>
                <w:i/>
              </w:rPr>
              <w:t>s are established.</w:t>
            </w:r>
          </w:p>
          <w:p w14:paraId="5A308AC3" w14:textId="6FA815D2" w:rsidR="003C3615" w:rsidRPr="00AB430F" w:rsidRDefault="00E471F8" w:rsidP="00AB430F">
            <w:pPr>
              <w:pStyle w:val="BodyText2"/>
              <w:numPr>
                <w:ilvl w:val="0"/>
                <w:numId w:val="25"/>
              </w:numPr>
              <w:ind w:left="432" w:hanging="432"/>
              <w:rPr>
                <w:rFonts w:asciiTheme="minorHAnsi" w:hAnsiTheme="minorHAnsi"/>
                <w:i/>
              </w:rPr>
            </w:pPr>
            <w:r>
              <w:rPr>
                <w:rFonts w:asciiTheme="minorHAnsi" w:hAnsiTheme="minorHAnsi"/>
                <w:i/>
              </w:rPr>
              <w:t xml:space="preserve">In </w:t>
            </w:r>
            <w:r w:rsidR="003C3615" w:rsidRPr="00AB430F">
              <w:rPr>
                <w:rFonts w:asciiTheme="minorHAnsi" w:hAnsiTheme="minorHAnsi"/>
                <w:i/>
              </w:rPr>
              <w:t>201</w:t>
            </w:r>
            <w:r w:rsidR="00535566">
              <w:rPr>
                <w:rFonts w:asciiTheme="minorHAnsi" w:hAnsiTheme="minorHAnsi"/>
                <w:i/>
              </w:rPr>
              <w:t>5</w:t>
            </w:r>
            <w:r w:rsidR="003C3615" w:rsidRPr="00AB430F">
              <w:rPr>
                <w:rFonts w:asciiTheme="minorHAnsi" w:hAnsiTheme="minorHAnsi"/>
                <w:i/>
              </w:rPr>
              <w:t xml:space="preserve"> </w:t>
            </w:r>
            <w:r>
              <w:rPr>
                <w:rFonts w:asciiTheme="minorHAnsi" w:hAnsiTheme="minorHAnsi"/>
                <w:i/>
              </w:rPr>
              <w:t xml:space="preserve">this </w:t>
            </w:r>
            <w:r w:rsidR="003C3615" w:rsidRPr="00AB430F">
              <w:rPr>
                <w:rFonts w:asciiTheme="minorHAnsi" w:hAnsiTheme="minorHAnsi"/>
                <w:i/>
              </w:rPr>
              <w:t xml:space="preserve">indicator </w:t>
            </w:r>
            <w:r>
              <w:rPr>
                <w:rFonts w:asciiTheme="minorHAnsi" w:hAnsiTheme="minorHAnsi"/>
                <w:i/>
              </w:rPr>
              <w:t xml:space="preserve">was </w:t>
            </w:r>
            <w:r w:rsidR="003C3615" w:rsidRPr="00AB430F">
              <w:rPr>
                <w:rFonts w:asciiTheme="minorHAnsi" w:hAnsiTheme="minorHAnsi"/>
                <w:i/>
              </w:rPr>
              <w:t>not measurable</w:t>
            </w:r>
          </w:p>
          <w:p w14:paraId="13484611" w14:textId="77777777" w:rsidR="003C3615" w:rsidRPr="00AB430F" w:rsidRDefault="00E471F8" w:rsidP="00AB430F">
            <w:pPr>
              <w:pStyle w:val="BodyText2"/>
              <w:numPr>
                <w:ilvl w:val="0"/>
                <w:numId w:val="25"/>
              </w:numPr>
              <w:ind w:left="432" w:hanging="432"/>
              <w:rPr>
                <w:rFonts w:asciiTheme="minorHAnsi" w:hAnsiTheme="minorHAnsi"/>
                <w:i/>
              </w:rPr>
            </w:pPr>
            <w:r>
              <w:rPr>
                <w:rFonts w:asciiTheme="minorHAnsi" w:hAnsiTheme="minorHAnsi"/>
                <w:i/>
              </w:rPr>
              <w:lastRenderedPageBreak/>
              <w:t xml:space="preserve">In </w:t>
            </w:r>
            <w:r w:rsidR="003C3615" w:rsidRPr="00AB430F">
              <w:rPr>
                <w:rFonts w:asciiTheme="minorHAnsi" w:hAnsiTheme="minorHAnsi"/>
                <w:i/>
              </w:rPr>
              <w:t xml:space="preserve">2009 </w:t>
            </w:r>
            <w:r>
              <w:rPr>
                <w:rFonts w:asciiTheme="minorHAnsi" w:hAnsiTheme="minorHAnsi"/>
                <w:i/>
              </w:rPr>
              <w:t xml:space="preserve">the </w:t>
            </w:r>
            <w:r w:rsidR="003C3615" w:rsidRPr="00AB430F">
              <w:rPr>
                <w:rFonts w:asciiTheme="minorHAnsi" w:hAnsiTheme="minorHAnsi"/>
                <w:i/>
              </w:rPr>
              <w:t xml:space="preserve">baseline </w:t>
            </w:r>
            <w:r>
              <w:rPr>
                <w:rFonts w:asciiTheme="minorHAnsi" w:hAnsiTheme="minorHAnsi"/>
                <w:i/>
              </w:rPr>
              <w:t>was</w:t>
            </w:r>
            <w:r w:rsidR="003C3615" w:rsidRPr="00AB430F">
              <w:rPr>
                <w:rFonts w:asciiTheme="minorHAnsi" w:hAnsiTheme="minorHAnsi"/>
                <w:i/>
              </w:rPr>
              <w:t xml:space="preserve"> proceedings instituted 623, charged 178, abstained/</w:t>
            </w:r>
            <w:r w:rsidRPr="00AB430F">
              <w:rPr>
                <w:rFonts w:asciiTheme="minorHAnsi" w:hAnsiTheme="minorHAnsi"/>
                <w:i/>
              </w:rPr>
              <w:t>achieved</w:t>
            </w:r>
            <w:r w:rsidR="003C3615" w:rsidRPr="00AB430F">
              <w:rPr>
                <w:rFonts w:asciiTheme="minorHAnsi" w:hAnsiTheme="minorHAnsi"/>
                <w:i/>
              </w:rPr>
              <w:t xml:space="preserve"> 102, </w:t>
            </w:r>
            <w:r w:rsidRPr="00AB430F">
              <w:rPr>
                <w:rFonts w:asciiTheme="minorHAnsi" w:hAnsiTheme="minorHAnsi"/>
                <w:i/>
              </w:rPr>
              <w:t>and tried</w:t>
            </w:r>
            <w:r w:rsidR="003C3615" w:rsidRPr="00AB430F">
              <w:rPr>
                <w:rFonts w:asciiTheme="minorHAnsi" w:hAnsiTheme="minorHAnsi"/>
                <w:i/>
              </w:rPr>
              <w:t xml:space="preserve"> 43. </w:t>
            </w:r>
            <w:r>
              <w:rPr>
                <w:rFonts w:asciiTheme="minorHAnsi" w:hAnsiTheme="minorHAnsi"/>
                <w:i/>
              </w:rPr>
              <w:t xml:space="preserve">In </w:t>
            </w:r>
            <w:r w:rsidR="003C3615" w:rsidRPr="00AB430F">
              <w:rPr>
                <w:rFonts w:asciiTheme="minorHAnsi" w:hAnsiTheme="minorHAnsi"/>
                <w:i/>
              </w:rPr>
              <w:t xml:space="preserve">2014 target </w:t>
            </w:r>
            <w:r>
              <w:rPr>
                <w:rFonts w:asciiTheme="minorHAnsi" w:hAnsiTheme="minorHAnsi"/>
                <w:i/>
              </w:rPr>
              <w:t xml:space="preserve">will be </w:t>
            </w:r>
            <w:r w:rsidR="003C3615" w:rsidRPr="00AB430F">
              <w:rPr>
                <w:rFonts w:asciiTheme="minorHAnsi" w:hAnsiTheme="minorHAnsi"/>
                <w:i/>
              </w:rPr>
              <w:t xml:space="preserve">PARP target once finalized. No data available, the collection of information is </w:t>
            </w:r>
            <w:r w:rsidRPr="00AB430F">
              <w:rPr>
                <w:rFonts w:asciiTheme="minorHAnsi" w:hAnsiTheme="minorHAnsi"/>
                <w:i/>
              </w:rPr>
              <w:t>sti</w:t>
            </w:r>
            <w:r>
              <w:rPr>
                <w:rFonts w:asciiTheme="minorHAnsi" w:hAnsiTheme="minorHAnsi"/>
                <w:i/>
              </w:rPr>
              <w:t>ll</w:t>
            </w:r>
            <w:r w:rsidR="003C3615" w:rsidRPr="00AB430F">
              <w:rPr>
                <w:rFonts w:asciiTheme="minorHAnsi" w:hAnsiTheme="minorHAnsi"/>
                <w:i/>
              </w:rPr>
              <w:t xml:space="preserve"> ongoing. Data </w:t>
            </w:r>
            <w:r>
              <w:rPr>
                <w:rFonts w:asciiTheme="minorHAnsi" w:hAnsiTheme="minorHAnsi"/>
                <w:i/>
              </w:rPr>
              <w:t xml:space="preserve">available only </w:t>
            </w:r>
            <w:r w:rsidR="003C3615" w:rsidRPr="00AB430F">
              <w:rPr>
                <w:rFonts w:asciiTheme="minorHAnsi" w:hAnsiTheme="minorHAnsi"/>
                <w:i/>
              </w:rPr>
              <w:t>from 2009.</w:t>
            </w:r>
          </w:p>
          <w:p w14:paraId="56B4AAE1" w14:textId="2E08BAE7" w:rsidR="003C3615" w:rsidRPr="00AB430F" w:rsidRDefault="00E471F8" w:rsidP="00AB430F">
            <w:pPr>
              <w:pStyle w:val="BodyText2"/>
              <w:numPr>
                <w:ilvl w:val="0"/>
                <w:numId w:val="25"/>
              </w:numPr>
              <w:ind w:left="432" w:hanging="432"/>
              <w:rPr>
                <w:rFonts w:asciiTheme="minorHAnsi" w:hAnsiTheme="minorHAnsi"/>
                <w:i/>
              </w:rPr>
            </w:pPr>
            <w:r>
              <w:rPr>
                <w:rFonts w:asciiTheme="minorHAnsi" w:hAnsiTheme="minorHAnsi"/>
                <w:i/>
              </w:rPr>
              <w:t xml:space="preserve">In </w:t>
            </w:r>
            <w:r w:rsidR="003C3615" w:rsidRPr="00AB430F">
              <w:rPr>
                <w:rFonts w:asciiTheme="minorHAnsi" w:hAnsiTheme="minorHAnsi"/>
                <w:i/>
              </w:rPr>
              <w:t xml:space="preserve">2010 </w:t>
            </w:r>
            <w:r>
              <w:rPr>
                <w:rFonts w:asciiTheme="minorHAnsi" w:hAnsiTheme="minorHAnsi"/>
                <w:i/>
              </w:rPr>
              <w:t>the baseline was</w:t>
            </w:r>
            <w:r w:rsidR="003C3615" w:rsidRPr="00AB430F">
              <w:rPr>
                <w:rFonts w:asciiTheme="minorHAnsi" w:hAnsiTheme="minorHAnsi"/>
                <w:i/>
              </w:rPr>
              <w:t>: parliament 3</w:t>
            </w:r>
            <w:r w:rsidR="00CC4649">
              <w:rPr>
                <w:rFonts w:asciiTheme="minorHAnsi" w:hAnsiTheme="minorHAnsi"/>
                <w:i/>
              </w:rPr>
              <w:t>9</w:t>
            </w:r>
            <w:r w:rsidR="003C3615" w:rsidRPr="00AB430F">
              <w:rPr>
                <w:rFonts w:asciiTheme="minorHAnsi" w:hAnsiTheme="minorHAnsi"/>
                <w:i/>
              </w:rPr>
              <w:t xml:space="preserve">.2%; ministers 28.5%, deputy ministers 19%; governors 27.2%, ministerial PS 24%; provincial PS 45.5%, </w:t>
            </w:r>
            <w:r w:rsidRPr="00AB430F">
              <w:rPr>
                <w:rFonts w:asciiTheme="minorHAnsi" w:hAnsiTheme="minorHAnsi"/>
                <w:i/>
              </w:rPr>
              <w:t>districts</w:t>
            </w:r>
            <w:r w:rsidR="003C3615" w:rsidRPr="00AB430F">
              <w:rPr>
                <w:rFonts w:asciiTheme="minorHAnsi" w:hAnsiTheme="minorHAnsi"/>
                <w:i/>
              </w:rPr>
              <w:t xml:space="preserve"> </w:t>
            </w:r>
            <w:r w:rsidRPr="00AB430F">
              <w:rPr>
                <w:rFonts w:asciiTheme="minorHAnsi" w:hAnsiTheme="minorHAnsi"/>
                <w:i/>
              </w:rPr>
              <w:t>administrators</w:t>
            </w:r>
            <w:r w:rsidR="003C3615" w:rsidRPr="00AB430F">
              <w:rPr>
                <w:rFonts w:asciiTheme="minorHAnsi" w:hAnsiTheme="minorHAnsi"/>
                <w:i/>
              </w:rPr>
              <w:t xml:space="preserve"> 20.3%, heads of administrative posts 11%, provincial directors 20.7%; </w:t>
            </w:r>
            <w:r>
              <w:rPr>
                <w:rFonts w:asciiTheme="minorHAnsi" w:hAnsiTheme="minorHAnsi"/>
                <w:i/>
              </w:rPr>
              <w:t>In 201</w:t>
            </w:r>
            <w:r w:rsidR="00535566">
              <w:rPr>
                <w:rFonts w:asciiTheme="minorHAnsi" w:hAnsiTheme="minorHAnsi"/>
                <w:i/>
              </w:rPr>
              <w:t>5</w:t>
            </w:r>
            <w:r>
              <w:rPr>
                <w:rFonts w:asciiTheme="minorHAnsi" w:hAnsiTheme="minorHAnsi"/>
                <w:i/>
              </w:rPr>
              <w:t xml:space="preserve">, </w:t>
            </w:r>
            <w:r w:rsidR="00CC4649">
              <w:rPr>
                <w:rFonts w:asciiTheme="minorHAnsi" w:hAnsiTheme="minorHAnsi"/>
                <w:i/>
              </w:rPr>
              <w:t xml:space="preserve">the data are as follow: </w:t>
            </w:r>
            <w:r w:rsidR="00CC4649" w:rsidRPr="00AB430F">
              <w:rPr>
                <w:rFonts w:asciiTheme="minorHAnsi" w:hAnsiTheme="minorHAnsi"/>
                <w:i/>
              </w:rPr>
              <w:t>parliament 3</w:t>
            </w:r>
            <w:r w:rsidR="00CC4649">
              <w:rPr>
                <w:rFonts w:asciiTheme="minorHAnsi" w:hAnsiTheme="minorHAnsi"/>
                <w:i/>
              </w:rPr>
              <w:t>2.4</w:t>
            </w:r>
            <w:r w:rsidR="00CC4649" w:rsidRPr="00AB430F">
              <w:rPr>
                <w:rFonts w:asciiTheme="minorHAnsi" w:hAnsiTheme="minorHAnsi"/>
                <w:i/>
              </w:rPr>
              <w:t xml:space="preserve">%; ministers </w:t>
            </w:r>
            <w:r w:rsidR="00CC4649">
              <w:rPr>
                <w:rFonts w:asciiTheme="minorHAnsi" w:hAnsiTheme="minorHAnsi"/>
                <w:i/>
              </w:rPr>
              <w:t>22.7</w:t>
            </w:r>
            <w:r w:rsidR="00CC4649" w:rsidRPr="00AB430F">
              <w:rPr>
                <w:rFonts w:asciiTheme="minorHAnsi" w:hAnsiTheme="minorHAnsi"/>
                <w:i/>
              </w:rPr>
              <w:t xml:space="preserve">%, deputy ministers </w:t>
            </w:r>
            <w:r w:rsidR="00F95C2A">
              <w:rPr>
                <w:rFonts w:asciiTheme="minorHAnsi" w:hAnsiTheme="minorHAnsi"/>
                <w:i/>
              </w:rPr>
              <w:t>44</w:t>
            </w:r>
            <w:r w:rsidR="00CC4649" w:rsidRPr="00AB430F">
              <w:rPr>
                <w:rFonts w:asciiTheme="minorHAnsi" w:hAnsiTheme="minorHAnsi"/>
                <w:i/>
              </w:rPr>
              <w:t xml:space="preserve">%; governors </w:t>
            </w:r>
            <w:r w:rsidR="00F95C2A">
              <w:rPr>
                <w:rFonts w:asciiTheme="minorHAnsi" w:hAnsiTheme="minorHAnsi"/>
                <w:i/>
              </w:rPr>
              <w:t>36</w:t>
            </w:r>
            <w:r w:rsidR="00CC4649" w:rsidRPr="00AB430F">
              <w:rPr>
                <w:rFonts w:asciiTheme="minorHAnsi" w:hAnsiTheme="minorHAnsi"/>
                <w:i/>
              </w:rPr>
              <w:t xml:space="preserve">%, ministerial PS </w:t>
            </w:r>
            <w:r w:rsidR="00F95C2A">
              <w:rPr>
                <w:rFonts w:asciiTheme="minorHAnsi" w:hAnsiTheme="minorHAnsi"/>
                <w:i/>
              </w:rPr>
              <w:t>30</w:t>
            </w:r>
            <w:r w:rsidR="00CC4649" w:rsidRPr="00AB430F">
              <w:rPr>
                <w:rFonts w:asciiTheme="minorHAnsi" w:hAnsiTheme="minorHAnsi"/>
                <w:i/>
              </w:rPr>
              <w:t>%; provincial PS 45.</w:t>
            </w:r>
            <w:r w:rsidR="00F95C2A">
              <w:rPr>
                <w:rFonts w:asciiTheme="minorHAnsi" w:hAnsiTheme="minorHAnsi"/>
                <w:i/>
              </w:rPr>
              <w:t>4</w:t>
            </w:r>
            <w:r w:rsidR="00CC4649" w:rsidRPr="00AB430F">
              <w:rPr>
                <w:rFonts w:asciiTheme="minorHAnsi" w:hAnsiTheme="minorHAnsi"/>
                <w:i/>
              </w:rPr>
              <w:t xml:space="preserve">%, districts administrators </w:t>
            </w:r>
            <w:r w:rsidR="00F95C2A">
              <w:rPr>
                <w:rFonts w:asciiTheme="minorHAnsi" w:hAnsiTheme="minorHAnsi"/>
                <w:i/>
              </w:rPr>
              <w:t>26.5</w:t>
            </w:r>
            <w:r w:rsidR="00CC4649" w:rsidRPr="00AB430F">
              <w:rPr>
                <w:rFonts w:asciiTheme="minorHAnsi" w:hAnsiTheme="minorHAnsi"/>
                <w:i/>
              </w:rPr>
              <w:t>%, heads of administrative posts 1</w:t>
            </w:r>
            <w:r w:rsidR="00F95C2A">
              <w:rPr>
                <w:rFonts w:asciiTheme="minorHAnsi" w:hAnsiTheme="minorHAnsi"/>
                <w:i/>
              </w:rPr>
              <w:t>7</w:t>
            </w:r>
            <w:r w:rsidR="00CC4649" w:rsidRPr="00AB430F">
              <w:rPr>
                <w:rFonts w:asciiTheme="minorHAnsi" w:hAnsiTheme="minorHAnsi"/>
                <w:i/>
              </w:rPr>
              <w:t xml:space="preserve">%, provincial directors </w:t>
            </w:r>
            <w:r w:rsidR="00471DA4">
              <w:rPr>
                <w:rFonts w:asciiTheme="minorHAnsi" w:hAnsiTheme="minorHAnsi"/>
                <w:i/>
              </w:rPr>
              <w:t>17.5</w:t>
            </w:r>
            <w:r w:rsidR="00CC4649" w:rsidRPr="00AB430F">
              <w:rPr>
                <w:rFonts w:asciiTheme="minorHAnsi" w:hAnsiTheme="minorHAnsi"/>
                <w:i/>
              </w:rPr>
              <w:t>%</w:t>
            </w:r>
          </w:p>
          <w:p w14:paraId="6C0C561F" w14:textId="77777777" w:rsidR="003C3615" w:rsidRPr="00AB430F" w:rsidRDefault="003C3615" w:rsidP="003C3615">
            <w:pPr>
              <w:pStyle w:val="BodyText2"/>
              <w:rPr>
                <w:rFonts w:asciiTheme="minorHAnsi" w:hAnsiTheme="minorHAnsi"/>
                <w:i/>
              </w:rPr>
            </w:pPr>
          </w:p>
        </w:tc>
      </w:tr>
      <w:tr w:rsidR="00D464F1" w:rsidRPr="00AB430F" w14:paraId="38BF7BC9" w14:textId="77777777" w:rsidTr="00BC65CB">
        <w:tc>
          <w:tcPr>
            <w:tcW w:w="14040" w:type="dxa"/>
            <w:gridSpan w:val="5"/>
          </w:tcPr>
          <w:p w14:paraId="29FC805C" w14:textId="77777777" w:rsidR="00D464F1" w:rsidRPr="00366CF6" w:rsidRDefault="00D464F1" w:rsidP="00EA7AB0">
            <w:pPr>
              <w:pStyle w:val="BodyText2"/>
              <w:spacing w:before="120" w:after="120"/>
              <w:jc w:val="both"/>
              <w:rPr>
                <w:rFonts w:asciiTheme="minorHAnsi" w:hAnsiTheme="minorHAnsi"/>
                <w:b/>
                <w:sz w:val="22"/>
                <w:szCs w:val="22"/>
              </w:rPr>
            </w:pPr>
            <w:r w:rsidRPr="00366CF6">
              <w:rPr>
                <w:rFonts w:asciiTheme="minorHAnsi" w:hAnsiTheme="minorHAnsi"/>
                <w:b/>
                <w:sz w:val="22"/>
                <w:szCs w:val="22"/>
              </w:rPr>
              <w:lastRenderedPageBreak/>
              <w:t>UNDP Contribution:</w:t>
            </w:r>
          </w:p>
          <w:p w14:paraId="56D52462" w14:textId="77777777" w:rsidR="00D464F1" w:rsidRPr="00366CF6" w:rsidRDefault="00D464F1" w:rsidP="00EA7AB0">
            <w:pPr>
              <w:pStyle w:val="BodyText2"/>
              <w:spacing w:before="120" w:after="120"/>
              <w:jc w:val="both"/>
              <w:rPr>
                <w:rFonts w:asciiTheme="minorHAnsi" w:hAnsiTheme="minorHAnsi"/>
                <w:sz w:val="22"/>
                <w:szCs w:val="22"/>
              </w:rPr>
            </w:pPr>
            <w:r w:rsidRPr="00366CF6">
              <w:rPr>
                <w:rFonts w:asciiTheme="minorHAnsi" w:hAnsiTheme="minorHAnsi"/>
                <w:sz w:val="22"/>
                <w:szCs w:val="22"/>
                <w:u w:val="single"/>
              </w:rPr>
              <w:t>CP Outputs</w:t>
            </w:r>
            <w:r w:rsidRPr="00366CF6">
              <w:rPr>
                <w:rFonts w:asciiTheme="minorHAnsi" w:hAnsiTheme="minorHAnsi"/>
                <w:sz w:val="22"/>
                <w:szCs w:val="22"/>
              </w:rPr>
              <w:t>:</w:t>
            </w:r>
          </w:p>
          <w:p w14:paraId="49E1B112" w14:textId="77777777" w:rsidR="00D464F1" w:rsidRPr="00366CF6" w:rsidRDefault="00EF4321" w:rsidP="00EA7AB0">
            <w:pPr>
              <w:pStyle w:val="BodyText2"/>
              <w:spacing w:before="120" w:after="120"/>
              <w:jc w:val="both"/>
              <w:rPr>
                <w:rFonts w:asciiTheme="minorHAnsi" w:hAnsiTheme="minorHAnsi"/>
                <w:sz w:val="22"/>
                <w:szCs w:val="22"/>
              </w:rPr>
            </w:pPr>
            <w:r w:rsidRPr="00366CF6">
              <w:rPr>
                <w:rFonts w:asciiTheme="minorHAnsi" w:hAnsiTheme="minorHAnsi"/>
                <w:sz w:val="22"/>
                <w:szCs w:val="22"/>
              </w:rPr>
              <w:t xml:space="preserve">The UNDP CP identified one major output to support Government in achieving this outcome (a) </w:t>
            </w:r>
            <w:r w:rsidR="00D464F1" w:rsidRPr="00366CF6">
              <w:rPr>
                <w:rFonts w:asciiTheme="minorHAnsi" w:hAnsiTheme="minorHAnsi"/>
                <w:sz w:val="22"/>
                <w:szCs w:val="22"/>
              </w:rPr>
              <w:t>Quality of CSO participation improved in selected provincial DOs, APRM forum, and consultative councils.</w:t>
            </w:r>
          </w:p>
          <w:p w14:paraId="71A927CC" w14:textId="44AA9D46" w:rsidR="00EA7AB0" w:rsidRDefault="00D464F1" w:rsidP="006D739C">
            <w:pPr>
              <w:pStyle w:val="BodyText2"/>
              <w:spacing w:before="120" w:after="120"/>
              <w:jc w:val="both"/>
              <w:rPr>
                <w:rFonts w:asciiTheme="minorHAnsi" w:hAnsiTheme="minorHAnsi"/>
                <w:sz w:val="22"/>
                <w:szCs w:val="22"/>
              </w:rPr>
            </w:pPr>
            <w:r w:rsidRPr="00366CF6">
              <w:rPr>
                <w:rFonts w:asciiTheme="minorHAnsi" w:hAnsiTheme="minorHAnsi"/>
                <w:sz w:val="22"/>
                <w:szCs w:val="22"/>
                <w:u w:val="single"/>
              </w:rPr>
              <w:t>Progress and Achievements</w:t>
            </w:r>
            <w:r w:rsidRPr="00366CF6">
              <w:rPr>
                <w:rFonts w:asciiTheme="minorHAnsi" w:hAnsiTheme="minorHAnsi"/>
                <w:sz w:val="22"/>
                <w:szCs w:val="22"/>
              </w:rPr>
              <w:t>:</w:t>
            </w:r>
            <w:r w:rsidR="00EF4321" w:rsidRPr="00366CF6">
              <w:rPr>
                <w:rFonts w:asciiTheme="minorHAnsi" w:hAnsiTheme="minorHAnsi" w:cs="Arial"/>
                <w:sz w:val="22"/>
                <w:szCs w:val="22"/>
                <w:shd w:val="clear" w:color="auto" w:fill="FFFFFF"/>
              </w:rPr>
              <w:t xml:space="preserve"> </w:t>
            </w:r>
          </w:p>
          <w:p w14:paraId="7AD2AC01" w14:textId="6AADBC01" w:rsidR="00EF4321" w:rsidRPr="00366CF6" w:rsidRDefault="00EA7AB0" w:rsidP="00EA7AB0">
            <w:pPr>
              <w:pStyle w:val="BodyText2"/>
              <w:spacing w:before="120" w:after="120"/>
              <w:jc w:val="both"/>
              <w:rPr>
                <w:rFonts w:asciiTheme="minorHAnsi" w:hAnsiTheme="minorHAnsi"/>
                <w:sz w:val="22"/>
                <w:szCs w:val="22"/>
              </w:rPr>
            </w:pPr>
            <w:r>
              <w:rPr>
                <w:rFonts w:asciiTheme="minorHAnsi" w:hAnsiTheme="minorHAnsi"/>
                <w:sz w:val="22"/>
                <w:szCs w:val="22"/>
              </w:rPr>
              <w:t>During the Country Programme cycle</w:t>
            </w:r>
            <w:r w:rsidR="00EF4321" w:rsidRPr="00366CF6">
              <w:rPr>
                <w:rFonts w:asciiTheme="minorHAnsi" w:hAnsiTheme="minorHAnsi"/>
                <w:sz w:val="22"/>
                <w:szCs w:val="22"/>
              </w:rPr>
              <w:t xml:space="preserve">, the government consultative mechanisms improved consistently and UNDP contribution influenced the establishment of Local Consultative Councils (LCC) in all the 128 districts of the country. UNDP technical assistance provided to selected provinces </w:t>
            </w:r>
            <w:r>
              <w:rPr>
                <w:rFonts w:asciiTheme="minorHAnsi" w:hAnsiTheme="minorHAnsi"/>
                <w:sz w:val="22"/>
                <w:szCs w:val="22"/>
              </w:rPr>
              <w:t xml:space="preserve">also significantly </w:t>
            </w:r>
            <w:r w:rsidR="00EF4321" w:rsidRPr="00366CF6">
              <w:rPr>
                <w:rFonts w:asciiTheme="minorHAnsi" w:hAnsiTheme="minorHAnsi"/>
                <w:sz w:val="22"/>
                <w:szCs w:val="22"/>
              </w:rPr>
              <w:t>co</w:t>
            </w:r>
            <w:r w:rsidR="00463C72" w:rsidRPr="00366CF6">
              <w:rPr>
                <w:rFonts w:asciiTheme="minorHAnsi" w:hAnsiTheme="minorHAnsi"/>
                <w:sz w:val="22"/>
                <w:szCs w:val="22"/>
              </w:rPr>
              <w:t>ntributed to the increase from 7</w:t>
            </w:r>
            <w:r w:rsidR="00EF4321" w:rsidRPr="00366CF6">
              <w:rPr>
                <w:rFonts w:asciiTheme="minorHAnsi" w:hAnsiTheme="minorHAnsi"/>
                <w:sz w:val="22"/>
                <w:szCs w:val="22"/>
              </w:rPr>
              <w:t xml:space="preserve"> to </w:t>
            </w:r>
            <w:r w:rsidR="006D739C">
              <w:rPr>
                <w:rFonts w:asciiTheme="minorHAnsi" w:hAnsiTheme="minorHAnsi"/>
                <w:sz w:val="22"/>
                <w:szCs w:val="22"/>
              </w:rPr>
              <w:t>43</w:t>
            </w:r>
            <w:r w:rsidR="00EF4321" w:rsidRPr="00366CF6">
              <w:rPr>
                <w:rFonts w:asciiTheme="minorHAnsi" w:hAnsiTheme="minorHAnsi"/>
                <w:sz w:val="22"/>
                <w:szCs w:val="22"/>
              </w:rPr>
              <w:t xml:space="preserve"> in the number of LCCs that are functioning according to the government established guidelines. </w:t>
            </w:r>
          </w:p>
          <w:p w14:paraId="7F1D9992" w14:textId="089B523F" w:rsidR="00EF4321" w:rsidRPr="00366CF6" w:rsidRDefault="006D739C" w:rsidP="00EA7AB0">
            <w:pPr>
              <w:pStyle w:val="BodyText2"/>
              <w:spacing w:before="120" w:after="120"/>
              <w:jc w:val="both"/>
              <w:rPr>
                <w:rFonts w:asciiTheme="minorHAnsi" w:hAnsiTheme="minorHAnsi"/>
                <w:sz w:val="22"/>
                <w:szCs w:val="22"/>
              </w:rPr>
            </w:pPr>
            <w:r w:rsidRPr="006D739C">
              <w:rPr>
                <w:rFonts w:asciiTheme="minorHAnsi" w:hAnsiTheme="minorHAnsi"/>
                <w:sz w:val="22"/>
                <w:szCs w:val="22"/>
              </w:rPr>
              <w:t xml:space="preserve">The improvement of the quality of the civil society participation in the development agenda is also evidenced by the number of Development Observatories (DO) where civil society presented a common position </w:t>
            </w:r>
            <w:r w:rsidR="00512E93">
              <w:rPr>
                <w:rFonts w:asciiTheme="minorHAnsi" w:hAnsiTheme="minorHAnsi"/>
                <w:sz w:val="22"/>
                <w:szCs w:val="22"/>
              </w:rPr>
              <w:t xml:space="preserve">which increased from 1 in 2009 </w:t>
            </w:r>
            <w:r w:rsidRPr="006D739C">
              <w:rPr>
                <w:rFonts w:asciiTheme="minorHAnsi" w:hAnsiTheme="minorHAnsi"/>
                <w:sz w:val="22"/>
                <w:szCs w:val="22"/>
              </w:rPr>
              <w:t>to 16 in 2</w:t>
            </w:r>
            <w:r w:rsidR="00512E93">
              <w:rPr>
                <w:rFonts w:asciiTheme="minorHAnsi" w:hAnsiTheme="minorHAnsi"/>
                <w:sz w:val="22"/>
                <w:szCs w:val="22"/>
              </w:rPr>
              <w:t>015</w:t>
            </w:r>
            <w:r w:rsidRPr="006D739C">
              <w:rPr>
                <w:rFonts w:asciiTheme="minorHAnsi" w:hAnsiTheme="minorHAnsi"/>
                <w:sz w:val="22"/>
                <w:szCs w:val="22"/>
              </w:rPr>
              <w:t>. Civil society is therefore increasingly prepared to discuss issues in a coordinated manner during the DOs hence improving impact of their opinions. UNDP has supported the consultation phases and the process of preparation of the common positioning paper through technical assistance and training, includin</w:t>
            </w:r>
            <w:r w:rsidR="00512E93">
              <w:rPr>
                <w:rFonts w:asciiTheme="minorHAnsi" w:hAnsiTheme="minorHAnsi"/>
                <w:sz w:val="22"/>
                <w:szCs w:val="22"/>
              </w:rPr>
              <w:t>g in advocacy techniques</w:t>
            </w:r>
            <w:r w:rsidRPr="006D739C">
              <w:rPr>
                <w:rFonts w:asciiTheme="minorHAnsi" w:hAnsiTheme="minorHAnsi"/>
                <w:sz w:val="22"/>
                <w:szCs w:val="22"/>
              </w:rPr>
              <w:t>.</w:t>
            </w:r>
            <w:r w:rsidR="00EF4321" w:rsidRPr="00366CF6">
              <w:rPr>
                <w:rFonts w:asciiTheme="minorHAnsi" w:hAnsiTheme="minorHAnsi"/>
                <w:sz w:val="22"/>
                <w:szCs w:val="22"/>
              </w:rPr>
              <w:t xml:space="preserve"> </w:t>
            </w:r>
          </w:p>
          <w:p w14:paraId="5CBC240A" w14:textId="04DC9D79" w:rsidR="00EF4321" w:rsidRPr="00366CF6" w:rsidRDefault="00EF4321" w:rsidP="00267D7D">
            <w:pPr>
              <w:pStyle w:val="BodyText2"/>
              <w:spacing w:before="120" w:after="120"/>
              <w:jc w:val="both"/>
              <w:rPr>
                <w:rFonts w:asciiTheme="minorHAnsi" w:hAnsiTheme="minorHAnsi"/>
                <w:sz w:val="22"/>
                <w:szCs w:val="22"/>
              </w:rPr>
            </w:pPr>
            <w:r w:rsidRPr="00366CF6">
              <w:rPr>
                <w:rFonts w:asciiTheme="minorHAnsi" w:hAnsiTheme="minorHAnsi"/>
                <w:sz w:val="22"/>
                <w:szCs w:val="22"/>
              </w:rPr>
              <w:t>UNDP continues to contribute to capacity building of civil society to monitor development through supporting the implementation of the African Peer Review Mechanism.</w:t>
            </w:r>
            <w:r w:rsidR="00B2695A">
              <w:rPr>
                <w:rFonts w:asciiTheme="minorHAnsi" w:hAnsiTheme="minorHAnsi"/>
                <w:sz w:val="22"/>
                <w:szCs w:val="22"/>
              </w:rPr>
              <w:t xml:space="preserve"> </w:t>
            </w:r>
            <w:r w:rsidR="00267D7D">
              <w:rPr>
                <w:rFonts w:asciiTheme="minorHAnsi" w:hAnsiTheme="minorHAnsi"/>
                <w:sz w:val="22"/>
                <w:szCs w:val="22"/>
              </w:rPr>
              <w:t xml:space="preserve">Moreover, in 2014, </w:t>
            </w:r>
            <w:r w:rsidRPr="00366CF6">
              <w:rPr>
                <w:rFonts w:asciiTheme="minorHAnsi" w:hAnsiTheme="minorHAnsi"/>
                <w:sz w:val="22"/>
                <w:szCs w:val="22"/>
              </w:rPr>
              <w:t>39 out of the 45 districts (</w:t>
            </w:r>
            <w:r w:rsidR="00EA7AB0">
              <w:rPr>
                <w:rFonts w:asciiTheme="minorHAnsi" w:hAnsiTheme="minorHAnsi"/>
                <w:sz w:val="22"/>
                <w:szCs w:val="22"/>
              </w:rPr>
              <w:t xml:space="preserve">the </w:t>
            </w:r>
            <w:r w:rsidRPr="00366CF6">
              <w:rPr>
                <w:rFonts w:asciiTheme="minorHAnsi" w:hAnsiTheme="minorHAnsi"/>
                <w:sz w:val="22"/>
                <w:szCs w:val="22"/>
              </w:rPr>
              <w:t xml:space="preserve">baseline in 2012 was 4) targeted by UNDP intervention conducted participatory monitoring of their respective District Social and Economic Plans (PESOD). </w:t>
            </w:r>
            <w:r w:rsidR="00267D7D">
              <w:rPr>
                <w:rFonts w:asciiTheme="minorHAnsi" w:hAnsiTheme="minorHAnsi"/>
                <w:sz w:val="22"/>
                <w:szCs w:val="22"/>
              </w:rPr>
              <w:t>In addition, U</w:t>
            </w:r>
            <w:r w:rsidR="00267D7D" w:rsidRPr="00B2695A">
              <w:rPr>
                <w:rFonts w:asciiTheme="minorHAnsi" w:hAnsiTheme="minorHAnsi"/>
                <w:sz w:val="22"/>
                <w:szCs w:val="22"/>
              </w:rPr>
              <w:t xml:space="preserve">NDP assistance to civil society platforms empowered communities to demand for improved service delivery and accountability through the utilization of Community Scorecards (CS) and related action plans prepared to </w:t>
            </w:r>
            <w:r w:rsidR="00267D7D" w:rsidRPr="00B2695A">
              <w:rPr>
                <w:rFonts w:asciiTheme="minorHAnsi" w:hAnsiTheme="minorHAnsi"/>
                <w:sz w:val="22"/>
                <w:szCs w:val="22"/>
              </w:rPr>
              <w:lastRenderedPageBreak/>
              <w:t>address shortfalls in the pro</w:t>
            </w:r>
            <w:r w:rsidR="00267D7D">
              <w:rPr>
                <w:rFonts w:asciiTheme="minorHAnsi" w:hAnsiTheme="minorHAnsi"/>
                <w:sz w:val="22"/>
                <w:szCs w:val="22"/>
              </w:rPr>
              <w:t>vision of basic services</w:t>
            </w:r>
            <w:r w:rsidR="00267D7D" w:rsidRPr="00B2695A">
              <w:rPr>
                <w:rFonts w:asciiTheme="minorHAnsi" w:hAnsiTheme="minorHAnsi"/>
                <w:sz w:val="22"/>
                <w:szCs w:val="22"/>
              </w:rPr>
              <w:t>. A member of the community of Mirate (Montepuez district) reported that the “CS tool stimulates dialogue between communities and local government and helps identifying solutions to local problems. The premises of the health center have been rehabilitated and equipped with 4 additional beds and solar panel system. Women can now give birth in safer conditions, including during night time”</w:t>
            </w:r>
            <w:r w:rsidR="00267D7D">
              <w:rPr>
                <w:rFonts w:asciiTheme="minorHAnsi" w:hAnsiTheme="minorHAnsi"/>
                <w:sz w:val="22"/>
                <w:szCs w:val="22"/>
              </w:rPr>
              <w:t>.</w:t>
            </w:r>
          </w:p>
        </w:tc>
      </w:tr>
      <w:tr w:rsidR="00D464F1" w:rsidRPr="00AB430F" w14:paraId="163874A4" w14:textId="77777777" w:rsidTr="00BC65CB">
        <w:tc>
          <w:tcPr>
            <w:tcW w:w="3060" w:type="dxa"/>
            <w:shd w:val="clear" w:color="auto" w:fill="95B3D7" w:themeFill="accent1" w:themeFillTint="99"/>
          </w:tcPr>
          <w:p w14:paraId="24FC93EE" w14:textId="77777777" w:rsidR="00D464F1" w:rsidRPr="00AB430F" w:rsidRDefault="00D464F1" w:rsidP="00BC65CB">
            <w:pPr>
              <w:pStyle w:val="BodyText2"/>
              <w:rPr>
                <w:rFonts w:asciiTheme="minorHAnsi" w:hAnsiTheme="minorHAnsi"/>
                <w:b/>
              </w:rPr>
            </w:pPr>
            <w:r w:rsidRPr="00AB430F">
              <w:rPr>
                <w:rFonts w:asciiTheme="minorHAnsi" w:hAnsiTheme="minorHAnsi"/>
                <w:b/>
              </w:rPr>
              <w:lastRenderedPageBreak/>
              <w:t xml:space="preserve">6. </w:t>
            </w:r>
            <w:r w:rsidRPr="00AB430F">
              <w:rPr>
                <w:rFonts w:asciiTheme="minorHAnsi" w:hAnsiTheme="minorHAnsi"/>
              </w:rPr>
              <w:t>Government and civil society provide coordinated, equitable and integrated service delivery at a decentralized level</w:t>
            </w:r>
          </w:p>
        </w:tc>
        <w:tc>
          <w:tcPr>
            <w:tcW w:w="1530" w:type="dxa"/>
            <w:gridSpan w:val="2"/>
            <w:shd w:val="clear" w:color="auto" w:fill="auto"/>
          </w:tcPr>
          <w:p w14:paraId="0383056B" w14:textId="77777777" w:rsidR="004709C4" w:rsidRDefault="004709C4" w:rsidP="004709C4">
            <w:pPr>
              <w:pStyle w:val="BodyText2"/>
              <w:rPr>
                <w:rFonts w:asciiTheme="minorHAnsi" w:hAnsiTheme="minorHAnsi"/>
                <w:highlight w:val="yellow"/>
              </w:rPr>
            </w:pPr>
          </w:p>
          <w:p w14:paraId="08C3D700" w14:textId="6F329B77" w:rsidR="004709C4" w:rsidRPr="00366CF6" w:rsidRDefault="004709C4" w:rsidP="004709C4">
            <w:pPr>
              <w:pStyle w:val="BodyText2"/>
              <w:rPr>
                <w:rFonts w:asciiTheme="minorHAnsi" w:hAnsiTheme="minorHAnsi"/>
              </w:rPr>
            </w:pPr>
            <w:r w:rsidRPr="004709C4">
              <w:rPr>
                <w:rFonts w:asciiTheme="minorHAnsi" w:hAnsiTheme="minorHAnsi"/>
              </w:rPr>
              <w:t>7,314,384</w:t>
            </w:r>
          </w:p>
        </w:tc>
        <w:tc>
          <w:tcPr>
            <w:tcW w:w="3960" w:type="dxa"/>
            <w:tcBorders>
              <w:left w:val="single" w:sz="4" w:space="0" w:color="auto"/>
            </w:tcBorders>
          </w:tcPr>
          <w:p w14:paraId="5C1BBDB1" w14:textId="77777777" w:rsidR="00D514C6" w:rsidRDefault="00AB430F" w:rsidP="00BC65CB">
            <w:pPr>
              <w:pStyle w:val="BodyText2"/>
              <w:numPr>
                <w:ilvl w:val="0"/>
                <w:numId w:val="26"/>
              </w:numPr>
              <w:ind w:left="342" w:hanging="270"/>
              <w:rPr>
                <w:rFonts w:asciiTheme="minorHAnsi" w:hAnsiTheme="minorHAnsi"/>
                <w:i/>
              </w:rPr>
            </w:pPr>
            <w:r w:rsidRPr="00D514C6">
              <w:rPr>
                <w:rFonts w:asciiTheme="minorHAnsi" w:hAnsiTheme="minorHAnsi"/>
                <w:i/>
              </w:rPr>
              <w:t>Increased l</w:t>
            </w:r>
            <w:r w:rsidR="00D464F1" w:rsidRPr="00D514C6">
              <w:rPr>
                <w:rFonts w:asciiTheme="minorHAnsi" w:hAnsiTheme="minorHAnsi"/>
                <w:i/>
              </w:rPr>
              <w:t xml:space="preserve">evel of citizen satisfaction with public </w:t>
            </w:r>
            <w:r w:rsidRPr="00D514C6">
              <w:rPr>
                <w:rFonts w:asciiTheme="minorHAnsi" w:hAnsiTheme="minorHAnsi"/>
                <w:i/>
              </w:rPr>
              <w:t>s</w:t>
            </w:r>
            <w:r w:rsidR="00D464F1" w:rsidRPr="00D514C6">
              <w:rPr>
                <w:rFonts w:asciiTheme="minorHAnsi" w:hAnsiTheme="minorHAnsi"/>
                <w:i/>
              </w:rPr>
              <w:t xml:space="preserve">ervices; </w:t>
            </w:r>
          </w:p>
          <w:p w14:paraId="2F490CF6" w14:textId="77777777" w:rsidR="00AB430F" w:rsidRPr="00D514C6" w:rsidRDefault="00D464F1" w:rsidP="00BC65CB">
            <w:pPr>
              <w:pStyle w:val="BodyText2"/>
              <w:numPr>
                <w:ilvl w:val="0"/>
                <w:numId w:val="26"/>
              </w:numPr>
              <w:ind w:left="342" w:hanging="270"/>
              <w:rPr>
                <w:rFonts w:asciiTheme="minorHAnsi" w:hAnsiTheme="minorHAnsi"/>
                <w:i/>
              </w:rPr>
            </w:pPr>
            <w:r w:rsidRPr="00D514C6">
              <w:rPr>
                <w:rFonts w:asciiTheme="minorHAnsi" w:hAnsiTheme="minorHAnsi"/>
                <w:i/>
              </w:rPr>
              <w:t xml:space="preserve"># of district reports integrating cross-cutting issues; </w:t>
            </w:r>
          </w:p>
          <w:p w14:paraId="20831528" w14:textId="77777777" w:rsidR="00D464F1" w:rsidRPr="00AB430F" w:rsidRDefault="00D464F1" w:rsidP="00AB430F">
            <w:pPr>
              <w:pStyle w:val="BodyText2"/>
              <w:numPr>
                <w:ilvl w:val="0"/>
                <w:numId w:val="26"/>
              </w:numPr>
              <w:ind w:left="342" w:hanging="270"/>
              <w:rPr>
                <w:rFonts w:asciiTheme="minorHAnsi" w:hAnsiTheme="minorHAnsi"/>
                <w:i/>
              </w:rPr>
            </w:pPr>
            <w:r w:rsidRPr="00AB430F">
              <w:rPr>
                <w:rFonts w:asciiTheme="minorHAnsi" w:hAnsiTheme="minorHAnsi"/>
                <w:i/>
              </w:rPr>
              <w:t># of cases by free legal aid.</w:t>
            </w:r>
          </w:p>
        </w:tc>
        <w:tc>
          <w:tcPr>
            <w:tcW w:w="5490" w:type="dxa"/>
            <w:shd w:val="clear" w:color="auto" w:fill="auto"/>
          </w:tcPr>
          <w:p w14:paraId="5FCF6690" w14:textId="70E62A3A" w:rsidR="00D464F1" w:rsidRPr="00AB430F" w:rsidRDefault="00D514C6" w:rsidP="00AB430F">
            <w:pPr>
              <w:pStyle w:val="BodyText2"/>
              <w:numPr>
                <w:ilvl w:val="0"/>
                <w:numId w:val="27"/>
              </w:numPr>
              <w:ind w:left="432" w:hanging="432"/>
              <w:rPr>
                <w:rFonts w:asciiTheme="minorHAnsi" w:hAnsiTheme="minorHAnsi"/>
                <w:i/>
              </w:rPr>
            </w:pPr>
            <w:r>
              <w:rPr>
                <w:rFonts w:asciiTheme="minorHAnsi" w:hAnsiTheme="minorHAnsi"/>
                <w:i/>
              </w:rPr>
              <w:t xml:space="preserve">In </w:t>
            </w:r>
            <w:r w:rsidR="00AB430F" w:rsidRPr="00AB430F">
              <w:rPr>
                <w:rFonts w:asciiTheme="minorHAnsi" w:hAnsiTheme="minorHAnsi"/>
                <w:i/>
              </w:rPr>
              <w:t xml:space="preserve">2010 </w:t>
            </w:r>
            <w:r>
              <w:rPr>
                <w:rFonts w:asciiTheme="minorHAnsi" w:hAnsiTheme="minorHAnsi"/>
                <w:i/>
              </w:rPr>
              <w:t xml:space="preserve">the </w:t>
            </w:r>
            <w:r w:rsidR="00AB430F" w:rsidRPr="00AB430F">
              <w:rPr>
                <w:rFonts w:asciiTheme="minorHAnsi" w:hAnsiTheme="minorHAnsi"/>
                <w:i/>
              </w:rPr>
              <w:t xml:space="preserve">baseline </w:t>
            </w:r>
            <w:r>
              <w:rPr>
                <w:rFonts w:asciiTheme="minorHAnsi" w:hAnsiTheme="minorHAnsi"/>
                <w:i/>
              </w:rPr>
              <w:t xml:space="preserve">was </w:t>
            </w:r>
            <w:r w:rsidR="00AB430F" w:rsidRPr="00AB430F">
              <w:rPr>
                <w:rFonts w:asciiTheme="minorHAnsi" w:hAnsiTheme="minorHAnsi"/>
                <w:i/>
              </w:rPr>
              <w:t xml:space="preserve">81% </w:t>
            </w:r>
            <w:r>
              <w:rPr>
                <w:rFonts w:asciiTheme="minorHAnsi" w:hAnsiTheme="minorHAnsi"/>
                <w:i/>
              </w:rPr>
              <w:t xml:space="preserve">(access to service rate) </w:t>
            </w:r>
            <w:r w:rsidR="00AB430F" w:rsidRPr="00AB430F">
              <w:rPr>
                <w:rFonts w:asciiTheme="minorHAnsi" w:hAnsiTheme="minorHAnsi"/>
                <w:i/>
              </w:rPr>
              <w:t>and 60%</w:t>
            </w:r>
            <w:r w:rsidR="00040921">
              <w:rPr>
                <w:rFonts w:asciiTheme="minorHAnsi" w:hAnsiTheme="minorHAnsi"/>
                <w:i/>
              </w:rPr>
              <w:t xml:space="preserve"> (overall quality). In 2015</w:t>
            </w:r>
            <w:r>
              <w:rPr>
                <w:rFonts w:asciiTheme="minorHAnsi" w:hAnsiTheme="minorHAnsi"/>
                <w:i/>
              </w:rPr>
              <w:t xml:space="preserve"> there is </w:t>
            </w:r>
            <w:r w:rsidR="00AB430F" w:rsidRPr="00AB430F">
              <w:rPr>
                <w:rFonts w:asciiTheme="minorHAnsi" w:hAnsiTheme="minorHAnsi"/>
                <w:i/>
              </w:rPr>
              <w:t xml:space="preserve"> no new data available, no survey conducted yet</w:t>
            </w:r>
          </w:p>
          <w:p w14:paraId="329E83A5" w14:textId="029B2588" w:rsidR="00AB430F" w:rsidRPr="0021015A" w:rsidRDefault="00D514C6" w:rsidP="00AB430F">
            <w:pPr>
              <w:pStyle w:val="BodyText2"/>
              <w:numPr>
                <w:ilvl w:val="0"/>
                <w:numId w:val="27"/>
              </w:numPr>
              <w:ind w:left="432" w:hanging="432"/>
              <w:rPr>
                <w:rFonts w:asciiTheme="minorHAnsi" w:hAnsiTheme="minorHAnsi"/>
                <w:i/>
              </w:rPr>
            </w:pPr>
            <w:r>
              <w:rPr>
                <w:rFonts w:asciiTheme="minorHAnsi" w:hAnsiTheme="minorHAnsi"/>
                <w:i/>
              </w:rPr>
              <w:t xml:space="preserve">In </w:t>
            </w:r>
            <w:r w:rsidR="00AB430F" w:rsidRPr="00AB430F">
              <w:rPr>
                <w:rFonts w:asciiTheme="minorHAnsi" w:hAnsiTheme="minorHAnsi"/>
                <w:i/>
              </w:rPr>
              <w:t xml:space="preserve">2010 </w:t>
            </w:r>
            <w:r>
              <w:rPr>
                <w:rFonts w:asciiTheme="minorHAnsi" w:hAnsiTheme="minorHAnsi"/>
                <w:i/>
              </w:rPr>
              <w:t xml:space="preserve">the baseline was </w:t>
            </w:r>
            <w:r w:rsidR="00AB430F" w:rsidRPr="00AB430F">
              <w:rPr>
                <w:rFonts w:asciiTheme="minorHAnsi" w:hAnsiTheme="minorHAnsi"/>
                <w:i/>
              </w:rPr>
              <w:t xml:space="preserve">zero. </w:t>
            </w:r>
            <w:r>
              <w:rPr>
                <w:rFonts w:asciiTheme="minorHAnsi" w:hAnsiTheme="minorHAnsi"/>
                <w:i/>
              </w:rPr>
              <w:t xml:space="preserve">By </w:t>
            </w:r>
            <w:r w:rsidR="00AB430F" w:rsidRPr="00AB430F">
              <w:rPr>
                <w:rFonts w:asciiTheme="minorHAnsi" w:hAnsiTheme="minorHAnsi"/>
                <w:i/>
              </w:rPr>
              <w:t xml:space="preserve">2014 </w:t>
            </w:r>
            <w:r>
              <w:rPr>
                <w:rFonts w:asciiTheme="minorHAnsi" w:hAnsiTheme="minorHAnsi"/>
                <w:i/>
              </w:rPr>
              <w:t xml:space="preserve">a significant progress was made, with </w:t>
            </w:r>
            <w:r w:rsidR="00740976">
              <w:rPr>
                <w:rFonts w:asciiTheme="minorHAnsi" w:hAnsiTheme="minorHAnsi"/>
                <w:i/>
              </w:rPr>
              <w:t>41</w:t>
            </w:r>
            <w:r w:rsidR="00AB430F" w:rsidRPr="00AB430F">
              <w:rPr>
                <w:rFonts w:asciiTheme="minorHAnsi" w:hAnsiTheme="minorHAnsi"/>
                <w:i/>
              </w:rPr>
              <w:t xml:space="preserve"> out of 4</w:t>
            </w:r>
            <w:r w:rsidR="00740976">
              <w:rPr>
                <w:rFonts w:asciiTheme="minorHAnsi" w:hAnsiTheme="minorHAnsi"/>
                <w:i/>
              </w:rPr>
              <w:t>9</w:t>
            </w:r>
            <w:r w:rsidR="00AB430F" w:rsidRPr="00AB430F">
              <w:rPr>
                <w:rFonts w:asciiTheme="minorHAnsi" w:hAnsiTheme="minorHAnsi"/>
                <w:i/>
              </w:rPr>
              <w:t xml:space="preserve"> districts (</w:t>
            </w:r>
            <w:r w:rsidR="00740976">
              <w:rPr>
                <w:rFonts w:asciiTheme="minorHAnsi" w:hAnsiTheme="minorHAnsi"/>
                <w:i/>
              </w:rPr>
              <w:t>83</w:t>
            </w:r>
            <w:r w:rsidR="00AB430F" w:rsidRPr="00AB430F">
              <w:rPr>
                <w:rFonts w:asciiTheme="minorHAnsi" w:hAnsiTheme="minorHAnsi"/>
                <w:i/>
              </w:rPr>
              <w:t xml:space="preserve">%) </w:t>
            </w:r>
            <w:r w:rsidR="00AB430F" w:rsidRPr="0021015A">
              <w:rPr>
                <w:rFonts w:asciiTheme="minorHAnsi" w:hAnsiTheme="minorHAnsi"/>
                <w:i/>
              </w:rPr>
              <w:t>supported by UNDP.</w:t>
            </w:r>
          </w:p>
          <w:p w14:paraId="062D28E9" w14:textId="4C25CEDA" w:rsidR="00AB430F" w:rsidRPr="0021015A" w:rsidRDefault="00D514C6" w:rsidP="00AB430F">
            <w:pPr>
              <w:pStyle w:val="BodyText2"/>
              <w:numPr>
                <w:ilvl w:val="0"/>
                <w:numId w:val="27"/>
              </w:numPr>
              <w:ind w:left="432" w:hanging="432"/>
              <w:rPr>
                <w:rFonts w:asciiTheme="minorHAnsi" w:hAnsiTheme="minorHAnsi"/>
                <w:i/>
              </w:rPr>
            </w:pPr>
            <w:r w:rsidRPr="0021015A">
              <w:rPr>
                <w:rFonts w:asciiTheme="minorHAnsi" w:hAnsiTheme="minorHAnsi"/>
                <w:i/>
              </w:rPr>
              <w:t xml:space="preserve">In </w:t>
            </w:r>
            <w:r w:rsidR="00AB430F" w:rsidRPr="0021015A">
              <w:rPr>
                <w:rFonts w:asciiTheme="minorHAnsi" w:hAnsiTheme="minorHAnsi"/>
                <w:i/>
              </w:rPr>
              <w:t xml:space="preserve">2009 </w:t>
            </w:r>
            <w:r w:rsidRPr="0021015A">
              <w:rPr>
                <w:rFonts w:asciiTheme="minorHAnsi" w:hAnsiTheme="minorHAnsi"/>
                <w:i/>
              </w:rPr>
              <w:t xml:space="preserve">the </w:t>
            </w:r>
            <w:r w:rsidR="00AB430F" w:rsidRPr="0021015A">
              <w:rPr>
                <w:rFonts w:asciiTheme="minorHAnsi" w:hAnsiTheme="minorHAnsi"/>
                <w:i/>
              </w:rPr>
              <w:t xml:space="preserve">baseline </w:t>
            </w:r>
            <w:r w:rsidRPr="0021015A">
              <w:rPr>
                <w:rFonts w:asciiTheme="minorHAnsi" w:hAnsiTheme="minorHAnsi"/>
                <w:i/>
              </w:rPr>
              <w:t>was 39,000; In 201</w:t>
            </w:r>
            <w:r w:rsidR="00740976">
              <w:rPr>
                <w:rFonts w:asciiTheme="minorHAnsi" w:hAnsiTheme="minorHAnsi"/>
                <w:i/>
              </w:rPr>
              <w:t>5</w:t>
            </w:r>
            <w:r w:rsidR="00AB430F" w:rsidRPr="0021015A">
              <w:rPr>
                <w:rFonts w:asciiTheme="minorHAnsi" w:hAnsiTheme="minorHAnsi"/>
                <w:i/>
              </w:rPr>
              <w:t xml:space="preserve"> </w:t>
            </w:r>
            <w:r w:rsidRPr="0021015A">
              <w:rPr>
                <w:rFonts w:asciiTheme="minorHAnsi" w:hAnsiTheme="minorHAnsi"/>
                <w:i/>
              </w:rPr>
              <w:t xml:space="preserve">a significant progress is made with </w:t>
            </w:r>
            <w:r w:rsidR="00740976">
              <w:rPr>
                <w:rFonts w:asciiTheme="minorHAnsi" w:hAnsiTheme="minorHAnsi"/>
                <w:i/>
              </w:rPr>
              <w:t xml:space="preserve">85,172 </w:t>
            </w:r>
            <w:r w:rsidRPr="0021015A">
              <w:rPr>
                <w:rFonts w:asciiTheme="minorHAnsi" w:hAnsiTheme="minorHAnsi"/>
                <w:i/>
              </w:rPr>
              <w:t>cases</w:t>
            </w:r>
            <w:r w:rsidR="0085635E">
              <w:rPr>
                <w:rFonts w:asciiTheme="minorHAnsi" w:hAnsiTheme="minorHAnsi"/>
                <w:i/>
              </w:rPr>
              <w:t xml:space="preserve"> benefitting from free legal aid</w:t>
            </w:r>
            <w:r w:rsidR="00AB430F" w:rsidRPr="0021015A">
              <w:rPr>
                <w:rFonts w:asciiTheme="minorHAnsi" w:hAnsiTheme="minorHAnsi"/>
                <w:i/>
              </w:rPr>
              <w:t xml:space="preserve"> (data referring to the first semester of 201</w:t>
            </w:r>
            <w:r w:rsidR="0085635E">
              <w:rPr>
                <w:rFonts w:asciiTheme="minorHAnsi" w:hAnsiTheme="minorHAnsi"/>
                <w:i/>
              </w:rPr>
              <w:t>5</w:t>
            </w:r>
            <w:r w:rsidR="00AB430F" w:rsidRPr="0021015A">
              <w:rPr>
                <w:rFonts w:asciiTheme="minorHAnsi" w:hAnsiTheme="minorHAnsi"/>
                <w:i/>
              </w:rPr>
              <w:t xml:space="preserve">, </w:t>
            </w:r>
            <w:r w:rsidRPr="0021015A">
              <w:rPr>
                <w:rFonts w:asciiTheme="minorHAnsi" w:hAnsiTheme="minorHAnsi"/>
                <w:i/>
              </w:rPr>
              <w:t>annual</w:t>
            </w:r>
            <w:r w:rsidR="00AB430F" w:rsidRPr="0021015A">
              <w:rPr>
                <w:rFonts w:asciiTheme="minorHAnsi" w:hAnsiTheme="minorHAnsi"/>
                <w:i/>
              </w:rPr>
              <w:t xml:space="preserve"> data still not available).</w:t>
            </w:r>
          </w:p>
          <w:p w14:paraId="0D872F91" w14:textId="77777777" w:rsidR="00AB430F" w:rsidRPr="00AB430F" w:rsidRDefault="00AB430F" w:rsidP="00AB430F">
            <w:pPr>
              <w:pStyle w:val="BodyText2"/>
              <w:rPr>
                <w:rFonts w:asciiTheme="minorHAnsi" w:hAnsiTheme="minorHAnsi"/>
                <w:i/>
              </w:rPr>
            </w:pPr>
          </w:p>
        </w:tc>
      </w:tr>
      <w:tr w:rsidR="00D464F1" w:rsidRPr="00AB430F" w14:paraId="6552137A" w14:textId="77777777" w:rsidTr="00BC65CB">
        <w:tc>
          <w:tcPr>
            <w:tcW w:w="14040" w:type="dxa"/>
            <w:gridSpan w:val="5"/>
          </w:tcPr>
          <w:p w14:paraId="0EDF7C71" w14:textId="77777777" w:rsidR="00D464F1" w:rsidRPr="00366CF6" w:rsidRDefault="00D464F1" w:rsidP="00366CF6">
            <w:pPr>
              <w:pStyle w:val="BodyText2"/>
              <w:spacing w:before="120" w:after="120"/>
              <w:jc w:val="both"/>
              <w:rPr>
                <w:rFonts w:asciiTheme="minorHAnsi" w:hAnsiTheme="minorHAnsi"/>
                <w:b/>
                <w:sz w:val="22"/>
                <w:szCs w:val="22"/>
              </w:rPr>
            </w:pPr>
            <w:r w:rsidRPr="00366CF6">
              <w:rPr>
                <w:rFonts w:asciiTheme="minorHAnsi" w:hAnsiTheme="minorHAnsi"/>
                <w:b/>
                <w:sz w:val="22"/>
                <w:szCs w:val="22"/>
              </w:rPr>
              <w:t>UNDP Contribution:</w:t>
            </w:r>
          </w:p>
          <w:p w14:paraId="2EB5ABC1" w14:textId="77777777" w:rsidR="00463C72" w:rsidRPr="00366CF6" w:rsidRDefault="00D464F1" w:rsidP="00366CF6">
            <w:pPr>
              <w:pStyle w:val="BodyText2"/>
              <w:spacing w:before="120" w:after="120"/>
              <w:jc w:val="both"/>
              <w:rPr>
                <w:rFonts w:asciiTheme="minorHAnsi" w:hAnsiTheme="minorHAnsi"/>
                <w:sz w:val="22"/>
                <w:szCs w:val="22"/>
              </w:rPr>
            </w:pPr>
            <w:r w:rsidRPr="00366CF6">
              <w:rPr>
                <w:rFonts w:asciiTheme="minorHAnsi" w:hAnsiTheme="minorHAnsi"/>
                <w:sz w:val="22"/>
                <w:szCs w:val="22"/>
                <w:u w:val="single"/>
              </w:rPr>
              <w:t>CP Outputs</w:t>
            </w:r>
            <w:r w:rsidRPr="00366CF6">
              <w:rPr>
                <w:rFonts w:asciiTheme="minorHAnsi" w:hAnsiTheme="minorHAnsi"/>
                <w:sz w:val="22"/>
                <w:szCs w:val="22"/>
              </w:rPr>
              <w:t>:</w:t>
            </w:r>
            <w:r w:rsidR="00463C72" w:rsidRPr="00366CF6">
              <w:rPr>
                <w:rFonts w:asciiTheme="minorHAnsi" w:hAnsiTheme="minorHAnsi"/>
                <w:sz w:val="22"/>
                <w:szCs w:val="22"/>
              </w:rPr>
              <w:t xml:space="preserve"> The UNDP CP identified three major outputs to support Government in achieving this outcome</w:t>
            </w:r>
          </w:p>
          <w:p w14:paraId="0A8AE781" w14:textId="72A14F5D" w:rsidR="00463C72" w:rsidRPr="00366CF6" w:rsidRDefault="00463C72"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(a)</w:t>
            </w:r>
            <w:r w:rsidR="00D464F1" w:rsidRPr="00366CF6">
              <w:rPr>
                <w:rFonts w:asciiTheme="minorHAnsi" w:hAnsiTheme="minorHAnsi"/>
                <w:sz w:val="22"/>
                <w:szCs w:val="22"/>
              </w:rPr>
              <w:t xml:space="preserve"> Decentralization polic</w:t>
            </w:r>
            <w:r w:rsidR="00CD7143">
              <w:rPr>
                <w:rFonts w:asciiTheme="minorHAnsi" w:hAnsiTheme="minorHAnsi"/>
                <w:sz w:val="22"/>
                <w:szCs w:val="22"/>
              </w:rPr>
              <w:t>y running for service delivery;</w:t>
            </w:r>
          </w:p>
          <w:p w14:paraId="0DDFF1EB" w14:textId="28B8E40F" w:rsidR="00D464F1" w:rsidRPr="00366CF6" w:rsidRDefault="00463C72"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(b)</w:t>
            </w:r>
            <w:r w:rsidR="00D464F1" w:rsidRPr="00366CF6">
              <w:rPr>
                <w:rFonts w:asciiTheme="minorHAnsi" w:hAnsiTheme="minorHAnsi"/>
                <w:sz w:val="22"/>
                <w:szCs w:val="22"/>
              </w:rPr>
              <w:t xml:space="preserve"> Selected local governments strengthened to deliver and report on plans and budgets, integrating cross</w:t>
            </w:r>
            <w:r w:rsidR="00CD7143">
              <w:rPr>
                <w:rFonts w:asciiTheme="minorHAnsi" w:hAnsiTheme="minorHAnsi"/>
                <w:sz w:val="22"/>
                <w:szCs w:val="22"/>
              </w:rPr>
              <w:t>-cutting issues;</w:t>
            </w:r>
            <w:r w:rsidR="00D464F1" w:rsidRPr="00366CF6">
              <w:rPr>
                <w:rFonts w:asciiTheme="minorHAnsi" w:hAnsiTheme="minorHAnsi"/>
                <w:sz w:val="22"/>
                <w:szCs w:val="22"/>
              </w:rPr>
              <w:t xml:space="preserve"> </w:t>
            </w:r>
          </w:p>
          <w:p w14:paraId="635084BC" w14:textId="5F7CB38B" w:rsidR="00D464F1" w:rsidRPr="00366CF6" w:rsidRDefault="00463C72" w:rsidP="00366CF6">
            <w:pPr>
              <w:pStyle w:val="BodyText2"/>
              <w:spacing w:before="120" w:after="120"/>
              <w:jc w:val="both"/>
              <w:rPr>
                <w:rFonts w:asciiTheme="minorHAnsi" w:hAnsiTheme="minorHAnsi"/>
                <w:sz w:val="22"/>
                <w:szCs w:val="22"/>
              </w:rPr>
            </w:pPr>
            <w:r w:rsidRPr="00366CF6">
              <w:rPr>
                <w:rFonts w:asciiTheme="minorHAnsi" w:hAnsiTheme="minorHAnsi"/>
                <w:sz w:val="22"/>
                <w:szCs w:val="22"/>
              </w:rPr>
              <w:t>(c)</w:t>
            </w:r>
            <w:r w:rsidR="00D464F1" w:rsidRPr="00366CF6">
              <w:rPr>
                <w:rFonts w:asciiTheme="minorHAnsi" w:hAnsiTheme="minorHAnsi"/>
                <w:sz w:val="22"/>
                <w:szCs w:val="22"/>
              </w:rPr>
              <w:t xml:space="preserve"> Knowledge-management </w:t>
            </w:r>
            <w:r w:rsidR="002371A7" w:rsidRPr="00366CF6">
              <w:rPr>
                <w:rFonts w:asciiTheme="minorHAnsi" w:hAnsiTheme="minorHAnsi"/>
                <w:sz w:val="22"/>
                <w:szCs w:val="22"/>
              </w:rPr>
              <w:t>centers</w:t>
            </w:r>
            <w:r w:rsidR="00D464F1" w:rsidRPr="00366CF6">
              <w:rPr>
                <w:rFonts w:asciiTheme="minorHAnsi" w:hAnsiTheme="minorHAnsi"/>
                <w:sz w:val="22"/>
                <w:szCs w:val="22"/>
              </w:rPr>
              <w:t xml:space="preserve"> in selected provinces developed and functional to enhance local governance</w:t>
            </w:r>
            <w:r w:rsidR="00CD7143">
              <w:rPr>
                <w:rFonts w:asciiTheme="minorHAnsi" w:hAnsiTheme="minorHAnsi"/>
                <w:sz w:val="22"/>
                <w:szCs w:val="22"/>
              </w:rPr>
              <w:t>.</w:t>
            </w:r>
          </w:p>
          <w:p w14:paraId="77B40072" w14:textId="23317D54" w:rsidR="00385983" w:rsidRPr="00366CF6" w:rsidRDefault="00D464F1" w:rsidP="00366CF6">
            <w:pPr>
              <w:pStyle w:val="BodyText2"/>
              <w:spacing w:before="120" w:after="120"/>
              <w:jc w:val="both"/>
              <w:rPr>
                <w:rStyle w:val="roaranswertext"/>
                <w:rFonts w:asciiTheme="minorHAnsi" w:hAnsiTheme="minorHAnsi" w:cs="Arial"/>
                <w:sz w:val="22"/>
                <w:szCs w:val="22"/>
                <w:bdr w:val="none" w:sz="0" w:space="0" w:color="auto" w:frame="1"/>
                <w:shd w:val="clear" w:color="auto" w:fill="FFFFFF"/>
              </w:rPr>
            </w:pPr>
            <w:r w:rsidRPr="00366CF6">
              <w:rPr>
                <w:rFonts w:asciiTheme="minorHAnsi" w:hAnsiTheme="minorHAnsi"/>
                <w:sz w:val="22"/>
                <w:szCs w:val="22"/>
                <w:u w:val="single"/>
              </w:rPr>
              <w:t>Progress and Achievements</w:t>
            </w:r>
            <w:r w:rsidRPr="00366CF6">
              <w:rPr>
                <w:rFonts w:asciiTheme="minorHAnsi" w:hAnsiTheme="minorHAnsi"/>
                <w:sz w:val="22"/>
                <w:szCs w:val="22"/>
              </w:rPr>
              <w:t>:</w:t>
            </w:r>
            <w:r w:rsidR="00463C72" w:rsidRPr="00366CF6">
              <w:rPr>
                <w:rFonts w:asciiTheme="minorHAnsi" w:hAnsiTheme="minorHAnsi" w:cs="Arial"/>
                <w:sz w:val="22"/>
                <w:szCs w:val="22"/>
                <w:bdr w:val="none" w:sz="0" w:space="0" w:color="auto" w:frame="1"/>
                <w:shd w:val="clear" w:color="auto" w:fill="FFFFFF"/>
              </w:rPr>
              <w:t xml:space="preserve"> </w:t>
            </w:r>
          </w:p>
          <w:p w14:paraId="4F81FDB7" w14:textId="38B94B25" w:rsidR="00385983" w:rsidRPr="00366CF6" w:rsidRDefault="00CD7143" w:rsidP="00366CF6">
            <w:pPr>
              <w:pStyle w:val="BodyText2"/>
              <w:spacing w:before="120" w:after="120"/>
              <w:jc w:val="both"/>
              <w:rPr>
                <w:rFonts w:asciiTheme="minorHAnsi" w:hAnsiTheme="minorHAnsi" w:cs="Arial"/>
                <w:sz w:val="22"/>
                <w:szCs w:val="22"/>
                <w:shd w:val="clear" w:color="auto" w:fill="FFFFFF"/>
              </w:rPr>
            </w:pPr>
            <w:r w:rsidRPr="00CD7143">
              <w:rPr>
                <w:rFonts w:asciiTheme="minorHAnsi" w:hAnsiTheme="minorHAnsi" w:cs="Arial"/>
                <w:sz w:val="22"/>
                <w:szCs w:val="22"/>
                <w:shd w:val="clear" w:color="auto" w:fill="FFFFFF"/>
              </w:rPr>
              <w:t xml:space="preserve">UNDP assisted the Government in the formulation of its Decentralization Policy and Strategy, which clarifies the Government’s vision for decentralization and defining priority areas and interventions, and is now focusing on its operationalization through a number of capacity building and knowledge-sharing initiatives. </w:t>
            </w:r>
            <w:r w:rsidR="00385983" w:rsidRPr="00366CF6">
              <w:rPr>
                <w:rFonts w:asciiTheme="minorHAnsi" w:hAnsiTheme="minorHAnsi" w:cs="Arial"/>
                <w:sz w:val="22"/>
                <w:szCs w:val="22"/>
                <w:shd w:val="clear" w:color="auto" w:fill="FFFFFF"/>
              </w:rPr>
              <w:t xml:space="preserve">UNDP technical assistance in the local governance area </w:t>
            </w:r>
            <w:r w:rsidR="00EA7AB0">
              <w:rPr>
                <w:rFonts w:asciiTheme="minorHAnsi" w:hAnsiTheme="minorHAnsi" w:cs="Arial"/>
                <w:sz w:val="22"/>
                <w:szCs w:val="22"/>
                <w:shd w:val="clear" w:color="auto" w:fill="FFFFFF"/>
              </w:rPr>
              <w:t>throughout the Country Programme cycle</w:t>
            </w:r>
            <w:r>
              <w:rPr>
                <w:rFonts w:asciiTheme="minorHAnsi" w:hAnsiTheme="minorHAnsi" w:cs="Arial"/>
                <w:sz w:val="22"/>
                <w:szCs w:val="22"/>
                <w:shd w:val="clear" w:color="auto" w:fill="FFFFFF"/>
              </w:rPr>
              <w:t xml:space="preserve"> also</w:t>
            </w:r>
            <w:r w:rsidR="00EA7AB0">
              <w:rPr>
                <w:rFonts w:asciiTheme="minorHAnsi" w:hAnsiTheme="minorHAnsi" w:cs="Arial"/>
                <w:sz w:val="22"/>
                <w:szCs w:val="22"/>
                <w:shd w:val="clear" w:color="auto" w:fill="FFFFFF"/>
              </w:rPr>
              <w:t xml:space="preserve"> </w:t>
            </w:r>
            <w:r w:rsidR="00385983" w:rsidRPr="00366CF6">
              <w:rPr>
                <w:rFonts w:asciiTheme="minorHAnsi" w:hAnsiTheme="minorHAnsi" w:cs="Arial"/>
                <w:sz w:val="22"/>
                <w:szCs w:val="22"/>
                <w:shd w:val="clear" w:color="auto" w:fill="FFFFFF"/>
              </w:rPr>
              <w:t xml:space="preserve">contributed for 45 targeted districts to develop improved District Strategic Development Plans (PEDDs) and District Social and Economic Plans (PESODs) and for 41 </w:t>
            </w:r>
            <w:r w:rsidR="00951468">
              <w:rPr>
                <w:rFonts w:asciiTheme="minorHAnsi" w:hAnsiTheme="minorHAnsi" w:cs="Arial"/>
                <w:sz w:val="22"/>
                <w:szCs w:val="22"/>
                <w:shd w:val="clear" w:color="auto" w:fill="FFFFFF"/>
              </w:rPr>
              <w:t xml:space="preserve">districts </w:t>
            </w:r>
            <w:r w:rsidR="00385983" w:rsidRPr="00366CF6">
              <w:rPr>
                <w:rFonts w:asciiTheme="minorHAnsi" w:hAnsiTheme="minorHAnsi" w:cs="Arial"/>
                <w:sz w:val="22"/>
                <w:szCs w:val="22"/>
                <w:shd w:val="clear" w:color="auto" w:fill="FFFFFF"/>
              </w:rPr>
              <w:t>to have Land Use District Plans</w:t>
            </w:r>
            <w:r w:rsidR="00951468">
              <w:rPr>
                <w:rFonts w:asciiTheme="minorHAnsi" w:hAnsiTheme="minorHAnsi" w:cs="Arial"/>
                <w:sz w:val="22"/>
                <w:szCs w:val="22"/>
                <w:shd w:val="clear" w:color="auto" w:fill="FFFFFF"/>
              </w:rPr>
              <w:t xml:space="preserve"> by 2014</w:t>
            </w:r>
            <w:r w:rsidR="00385983" w:rsidRPr="00366CF6">
              <w:rPr>
                <w:rFonts w:asciiTheme="minorHAnsi" w:hAnsiTheme="minorHAnsi" w:cs="Arial"/>
                <w:sz w:val="22"/>
                <w:szCs w:val="22"/>
                <w:shd w:val="clear" w:color="auto" w:fill="FFFFFF"/>
              </w:rPr>
              <w:t xml:space="preserve">. In addition, </w:t>
            </w:r>
            <w:r w:rsidR="00951468">
              <w:rPr>
                <w:rFonts w:asciiTheme="minorHAnsi" w:hAnsiTheme="minorHAnsi" w:cs="Arial"/>
                <w:sz w:val="22"/>
                <w:szCs w:val="22"/>
                <w:shd w:val="clear" w:color="auto" w:fill="FFFFFF"/>
              </w:rPr>
              <w:t xml:space="preserve">as of 2015, </w:t>
            </w:r>
            <w:r w:rsidR="006E275B">
              <w:rPr>
                <w:rFonts w:asciiTheme="minorHAnsi" w:hAnsiTheme="minorHAnsi" w:cs="Arial"/>
                <w:sz w:val="22"/>
                <w:szCs w:val="22"/>
                <w:shd w:val="clear" w:color="auto" w:fill="FFFFFF"/>
              </w:rPr>
              <w:t xml:space="preserve">a total of </w:t>
            </w:r>
            <w:r w:rsidR="00951468">
              <w:rPr>
                <w:rFonts w:asciiTheme="minorHAnsi" w:hAnsiTheme="minorHAnsi" w:cs="Arial"/>
                <w:sz w:val="22"/>
                <w:szCs w:val="22"/>
                <w:shd w:val="clear" w:color="auto" w:fill="FFFFFF"/>
              </w:rPr>
              <w:t>41</w:t>
            </w:r>
            <w:r w:rsidR="00385983" w:rsidRPr="00366CF6">
              <w:rPr>
                <w:rFonts w:asciiTheme="minorHAnsi" w:hAnsiTheme="minorHAnsi" w:cs="Arial"/>
                <w:sz w:val="22"/>
                <w:szCs w:val="22"/>
                <w:shd w:val="clear" w:color="auto" w:fill="FFFFFF"/>
              </w:rPr>
              <w:t xml:space="preserve"> </w:t>
            </w:r>
            <w:r w:rsidR="006E275B">
              <w:rPr>
                <w:rFonts w:asciiTheme="minorHAnsi" w:hAnsiTheme="minorHAnsi" w:cs="Arial"/>
                <w:sz w:val="22"/>
                <w:szCs w:val="22"/>
                <w:shd w:val="clear" w:color="auto" w:fill="FFFFFF"/>
              </w:rPr>
              <w:t xml:space="preserve">districts </w:t>
            </w:r>
            <w:r w:rsidR="00385983" w:rsidRPr="00366CF6">
              <w:rPr>
                <w:rFonts w:asciiTheme="minorHAnsi" w:hAnsiTheme="minorHAnsi" w:cs="Arial"/>
                <w:sz w:val="22"/>
                <w:szCs w:val="22"/>
                <w:shd w:val="clear" w:color="auto" w:fill="FFFFFF"/>
              </w:rPr>
              <w:t xml:space="preserve">prepared reports on integrated cross-cutting issues resulting from UNDP support provided to the revision of the National Guidelines for Integrating Crosscutting Issues into District Plans which now include detailed methodological guidance on how to integrate such issues. </w:t>
            </w:r>
          </w:p>
          <w:p w14:paraId="7246F726" w14:textId="77777777" w:rsidR="00463C72" w:rsidRDefault="00385983" w:rsidP="00A537BB">
            <w:pPr>
              <w:pStyle w:val="BodyText2"/>
              <w:spacing w:before="120" w:after="120"/>
              <w:jc w:val="both"/>
              <w:rPr>
                <w:rFonts w:asciiTheme="minorHAnsi" w:hAnsiTheme="minorHAnsi" w:cs="Arial"/>
                <w:sz w:val="22"/>
                <w:szCs w:val="22"/>
                <w:shd w:val="clear" w:color="auto" w:fill="FFFFFF"/>
              </w:rPr>
            </w:pPr>
            <w:r w:rsidRPr="00366CF6">
              <w:rPr>
                <w:rFonts w:asciiTheme="minorHAnsi" w:hAnsiTheme="minorHAnsi" w:cs="Arial"/>
                <w:sz w:val="22"/>
                <w:szCs w:val="22"/>
                <w:shd w:val="clear" w:color="auto" w:fill="FFFFFF"/>
              </w:rPr>
              <w:t>UNDP also significantly contributed to improving the knowledge management mechanisms at dec</w:t>
            </w:r>
            <w:r w:rsidR="00E62FC8">
              <w:rPr>
                <w:rFonts w:asciiTheme="minorHAnsi" w:hAnsiTheme="minorHAnsi" w:cs="Arial"/>
                <w:sz w:val="22"/>
                <w:szCs w:val="22"/>
                <w:shd w:val="clear" w:color="auto" w:fill="FFFFFF"/>
              </w:rPr>
              <w:t xml:space="preserve">entralized levels. In 2014 and as a result of UNDP support in the past years, </w:t>
            </w:r>
            <w:r w:rsidRPr="00366CF6">
              <w:rPr>
                <w:rFonts w:asciiTheme="minorHAnsi" w:hAnsiTheme="minorHAnsi" w:cs="Arial"/>
                <w:sz w:val="22"/>
                <w:szCs w:val="22"/>
                <w:shd w:val="clear" w:color="auto" w:fill="FFFFFF"/>
              </w:rPr>
              <w:t xml:space="preserve">12 best practices were selected among the 24 identified by provincial teams assisted by UNDP. The best practices will be disseminated to contribute to the consolidation of planning and public financial management capacities. More than 80% of the country’s districts have resource centers with </w:t>
            </w:r>
            <w:r w:rsidRPr="00366CF6">
              <w:rPr>
                <w:rFonts w:asciiTheme="minorHAnsi" w:hAnsiTheme="minorHAnsi" w:cs="Arial"/>
                <w:sz w:val="22"/>
                <w:szCs w:val="22"/>
                <w:shd w:val="clear" w:color="auto" w:fill="FFFFFF"/>
              </w:rPr>
              <w:lastRenderedPageBreak/>
              <w:t xml:space="preserve">information on governance and district planning available to the public and </w:t>
            </w:r>
            <w:r w:rsidR="00A537BB">
              <w:rPr>
                <w:rFonts w:asciiTheme="minorHAnsi" w:hAnsiTheme="minorHAnsi" w:cs="Arial"/>
                <w:sz w:val="22"/>
                <w:szCs w:val="22"/>
                <w:shd w:val="clear" w:color="auto" w:fill="FFFFFF"/>
              </w:rPr>
              <w:t>all 141</w:t>
            </w:r>
            <w:r w:rsidRPr="00366CF6">
              <w:rPr>
                <w:rFonts w:asciiTheme="minorHAnsi" w:hAnsiTheme="minorHAnsi" w:cs="Arial"/>
                <w:sz w:val="22"/>
                <w:szCs w:val="22"/>
                <w:shd w:val="clear" w:color="auto" w:fill="FFFFFF"/>
              </w:rPr>
              <w:t xml:space="preserve"> district profiles were updated and posted on the go</w:t>
            </w:r>
            <w:r w:rsidR="00584C12">
              <w:rPr>
                <w:rFonts w:asciiTheme="minorHAnsi" w:hAnsiTheme="minorHAnsi" w:cs="Arial"/>
                <w:sz w:val="22"/>
                <w:szCs w:val="22"/>
                <w:shd w:val="clear" w:color="auto" w:fill="FFFFFF"/>
              </w:rPr>
              <w:t>vernment portal</w:t>
            </w:r>
            <w:r w:rsidRPr="00366CF6">
              <w:rPr>
                <w:rFonts w:asciiTheme="minorHAnsi" w:hAnsiTheme="minorHAnsi" w:cs="Arial"/>
                <w:sz w:val="22"/>
                <w:szCs w:val="22"/>
                <w:shd w:val="clear" w:color="auto" w:fill="FFFFFF"/>
              </w:rPr>
              <w:t xml:space="preserve">. The </w:t>
            </w:r>
            <w:r w:rsidR="00E62FC8" w:rsidRPr="00366CF6">
              <w:rPr>
                <w:rStyle w:val="roaranswertext"/>
                <w:rFonts w:asciiTheme="minorHAnsi" w:hAnsiTheme="minorHAnsi" w:cs="Arial"/>
                <w:sz w:val="22"/>
                <w:szCs w:val="22"/>
                <w:bdr w:val="none" w:sz="0" w:space="0" w:color="auto" w:frame="1"/>
                <w:shd w:val="clear" w:color="auto" w:fill="FFFFFF"/>
              </w:rPr>
              <w:t>African Ch</w:t>
            </w:r>
            <w:r w:rsidR="00E62FC8">
              <w:rPr>
                <w:rStyle w:val="roaranswertext"/>
                <w:rFonts w:asciiTheme="minorHAnsi" w:hAnsiTheme="minorHAnsi" w:cs="Arial"/>
                <w:sz w:val="22"/>
                <w:szCs w:val="22"/>
                <w:bdr w:val="none" w:sz="0" w:space="0" w:color="auto" w:frame="1"/>
                <w:shd w:val="clear" w:color="auto" w:fill="FFFFFF"/>
              </w:rPr>
              <w:t>arter for Decentralization</w:t>
            </w:r>
            <w:r w:rsidRPr="00366CF6">
              <w:rPr>
                <w:rFonts w:asciiTheme="minorHAnsi" w:hAnsiTheme="minorHAnsi" w:cs="Arial"/>
                <w:sz w:val="22"/>
                <w:szCs w:val="22"/>
                <w:shd w:val="clear" w:color="auto" w:fill="FFFFFF"/>
              </w:rPr>
              <w:t xml:space="preserve"> was adopted in 2014. </w:t>
            </w:r>
          </w:p>
          <w:p w14:paraId="18A0A120" w14:textId="790C587F" w:rsidR="00A537BB" w:rsidRPr="00E62FC8" w:rsidRDefault="00A537BB" w:rsidP="00BE7B47">
            <w:pPr>
              <w:pStyle w:val="BodyText2"/>
              <w:spacing w:before="120" w:after="120"/>
              <w:jc w:val="both"/>
              <w:rPr>
                <w:rFonts w:asciiTheme="minorHAnsi" w:hAnsiTheme="minorHAnsi" w:cs="Arial"/>
                <w:sz w:val="22"/>
                <w:szCs w:val="22"/>
                <w:shd w:val="clear" w:color="auto" w:fill="FFFFFF"/>
              </w:rPr>
            </w:pPr>
            <w:r w:rsidRPr="00A537BB">
              <w:rPr>
                <w:rFonts w:asciiTheme="minorHAnsi" w:hAnsiTheme="minorHAnsi" w:cs="Arial"/>
                <w:sz w:val="22"/>
                <w:szCs w:val="22"/>
                <w:shd w:val="clear" w:color="auto" w:fill="FFFFFF"/>
              </w:rPr>
              <w:t xml:space="preserve">Significant progress was also registered in terms of service delivery of the Justice sector as evidenced by the fact that the target set </w:t>
            </w:r>
            <w:r w:rsidR="00AE12DA">
              <w:rPr>
                <w:rFonts w:asciiTheme="minorHAnsi" w:hAnsiTheme="minorHAnsi" w:cs="Arial"/>
                <w:sz w:val="22"/>
                <w:szCs w:val="22"/>
                <w:shd w:val="clear" w:color="auto" w:fill="FFFFFF"/>
              </w:rPr>
              <w:t>for</w:t>
            </w:r>
            <w:r w:rsidRPr="00A537BB">
              <w:rPr>
                <w:rFonts w:asciiTheme="minorHAnsi" w:hAnsiTheme="minorHAnsi" w:cs="Arial"/>
                <w:sz w:val="22"/>
                <w:szCs w:val="22"/>
                <w:shd w:val="clear" w:color="auto" w:fill="FFFFFF"/>
              </w:rPr>
              <w:t xml:space="preserve"> the number of people assisted by the Free Legal Aid Institute (IPAJ) was abundantly surpassed. </w:t>
            </w:r>
            <w:r w:rsidR="00AE12DA">
              <w:rPr>
                <w:rFonts w:asciiTheme="minorHAnsi" w:hAnsiTheme="minorHAnsi" w:cs="Arial"/>
                <w:sz w:val="22"/>
                <w:szCs w:val="22"/>
                <w:shd w:val="clear" w:color="auto" w:fill="FFFFFF"/>
              </w:rPr>
              <w:t>A</w:t>
            </w:r>
            <w:r w:rsidRPr="00A537BB">
              <w:rPr>
                <w:rFonts w:asciiTheme="minorHAnsi" w:hAnsiTheme="minorHAnsi" w:cs="Arial"/>
                <w:sz w:val="22"/>
                <w:szCs w:val="22"/>
                <w:shd w:val="clear" w:color="auto" w:fill="FFFFFF"/>
              </w:rPr>
              <w:t xml:space="preserve"> total of 85.172 people were assisted </w:t>
            </w:r>
            <w:r w:rsidR="00AE12DA">
              <w:rPr>
                <w:rFonts w:asciiTheme="minorHAnsi" w:hAnsiTheme="minorHAnsi" w:cs="Arial"/>
                <w:sz w:val="22"/>
                <w:szCs w:val="22"/>
                <w:shd w:val="clear" w:color="auto" w:fill="FFFFFF"/>
              </w:rPr>
              <w:t xml:space="preserve">by IPAJ as of June 2015 </w:t>
            </w:r>
            <w:r w:rsidRPr="00A537BB">
              <w:rPr>
                <w:rFonts w:asciiTheme="minorHAnsi" w:hAnsiTheme="minorHAnsi" w:cs="Arial"/>
                <w:sz w:val="22"/>
                <w:szCs w:val="22"/>
                <w:shd w:val="clear" w:color="auto" w:fill="FFFFFF"/>
              </w:rPr>
              <w:t>with an increase of 24.705 if compared to the same period of 2014. The target for 201</w:t>
            </w:r>
            <w:r w:rsidR="00AE12DA">
              <w:rPr>
                <w:rFonts w:asciiTheme="minorHAnsi" w:hAnsiTheme="minorHAnsi" w:cs="Arial"/>
                <w:sz w:val="22"/>
                <w:szCs w:val="22"/>
                <w:shd w:val="clear" w:color="auto" w:fill="FFFFFF"/>
              </w:rPr>
              <w:t xml:space="preserve">5 for this indicator was 77.000. </w:t>
            </w:r>
            <w:r w:rsidRPr="00A537BB">
              <w:rPr>
                <w:rFonts w:asciiTheme="minorHAnsi" w:hAnsiTheme="minorHAnsi" w:cs="Arial"/>
                <w:sz w:val="22"/>
                <w:szCs w:val="22"/>
                <w:shd w:val="clear" w:color="auto" w:fill="FFFFFF"/>
              </w:rPr>
              <w:t>UNDP contribution to this achievement started a few years ago with the construction of 5 Palaces of Justice in selected districts where IPAJs are installed</w:t>
            </w:r>
            <w:r w:rsidR="00BE7B47">
              <w:rPr>
                <w:rFonts w:asciiTheme="minorHAnsi" w:hAnsiTheme="minorHAnsi" w:cs="Arial"/>
                <w:sz w:val="22"/>
                <w:szCs w:val="22"/>
                <w:shd w:val="clear" w:color="auto" w:fill="FFFFFF"/>
              </w:rPr>
              <w:t>.</w:t>
            </w:r>
          </w:p>
        </w:tc>
      </w:tr>
    </w:tbl>
    <w:p w14:paraId="18C21AC5" w14:textId="77777777" w:rsidR="00D9192E" w:rsidRPr="00AB430F" w:rsidRDefault="00D9192E">
      <w:pPr>
        <w:rPr>
          <w:rFonts w:asciiTheme="minorHAnsi" w:hAnsiTheme="minorHAnsi"/>
        </w:rPr>
      </w:pPr>
      <w:r w:rsidRPr="00AB430F">
        <w:rPr>
          <w:rFonts w:asciiTheme="minorHAnsi" w:hAnsiTheme="minorHAnsi"/>
        </w:rPr>
        <w:lastRenderedPageBreak/>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9E7526" w:rsidRPr="00AB430F" w14:paraId="2DCE8765" w14:textId="77777777" w:rsidTr="00463C72">
        <w:tc>
          <w:tcPr>
            <w:tcW w:w="14040" w:type="dxa"/>
          </w:tcPr>
          <w:p w14:paraId="68F8110D" w14:textId="5777962B" w:rsidR="009E7526" w:rsidRPr="00366CF6" w:rsidRDefault="009E7526" w:rsidP="00366CF6">
            <w:pPr>
              <w:jc w:val="both"/>
              <w:rPr>
                <w:rFonts w:asciiTheme="minorHAnsi" w:hAnsiTheme="minorHAnsi"/>
                <w:sz w:val="22"/>
                <w:szCs w:val="22"/>
                <w:u w:val="single"/>
              </w:rPr>
            </w:pPr>
            <w:r w:rsidRPr="00366CF6">
              <w:rPr>
                <w:rFonts w:asciiTheme="minorHAnsi" w:hAnsiTheme="minorHAnsi"/>
                <w:sz w:val="22"/>
                <w:szCs w:val="22"/>
                <w:u w:val="single"/>
              </w:rPr>
              <w:lastRenderedPageBreak/>
              <w:t>Summary of evaluation</w:t>
            </w:r>
            <w:r w:rsidR="00674B1A" w:rsidRPr="00366CF6">
              <w:rPr>
                <w:rFonts w:asciiTheme="minorHAnsi" w:hAnsiTheme="minorHAnsi"/>
                <w:sz w:val="22"/>
                <w:szCs w:val="22"/>
                <w:u w:val="single"/>
              </w:rPr>
              <w:t xml:space="preserve"> finding</w:t>
            </w:r>
            <w:r w:rsidRPr="00366CF6">
              <w:rPr>
                <w:rFonts w:asciiTheme="minorHAnsi" w:hAnsiTheme="minorHAnsi"/>
                <w:sz w:val="22"/>
                <w:szCs w:val="22"/>
                <w:u w:val="single"/>
              </w:rPr>
              <w:t>s (</w:t>
            </w:r>
            <w:r w:rsidR="008F0A97" w:rsidRPr="00366CF6">
              <w:rPr>
                <w:rFonts w:asciiTheme="minorHAnsi" w:hAnsiTheme="minorHAnsi"/>
                <w:sz w:val="22"/>
                <w:szCs w:val="22"/>
                <w:u w:val="single"/>
              </w:rPr>
              <w:t xml:space="preserve">e.g. from outcome and project evaluations, UNDAF </w:t>
            </w:r>
            <w:r w:rsidRPr="00366CF6">
              <w:rPr>
                <w:rFonts w:asciiTheme="minorHAnsi" w:hAnsiTheme="minorHAnsi"/>
                <w:sz w:val="22"/>
                <w:szCs w:val="22"/>
                <w:u w:val="single"/>
              </w:rPr>
              <w:t xml:space="preserve">reviews, </w:t>
            </w:r>
            <w:r w:rsidR="008F0A97" w:rsidRPr="00366CF6">
              <w:rPr>
                <w:rFonts w:asciiTheme="minorHAnsi" w:hAnsiTheme="minorHAnsi"/>
                <w:sz w:val="22"/>
                <w:szCs w:val="22"/>
                <w:u w:val="single"/>
              </w:rPr>
              <w:t xml:space="preserve">and other </w:t>
            </w:r>
            <w:r w:rsidRPr="00366CF6">
              <w:rPr>
                <w:rFonts w:asciiTheme="minorHAnsi" w:hAnsiTheme="minorHAnsi"/>
                <w:sz w:val="22"/>
                <w:szCs w:val="22"/>
                <w:u w:val="single"/>
              </w:rPr>
              <w:t>assessments)</w:t>
            </w:r>
          </w:p>
          <w:p w14:paraId="0FB2FBE3" w14:textId="77777777" w:rsidR="00FC6570" w:rsidRPr="00366CF6" w:rsidRDefault="00FC6570" w:rsidP="00366CF6">
            <w:pPr>
              <w:jc w:val="both"/>
              <w:rPr>
                <w:rFonts w:asciiTheme="minorHAnsi" w:hAnsiTheme="minorHAnsi"/>
                <w:sz w:val="22"/>
                <w:szCs w:val="22"/>
              </w:rPr>
            </w:pPr>
          </w:p>
          <w:p w14:paraId="50C0B658" w14:textId="5E84258E" w:rsidR="00DF7AAF" w:rsidRPr="00DF7AAF" w:rsidRDefault="00DF7AAF" w:rsidP="00DF7AAF">
            <w:pPr>
              <w:pStyle w:val="ListParagraph"/>
              <w:numPr>
                <w:ilvl w:val="0"/>
                <w:numId w:val="36"/>
              </w:numPr>
              <w:jc w:val="both"/>
              <w:rPr>
                <w:rFonts w:asciiTheme="minorHAnsi" w:hAnsiTheme="minorHAnsi"/>
                <w:b/>
                <w:sz w:val="22"/>
                <w:szCs w:val="22"/>
                <w:u w:val="single"/>
              </w:rPr>
            </w:pPr>
            <w:r w:rsidRPr="00DF7AAF">
              <w:rPr>
                <w:rFonts w:asciiTheme="minorHAnsi" w:hAnsiTheme="minorHAnsi"/>
                <w:b/>
                <w:sz w:val="22"/>
                <w:szCs w:val="22"/>
                <w:u w:val="single"/>
              </w:rPr>
              <w:t>UNDAF Mid-term Review and Strategic Reflection</w:t>
            </w:r>
          </w:p>
          <w:p w14:paraId="0A4D9CC7" w14:textId="77777777" w:rsidR="00DF7AAF" w:rsidRPr="00DF7AAF" w:rsidRDefault="00DF7AAF" w:rsidP="00DF7AAF">
            <w:pPr>
              <w:jc w:val="both"/>
              <w:rPr>
                <w:rFonts w:asciiTheme="minorHAnsi" w:hAnsiTheme="minorHAnsi"/>
                <w:sz w:val="22"/>
                <w:szCs w:val="22"/>
              </w:rPr>
            </w:pPr>
          </w:p>
          <w:p w14:paraId="6075F6F9" w14:textId="0C202005" w:rsidR="005371F8" w:rsidRPr="00366CF6" w:rsidRDefault="00E62FC8" w:rsidP="00366CF6">
            <w:pPr>
              <w:jc w:val="both"/>
              <w:rPr>
                <w:rFonts w:asciiTheme="minorHAnsi" w:hAnsiTheme="minorHAnsi"/>
                <w:sz w:val="22"/>
                <w:szCs w:val="22"/>
              </w:rPr>
            </w:pPr>
            <w:r>
              <w:rPr>
                <w:rFonts w:asciiTheme="minorHAnsi" w:hAnsiTheme="minorHAnsi"/>
                <w:sz w:val="22"/>
                <w:szCs w:val="22"/>
              </w:rPr>
              <w:t xml:space="preserve">The </w:t>
            </w:r>
            <w:r w:rsidR="005371F8" w:rsidRPr="00366CF6">
              <w:rPr>
                <w:rFonts w:asciiTheme="minorHAnsi" w:hAnsiTheme="minorHAnsi"/>
                <w:sz w:val="22"/>
                <w:szCs w:val="22"/>
              </w:rPr>
              <w:t>Strategic Reflection and Mid Term review of the UNDAF (2012-2015) in Mozambique was carrie</w:t>
            </w:r>
            <w:r>
              <w:rPr>
                <w:rFonts w:asciiTheme="minorHAnsi" w:hAnsiTheme="minorHAnsi"/>
                <w:sz w:val="22"/>
                <w:szCs w:val="22"/>
              </w:rPr>
              <w:t>d out between mid-July and mid-</w:t>
            </w:r>
            <w:r w:rsidR="005371F8" w:rsidRPr="00366CF6">
              <w:rPr>
                <w:rFonts w:asciiTheme="minorHAnsi" w:hAnsiTheme="minorHAnsi"/>
                <w:sz w:val="22"/>
                <w:szCs w:val="22"/>
              </w:rPr>
              <w:t>October 2014. The overall goal of the Mozambique UNDAF (2012-2015) is “Reduced poverty and disparities to improve the lives of the most vulnerable people in Mozambique by 2015” in support of the national priorities and policies. The UNDAF Results are organized in three programme areas, Economic, Social and Governance.</w:t>
            </w:r>
            <w:r>
              <w:rPr>
                <w:rFonts w:asciiTheme="minorHAnsi" w:hAnsiTheme="minorHAnsi"/>
                <w:sz w:val="22"/>
                <w:szCs w:val="22"/>
              </w:rPr>
              <w:t xml:space="preserve"> UNDP Country P</w:t>
            </w:r>
            <w:r w:rsidR="00FC6570" w:rsidRPr="00366CF6">
              <w:rPr>
                <w:rFonts w:asciiTheme="minorHAnsi" w:hAnsiTheme="minorHAnsi"/>
                <w:sz w:val="22"/>
                <w:szCs w:val="22"/>
              </w:rPr>
              <w:t xml:space="preserve">rogramme </w:t>
            </w:r>
            <w:r>
              <w:rPr>
                <w:rFonts w:asciiTheme="minorHAnsi" w:hAnsiTheme="minorHAnsi"/>
                <w:sz w:val="22"/>
                <w:szCs w:val="22"/>
              </w:rPr>
              <w:t xml:space="preserve">contribution is focused on the </w:t>
            </w:r>
            <w:r w:rsidR="00FC6570" w:rsidRPr="00366CF6">
              <w:rPr>
                <w:rFonts w:asciiTheme="minorHAnsi" w:hAnsiTheme="minorHAnsi"/>
                <w:sz w:val="22"/>
                <w:szCs w:val="22"/>
              </w:rPr>
              <w:t xml:space="preserve">Economic and Governance </w:t>
            </w:r>
            <w:r>
              <w:rPr>
                <w:rFonts w:asciiTheme="minorHAnsi" w:hAnsiTheme="minorHAnsi"/>
                <w:sz w:val="22"/>
                <w:szCs w:val="22"/>
              </w:rPr>
              <w:t>p</w:t>
            </w:r>
            <w:r w:rsidR="00FC6570" w:rsidRPr="00366CF6">
              <w:rPr>
                <w:rFonts w:asciiTheme="minorHAnsi" w:hAnsiTheme="minorHAnsi"/>
                <w:sz w:val="22"/>
                <w:szCs w:val="22"/>
              </w:rPr>
              <w:t xml:space="preserve">rogramme areas. </w:t>
            </w:r>
            <w:r>
              <w:rPr>
                <w:rFonts w:asciiTheme="minorHAnsi" w:hAnsiTheme="minorHAnsi"/>
                <w:sz w:val="22"/>
                <w:szCs w:val="22"/>
              </w:rPr>
              <w:t>The below recommendations apply for UNDP intervention.</w:t>
            </w:r>
          </w:p>
          <w:p w14:paraId="2890A18C" w14:textId="77777777" w:rsidR="00FC6570" w:rsidRPr="00366CF6" w:rsidRDefault="00FC6570" w:rsidP="00366CF6">
            <w:pPr>
              <w:jc w:val="both"/>
              <w:rPr>
                <w:rFonts w:asciiTheme="minorHAnsi" w:hAnsiTheme="minorHAnsi"/>
                <w:sz w:val="22"/>
                <w:szCs w:val="22"/>
              </w:rPr>
            </w:pPr>
          </w:p>
          <w:p w14:paraId="4F9251B3" w14:textId="77777777" w:rsidR="00FC6570" w:rsidRPr="00366CF6" w:rsidRDefault="00FC6570" w:rsidP="00366CF6">
            <w:pPr>
              <w:jc w:val="both"/>
              <w:rPr>
                <w:rFonts w:asciiTheme="minorHAnsi" w:hAnsiTheme="minorHAnsi"/>
                <w:b/>
                <w:sz w:val="22"/>
                <w:szCs w:val="22"/>
              </w:rPr>
            </w:pPr>
            <w:r w:rsidRPr="00DF7AAF">
              <w:rPr>
                <w:rFonts w:asciiTheme="minorHAnsi" w:hAnsiTheme="minorHAnsi"/>
                <w:sz w:val="22"/>
                <w:szCs w:val="22"/>
              </w:rPr>
              <w:t>Economic Programme Area: Recommendations</w:t>
            </w:r>
            <w:r w:rsidRPr="00366CF6">
              <w:rPr>
                <w:rFonts w:asciiTheme="minorHAnsi" w:hAnsiTheme="minorHAnsi"/>
                <w:b/>
                <w:sz w:val="22"/>
                <w:szCs w:val="22"/>
              </w:rPr>
              <w:t>:</w:t>
            </w:r>
          </w:p>
          <w:p w14:paraId="7C22F3F8" w14:textId="4BF2DD15" w:rsidR="00E62FC8" w:rsidRPr="000E2518" w:rsidRDefault="00FC6570" w:rsidP="000E2518">
            <w:pPr>
              <w:pStyle w:val="ListParagraph"/>
              <w:numPr>
                <w:ilvl w:val="0"/>
                <w:numId w:val="33"/>
              </w:numPr>
              <w:jc w:val="both"/>
              <w:rPr>
                <w:rFonts w:asciiTheme="minorHAnsi" w:hAnsiTheme="minorHAnsi"/>
                <w:sz w:val="22"/>
                <w:szCs w:val="22"/>
              </w:rPr>
            </w:pPr>
            <w:r w:rsidRPr="000E2518">
              <w:rPr>
                <w:rFonts w:asciiTheme="minorHAnsi" w:hAnsiTheme="minorHAnsi"/>
                <w:sz w:val="22"/>
                <w:szCs w:val="22"/>
              </w:rPr>
              <w:t xml:space="preserve">Conduct a scoping exercise on the key issues related to </w:t>
            </w:r>
            <w:r w:rsidR="00E62FC8" w:rsidRPr="000E2518">
              <w:rPr>
                <w:rFonts w:asciiTheme="minorHAnsi" w:hAnsiTheme="minorHAnsi"/>
                <w:sz w:val="22"/>
                <w:szCs w:val="22"/>
              </w:rPr>
              <w:t>urbanization</w:t>
            </w:r>
            <w:r w:rsidRPr="000E2518">
              <w:rPr>
                <w:rFonts w:asciiTheme="minorHAnsi" w:hAnsiTheme="minorHAnsi"/>
                <w:sz w:val="22"/>
                <w:szCs w:val="22"/>
              </w:rPr>
              <w:t xml:space="preserve"> and </w:t>
            </w:r>
            <w:r w:rsidR="00E62FC8" w:rsidRPr="000E2518">
              <w:rPr>
                <w:rFonts w:asciiTheme="minorHAnsi" w:hAnsiTheme="minorHAnsi"/>
                <w:sz w:val="22"/>
                <w:szCs w:val="22"/>
              </w:rPr>
              <w:t>industrialization</w:t>
            </w:r>
            <w:r w:rsidRPr="000E2518">
              <w:rPr>
                <w:rFonts w:asciiTheme="minorHAnsi" w:hAnsiTheme="minorHAnsi"/>
                <w:sz w:val="22"/>
                <w:szCs w:val="22"/>
              </w:rPr>
              <w:t xml:space="preserve"> and engage in a coordinated UN dialogue with the M</w:t>
            </w:r>
            <w:r w:rsidR="00E62FC8" w:rsidRPr="000E2518">
              <w:rPr>
                <w:rFonts w:asciiTheme="minorHAnsi" w:hAnsiTheme="minorHAnsi"/>
                <w:sz w:val="22"/>
                <w:szCs w:val="22"/>
              </w:rPr>
              <w:t>inistry of Planning and Development, Ministry of State Administration and Ministry of Environment;</w:t>
            </w:r>
          </w:p>
          <w:p w14:paraId="6E65AC18" w14:textId="0CD14461" w:rsidR="00FC6570" w:rsidRPr="000E2518" w:rsidRDefault="00FC6570" w:rsidP="000E2518">
            <w:pPr>
              <w:pStyle w:val="ListParagraph"/>
              <w:numPr>
                <w:ilvl w:val="0"/>
                <w:numId w:val="33"/>
              </w:numPr>
              <w:jc w:val="both"/>
              <w:rPr>
                <w:rFonts w:asciiTheme="minorHAnsi" w:hAnsiTheme="minorHAnsi"/>
                <w:sz w:val="22"/>
                <w:szCs w:val="22"/>
              </w:rPr>
            </w:pPr>
            <w:r w:rsidRPr="000E2518">
              <w:rPr>
                <w:rFonts w:asciiTheme="minorHAnsi" w:hAnsiTheme="minorHAnsi"/>
                <w:sz w:val="22"/>
                <w:szCs w:val="22"/>
              </w:rPr>
              <w:t>Support M</w:t>
            </w:r>
            <w:r w:rsidR="00E62FC8" w:rsidRPr="000E2518">
              <w:rPr>
                <w:rFonts w:asciiTheme="minorHAnsi" w:hAnsiTheme="minorHAnsi"/>
                <w:sz w:val="22"/>
                <w:szCs w:val="22"/>
              </w:rPr>
              <w:t xml:space="preserve">inistry of Planning and Development </w:t>
            </w:r>
            <w:r w:rsidRPr="000E2518">
              <w:rPr>
                <w:rFonts w:asciiTheme="minorHAnsi" w:hAnsiTheme="minorHAnsi"/>
                <w:sz w:val="22"/>
                <w:szCs w:val="22"/>
              </w:rPr>
              <w:t>policy and dialogue on linking inclusive growth and job creation</w:t>
            </w:r>
            <w:r w:rsidR="00E62FC8" w:rsidRPr="000E2518">
              <w:rPr>
                <w:rFonts w:asciiTheme="minorHAnsi" w:hAnsiTheme="minorHAnsi"/>
                <w:sz w:val="22"/>
                <w:szCs w:val="22"/>
              </w:rPr>
              <w:t>;</w:t>
            </w:r>
          </w:p>
          <w:p w14:paraId="4D8806D6" w14:textId="75AD1A27" w:rsidR="00FC6570" w:rsidRPr="000E2518" w:rsidRDefault="00FC6570" w:rsidP="000E2518">
            <w:pPr>
              <w:pStyle w:val="ListParagraph"/>
              <w:numPr>
                <w:ilvl w:val="0"/>
                <w:numId w:val="33"/>
              </w:numPr>
              <w:jc w:val="both"/>
              <w:rPr>
                <w:rFonts w:asciiTheme="minorHAnsi" w:hAnsiTheme="minorHAnsi"/>
                <w:sz w:val="22"/>
                <w:szCs w:val="22"/>
              </w:rPr>
            </w:pPr>
            <w:r w:rsidRPr="000E2518">
              <w:rPr>
                <w:rFonts w:asciiTheme="minorHAnsi" w:hAnsiTheme="minorHAnsi"/>
                <w:sz w:val="22"/>
                <w:szCs w:val="22"/>
              </w:rPr>
              <w:t>Prioritize the design of a joint programme on employment</w:t>
            </w:r>
            <w:r w:rsidR="00E62FC8" w:rsidRPr="000E2518">
              <w:rPr>
                <w:rFonts w:asciiTheme="minorHAnsi" w:hAnsiTheme="minorHAnsi"/>
                <w:sz w:val="22"/>
                <w:szCs w:val="22"/>
              </w:rPr>
              <w:t>;</w:t>
            </w:r>
          </w:p>
          <w:p w14:paraId="69805298" w14:textId="58D4C597" w:rsidR="00FC6570" w:rsidRPr="000E2518" w:rsidRDefault="00FC6570" w:rsidP="000E2518">
            <w:pPr>
              <w:pStyle w:val="ListParagraph"/>
              <w:numPr>
                <w:ilvl w:val="0"/>
                <w:numId w:val="33"/>
              </w:numPr>
              <w:jc w:val="both"/>
              <w:rPr>
                <w:rFonts w:asciiTheme="minorHAnsi" w:hAnsiTheme="minorHAnsi"/>
                <w:sz w:val="22"/>
                <w:szCs w:val="22"/>
              </w:rPr>
            </w:pPr>
            <w:r w:rsidRPr="000E2518">
              <w:rPr>
                <w:rFonts w:asciiTheme="minorHAnsi" w:hAnsiTheme="minorHAnsi"/>
                <w:sz w:val="22"/>
                <w:szCs w:val="22"/>
              </w:rPr>
              <w:t>Consolidate the UN broker role in the extractive industries dialogue and strengthen advocacy on the social, environmental and human rights dimensions of the extractive industries</w:t>
            </w:r>
            <w:r w:rsidR="00E62FC8" w:rsidRPr="000E2518">
              <w:rPr>
                <w:rFonts w:asciiTheme="minorHAnsi" w:hAnsiTheme="minorHAnsi"/>
                <w:sz w:val="22"/>
                <w:szCs w:val="22"/>
              </w:rPr>
              <w:t>;</w:t>
            </w:r>
          </w:p>
          <w:p w14:paraId="7AED8820" w14:textId="261398AC" w:rsidR="005371F8" w:rsidRPr="000E2518" w:rsidRDefault="00FC6570" w:rsidP="000E2518">
            <w:pPr>
              <w:pStyle w:val="ListParagraph"/>
              <w:numPr>
                <w:ilvl w:val="0"/>
                <w:numId w:val="33"/>
              </w:numPr>
              <w:jc w:val="both"/>
              <w:rPr>
                <w:rFonts w:asciiTheme="minorHAnsi" w:hAnsiTheme="minorHAnsi"/>
                <w:sz w:val="22"/>
                <w:szCs w:val="22"/>
              </w:rPr>
            </w:pPr>
            <w:r w:rsidRPr="000E2518">
              <w:rPr>
                <w:rFonts w:asciiTheme="minorHAnsi" w:hAnsiTheme="minorHAnsi"/>
                <w:sz w:val="22"/>
                <w:szCs w:val="22"/>
              </w:rPr>
              <w:t>Define expanded support to Municipalities</w:t>
            </w:r>
            <w:r w:rsidR="00E62FC8" w:rsidRPr="000E2518">
              <w:rPr>
                <w:rFonts w:asciiTheme="minorHAnsi" w:hAnsiTheme="minorHAnsi"/>
                <w:sz w:val="22"/>
                <w:szCs w:val="22"/>
              </w:rPr>
              <w:t>.</w:t>
            </w:r>
          </w:p>
          <w:p w14:paraId="058C3DF2" w14:textId="77777777" w:rsidR="00FC6570" w:rsidRPr="00366CF6" w:rsidRDefault="00FC6570" w:rsidP="00366CF6">
            <w:pPr>
              <w:jc w:val="both"/>
              <w:rPr>
                <w:rFonts w:asciiTheme="minorHAnsi" w:hAnsiTheme="minorHAnsi"/>
                <w:sz w:val="22"/>
                <w:szCs w:val="22"/>
              </w:rPr>
            </w:pPr>
          </w:p>
          <w:p w14:paraId="70312C60" w14:textId="77777777" w:rsidR="00FC6570" w:rsidRPr="00DF7AAF" w:rsidRDefault="00FC6570" w:rsidP="00366CF6">
            <w:pPr>
              <w:jc w:val="both"/>
              <w:rPr>
                <w:rFonts w:asciiTheme="minorHAnsi" w:hAnsiTheme="minorHAnsi"/>
                <w:sz w:val="22"/>
                <w:szCs w:val="22"/>
              </w:rPr>
            </w:pPr>
            <w:r w:rsidRPr="00DF7AAF">
              <w:rPr>
                <w:rFonts w:asciiTheme="minorHAnsi" w:hAnsiTheme="minorHAnsi"/>
                <w:sz w:val="22"/>
                <w:szCs w:val="22"/>
              </w:rPr>
              <w:t>Governance Programme Area: Recommendations:</w:t>
            </w:r>
          </w:p>
          <w:p w14:paraId="2980594F" w14:textId="150FCBBE" w:rsidR="00FC6570" w:rsidRPr="000E2518" w:rsidRDefault="00FC6570" w:rsidP="000E2518">
            <w:pPr>
              <w:pStyle w:val="ListParagraph"/>
              <w:numPr>
                <w:ilvl w:val="0"/>
                <w:numId w:val="32"/>
              </w:numPr>
              <w:jc w:val="both"/>
              <w:rPr>
                <w:rFonts w:asciiTheme="minorHAnsi" w:hAnsiTheme="minorHAnsi"/>
                <w:sz w:val="22"/>
                <w:szCs w:val="22"/>
              </w:rPr>
            </w:pPr>
            <w:r w:rsidRPr="000E2518">
              <w:rPr>
                <w:rFonts w:asciiTheme="minorHAnsi" w:hAnsiTheme="minorHAnsi"/>
                <w:sz w:val="22"/>
                <w:szCs w:val="22"/>
              </w:rPr>
              <w:t>Monitor closely post-election policy development and seek out opportunities to engage in dialogue and support</w:t>
            </w:r>
            <w:r w:rsidR="00E62FC8" w:rsidRPr="000E2518">
              <w:rPr>
                <w:rFonts w:asciiTheme="minorHAnsi" w:hAnsiTheme="minorHAnsi"/>
                <w:sz w:val="22"/>
                <w:szCs w:val="22"/>
              </w:rPr>
              <w:t>;</w:t>
            </w:r>
          </w:p>
          <w:p w14:paraId="3BEEFE0C" w14:textId="675DD05F" w:rsidR="00FC6570" w:rsidRPr="000E2518" w:rsidRDefault="00FC6570" w:rsidP="000E2518">
            <w:pPr>
              <w:pStyle w:val="ListParagraph"/>
              <w:numPr>
                <w:ilvl w:val="0"/>
                <w:numId w:val="32"/>
              </w:numPr>
              <w:jc w:val="both"/>
              <w:rPr>
                <w:rFonts w:asciiTheme="minorHAnsi" w:hAnsiTheme="minorHAnsi"/>
                <w:sz w:val="22"/>
                <w:szCs w:val="22"/>
              </w:rPr>
            </w:pPr>
            <w:r w:rsidRPr="000E2518">
              <w:rPr>
                <w:rFonts w:asciiTheme="minorHAnsi" w:hAnsiTheme="minorHAnsi"/>
                <w:sz w:val="22"/>
                <w:szCs w:val="22"/>
              </w:rPr>
              <w:t>Identify key governing institutions that are most critical in promoting political inclusion and support their role as “peace builders”</w:t>
            </w:r>
            <w:r w:rsidR="00E62FC8" w:rsidRPr="000E2518">
              <w:rPr>
                <w:rFonts w:asciiTheme="minorHAnsi" w:hAnsiTheme="minorHAnsi"/>
                <w:sz w:val="22"/>
                <w:szCs w:val="22"/>
              </w:rPr>
              <w:t>;</w:t>
            </w:r>
          </w:p>
          <w:p w14:paraId="5A94DDBC" w14:textId="37738FBB" w:rsidR="00FC6570" w:rsidRPr="000E2518" w:rsidRDefault="00E62FC8" w:rsidP="000E2518">
            <w:pPr>
              <w:pStyle w:val="ListParagraph"/>
              <w:numPr>
                <w:ilvl w:val="0"/>
                <w:numId w:val="32"/>
              </w:numPr>
              <w:jc w:val="both"/>
              <w:rPr>
                <w:rFonts w:asciiTheme="minorHAnsi" w:hAnsiTheme="minorHAnsi"/>
                <w:sz w:val="22"/>
                <w:szCs w:val="22"/>
              </w:rPr>
            </w:pPr>
            <w:r w:rsidRPr="000E2518">
              <w:rPr>
                <w:rFonts w:asciiTheme="minorHAnsi" w:hAnsiTheme="minorHAnsi"/>
                <w:sz w:val="22"/>
                <w:szCs w:val="22"/>
              </w:rPr>
              <w:t>Intensify</w:t>
            </w:r>
            <w:r w:rsidR="00FC6570" w:rsidRPr="000E2518">
              <w:rPr>
                <w:rFonts w:asciiTheme="minorHAnsi" w:hAnsiTheme="minorHAnsi"/>
                <w:sz w:val="22"/>
                <w:szCs w:val="22"/>
              </w:rPr>
              <w:t xml:space="preserve"> support and capacity building to Parliament</w:t>
            </w:r>
            <w:r w:rsidRPr="000E2518">
              <w:rPr>
                <w:rFonts w:asciiTheme="minorHAnsi" w:hAnsiTheme="minorHAnsi"/>
                <w:sz w:val="22"/>
                <w:szCs w:val="22"/>
              </w:rPr>
              <w:t>;</w:t>
            </w:r>
          </w:p>
          <w:p w14:paraId="1C0B6B29" w14:textId="6FFF7D37" w:rsidR="00FC6570" w:rsidRPr="000E2518" w:rsidRDefault="00FC6570" w:rsidP="000E2518">
            <w:pPr>
              <w:pStyle w:val="ListParagraph"/>
              <w:numPr>
                <w:ilvl w:val="0"/>
                <w:numId w:val="32"/>
              </w:numPr>
              <w:jc w:val="both"/>
              <w:rPr>
                <w:rFonts w:asciiTheme="minorHAnsi" w:hAnsiTheme="minorHAnsi"/>
                <w:sz w:val="22"/>
                <w:szCs w:val="22"/>
              </w:rPr>
            </w:pPr>
            <w:r w:rsidRPr="000E2518">
              <w:rPr>
                <w:rFonts w:asciiTheme="minorHAnsi" w:hAnsiTheme="minorHAnsi"/>
                <w:sz w:val="22"/>
                <w:szCs w:val="22"/>
              </w:rPr>
              <w:t>Finalize the UN Civil Society Strategy</w:t>
            </w:r>
            <w:r w:rsidR="00E62FC8" w:rsidRPr="000E2518">
              <w:rPr>
                <w:rFonts w:asciiTheme="minorHAnsi" w:hAnsiTheme="minorHAnsi"/>
                <w:sz w:val="22"/>
                <w:szCs w:val="22"/>
              </w:rPr>
              <w:t>;</w:t>
            </w:r>
          </w:p>
          <w:p w14:paraId="7D1AD304" w14:textId="49161A65" w:rsidR="00FC6570" w:rsidRPr="000E2518" w:rsidRDefault="00E62FC8" w:rsidP="000E2518">
            <w:pPr>
              <w:pStyle w:val="ListParagraph"/>
              <w:numPr>
                <w:ilvl w:val="0"/>
                <w:numId w:val="32"/>
              </w:numPr>
              <w:jc w:val="both"/>
              <w:rPr>
                <w:rFonts w:asciiTheme="minorHAnsi" w:hAnsiTheme="minorHAnsi"/>
                <w:sz w:val="22"/>
                <w:szCs w:val="22"/>
              </w:rPr>
            </w:pPr>
            <w:r w:rsidRPr="000E2518">
              <w:rPr>
                <w:rFonts w:asciiTheme="minorHAnsi" w:hAnsiTheme="minorHAnsi"/>
                <w:sz w:val="22"/>
                <w:szCs w:val="22"/>
              </w:rPr>
              <w:t xml:space="preserve">Improve coordination in the support provided to the National Institute of Statistics </w:t>
            </w:r>
            <w:r w:rsidR="00FC6570" w:rsidRPr="000E2518">
              <w:rPr>
                <w:rFonts w:asciiTheme="minorHAnsi" w:hAnsiTheme="minorHAnsi"/>
                <w:sz w:val="22"/>
                <w:szCs w:val="22"/>
              </w:rPr>
              <w:t>in the preparations for the next census</w:t>
            </w:r>
            <w:r w:rsidRPr="000E2518">
              <w:rPr>
                <w:rFonts w:asciiTheme="minorHAnsi" w:hAnsiTheme="minorHAnsi"/>
                <w:sz w:val="22"/>
                <w:szCs w:val="22"/>
              </w:rPr>
              <w:t>;</w:t>
            </w:r>
          </w:p>
          <w:p w14:paraId="091E3977" w14:textId="710788C0" w:rsidR="00FC6570" w:rsidRPr="000E2518" w:rsidRDefault="00E62FC8" w:rsidP="000E2518">
            <w:pPr>
              <w:pStyle w:val="ListParagraph"/>
              <w:numPr>
                <w:ilvl w:val="0"/>
                <w:numId w:val="32"/>
              </w:numPr>
              <w:jc w:val="both"/>
              <w:rPr>
                <w:rFonts w:asciiTheme="minorHAnsi" w:hAnsiTheme="minorHAnsi"/>
                <w:sz w:val="22"/>
                <w:szCs w:val="22"/>
              </w:rPr>
            </w:pPr>
            <w:r w:rsidRPr="000E2518">
              <w:rPr>
                <w:rFonts w:asciiTheme="minorHAnsi" w:hAnsiTheme="minorHAnsi"/>
                <w:sz w:val="22"/>
                <w:szCs w:val="22"/>
              </w:rPr>
              <w:t>Continue the s</w:t>
            </w:r>
            <w:r w:rsidR="00FC6570" w:rsidRPr="000E2518">
              <w:rPr>
                <w:rFonts w:asciiTheme="minorHAnsi" w:hAnsiTheme="minorHAnsi"/>
                <w:sz w:val="22"/>
                <w:szCs w:val="22"/>
              </w:rPr>
              <w:t xml:space="preserve">upport to </w:t>
            </w:r>
            <w:r w:rsidRPr="000E2518">
              <w:rPr>
                <w:rFonts w:asciiTheme="minorHAnsi" w:hAnsiTheme="minorHAnsi"/>
                <w:sz w:val="22"/>
                <w:szCs w:val="22"/>
              </w:rPr>
              <w:t xml:space="preserve">the </w:t>
            </w:r>
            <w:r w:rsidR="00FC6570" w:rsidRPr="000E2518">
              <w:rPr>
                <w:rFonts w:asciiTheme="minorHAnsi" w:hAnsiTheme="minorHAnsi"/>
                <w:sz w:val="22"/>
                <w:szCs w:val="22"/>
              </w:rPr>
              <w:t xml:space="preserve">Decentralization </w:t>
            </w:r>
            <w:r w:rsidRPr="000E2518">
              <w:rPr>
                <w:rFonts w:asciiTheme="minorHAnsi" w:hAnsiTheme="minorHAnsi"/>
                <w:sz w:val="22"/>
                <w:szCs w:val="22"/>
              </w:rPr>
              <w:t>process;</w:t>
            </w:r>
          </w:p>
          <w:p w14:paraId="678F4B31" w14:textId="6AAC5A0D" w:rsidR="00FC6570" w:rsidRPr="000E2518" w:rsidRDefault="00FC6570" w:rsidP="000E2518">
            <w:pPr>
              <w:pStyle w:val="ListParagraph"/>
              <w:numPr>
                <w:ilvl w:val="0"/>
                <w:numId w:val="32"/>
              </w:numPr>
              <w:jc w:val="both"/>
              <w:rPr>
                <w:rFonts w:asciiTheme="minorHAnsi" w:hAnsiTheme="minorHAnsi"/>
                <w:sz w:val="22"/>
                <w:szCs w:val="22"/>
              </w:rPr>
            </w:pPr>
            <w:r w:rsidRPr="000E2518">
              <w:rPr>
                <w:rFonts w:asciiTheme="minorHAnsi" w:hAnsiTheme="minorHAnsi"/>
                <w:sz w:val="22"/>
                <w:szCs w:val="22"/>
              </w:rPr>
              <w:t>Human rights support and women’s empowerment should receive a higher profile within existing governance programming</w:t>
            </w:r>
            <w:r w:rsidR="00E62FC8" w:rsidRPr="000E2518">
              <w:rPr>
                <w:rFonts w:asciiTheme="minorHAnsi" w:hAnsiTheme="minorHAnsi"/>
                <w:sz w:val="22"/>
                <w:szCs w:val="22"/>
              </w:rPr>
              <w:t>;</w:t>
            </w:r>
          </w:p>
          <w:p w14:paraId="7F448325" w14:textId="3DEDE664" w:rsidR="00FC6570" w:rsidRPr="000E2518" w:rsidRDefault="00FC6570" w:rsidP="000E2518">
            <w:pPr>
              <w:pStyle w:val="ListParagraph"/>
              <w:numPr>
                <w:ilvl w:val="0"/>
                <w:numId w:val="32"/>
              </w:numPr>
              <w:jc w:val="both"/>
              <w:rPr>
                <w:rFonts w:asciiTheme="minorHAnsi" w:hAnsiTheme="minorHAnsi"/>
                <w:sz w:val="22"/>
                <w:szCs w:val="22"/>
              </w:rPr>
            </w:pPr>
            <w:r w:rsidRPr="000E2518">
              <w:rPr>
                <w:rFonts w:asciiTheme="minorHAnsi" w:hAnsiTheme="minorHAnsi"/>
                <w:sz w:val="22"/>
                <w:szCs w:val="22"/>
              </w:rPr>
              <w:t>Select smaller number of key institutions for joint UN programmes that are critical for promoting social cohesion and political inclusion</w:t>
            </w:r>
            <w:r w:rsidR="009137AB" w:rsidRPr="000E2518">
              <w:rPr>
                <w:rFonts w:asciiTheme="minorHAnsi" w:hAnsiTheme="minorHAnsi"/>
                <w:sz w:val="22"/>
                <w:szCs w:val="22"/>
              </w:rPr>
              <w:t>;</w:t>
            </w:r>
          </w:p>
          <w:p w14:paraId="02681550" w14:textId="55E143AB" w:rsidR="00FC6570" w:rsidRPr="000E2518" w:rsidRDefault="00FC6570" w:rsidP="000E2518">
            <w:pPr>
              <w:pStyle w:val="ListParagraph"/>
              <w:numPr>
                <w:ilvl w:val="0"/>
                <w:numId w:val="32"/>
              </w:numPr>
              <w:jc w:val="both"/>
              <w:rPr>
                <w:rFonts w:asciiTheme="minorHAnsi" w:hAnsiTheme="minorHAnsi"/>
                <w:sz w:val="22"/>
                <w:szCs w:val="22"/>
              </w:rPr>
            </w:pPr>
            <w:r w:rsidRPr="000E2518">
              <w:rPr>
                <w:rFonts w:asciiTheme="minorHAnsi" w:hAnsiTheme="minorHAnsi"/>
                <w:sz w:val="22"/>
                <w:szCs w:val="22"/>
              </w:rPr>
              <w:t>Undertake an integrated assessment of possible areas for UN support to elected legislative bodies at all levels</w:t>
            </w:r>
            <w:r w:rsidR="009137AB" w:rsidRPr="000E2518">
              <w:rPr>
                <w:rFonts w:asciiTheme="minorHAnsi" w:hAnsiTheme="minorHAnsi"/>
                <w:sz w:val="22"/>
                <w:szCs w:val="22"/>
              </w:rPr>
              <w:t>;</w:t>
            </w:r>
          </w:p>
          <w:p w14:paraId="2A7C8DB3" w14:textId="2DB00CA1" w:rsidR="00674B1A" w:rsidRPr="000E2518" w:rsidRDefault="00FC6570" w:rsidP="000E2518">
            <w:pPr>
              <w:pStyle w:val="ListParagraph"/>
              <w:numPr>
                <w:ilvl w:val="0"/>
                <w:numId w:val="32"/>
              </w:numPr>
              <w:jc w:val="both"/>
              <w:rPr>
                <w:rFonts w:asciiTheme="minorHAnsi" w:hAnsiTheme="minorHAnsi"/>
                <w:sz w:val="22"/>
                <w:szCs w:val="22"/>
              </w:rPr>
            </w:pPr>
            <w:r w:rsidRPr="000E2518">
              <w:rPr>
                <w:rFonts w:asciiTheme="minorHAnsi" w:hAnsiTheme="minorHAnsi"/>
                <w:sz w:val="22"/>
                <w:szCs w:val="22"/>
              </w:rPr>
              <w:t>Examine possibilit</w:t>
            </w:r>
            <w:r w:rsidR="009137AB" w:rsidRPr="000E2518">
              <w:rPr>
                <w:rFonts w:asciiTheme="minorHAnsi" w:hAnsiTheme="minorHAnsi"/>
                <w:sz w:val="22"/>
                <w:szCs w:val="22"/>
              </w:rPr>
              <w:t>y with development partners of strategic p</w:t>
            </w:r>
            <w:r w:rsidRPr="000E2518">
              <w:rPr>
                <w:rFonts w:asciiTheme="minorHAnsi" w:hAnsiTheme="minorHAnsi"/>
                <w:sz w:val="22"/>
                <w:szCs w:val="22"/>
              </w:rPr>
              <w:t>artnership for improving and strengthening R</w:t>
            </w:r>
            <w:r w:rsidR="009137AB" w:rsidRPr="000E2518">
              <w:rPr>
                <w:rFonts w:asciiTheme="minorHAnsi" w:hAnsiTheme="minorHAnsi"/>
                <w:sz w:val="22"/>
                <w:szCs w:val="22"/>
              </w:rPr>
              <w:t>ule of Law institutions and in support for d</w:t>
            </w:r>
            <w:r w:rsidRPr="000E2518">
              <w:rPr>
                <w:rFonts w:asciiTheme="minorHAnsi" w:hAnsiTheme="minorHAnsi"/>
                <w:sz w:val="22"/>
                <w:szCs w:val="22"/>
              </w:rPr>
              <w:t>emoc</w:t>
            </w:r>
            <w:r w:rsidR="009137AB" w:rsidRPr="000E2518">
              <w:rPr>
                <w:rFonts w:asciiTheme="minorHAnsi" w:hAnsiTheme="minorHAnsi"/>
                <w:sz w:val="22"/>
                <w:szCs w:val="22"/>
              </w:rPr>
              <w:t>ratic i</w:t>
            </w:r>
            <w:r w:rsidRPr="000E2518">
              <w:rPr>
                <w:rFonts w:asciiTheme="minorHAnsi" w:hAnsiTheme="minorHAnsi"/>
                <w:sz w:val="22"/>
                <w:szCs w:val="22"/>
              </w:rPr>
              <w:t>nstitutions</w:t>
            </w:r>
            <w:r w:rsidR="009137AB" w:rsidRPr="000E2518">
              <w:rPr>
                <w:rFonts w:asciiTheme="minorHAnsi" w:hAnsiTheme="minorHAnsi"/>
                <w:sz w:val="22"/>
                <w:szCs w:val="22"/>
              </w:rPr>
              <w:t>.</w:t>
            </w:r>
          </w:p>
          <w:p w14:paraId="4F8F2B07" w14:textId="77777777" w:rsidR="009137AB" w:rsidRDefault="009137AB" w:rsidP="009137AB">
            <w:pPr>
              <w:jc w:val="both"/>
              <w:rPr>
                <w:rFonts w:asciiTheme="minorHAnsi" w:hAnsiTheme="minorHAnsi"/>
              </w:rPr>
            </w:pPr>
          </w:p>
          <w:p w14:paraId="213BE646" w14:textId="329980E1" w:rsidR="009137AB" w:rsidRDefault="009137AB" w:rsidP="009137AB">
            <w:pPr>
              <w:spacing w:before="120" w:after="120"/>
              <w:jc w:val="both"/>
              <w:rPr>
                <w:rStyle w:val="roarquestion"/>
                <w:rFonts w:ascii="Calibri" w:hAnsi="Calibri"/>
                <w:sz w:val="22"/>
                <w:szCs w:val="22"/>
              </w:rPr>
            </w:pPr>
            <w:r w:rsidRPr="002C2C4D">
              <w:rPr>
                <w:rStyle w:val="roarquestion"/>
                <w:rFonts w:ascii="Calibri" w:hAnsi="Calibri"/>
                <w:sz w:val="22"/>
                <w:szCs w:val="22"/>
              </w:rPr>
              <w:lastRenderedPageBreak/>
              <w:t>In general terms, the UNDAF MTR/SR shows that UNDP contribution in Governance, DRR and Climate Change Adaptation areas is still very relevant and that the areas where UNDP has intensified its involvement (Employment and Extractive Industries) are key development challenges fo</w:t>
            </w:r>
            <w:r>
              <w:rPr>
                <w:rStyle w:val="roarquestion"/>
                <w:rFonts w:ascii="Calibri" w:hAnsi="Calibri"/>
                <w:sz w:val="22"/>
                <w:szCs w:val="22"/>
              </w:rPr>
              <w:t>r Mozambique</w:t>
            </w:r>
            <w:r w:rsidRPr="002C2C4D">
              <w:rPr>
                <w:rStyle w:val="roarquestion"/>
                <w:rFonts w:ascii="Calibri" w:hAnsi="Calibri"/>
                <w:sz w:val="22"/>
                <w:szCs w:val="22"/>
              </w:rPr>
              <w:t xml:space="preserve">. </w:t>
            </w:r>
          </w:p>
          <w:p w14:paraId="51D61652" w14:textId="527A6AC2" w:rsidR="009137AB" w:rsidRDefault="009137AB" w:rsidP="009137AB">
            <w:pPr>
              <w:spacing w:before="120" w:after="120"/>
              <w:jc w:val="both"/>
              <w:rPr>
                <w:rStyle w:val="roarquestion"/>
                <w:rFonts w:ascii="Calibri" w:hAnsi="Calibri"/>
                <w:sz w:val="22"/>
                <w:szCs w:val="22"/>
              </w:rPr>
            </w:pPr>
            <w:r>
              <w:rPr>
                <w:rStyle w:val="roarquestion"/>
                <w:rFonts w:ascii="Calibri" w:hAnsi="Calibri"/>
                <w:sz w:val="22"/>
                <w:szCs w:val="22"/>
              </w:rPr>
              <w:t>CO internal assessments show</w:t>
            </w:r>
            <w:r w:rsidRPr="002C2C4D">
              <w:rPr>
                <w:rStyle w:val="roarquestion"/>
                <w:rFonts w:ascii="Calibri" w:hAnsi="Calibri"/>
                <w:sz w:val="22"/>
                <w:szCs w:val="22"/>
              </w:rPr>
              <w:t xml:space="preserve"> that the portfo</w:t>
            </w:r>
            <w:r>
              <w:rPr>
                <w:rStyle w:val="roarquestion"/>
                <w:rFonts w:ascii="Calibri" w:hAnsi="Calibri"/>
                <w:sz w:val="22"/>
                <w:szCs w:val="22"/>
              </w:rPr>
              <w:t xml:space="preserve">lio management approach used </w:t>
            </w:r>
            <w:r w:rsidRPr="002C2C4D">
              <w:rPr>
                <w:rStyle w:val="roarquestion"/>
                <w:rFonts w:ascii="Calibri" w:hAnsi="Calibri"/>
                <w:sz w:val="22"/>
                <w:szCs w:val="22"/>
              </w:rPr>
              <w:t>for the Local Governance and Local Development areas proved to</w:t>
            </w:r>
            <w:r>
              <w:rPr>
                <w:rStyle w:val="roarquestion"/>
                <w:rFonts w:ascii="Calibri" w:hAnsi="Calibri"/>
                <w:sz w:val="22"/>
                <w:szCs w:val="22"/>
              </w:rPr>
              <w:t xml:space="preserve"> be both efficient and effective, </w:t>
            </w:r>
            <w:r w:rsidRPr="002C2C4D">
              <w:rPr>
                <w:rStyle w:val="roarquestion"/>
                <w:rFonts w:ascii="Calibri" w:hAnsi="Calibri"/>
                <w:sz w:val="22"/>
                <w:szCs w:val="22"/>
              </w:rPr>
              <w:t xml:space="preserve">reducing workload for both UNDP and IP staff, </w:t>
            </w:r>
            <w:r>
              <w:rPr>
                <w:rStyle w:val="roarquestion"/>
                <w:rFonts w:ascii="Calibri" w:hAnsi="Calibri"/>
                <w:sz w:val="22"/>
                <w:szCs w:val="22"/>
              </w:rPr>
              <w:t xml:space="preserve">enhancing </w:t>
            </w:r>
            <w:r w:rsidRPr="002C2C4D">
              <w:rPr>
                <w:rStyle w:val="roarquestion"/>
                <w:rFonts w:ascii="Calibri" w:hAnsi="Calibri"/>
                <w:sz w:val="22"/>
                <w:szCs w:val="22"/>
              </w:rPr>
              <w:t>complementarities between projects and coordination between</w:t>
            </w:r>
            <w:r>
              <w:rPr>
                <w:rStyle w:val="roarquestion"/>
                <w:rFonts w:ascii="Calibri" w:hAnsi="Calibri"/>
                <w:sz w:val="22"/>
                <w:szCs w:val="22"/>
              </w:rPr>
              <w:t xml:space="preserve"> IPs</w:t>
            </w:r>
            <w:r w:rsidRPr="002C2C4D">
              <w:rPr>
                <w:rStyle w:val="roarquestion"/>
                <w:rFonts w:ascii="Calibri" w:hAnsi="Calibri"/>
                <w:sz w:val="22"/>
                <w:szCs w:val="22"/>
              </w:rPr>
              <w:t>.</w:t>
            </w:r>
          </w:p>
          <w:p w14:paraId="4D95DBB6" w14:textId="77777777" w:rsidR="00584C12" w:rsidRDefault="009137AB" w:rsidP="00584C12">
            <w:pPr>
              <w:spacing w:before="120" w:after="120"/>
              <w:jc w:val="both"/>
              <w:rPr>
                <w:rFonts w:asciiTheme="minorHAnsi" w:hAnsiTheme="minorHAnsi"/>
                <w:sz w:val="22"/>
                <w:szCs w:val="22"/>
              </w:rPr>
            </w:pPr>
            <w:r>
              <w:rPr>
                <w:rFonts w:asciiTheme="minorHAnsi" w:hAnsiTheme="minorHAnsi"/>
                <w:sz w:val="22"/>
                <w:szCs w:val="22"/>
              </w:rPr>
              <w:t xml:space="preserve">Improvements in the programme quality </w:t>
            </w:r>
            <w:r w:rsidRPr="009137AB">
              <w:rPr>
                <w:rFonts w:asciiTheme="minorHAnsi" w:hAnsiTheme="minorHAnsi"/>
                <w:sz w:val="22"/>
                <w:szCs w:val="22"/>
              </w:rPr>
              <w:t xml:space="preserve">through the implementation of the </w:t>
            </w:r>
            <w:r>
              <w:rPr>
                <w:rFonts w:asciiTheme="minorHAnsi" w:hAnsiTheme="minorHAnsi"/>
                <w:sz w:val="22"/>
                <w:szCs w:val="22"/>
              </w:rPr>
              <w:t xml:space="preserve">CO </w:t>
            </w:r>
            <w:r w:rsidRPr="009137AB">
              <w:rPr>
                <w:rFonts w:asciiTheme="minorHAnsi" w:hAnsiTheme="minorHAnsi"/>
                <w:sz w:val="22"/>
                <w:szCs w:val="22"/>
              </w:rPr>
              <w:t xml:space="preserve">Alignment Action Plan </w:t>
            </w:r>
            <w:r>
              <w:rPr>
                <w:rFonts w:asciiTheme="minorHAnsi" w:hAnsiTheme="minorHAnsi"/>
                <w:sz w:val="22"/>
                <w:szCs w:val="22"/>
              </w:rPr>
              <w:t>by</w:t>
            </w:r>
            <w:r w:rsidRPr="009137AB">
              <w:rPr>
                <w:rFonts w:asciiTheme="minorHAnsi" w:hAnsiTheme="minorHAnsi"/>
                <w:sz w:val="22"/>
                <w:szCs w:val="22"/>
              </w:rPr>
              <w:t xml:space="preserve"> focusing on </w:t>
            </w:r>
            <w:r>
              <w:rPr>
                <w:rFonts w:asciiTheme="minorHAnsi" w:hAnsiTheme="minorHAnsi"/>
                <w:sz w:val="22"/>
                <w:szCs w:val="22"/>
              </w:rPr>
              <w:t xml:space="preserve">strengthening </w:t>
            </w:r>
            <w:r w:rsidRPr="009137AB">
              <w:rPr>
                <w:rFonts w:asciiTheme="minorHAnsi" w:hAnsiTheme="minorHAnsi"/>
                <w:sz w:val="22"/>
                <w:szCs w:val="22"/>
              </w:rPr>
              <w:t>M&amp;E frameworks (both at CP and projects level), RBM and evidence-based approaches (including the development of a research and policy agenda)</w:t>
            </w:r>
            <w:r>
              <w:rPr>
                <w:rFonts w:asciiTheme="minorHAnsi" w:hAnsiTheme="minorHAnsi"/>
                <w:sz w:val="22"/>
                <w:szCs w:val="22"/>
              </w:rPr>
              <w:t xml:space="preserve"> as well as in terms of </w:t>
            </w:r>
            <w:r w:rsidRPr="009137AB">
              <w:rPr>
                <w:rFonts w:asciiTheme="minorHAnsi" w:hAnsiTheme="minorHAnsi"/>
                <w:sz w:val="22"/>
                <w:szCs w:val="22"/>
              </w:rPr>
              <w:t xml:space="preserve">targeting of specific groups identified in the Strategic Plan </w:t>
            </w:r>
            <w:r>
              <w:rPr>
                <w:rFonts w:asciiTheme="minorHAnsi" w:hAnsiTheme="minorHAnsi"/>
                <w:sz w:val="22"/>
                <w:szCs w:val="22"/>
              </w:rPr>
              <w:t xml:space="preserve">are still required. </w:t>
            </w:r>
          </w:p>
          <w:p w14:paraId="6BAAAF7D" w14:textId="77777777" w:rsidR="009E7526" w:rsidRDefault="00584C12" w:rsidP="009137AB">
            <w:pPr>
              <w:spacing w:before="120" w:after="120"/>
              <w:jc w:val="both"/>
              <w:rPr>
                <w:rFonts w:ascii="Calibri" w:hAnsi="Calibri"/>
                <w:color w:val="000000" w:themeColor="text1"/>
                <w:sz w:val="22"/>
                <w:szCs w:val="22"/>
              </w:rPr>
            </w:pPr>
            <w:r>
              <w:rPr>
                <w:rFonts w:asciiTheme="minorHAnsi" w:hAnsiTheme="minorHAnsi"/>
                <w:sz w:val="22"/>
                <w:szCs w:val="22"/>
              </w:rPr>
              <w:t>Internal reflections also pointed out that p</w:t>
            </w:r>
            <w:r w:rsidR="009137AB" w:rsidRPr="002D4F69">
              <w:rPr>
                <w:rFonts w:ascii="Calibri" w:hAnsi="Calibri"/>
                <w:color w:val="000000" w:themeColor="text1"/>
                <w:sz w:val="22"/>
                <w:szCs w:val="22"/>
              </w:rPr>
              <w:t xml:space="preserve">rogress </w:t>
            </w:r>
            <w:r>
              <w:rPr>
                <w:rFonts w:ascii="Calibri" w:hAnsi="Calibri"/>
                <w:color w:val="000000" w:themeColor="text1"/>
                <w:sz w:val="22"/>
                <w:szCs w:val="22"/>
              </w:rPr>
              <w:t xml:space="preserve">and achievements </w:t>
            </w:r>
            <w:r w:rsidR="009137AB" w:rsidRPr="002D4F69">
              <w:rPr>
                <w:rFonts w:ascii="Calibri" w:hAnsi="Calibri"/>
                <w:color w:val="000000" w:themeColor="text1"/>
                <w:sz w:val="22"/>
                <w:szCs w:val="22"/>
              </w:rPr>
              <w:t xml:space="preserve">were visible where </w:t>
            </w:r>
            <w:r>
              <w:rPr>
                <w:rFonts w:ascii="Calibri" w:hAnsi="Calibri"/>
                <w:color w:val="000000" w:themeColor="text1"/>
                <w:sz w:val="22"/>
                <w:szCs w:val="22"/>
              </w:rPr>
              <w:t xml:space="preserve">implementing partners </w:t>
            </w:r>
            <w:r w:rsidR="009137AB" w:rsidRPr="002D4F69">
              <w:rPr>
                <w:rFonts w:ascii="Calibri" w:hAnsi="Calibri"/>
                <w:color w:val="000000" w:themeColor="text1"/>
                <w:sz w:val="22"/>
                <w:szCs w:val="22"/>
              </w:rPr>
              <w:t>staff showed commitment and sound project management capacities</w:t>
            </w:r>
            <w:r>
              <w:rPr>
                <w:rFonts w:ascii="Calibri" w:hAnsi="Calibri"/>
                <w:color w:val="000000" w:themeColor="text1"/>
                <w:sz w:val="22"/>
                <w:szCs w:val="22"/>
              </w:rPr>
              <w:t xml:space="preserve"> and that continuous t</w:t>
            </w:r>
            <w:r w:rsidR="009137AB" w:rsidRPr="002D4F69">
              <w:rPr>
                <w:rFonts w:ascii="Calibri" w:hAnsi="Calibri"/>
                <w:color w:val="000000" w:themeColor="text1"/>
                <w:sz w:val="22"/>
                <w:szCs w:val="22"/>
              </w:rPr>
              <w:t>raining initiatives and ongoing on-the-job assistance</w:t>
            </w:r>
            <w:r>
              <w:rPr>
                <w:rFonts w:ascii="Calibri" w:hAnsi="Calibri"/>
                <w:color w:val="000000" w:themeColor="text1"/>
                <w:sz w:val="22"/>
                <w:szCs w:val="22"/>
              </w:rPr>
              <w:t xml:space="preserve"> is crucial to efficient and effective implementation of the activities. </w:t>
            </w:r>
          </w:p>
          <w:p w14:paraId="0E1B2D7F" w14:textId="77777777" w:rsidR="0041277E" w:rsidRPr="00DF7AAF" w:rsidRDefault="0041277E" w:rsidP="009137AB">
            <w:pPr>
              <w:spacing w:before="120" w:after="120"/>
              <w:jc w:val="both"/>
              <w:rPr>
                <w:rFonts w:ascii="Calibri" w:hAnsi="Calibri"/>
                <w:b/>
                <w:color w:val="000000" w:themeColor="text1"/>
                <w:sz w:val="22"/>
                <w:szCs w:val="22"/>
                <w:u w:val="single"/>
              </w:rPr>
            </w:pPr>
          </w:p>
          <w:p w14:paraId="272E7572" w14:textId="45088F16" w:rsidR="0041277E" w:rsidRPr="00DF7AAF" w:rsidRDefault="00770C18" w:rsidP="00DF7AAF">
            <w:pPr>
              <w:pStyle w:val="ListParagraph"/>
              <w:numPr>
                <w:ilvl w:val="0"/>
                <w:numId w:val="36"/>
              </w:numPr>
              <w:spacing w:before="120" w:after="120"/>
              <w:jc w:val="both"/>
              <w:rPr>
                <w:rFonts w:ascii="Calibri" w:hAnsi="Calibri"/>
                <w:b/>
                <w:color w:val="000000" w:themeColor="text1"/>
                <w:sz w:val="22"/>
                <w:szCs w:val="22"/>
                <w:u w:val="single"/>
              </w:rPr>
            </w:pPr>
            <w:r w:rsidRPr="00DF7AAF">
              <w:rPr>
                <w:rFonts w:ascii="Calibri" w:hAnsi="Calibri"/>
                <w:b/>
                <w:color w:val="000000" w:themeColor="text1"/>
                <w:sz w:val="22"/>
                <w:szCs w:val="22"/>
                <w:u w:val="single"/>
              </w:rPr>
              <w:t>Sustainable Financing of the Protected Area System in Mozambique - Mid-Term Review</w:t>
            </w:r>
          </w:p>
          <w:p w14:paraId="3C5C4D56" w14:textId="77777777" w:rsidR="00770C18" w:rsidRDefault="00EC17F2" w:rsidP="009137AB">
            <w:pPr>
              <w:spacing w:before="120" w:after="120"/>
              <w:jc w:val="both"/>
              <w:rPr>
                <w:rFonts w:ascii="Calibri" w:hAnsi="Calibri"/>
                <w:color w:val="000000" w:themeColor="text1"/>
                <w:sz w:val="22"/>
                <w:szCs w:val="22"/>
              </w:rPr>
            </w:pPr>
            <w:r>
              <w:rPr>
                <w:rFonts w:ascii="Calibri" w:hAnsi="Calibri"/>
                <w:color w:val="000000" w:themeColor="text1"/>
                <w:sz w:val="22"/>
                <w:szCs w:val="22"/>
              </w:rPr>
              <w:t>Recommendations:</w:t>
            </w:r>
          </w:p>
          <w:p w14:paraId="3A6BEA24" w14:textId="0BCF6FB9" w:rsidR="00EC17F2" w:rsidRPr="000E2518" w:rsidRDefault="00EC17F2" w:rsidP="000E2518">
            <w:pPr>
              <w:pStyle w:val="ListParagraph"/>
              <w:numPr>
                <w:ilvl w:val="0"/>
                <w:numId w:val="30"/>
              </w:numPr>
              <w:spacing w:before="120" w:after="120"/>
              <w:jc w:val="both"/>
              <w:rPr>
                <w:rStyle w:val="roarquestion"/>
                <w:rFonts w:ascii="Calibri" w:hAnsi="Calibri"/>
                <w:sz w:val="22"/>
                <w:szCs w:val="22"/>
              </w:rPr>
            </w:pPr>
            <w:r w:rsidRPr="000E2518">
              <w:rPr>
                <w:rStyle w:val="roarquestion"/>
                <w:rFonts w:ascii="Calibri" w:hAnsi="Calibri"/>
                <w:sz w:val="22"/>
                <w:szCs w:val="22"/>
              </w:rPr>
              <w:t>The Board must meet quarterly to ensure adequate project management and performance monitoring using the Project Results Framework as a guide.</w:t>
            </w:r>
          </w:p>
          <w:p w14:paraId="2BBE9905" w14:textId="3A5E80C4" w:rsidR="000E2518" w:rsidRPr="000E2518" w:rsidRDefault="000E2518" w:rsidP="000E2518">
            <w:pPr>
              <w:pStyle w:val="ListParagraph"/>
              <w:numPr>
                <w:ilvl w:val="0"/>
                <w:numId w:val="30"/>
              </w:numPr>
              <w:spacing w:before="120" w:after="120"/>
              <w:jc w:val="both"/>
              <w:rPr>
                <w:rStyle w:val="roarquestion"/>
                <w:rFonts w:ascii="Calibri" w:hAnsi="Calibri"/>
                <w:sz w:val="22"/>
                <w:szCs w:val="22"/>
              </w:rPr>
            </w:pPr>
            <w:r w:rsidRPr="000E2518">
              <w:rPr>
                <w:rStyle w:val="roarquestion"/>
                <w:rFonts w:ascii="Calibri" w:hAnsi="Calibri"/>
                <w:sz w:val="22"/>
                <w:szCs w:val="22"/>
              </w:rPr>
              <w:t>The Project Management Unit must be restructured with strengthened leadership arrangements.</w:t>
            </w:r>
          </w:p>
          <w:p w14:paraId="567EBF56" w14:textId="77147DD9" w:rsidR="000E2518" w:rsidRPr="000E2518" w:rsidRDefault="000E2518" w:rsidP="000E2518">
            <w:pPr>
              <w:pStyle w:val="ListParagraph"/>
              <w:numPr>
                <w:ilvl w:val="0"/>
                <w:numId w:val="30"/>
              </w:numPr>
              <w:spacing w:before="120" w:after="120"/>
              <w:jc w:val="both"/>
              <w:rPr>
                <w:rStyle w:val="roarquestion"/>
                <w:rFonts w:ascii="Calibri" w:hAnsi="Calibri"/>
                <w:sz w:val="22"/>
                <w:szCs w:val="22"/>
              </w:rPr>
            </w:pPr>
            <w:r w:rsidRPr="000E2518">
              <w:rPr>
                <w:rStyle w:val="roarquestion"/>
                <w:rFonts w:ascii="Calibri" w:hAnsi="Calibri"/>
                <w:sz w:val="22"/>
                <w:szCs w:val="22"/>
              </w:rPr>
              <w:t>Training of the ANAC leadership and administration teams in financial management and project management must be focused and regular.</w:t>
            </w:r>
          </w:p>
          <w:p w14:paraId="682CD35C" w14:textId="51DCC2AC" w:rsidR="000E2518" w:rsidRPr="000E2518" w:rsidRDefault="000E2518" w:rsidP="000E2518">
            <w:pPr>
              <w:pStyle w:val="ListParagraph"/>
              <w:numPr>
                <w:ilvl w:val="0"/>
                <w:numId w:val="30"/>
              </w:numPr>
              <w:spacing w:before="120" w:after="120"/>
              <w:jc w:val="both"/>
              <w:rPr>
                <w:rStyle w:val="roarquestion"/>
                <w:rFonts w:ascii="Calibri" w:hAnsi="Calibri"/>
                <w:sz w:val="22"/>
                <w:szCs w:val="22"/>
              </w:rPr>
            </w:pPr>
            <w:r w:rsidRPr="000E2518">
              <w:rPr>
                <w:rStyle w:val="roarquestion"/>
                <w:rFonts w:ascii="Calibri" w:hAnsi="Calibri"/>
                <w:sz w:val="22"/>
                <w:szCs w:val="22"/>
              </w:rPr>
              <w:t>A facilitated workshop of key IPs and stakeholders must be convened to develop a shared understanding of the project objective and intended outputs, using the Logframe and Tracking Tools as integrative project management tools.</w:t>
            </w:r>
          </w:p>
          <w:p w14:paraId="1D252CFC" w14:textId="27DA2538" w:rsidR="000E2518" w:rsidRPr="000E2518" w:rsidRDefault="000E2518" w:rsidP="000E2518">
            <w:pPr>
              <w:pStyle w:val="ListParagraph"/>
              <w:numPr>
                <w:ilvl w:val="0"/>
                <w:numId w:val="30"/>
              </w:numPr>
              <w:spacing w:before="120" w:after="120"/>
              <w:jc w:val="both"/>
              <w:rPr>
                <w:rStyle w:val="roarquestion"/>
                <w:rFonts w:ascii="Calibri" w:hAnsi="Calibri"/>
                <w:sz w:val="22"/>
                <w:szCs w:val="22"/>
              </w:rPr>
            </w:pPr>
            <w:r w:rsidRPr="000E2518">
              <w:rPr>
                <w:rStyle w:val="roarquestion"/>
                <w:rFonts w:ascii="Calibri" w:hAnsi="Calibri"/>
                <w:sz w:val="22"/>
                <w:szCs w:val="22"/>
              </w:rPr>
              <w:t>The extension of project by one year to compensate for the slow start is possible, but should be conditional on the restructuring of the PMU to ensure effective completion of component 1 activities and the integration of the three components into a whole greater than the sum of the parts.</w:t>
            </w:r>
          </w:p>
          <w:p w14:paraId="34ACC970" w14:textId="6C915CCE" w:rsidR="000E2518" w:rsidRDefault="000E2518" w:rsidP="000E2518">
            <w:pPr>
              <w:pStyle w:val="ListParagraph"/>
              <w:numPr>
                <w:ilvl w:val="0"/>
                <w:numId w:val="30"/>
              </w:numPr>
              <w:spacing w:before="120" w:after="120"/>
              <w:jc w:val="both"/>
              <w:rPr>
                <w:rStyle w:val="roarquestion"/>
                <w:rFonts w:ascii="Calibri" w:hAnsi="Calibri"/>
                <w:sz w:val="22"/>
                <w:szCs w:val="22"/>
              </w:rPr>
            </w:pPr>
            <w:r w:rsidRPr="000E2518">
              <w:rPr>
                <w:rStyle w:val="roarquestion"/>
                <w:rFonts w:ascii="Calibri" w:hAnsi="Calibri"/>
                <w:sz w:val="22"/>
                <w:szCs w:val="22"/>
              </w:rPr>
              <w:t>The lack of a recognizable identity and the documentation and communication of the project’s achievements must be addressed.</w:t>
            </w:r>
          </w:p>
          <w:p w14:paraId="1FA23AA2" w14:textId="77777777" w:rsidR="000E2518" w:rsidRPr="000E2518" w:rsidRDefault="000E2518" w:rsidP="000E2518">
            <w:pPr>
              <w:pStyle w:val="ListParagraph"/>
              <w:spacing w:before="120" w:after="120"/>
              <w:jc w:val="both"/>
              <w:rPr>
                <w:rStyle w:val="roarquestion"/>
                <w:rFonts w:ascii="Calibri" w:hAnsi="Calibri"/>
                <w:sz w:val="22"/>
                <w:szCs w:val="22"/>
              </w:rPr>
            </w:pPr>
          </w:p>
          <w:p w14:paraId="3C0FBB8D" w14:textId="4DA87C4C" w:rsidR="00770C18" w:rsidRPr="00DF7AAF" w:rsidRDefault="00770C18" w:rsidP="00DF7AAF">
            <w:pPr>
              <w:pStyle w:val="ListParagraph"/>
              <w:numPr>
                <w:ilvl w:val="0"/>
                <w:numId w:val="36"/>
              </w:numPr>
              <w:spacing w:before="120" w:after="120"/>
              <w:jc w:val="both"/>
              <w:rPr>
                <w:rFonts w:ascii="Calibri" w:hAnsi="Calibri"/>
                <w:b/>
                <w:color w:val="000000" w:themeColor="text1"/>
                <w:sz w:val="22"/>
                <w:szCs w:val="22"/>
                <w:u w:val="single"/>
              </w:rPr>
            </w:pPr>
            <w:r w:rsidRPr="00DF7AAF">
              <w:rPr>
                <w:rFonts w:ascii="Calibri" w:hAnsi="Calibri"/>
                <w:b/>
                <w:color w:val="000000" w:themeColor="text1"/>
                <w:sz w:val="22"/>
                <w:szCs w:val="22"/>
                <w:u w:val="single"/>
              </w:rPr>
              <w:t>UNDAF Final Evaluation</w:t>
            </w:r>
          </w:p>
          <w:p w14:paraId="4C573661" w14:textId="77777777" w:rsidR="00770C18" w:rsidRDefault="0016175D" w:rsidP="009137AB">
            <w:pPr>
              <w:spacing w:before="120" w:after="120"/>
              <w:jc w:val="both"/>
              <w:rPr>
                <w:rFonts w:ascii="Calibri" w:hAnsi="Calibri"/>
                <w:color w:val="000000" w:themeColor="text1"/>
                <w:sz w:val="22"/>
                <w:szCs w:val="22"/>
              </w:rPr>
            </w:pPr>
            <w:r>
              <w:rPr>
                <w:rFonts w:ascii="Calibri" w:hAnsi="Calibri"/>
                <w:color w:val="000000" w:themeColor="text1"/>
                <w:sz w:val="22"/>
                <w:szCs w:val="22"/>
              </w:rPr>
              <w:t>Findings:</w:t>
            </w:r>
          </w:p>
          <w:p w14:paraId="10A3C81D" w14:textId="38F07EE3" w:rsidR="0016175D" w:rsidRDefault="0016175D" w:rsidP="0016175D">
            <w:pPr>
              <w:pStyle w:val="ListParagraph"/>
              <w:numPr>
                <w:ilvl w:val="0"/>
                <w:numId w:val="34"/>
              </w:numPr>
              <w:spacing w:before="120" w:after="120"/>
              <w:jc w:val="both"/>
              <w:rPr>
                <w:rFonts w:ascii="Calibri" w:hAnsi="Calibri"/>
                <w:color w:val="000000" w:themeColor="text1"/>
                <w:sz w:val="22"/>
                <w:szCs w:val="22"/>
              </w:rPr>
            </w:pPr>
            <w:r w:rsidRPr="0016175D">
              <w:rPr>
                <w:rFonts w:ascii="Calibri" w:hAnsi="Calibri"/>
                <w:color w:val="000000" w:themeColor="text1"/>
                <w:sz w:val="22"/>
                <w:szCs w:val="22"/>
              </w:rPr>
              <w:lastRenderedPageBreak/>
              <w:t>Role and relevance</w:t>
            </w:r>
          </w:p>
          <w:p w14:paraId="72219FEB" w14:textId="77E6CF92" w:rsidR="00A979EA" w:rsidRPr="00A979EA" w:rsidRDefault="00A979EA" w:rsidP="00A979EA">
            <w:pPr>
              <w:pStyle w:val="ListParagraph"/>
              <w:numPr>
                <w:ilvl w:val="0"/>
                <w:numId w:val="35"/>
              </w:numPr>
              <w:spacing w:before="120" w:after="120"/>
              <w:jc w:val="both"/>
              <w:rPr>
                <w:rFonts w:ascii="Calibri" w:hAnsi="Calibri"/>
                <w:color w:val="000000" w:themeColor="text1"/>
                <w:sz w:val="22"/>
                <w:szCs w:val="22"/>
              </w:rPr>
            </w:pPr>
            <w:r w:rsidRPr="00A979EA">
              <w:rPr>
                <w:rFonts w:ascii="Calibri" w:hAnsi="Calibri"/>
                <w:color w:val="000000" w:themeColor="text1"/>
                <w:sz w:val="22"/>
                <w:szCs w:val="22"/>
              </w:rPr>
              <w:t>UNDAF is aligned with national priorities and continues relevant under current economic development status. UNDAF was formulated aligned to the Plano Quinquenal of Government (2010-2014), and developed in parallel to PARP (2011-2014). It is important to note that both Government documents are aligned to MDGs</w:t>
            </w:r>
            <w:r w:rsidR="000E72A1">
              <w:rPr>
                <w:rFonts w:ascii="Calibri" w:hAnsi="Calibri"/>
                <w:color w:val="000000" w:themeColor="text1"/>
                <w:sz w:val="22"/>
                <w:szCs w:val="22"/>
              </w:rPr>
              <w:t>.</w:t>
            </w:r>
          </w:p>
          <w:p w14:paraId="0F00E440" w14:textId="1460A03E" w:rsidR="00A979EA" w:rsidRPr="00A979EA" w:rsidRDefault="00A979EA" w:rsidP="00A979EA">
            <w:pPr>
              <w:pStyle w:val="ListParagraph"/>
              <w:numPr>
                <w:ilvl w:val="0"/>
                <w:numId w:val="35"/>
              </w:numPr>
              <w:spacing w:before="120" w:after="120"/>
              <w:jc w:val="both"/>
              <w:rPr>
                <w:rFonts w:ascii="Calibri" w:hAnsi="Calibri"/>
                <w:color w:val="000000" w:themeColor="text1"/>
                <w:sz w:val="22"/>
                <w:szCs w:val="22"/>
              </w:rPr>
            </w:pPr>
            <w:r w:rsidRPr="00A979EA">
              <w:rPr>
                <w:rFonts w:ascii="Calibri" w:hAnsi="Calibri"/>
                <w:color w:val="000000" w:themeColor="text1"/>
                <w:sz w:val="22"/>
                <w:szCs w:val="22"/>
              </w:rPr>
              <w:t>UNDAF development and adjustment is very complex process. This turns UNDAF into a framework with limited flexibility, in the sense that it is difficult to go back to adjust it. On the other side, it is also important to note that having broad outcomes allows to accommodate some emerging priorities in the annual working plans.</w:t>
            </w:r>
          </w:p>
          <w:p w14:paraId="304111B1" w14:textId="59F01455" w:rsidR="00A979EA" w:rsidRPr="00A979EA" w:rsidRDefault="00A979EA" w:rsidP="00A979EA">
            <w:pPr>
              <w:pStyle w:val="ListParagraph"/>
              <w:numPr>
                <w:ilvl w:val="0"/>
                <w:numId w:val="35"/>
              </w:numPr>
              <w:spacing w:before="120" w:after="120"/>
              <w:jc w:val="both"/>
              <w:rPr>
                <w:rFonts w:ascii="Calibri" w:hAnsi="Calibri"/>
                <w:color w:val="000000" w:themeColor="text1"/>
                <w:sz w:val="22"/>
                <w:szCs w:val="22"/>
              </w:rPr>
            </w:pPr>
            <w:r w:rsidRPr="00A979EA">
              <w:rPr>
                <w:rFonts w:ascii="Calibri" w:hAnsi="Calibri"/>
                <w:color w:val="000000" w:themeColor="text1"/>
                <w:sz w:val="22"/>
                <w:szCs w:val="22"/>
              </w:rPr>
              <w:t>There is no clear understanding and knowledge of UNDAF and DaO by external stakeholder. This mostly is related to poor understanding of UN system and poor communications on strategic aspects at operational/implementation levels.</w:t>
            </w:r>
          </w:p>
          <w:p w14:paraId="62A519C4" w14:textId="6A48E85A" w:rsidR="00A979EA" w:rsidRDefault="00A979EA" w:rsidP="00A979EA">
            <w:pPr>
              <w:pStyle w:val="ListParagraph"/>
              <w:numPr>
                <w:ilvl w:val="0"/>
                <w:numId w:val="35"/>
              </w:numPr>
              <w:spacing w:before="120" w:after="120"/>
              <w:jc w:val="both"/>
              <w:rPr>
                <w:rFonts w:ascii="Calibri" w:hAnsi="Calibri"/>
                <w:color w:val="000000" w:themeColor="text1"/>
                <w:sz w:val="22"/>
                <w:szCs w:val="22"/>
              </w:rPr>
            </w:pPr>
            <w:r w:rsidRPr="00A979EA">
              <w:rPr>
                <w:rFonts w:ascii="Calibri" w:hAnsi="Calibri"/>
                <w:color w:val="000000" w:themeColor="text1"/>
                <w:sz w:val="22"/>
                <w:szCs w:val="22"/>
              </w:rPr>
              <w:t>In general, the distribution of roles and responsibilities among the different UNDAF partners (internal and external to UN) was well defined and manifested in both UNDAF and UNDAP. This is clearly linked to each outcome, output and specific activities. However, due to its complexity, the effective implementation of the UNDAF face many challenges, such as poor coordination between internal and external stakeholder (at strategic level); clarity on UN specific agency staff with related to UNDAF.</w:t>
            </w:r>
          </w:p>
          <w:p w14:paraId="3E8DD681" w14:textId="7888A9B4" w:rsidR="00A979EA" w:rsidRDefault="00A979EA" w:rsidP="00A979EA">
            <w:pPr>
              <w:pStyle w:val="ListParagraph"/>
              <w:numPr>
                <w:ilvl w:val="0"/>
                <w:numId w:val="34"/>
              </w:numPr>
              <w:spacing w:before="120" w:after="120"/>
              <w:jc w:val="both"/>
              <w:rPr>
                <w:rFonts w:ascii="Calibri" w:hAnsi="Calibri"/>
                <w:color w:val="000000" w:themeColor="text1"/>
                <w:sz w:val="22"/>
                <w:szCs w:val="22"/>
              </w:rPr>
            </w:pPr>
            <w:r>
              <w:rPr>
                <w:rFonts w:ascii="Calibri" w:hAnsi="Calibri"/>
                <w:color w:val="000000" w:themeColor="text1"/>
                <w:sz w:val="22"/>
                <w:szCs w:val="22"/>
              </w:rPr>
              <w:t>Coordination of UNDAF Implementation</w:t>
            </w:r>
          </w:p>
          <w:p w14:paraId="32890C4A" w14:textId="77777777" w:rsidR="00A979EA" w:rsidRPr="00235B28" w:rsidRDefault="00A979EA" w:rsidP="00235B28">
            <w:pPr>
              <w:pStyle w:val="ListParagraph"/>
              <w:numPr>
                <w:ilvl w:val="0"/>
                <w:numId w:val="35"/>
              </w:numPr>
              <w:spacing w:before="120" w:after="120"/>
              <w:jc w:val="both"/>
              <w:rPr>
                <w:rFonts w:ascii="Calibri" w:hAnsi="Calibri"/>
                <w:color w:val="000000" w:themeColor="text1"/>
                <w:sz w:val="22"/>
                <w:szCs w:val="22"/>
              </w:rPr>
            </w:pPr>
            <w:r w:rsidRPr="00235B28">
              <w:rPr>
                <w:rFonts w:ascii="Calibri" w:hAnsi="Calibri"/>
                <w:color w:val="000000" w:themeColor="text1"/>
                <w:sz w:val="22"/>
                <w:szCs w:val="22"/>
              </w:rPr>
              <w:t xml:space="preserve">DaO has facilitated/improved the collaboration and cooperation among agencies: coordinated approach to certain line ministries and other partners, coordinated monitoring of projects and activities, coordinated communication with stakeholders, and also sharing of technical expertise and lessons learned. </w:t>
            </w:r>
          </w:p>
          <w:p w14:paraId="4F13D0D6" w14:textId="1B26105D" w:rsidR="00A979EA" w:rsidRPr="00235B28" w:rsidRDefault="00A979EA" w:rsidP="00235B28">
            <w:pPr>
              <w:pStyle w:val="ListParagraph"/>
              <w:numPr>
                <w:ilvl w:val="0"/>
                <w:numId w:val="35"/>
              </w:numPr>
              <w:spacing w:before="120" w:after="120"/>
              <w:jc w:val="both"/>
              <w:rPr>
                <w:rFonts w:ascii="Calibri" w:hAnsi="Calibri"/>
                <w:color w:val="000000" w:themeColor="text1"/>
                <w:sz w:val="22"/>
                <w:szCs w:val="22"/>
              </w:rPr>
            </w:pPr>
            <w:r w:rsidRPr="00235B28">
              <w:rPr>
                <w:rFonts w:ascii="Calibri" w:hAnsi="Calibri"/>
                <w:color w:val="000000" w:themeColor="text1"/>
                <w:sz w:val="22"/>
                <w:szCs w:val="22"/>
              </w:rPr>
              <w:t xml:space="preserve">UNDAF Steering Committee </w:t>
            </w:r>
            <w:r w:rsidR="00E23CDD">
              <w:rPr>
                <w:rFonts w:ascii="Calibri" w:hAnsi="Calibri"/>
                <w:color w:val="000000" w:themeColor="text1"/>
                <w:sz w:val="22"/>
                <w:szCs w:val="22"/>
              </w:rPr>
              <w:t xml:space="preserve">was </w:t>
            </w:r>
            <w:r w:rsidRPr="00235B28">
              <w:rPr>
                <w:rFonts w:ascii="Calibri" w:hAnsi="Calibri"/>
                <w:color w:val="000000" w:themeColor="text1"/>
                <w:sz w:val="22"/>
                <w:szCs w:val="22"/>
              </w:rPr>
              <w:t xml:space="preserve">not operational as idealized during the UNDAF 2012-2016. This in turn, makes the coordination process less participative in reviews progress on achieving the UNDAF results, provision of guidance on matters pertaining to UNDAF planning and implementation, its alignment with national development priorities, and its coordination with donor support. </w:t>
            </w:r>
          </w:p>
          <w:p w14:paraId="0C8C260B" w14:textId="77777777" w:rsidR="00A979EA" w:rsidRPr="00235B28" w:rsidRDefault="00A979EA" w:rsidP="00235B28">
            <w:pPr>
              <w:pStyle w:val="ListParagraph"/>
              <w:numPr>
                <w:ilvl w:val="0"/>
                <w:numId w:val="35"/>
              </w:numPr>
              <w:spacing w:before="120" w:after="120"/>
              <w:jc w:val="both"/>
              <w:rPr>
                <w:rFonts w:ascii="Calibri" w:hAnsi="Calibri"/>
                <w:color w:val="000000" w:themeColor="text1"/>
                <w:sz w:val="22"/>
                <w:szCs w:val="22"/>
              </w:rPr>
            </w:pPr>
            <w:r w:rsidRPr="00235B28">
              <w:rPr>
                <w:rFonts w:ascii="Calibri" w:hAnsi="Calibri"/>
                <w:color w:val="000000" w:themeColor="text1"/>
                <w:sz w:val="22"/>
                <w:szCs w:val="22"/>
              </w:rPr>
              <w:t xml:space="preserve">The initially foreseen institutional arrangements for synergy facilitation or coordination, for implementation of UNDAF were not fully put in place and could have been optimised. </w:t>
            </w:r>
          </w:p>
          <w:p w14:paraId="779C2E83" w14:textId="5938F129" w:rsidR="00A979EA" w:rsidRPr="00235B28" w:rsidRDefault="00A979EA" w:rsidP="00235B28">
            <w:pPr>
              <w:pStyle w:val="ListParagraph"/>
              <w:numPr>
                <w:ilvl w:val="0"/>
                <w:numId w:val="35"/>
              </w:numPr>
              <w:spacing w:before="120" w:after="120"/>
              <w:jc w:val="both"/>
              <w:rPr>
                <w:rFonts w:ascii="Calibri" w:hAnsi="Calibri"/>
                <w:color w:val="000000" w:themeColor="text1"/>
                <w:sz w:val="22"/>
                <w:szCs w:val="22"/>
              </w:rPr>
            </w:pPr>
            <w:r w:rsidRPr="00235B28">
              <w:rPr>
                <w:rFonts w:ascii="Calibri" w:hAnsi="Calibri"/>
                <w:color w:val="000000" w:themeColor="text1"/>
                <w:sz w:val="22"/>
                <w:szCs w:val="22"/>
              </w:rPr>
              <w:t xml:space="preserve">UN is seen as having the following comparative advantages: (i) global reach – unique body of knowledge, (ii) diversity in terms of mandates, (iii) intervention that involve multi sectoral approach, and (iv) impartiality/honest broker. However, considerable part of these elements could be more used. </w:t>
            </w:r>
          </w:p>
          <w:p w14:paraId="64738253" w14:textId="037D83E7" w:rsidR="00A979EA" w:rsidRDefault="00235B28" w:rsidP="00235B28">
            <w:pPr>
              <w:pStyle w:val="ListParagraph"/>
              <w:numPr>
                <w:ilvl w:val="0"/>
                <w:numId w:val="34"/>
              </w:numPr>
              <w:spacing w:before="120" w:after="120"/>
              <w:jc w:val="both"/>
              <w:rPr>
                <w:rFonts w:ascii="Calibri" w:hAnsi="Calibri"/>
                <w:color w:val="000000" w:themeColor="text1"/>
                <w:sz w:val="22"/>
                <w:szCs w:val="22"/>
              </w:rPr>
            </w:pPr>
            <w:r>
              <w:rPr>
                <w:rFonts w:ascii="Calibri" w:hAnsi="Calibri"/>
                <w:color w:val="000000" w:themeColor="text1"/>
                <w:sz w:val="22"/>
                <w:szCs w:val="22"/>
              </w:rPr>
              <w:t>M&amp;E Framework</w:t>
            </w:r>
          </w:p>
          <w:p w14:paraId="4066E5D3" w14:textId="6A24AC1B" w:rsidR="00235B28" w:rsidRPr="00B67214" w:rsidRDefault="00235B28" w:rsidP="00B67214">
            <w:pPr>
              <w:pStyle w:val="ListParagraph"/>
              <w:numPr>
                <w:ilvl w:val="0"/>
                <w:numId w:val="35"/>
              </w:numPr>
              <w:spacing w:before="120" w:after="120"/>
              <w:jc w:val="both"/>
              <w:rPr>
                <w:rFonts w:ascii="Calibri" w:hAnsi="Calibri"/>
                <w:color w:val="000000" w:themeColor="text1"/>
                <w:sz w:val="22"/>
                <w:szCs w:val="22"/>
              </w:rPr>
            </w:pPr>
            <w:r w:rsidRPr="00B67214">
              <w:rPr>
                <w:rFonts w:ascii="Calibri" w:hAnsi="Calibri"/>
                <w:color w:val="000000" w:themeColor="text1"/>
                <w:sz w:val="22"/>
                <w:szCs w:val="22"/>
              </w:rPr>
              <w:lastRenderedPageBreak/>
              <w:t>UNDAF is a results oriented document as it has set out indicators, which inform outputs which in turn inform the broader outcomes that have been divided between the Economi</w:t>
            </w:r>
            <w:r w:rsidR="003F1C9A">
              <w:rPr>
                <w:rFonts w:ascii="Calibri" w:hAnsi="Calibri"/>
                <w:color w:val="000000" w:themeColor="text1"/>
                <w:sz w:val="22"/>
                <w:szCs w:val="22"/>
              </w:rPr>
              <w:t>c, Social and Governance pillar. H</w:t>
            </w:r>
            <w:r w:rsidRPr="00B67214">
              <w:rPr>
                <w:rFonts w:ascii="Calibri" w:hAnsi="Calibri"/>
                <w:color w:val="000000" w:themeColor="text1"/>
                <w:sz w:val="22"/>
                <w:szCs w:val="22"/>
              </w:rPr>
              <w:t xml:space="preserve">owever, some of the selected indicators may contribute to the achievement of their related Outcome </w:t>
            </w:r>
            <w:r w:rsidR="003F1C9A">
              <w:rPr>
                <w:rFonts w:ascii="Calibri" w:hAnsi="Calibri"/>
                <w:color w:val="000000" w:themeColor="text1"/>
                <w:sz w:val="22"/>
                <w:szCs w:val="22"/>
              </w:rPr>
              <w:t>in a limited way</w:t>
            </w:r>
            <w:r w:rsidRPr="00B67214">
              <w:rPr>
                <w:rFonts w:ascii="Calibri" w:hAnsi="Calibri"/>
                <w:color w:val="000000" w:themeColor="text1"/>
                <w:sz w:val="22"/>
                <w:szCs w:val="22"/>
              </w:rPr>
              <w:t xml:space="preserve">. This disconnection creates a challenge to assess progress at outcome level and weakens accountability. </w:t>
            </w:r>
          </w:p>
          <w:p w14:paraId="468BB315" w14:textId="27604796" w:rsidR="00235B28" w:rsidRPr="00B67214" w:rsidRDefault="00235B28" w:rsidP="00B67214">
            <w:pPr>
              <w:pStyle w:val="ListParagraph"/>
              <w:numPr>
                <w:ilvl w:val="0"/>
                <w:numId w:val="35"/>
              </w:numPr>
              <w:spacing w:before="120" w:after="120"/>
              <w:jc w:val="both"/>
              <w:rPr>
                <w:rFonts w:ascii="Calibri" w:hAnsi="Calibri"/>
                <w:color w:val="000000" w:themeColor="text1"/>
                <w:sz w:val="22"/>
                <w:szCs w:val="22"/>
              </w:rPr>
            </w:pPr>
            <w:r w:rsidRPr="00B67214">
              <w:rPr>
                <w:rFonts w:ascii="Calibri" w:hAnsi="Calibri"/>
                <w:color w:val="000000" w:themeColor="text1"/>
                <w:sz w:val="22"/>
                <w:szCs w:val="22"/>
              </w:rPr>
              <w:t xml:space="preserve">Limited participation and contribution of the M&amp;E group/team during the UNDAF Formulation and finalization. This resulted in ambiguous and difficult formulation of outcomes and outputs, and respective indicators. In addition, this also lead to difficult monitoring and implementation of the M&amp;E Framework. </w:t>
            </w:r>
          </w:p>
          <w:p w14:paraId="786207E3" w14:textId="33A70DCD" w:rsidR="00235B28" w:rsidRPr="00B67214" w:rsidRDefault="00235B28" w:rsidP="00B67214">
            <w:pPr>
              <w:pStyle w:val="ListParagraph"/>
              <w:numPr>
                <w:ilvl w:val="0"/>
                <w:numId w:val="35"/>
              </w:numPr>
              <w:spacing w:before="120" w:after="120"/>
              <w:jc w:val="both"/>
              <w:rPr>
                <w:rFonts w:ascii="Calibri" w:hAnsi="Calibri"/>
                <w:color w:val="000000" w:themeColor="text1"/>
                <w:sz w:val="22"/>
                <w:szCs w:val="22"/>
              </w:rPr>
            </w:pPr>
            <w:r w:rsidRPr="00B67214">
              <w:rPr>
                <w:rFonts w:ascii="Calibri" w:hAnsi="Calibri"/>
                <w:color w:val="000000" w:themeColor="text1"/>
                <w:sz w:val="22"/>
                <w:szCs w:val="22"/>
              </w:rPr>
              <w:t xml:space="preserve">The M&amp;E Framework serves as proxy to measure UNDAF performance, mostly by UN agencies. Higher responsibility for monitoring the performance could be delegated (joint or complete delegations) to external partners, in order to reinforce capacity and ownership. </w:t>
            </w:r>
          </w:p>
          <w:p w14:paraId="70B65350" w14:textId="717F8F9A" w:rsidR="00235B28" w:rsidRPr="00F52FBD" w:rsidRDefault="00235B28" w:rsidP="009D61DF">
            <w:pPr>
              <w:pStyle w:val="ListParagraph"/>
              <w:numPr>
                <w:ilvl w:val="0"/>
                <w:numId w:val="35"/>
              </w:numPr>
              <w:spacing w:before="120" w:after="120"/>
              <w:jc w:val="both"/>
              <w:rPr>
                <w:rFonts w:ascii="Calibri" w:hAnsi="Calibri"/>
                <w:color w:val="000000" w:themeColor="text1"/>
                <w:sz w:val="22"/>
                <w:szCs w:val="22"/>
              </w:rPr>
            </w:pPr>
            <w:r w:rsidRPr="00F52FBD">
              <w:rPr>
                <w:rFonts w:ascii="Calibri" w:hAnsi="Calibri"/>
                <w:color w:val="000000" w:themeColor="text1"/>
                <w:sz w:val="22"/>
                <w:szCs w:val="22"/>
              </w:rPr>
              <w:t xml:space="preserve">UNDAF outcomes presents two issues: (i) not all at the same level; and (ii) it is difficult to infer outcomes from outputs. The identification and measuring indicators is challenging when there are so many agencies involved. </w:t>
            </w:r>
          </w:p>
          <w:p w14:paraId="23A21E0D" w14:textId="2A435DA3" w:rsidR="003200FE" w:rsidRDefault="003200FE" w:rsidP="003200FE">
            <w:pPr>
              <w:pStyle w:val="ListParagraph"/>
              <w:numPr>
                <w:ilvl w:val="0"/>
                <w:numId w:val="34"/>
              </w:numPr>
              <w:spacing w:before="120" w:after="120"/>
              <w:jc w:val="both"/>
              <w:rPr>
                <w:rFonts w:ascii="Calibri" w:hAnsi="Calibri"/>
                <w:color w:val="000000" w:themeColor="text1"/>
                <w:sz w:val="22"/>
                <w:szCs w:val="22"/>
              </w:rPr>
            </w:pPr>
            <w:r>
              <w:rPr>
                <w:rFonts w:ascii="Calibri" w:hAnsi="Calibri"/>
                <w:color w:val="000000" w:themeColor="text1"/>
                <w:sz w:val="22"/>
                <w:szCs w:val="22"/>
              </w:rPr>
              <w:t>Equity</w:t>
            </w:r>
          </w:p>
          <w:p w14:paraId="068609FB" w14:textId="77777777" w:rsidR="003200FE" w:rsidRPr="003200FE" w:rsidRDefault="003200FE" w:rsidP="003200FE">
            <w:pPr>
              <w:pStyle w:val="ListParagraph"/>
              <w:numPr>
                <w:ilvl w:val="0"/>
                <w:numId w:val="35"/>
              </w:numPr>
              <w:spacing w:before="120" w:after="120"/>
              <w:jc w:val="both"/>
              <w:rPr>
                <w:rFonts w:ascii="Calibri" w:hAnsi="Calibri"/>
                <w:color w:val="000000" w:themeColor="text1"/>
                <w:sz w:val="22"/>
                <w:szCs w:val="22"/>
              </w:rPr>
            </w:pPr>
            <w:r w:rsidRPr="003200FE">
              <w:rPr>
                <w:rFonts w:ascii="Calibri" w:hAnsi="Calibri"/>
                <w:color w:val="000000" w:themeColor="text1"/>
                <w:sz w:val="22"/>
                <w:szCs w:val="22"/>
              </w:rPr>
              <w:t xml:space="preserve">The geographical targeting has been used by the UN team, during the planning, to be inclusive of the priorities of all agencies in determining an "average" worst off province and focusing most interventions in those areas. </w:t>
            </w:r>
          </w:p>
          <w:p w14:paraId="1E3B2191" w14:textId="7225CD5C" w:rsidR="003200FE" w:rsidRPr="00F52FBD" w:rsidRDefault="003200FE" w:rsidP="009E2752">
            <w:pPr>
              <w:pStyle w:val="ListParagraph"/>
              <w:numPr>
                <w:ilvl w:val="0"/>
                <w:numId w:val="35"/>
              </w:numPr>
              <w:spacing w:before="120" w:after="120"/>
              <w:jc w:val="both"/>
              <w:rPr>
                <w:rFonts w:ascii="Calibri" w:hAnsi="Calibri"/>
                <w:color w:val="000000" w:themeColor="text1"/>
                <w:sz w:val="22"/>
                <w:szCs w:val="22"/>
              </w:rPr>
            </w:pPr>
            <w:r w:rsidRPr="00F52FBD">
              <w:rPr>
                <w:rFonts w:ascii="Calibri" w:hAnsi="Calibri"/>
                <w:color w:val="000000" w:themeColor="text1"/>
                <w:sz w:val="22"/>
                <w:szCs w:val="22"/>
              </w:rPr>
              <w:t xml:space="preserve">The defined Outcomes clearly serve equality objectives, gauging UN action towards equity implies closely tracking how the UN supported identified disadvantaged groups to maximize their opportunities to demand their rights and access the services they are entitled to. </w:t>
            </w:r>
          </w:p>
          <w:p w14:paraId="0DE6111A" w14:textId="59624721" w:rsidR="003200FE" w:rsidRDefault="003200FE" w:rsidP="003200FE">
            <w:pPr>
              <w:pStyle w:val="ListParagraph"/>
              <w:numPr>
                <w:ilvl w:val="0"/>
                <w:numId w:val="34"/>
              </w:numPr>
              <w:spacing w:before="120" w:after="120"/>
              <w:jc w:val="both"/>
              <w:rPr>
                <w:rFonts w:ascii="Calibri" w:hAnsi="Calibri"/>
                <w:color w:val="000000" w:themeColor="text1"/>
                <w:sz w:val="22"/>
                <w:szCs w:val="22"/>
              </w:rPr>
            </w:pPr>
            <w:r>
              <w:rPr>
                <w:rFonts w:ascii="Calibri" w:hAnsi="Calibri"/>
                <w:color w:val="000000" w:themeColor="text1"/>
                <w:sz w:val="22"/>
                <w:szCs w:val="22"/>
              </w:rPr>
              <w:t>Effectiveness</w:t>
            </w:r>
          </w:p>
          <w:p w14:paraId="5CEF216E" w14:textId="77777777" w:rsidR="003200FE" w:rsidRPr="003F4ED8" w:rsidRDefault="003200FE" w:rsidP="003F4ED8">
            <w:pPr>
              <w:spacing w:before="120" w:after="120"/>
              <w:jc w:val="both"/>
              <w:rPr>
                <w:rFonts w:ascii="Calibri" w:hAnsi="Calibri"/>
                <w:color w:val="000000" w:themeColor="text1"/>
                <w:sz w:val="22"/>
                <w:szCs w:val="22"/>
              </w:rPr>
            </w:pPr>
            <w:r w:rsidRPr="003F4ED8">
              <w:rPr>
                <w:rFonts w:ascii="Calibri" w:hAnsi="Calibri"/>
                <w:color w:val="000000" w:themeColor="text1"/>
                <w:sz w:val="22"/>
                <w:szCs w:val="22"/>
              </w:rPr>
              <w:t xml:space="preserve">The UN’s contribution, through the UNDAF to development of the country and improvement of socioeconomic and governance indicators is irrefutable, however it cannot be clearly measured, not allowing for the analysis of the UN’s attribution of results. </w:t>
            </w:r>
          </w:p>
          <w:p w14:paraId="2595F7ED" w14:textId="1F8A0308" w:rsidR="003200FE" w:rsidRPr="003F4ED8" w:rsidRDefault="003200FE" w:rsidP="003F4ED8">
            <w:pPr>
              <w:pStyle w:val="ListParagraph"/>
              <w:numPr>
                <w:ilvl w:val="0"/>
                <w:numId w:val="35"/>
              </w:numPr>
              <w:spacing w:before="120" w:after="120"/>
              <w:jc w:val="both"/>
              <w:rPr>
                <w:rFonts w:ascii="Calibri" w:hAnsi="Calibri"/>
                <w:color w:val="000000" w:themeColor="text1"/>
                <w:sz w:val="22"/>
                <w:szCs w:val="22"/>
              </w:rPr>
            </w:pPr>
            <w:r w:rsidRPr="003F4ED8">
              <w:rPr>
                <w:rFonts w:ascii="Calibri" w:hAnsi="Calibri"/>
                <w:color w:val="000000" w:themeColor="text1"/>
                <w:sz w:val="22"/>
                <w:szCs w:val="22"/>
              </w:rPr>
              <w:t>Outcome 2 remains very relevant in spite of only UNIDO, ILO and UNDP</w:t>
            </w:r>
            <w:r w:rsidR="00F52FBD">
              <w:rPr>
                <w:rFonts w:ascii="Calibri" w:hAnsi="Calibri"/>
                <w:color w:val="000000" w:themeColor="text1"/>
                <w:sz w:val="22"/>
                <w:szCs w:val="22"/>
              </w:rPr>
              <w:t xml:space="preserve"> remain active. T</w:t>
            </w:r>
            <w:r w:rsidRPr="003F4ED8">
              <w:rPr>
                <w:rFonts w:ascii="Calibri" w:hAnsi="Calibri"/>
                <w:color w:val="000000" w:themeColor="text1"/>
                <w:sz w:val="22"/>
                <w:szCs w:val="22"/>
              </w:rPr>
              <w:t xml:space="preserve">he achievements under Outputs 2.1, 2.2 and 2.3 are relevant to both Outcome and Output, but not aligned to indicators set for both Outcome and Outputs. The performance of these are considered to be relevant, as the achievements influence and contribute in a considerable manner to Outcome 2. Looking at the outputs 2.4 and 2.5, the achievements do link up with the outcome indicators, but not to output indicators. Even though this happens, the achievements reported are considerably important and aligned to overall goals of the outcome. The performance of Outcome 2 is considered Amber-Green. </w:t>
            </w:r>
          </w:p>
          <w:p w14:paraId="5EC50F9C" w14:textId="18658ED1" w:rsidR="003200FE" w:rsidRPr="003F4ED8" w:rsidRDefault="00792C8F" w:rsidP="003F4ED8">
            <w:pPr>
              <w:pStyle w:val="ListParagraph"/>
              <w:numPr>
                <w:ilvl w:val="0"/>
                <w:numId w:val="35"/>
              </w:numPr>
              <w:spacing w:before="120" w:after="120"/>
              <w:jc w:val="both"/>
              <w:rPr>
                <w:rFonts w:ascii="Calibri" w:hAnsi="Calibri"/>
                <w:color w:val="000000" w:themeColor="text1"/>
                <w:sz w:val="22"/>
                <w:szCs w:val="22"/>
              </w:rPr>
            </w:pPr>
            <w:r>
              <w:rPr>
                <w:rFonts w:ascii="Calibri" w:hAnsi="Calibri"/>
                <w:color w:val="000000" w:themeColor="text1"/>
                <w:sz w:val="22"/>
                <w:szCs w:val="22"/>
              </w:rPr>
              <w:t xml:space="preserve">Outcome 3 - </w:t>
            </w:r>
            <w:r w:rsidR="003200FE" w:rsidRPr="003F4ED8">
              <w:rPr>
                <w:rFonts w:ascii="Calibri" w:hAnsi="Calibri"/>
                <w:color w:val="000000" w:themeColor="text1"/>
                <w:sz w:val="22"/>
                <w:szCs w:val="22"/>
              </w:rPr>
              <w:t xml:space="preserve">The UN has made significant contributions to improve environmental policy and strategy, and the continuing key role in advocacy. Major achievements in this area since 2012 have been the Green Economy Action Plan (2013-2014), Environmental Impact Assessment regulations, the National Biodiversity Strategy and Action Plan, the National Strategy for Adaptation and Mitigation of Climate Change (2013-2025), the Disaster Management Law approved in 2014, and demining of 97% of the country by 2014. Even though in outputs 3.3 and 3.4 the achievements do not link up to output indicators, the achievements reported are considerably important and aligned to overall goals and indicators of the outcome. Another </w:t>
            </w:r>
            <w:r w:rsidR="003200FE" w:rsidRPr="003F4ED8">
              <w:rPr>
                <w:rFonts w:ascii="Calibri" w:hAnsi="Calibri"/>
                <w:color w:val="000000" w:themeColor="text1"/>
                <w:sz w:val="22"/>
                <w:szCs w:val="22"/>
              </w:rPr>
              <w:lastRenderedPageBreak/>
              <w:t xml:space="preserve">important remark is that under Output 3.1 (indicator 1), output 3.2 and output 3.5 the achievements are considerably below what was set as target, even though additional relevant results were achieved. The performance of Outcome 3 is considered Amber-Green. </w:t>
            </w:r>
          </w:p>
          <w:p w14:paraId="0C0E0238" w14:textId="0B249556" w:rsidR="003F4ED8" w:rsidRDefault="003200FE" w:rsidP="003F4ED8">
            <w:pPr>
              <w:pStyle w:val="ListParagraph"/>
              <w:numPr>
                <w:ilvl w:val="0"/>
                <w:numId w:val="35"/>
              </w:numPr>
              <w:spacing w:before="120" w:after="120"/>
              <w:jc w:val="both"/>
              <w:rPr>
                <w:rFonts w:ascii="Calibri" w:hAnsi="Calibri"/>
                <w:color w:val="000000" w:themeColor="text1"/>
                <w:sz w:val="22"/>
                <w:szCs w:val="22"/>
              </w:rPr>
            </w:pPr>
            <w:r w:rsidRPr="003F4ED8">
              <w:rPr>
                <w:rFonts w:ascii="Calibri" w:hAnsi="Calibri"/>
                <w:color w:val="000000" w:themeColor="text1"/>
                <w:sz w:val="22"/>
                <w:szCs w:val="22"/>
              </w:rPr>
              <w:t xml:space="preserve">Outcome 6 perspective is too wide to be easily articulated into a set of operational programmes that would give reasonable guarantees to its achievement. Despite the fact that each of the 7 Outputs under Outcome 6 being very </w:t>
            </w:r>
            <w:r w:rsidR="003F4ED8" w:rsidRPr="003F4ED8">
              <w:rPr>
                <w:rFonts w:ascii="Calibri" w:hAnsi="Calibri"/>
                <w:color w:val="000000" w:themeColor="text1"/>
                <w:sz w:val="22"/>
                <w:szCs w:val="22"/>
              </w:rPr>
              <w:t xml:space="preserve">ambitious, and could be derived into objectives for full programmes to be implemented at country level, their sum remains insufficient to fully reach Outcome 6. Nevertheless, other reported activities allow some clarification on the level of involvement of the participating UN agencies to the defined Outputs. The performance of Outcome 6 is considered Amber-Green. </w:t>
            </w:r>
          </w:p>
          <w:p w14:paraId="1281B46A" w14:textId="0393C9E6" w:rsidR="003F4ED8" w:rsidRPr="003F4ED8" w:rsidRDefault="003F4ED8" w:rsidP="003F4ED8">
            <w:pPr>
              <w:pStyle w:val="ListParagraph"/>
              <w:numPr>
                <w:ilvl w:val="0"/>
                <w:numId w:val="35"/>
              </w:numPr>
              <w:spacing w:before="120" w:after="120"/>
              <w:jc w:val="both"/>
              <w:rPr>
                <w:rFonts w:ascii="Calibri" w:hAnsi="Calibri"/>
                <w:color w:val="000000" w:themeColor="text1"/>
                <w:sz w:val="22"/>
                <w:szCs w:val="22"/>
              </w:rPr>
            </w:pPr>
            <w:r w:rsidRPr="003F4ED8">
              <w:rPr>
                <w:rFonts w:ascii="Calibri" w:hAnsi="Calibri"/>
                <w:color w:val="000000" w:themeColor="text1"/>
                <w:sz w:val="22"/>
                <w:szCs w:val="22"/>
              </w:rPr>
              <w:t>Considering the goal of the Outcome 7, although all 3 Outputs under Outcome 7 could be derived into objectives for full programmes to be implemented at country level, their sum remains insufficient to fully reach Outcome 7. Output 7.1 does not link up with the outcome indicators set. Nevertheless,</w:t>
            </w:r>
            <w:r w:rsidR="0079405E">
              <w:rPr>
                <w:rFonts w:ascii="Calibri" w:hAnsi="Calibri"/>
                <w:color w:val="000000" w:themeColor="text1"/>
                <w:sz w:val="22"/>
                <w:szCs w:val="22"/>
              </w:rPr>
              <w:t xml:space="preserve"> the reported achievements </w:t>
            </w:r>
            <w:r w:rsidRPr="003F4ED8">
              <w:rPr>
                <w:rFonts w:ascii="Calibri" w:hAnsi="Calibri"/>
                <w:color w:val="000000" w:themeColor="text1"/>
                <w:sz w:val="22"/>
                <w:szCs w:val="22"/>
              </w:rPr>
              <w:t xml:space="preserve">shows the relevance and contribution to the outcome goal. Another important remark is that reporting gender disaggregated date remains a challenge under this outcome. The performance of Outcome 7 is considered Amber-Green. </w:t>
            </w:r>
          </w:p>
          <w:p w14:paraId="14F2FA10" w14:textId="1CC63CC1" w:rsidR="003F4ED8" w:rsidRPr="003F4ED8" w:rsidRDefault="003F4ED8" w:rsidP="003F4ED8">
            <w:pPr>
              <w:pStyle w:val="ListParagraph"/>
              <w:numPr>
                <w:ilvl w:val="0"/>
                <w:numId w:val="35"/>
              </w:numPr>
              <w:spacing w:before="120" w:after="120"/>
              <w:jc w:val="both"/>
              <w:rPr>
                <w:rFonts w:ascii="Calibri" w:hAnsi="Calibri"/>
                <w:color w:val="000000" w:themeColor="text1"/>
                <w:sz w:val="22"/>
                <w:szCs w:val="22"/>
              </w:rPr>
            </w:pPr>
            <w:r w:rsidRPr="003F4ED8">
              <w:rPr>
                <w:rFonts w:ascii="Calibri" w:hAnsi="Calibri"/>
                <w:color w:val="000000" w:themeColor="text1"/>
                <w:sz w:val="22"/>
                <w:szCs w:val="22"/>
              </w:rPr>
              <w:t>All 5 Outputs under Outcome 8 are relevant contributions and the achievements reported did contribute to the overall outcome goal. The performance o</w:t>
            </w:r>
            <w:r w:rsidR="0079405E">
              <w:rPr>
                <w:rFonts w:ascii="Calibri" w:hAnsi="Calibri"/>
                <w:color w:val="000000" w:themeColor="text1"/>
                <w:sz w:val="22"/>
                <w:szCs w:val="22"/>
              </w:rPr>
              <w:t xml:space="preserve">f the outcome 8 </w:t>
            </w:r>
            <w:r w:rsidRPr="003F4ED8">
              <w:rPr>
                <w:rFonts w:ascii="Calibri" w:hAnsi="Calibri"/>
                <w:color w:val="000000" w:themeColor="text1"/>
                <w:sz w:val="22"/>
                <w:szCs w:val="22"/>
              </w:rPr>
              <w:t xml:space="preserve">can be considered as acceptable and on track to overall outcome objective. As such, following to the traffic light scoring definition presented in the methodological section, the performance of Outcome 8 is considered Amber-Green. </w:t>
            </w:r>
          </w:p>
          <w:p w14:paraId="23FA3AD5" w14:textId="5D2EC713" w:rsidR="003F4ED8" w:rsidRDefault="003F4ED8" w:rsidP="003F4ED8">
            <w:pPr>
              <w:pStyle w:val="ListParagraph"/>
              <w:numPr>
                <w:ilvl w:val="0"/>
                <w:numId w:val="34"/>
              </w:numPr>
              <w:spacing w:before="120" w:after="120"/>
              <w:jc w:val="both"/>
              <w:rPr>
                <w:rFonts w:ascii="Calibri" w:hAnsi="Calibri"/>
                <w:color w:val="000000" w:themeColor="text1"/>
                <w:sz w:val="22"/>
                <w:szCs w:val="22"/>
              </w:rPr>
            </w:pPr>
            <w:r>
              <w:rPr>
                <w:rFonts w:ascii="Calibri" w:hAnsi="Calibri"/>
                <w:color w:val="000000" w:themeColor="text1"/>
                <w:sz w:val="22"/>
                <w:szCs w:val="22"/>
              </w:rPr>
              <w:t>Efficiency</w:t>
            </w:r>
          </w:p>
          <w:p w14:paraId="1B46AF3B" w14:textId="5F3FF555" w:rsidR="003F4ED8" w:rsidRPr="00066260" w:rsidRDefault="003F4ED8" w:rsidP="00066260">
            <w:pPr>
              <w:pStyle w:val="ListParagraph"/>
              <w:numPr>
                <w:ilvl w:val="0"/>
                <w:numId w:val="35"/>
              </w:numPr>
              <w:spacing w:before="120" w:after="120"/>
              <w:jc w:val="both"/>
              <w:rPr>
                <w:rFonts w:ascii="Calibri" w:hAnsi="Calibri"/>
                <w:color w:val="000000" w:themeColor="text1"/>
                <w:sz w:val="22"/>
                <w:szCs w:val="22"/>
              </w:rPr>
            </w:pPr>
            <w:r w:rsidRPr="00066260">
              <w:rPr>
                <w:rFonts w:ascii="Calibri" w:hAnsi="Calibri"/>
                <w:color w:val="000000" w:themeColor="text1"/>
                <w:sz w:val="22"/>
                <w:szCs w:val="22"/>
              </w:rPr>
              <w:t>The estimated budget for the UNDAF 2012-2016 was USD 723,498,000, or on average USD 180 million per year. This is divided into three focus areas, with Social Pillar with about 55.6%, Economic Pillar with 31.6% and Governance Pillar about 12.8% of the estimated budget. It’s also important to note that about 23% of the total budget represents un</w:t>
            </w:r>
            <w:r w:rsidR="0079405E">
              <w:rPr>
                <w:rFonts w:ascii="Calibri" w:hAnsi="Calibri"/>
                <w:color w:val="000000" w:themeColor="text1"/>
                <w:sz w:val="22"/>
                <w:szCs w:val="22"/>
              </w:rPr>
              <w:t>-</w:t>
            </w:r>
            <w:r w:rsidRPr="00066260">
              <w:rPr>
                <w:rFonts w:ascii="Calibri" w:hAnsi="Calibri"/>
                <w:color w:val="000000" w:themeColor="text1"/>
                <w:sz w:val="22"/>
                <w:szCs w:val="22"/>
              </w:rPr>
              <w:t xml:space="preserve">earmarked regular/core funding and about 66% represent funding needs. </w:t>
            </w:r>
          </w:p>
          <w:p w14:paraId="416F8A94" w14:textId="4F1399C7" w:rsidR="00066260" w:rsidRPr="00066260" w:rsidRDefault="003F4ED8" w:rsidP="00066260">
            <w:pPr>
              <w:pStyle w:val="ListParagraph"/>
              <w:numPr>
                <w:ilvl w:val="0"/>
                <w:numId w:val="35"/>
              </w:numPr>
              <w:spacing w:before="120" w:after="120"/>
              <w:jc w:val="both"/>
              <w:rPr>
                <w:rFonts w:ascii="Calibri" w:hAnsi="Calibri"/>
                <w:color w:val="000000" w:themeColor="text1"/>
                <w:sz w:val="22"/>
                <w:szCs w:val="22"/>
              </w:rPr>
            </w:pPr>
            <w:r w:rsidRPr="00066260">
              <w:rPr>
                <w:rFonts w:ascii="Calibri" w:hAnsi="Calibri"/>
                <w:color w:val="000000" w:themeColor="text1"/>
                <w:sz w:val="22"/>
                <w:szCs w:val="22"/>
              </w:rPr>
              <w:t xml:space="preserve">The UNDAF Execution level (until 2014) was about 44%. The social pillar contribution to this was of 61%, economic pillar 31% and governance pillar 8%.The Social pillar has spent 48.3% of the budget, Economic pillar have spent 43.5% of what they budgeted, while at Governance level, only 26.9% was spent. The UNDAF was able to reduce the USD 473,801,000 funding gap in about 22%, while spending 74% of the Core/Regular and all of the Non-Core Available. </w:t>
            </w:r>
          </w:p>
          <w:p w14:paraId="6F242BDA" w14:textId="77777777" w:rsidR="00066260" w:rsidRPr="00066260" w:rsidRDefault="00066260" w:rsidP="00066260">
            <w:pPr>
              <w:pStyle w:val="ListParagraph"/>
              <w:numPr>
                <w:ilvl w:val="0"/>
                <w:numId w:val="35"/>
              </w:numPr>
              <w:spacing w:before="120" w:after="120"/>
              <w:jc w:val="both"/>
              <w:rPr>
                <w:rFonts w:ascii="Calibri" w:hAnsi="Calibri"/>
                <w:color w:val="000000" w:themeColor="text1"/>
                <w:sz w:val="22"/>
                <w:szCs w:val="22"/>
              </w:rPr>
            </w:pPr>
            <w:r w:rsidRPr="00066260">
              <w:rPr>
                <w:rFonts w:ascii="Calibri" w:hAnsi="Calibri"/>
                <w:color w:val="000000" w:themeColor="text1"/>
                <w:sz w:val="22"/>
                <w:szCs w:val="22"/>
              </w:rPr>
              <w:t xml:space="preserve">The Social Pillar presents higher commitment in terms of Regular/Core funding (about 63.6 million), followed by Economic (about USD 59.8 million) and then Governance Pillar (about USD 43.8 million). The same order applies when looking at the funding gap, with Social with a gap of USD 284 million, Economic with a gap of around USD 147 million, and Governance of a gap around USD 42 million. </w:t>
            </w:r>
          </w:p>
          <w:p w14:paraId="59B32D19" w14:textId="72373231" w:rsidR="00066260" w:rsidRPr="00066260" w:rsidRDefault="00066260" w:rsidP="00066260">
            <w:pPr>
              <w:pStyle w:val="ListParagraph"/>
              <w:numPr>
                <w:ilvl w:val="0"/>
                <w:numId w:val="35"/>
              </w:numPr>
              <w:spacing w:before="120" w:after="120"/>
              <w:jc w:val="both"/>
              <w:rPr>
                <w:rFonts w:ascii="Calibri" w:hAnsi="Calibri"/>
                <w:color w:val="000000" w:themeColor="text1"/>
                <w:sz w:val="22"/>
                <w:szCs w:val="22"/>
              </w:rPr>
            </w:pPr>
            <w:r w:rsidRPr="00066260">
              <w:rPr>
                <w:rFonts w:ascii="Calibri" w:hAnsi="Calibri"/>
                <w:color w:val="000000" w:themeColor="text1"/>
                <w:sz w:val="22"/>
                <w:szCs w:val="22"/>
              </w:rPr>
              <w:t xml:space="preserve">Looking at Execution per each pillar, Economic pillar showed an execution of about 43.5%, mounting USD 99,409,772. This was spent mostly in Outcome 1 (about 47.5%), followed by Outcome 3 (about 46.3%) and Outcome 2 (about 6.2%). Social Pillar was executed at about 48.3%, corresponding to a total of USD 194,243,785. This was spent mostly in Outcome 4 (about 89.4%), followed by Outcome 5 (about 10.6%). And the Governance Pillar CBF was executed at about 26.9%, corresponding to a total of USD 24,977,440. This was spent mostly in Outcome 8 (about 36.6%), </w:t>
            </w:r>
            <w:r w:rsidRPr="00066260">
              <w:rPr>
                <w:rFonts w:ascii="Calibri" w:hAnsi="Calibri"/>
                <w:color w:val="000000" w:themeColor="text1"/>
                <w:sz w:val="22"/>
                <w:szCs w:val="22"/>
              </w:rPr>
              <w:lastRenderedPageBreak/>
              <w:t xml:space="preserve">followed by Outcome 6 (about 36.4%), and Outcome 7 (about 27%). This pillar is the only one that shows a tendency of increased expenditure over the years. </w:t>
            </w:r>
          </w:p>
          <w:p w14:paraId="49D60F4B" w14:textId="4324B4C1" w:rsidR="00066260" w:rsidRPr="00066260" w:rsidRDefault="00066260" w:rsidP="00066260">
            <w:pPr>
              <w:pStyle w:val="ListParagraph"/>
              <w:numPr>
                <w:ilvl w:val="0"/>
                <w:numId w:val="35"/>
              </w:numPr>
              <w:spacing w:before="120" w:after="120"/>
              <w:jc w:val="both"/>
              <w:rPr>
                <w:rFonts w:ascii="Calibri" w:hAnsi="Calibri"/>
                <w:color w:val="000000" w:themeColor="text1"/>
                <w:sz w:val="22"/>
                <w:szCs w:val="22"/>
              </w:rPr>
            </w:pPr>
            <w:r w:rsidRPr="00066260">
              <w:rPr>
                <w:rFonts w:ascii="Calibri" w:hAnsi="Calibri"/>
                <w:color w:val="000000" w:themeColor="text1"/>
                <w:sz w:val="22"/>
                <w:szCs w:val="22"/>
              </w:rPr>
              <w:t xml:space="preserve">There is a clear perception that UNDAF decreases costs for the government, and on the other side increase agency costs, although no specific cost study was undertaken. However a specific study is required to assess to which extent there are and how much the cost reduction is. </w:t>
            </w:r>
          </w:p>
          <w:p w14:paraId="4375387F" w14:textId="77777777" w:rsidR="003F4ED8" w:rsidRDefault="003F4ED8" w:rsidP="003F4ED8">
            <w:pPr>
              <w:pStyle w:val="ListParagraph"/>
              <w:numPr>
                <w:ilvl w:val="0"/>
                <w:numId w:val="34"/>
              </w:numPr>
              <w:spacing w:before="120" w:after="120"/>
              <w:jc w:val="both"/>
              <w:rPr>
                <w:rFonts w:ascii="Calibri" w:hAnsi="Calibri"/>
                <w:color w:val="000000" w:themeColor="text1"/>
                <w:sz w:val="22"/>
                <w:szCs w:val="22"/>
              </w:rPr>
            </w:pPr>
            <w:r>
              <w:rPr>
                <w:rFonts w:ascii="Calibri" w:hAnsi="Calibri"/>
                <w:color w:val="000000" w:themeColor="text1"/>
                <w:sz w:val="22"/>
                <w:szCs w:val="22"/>
              </w:rPr>
              <w:t>Sustainability</w:t>
            </w:r>
          </w:p>
          <w:p w14:paraId="79571DC3" w14:textId="428DB4BD" w:rsidR="003200FE" w:rsidRPr="00066260" w:rsidRDefault="00066260" w:rsidP="0011492B">
            <w:pPr>
              <w:pStyle w:val="ListParagraph"/>
              <w:numPr>
                <w:ilvl w:val="0"/>
                <w:numId w:val="35"/>
              </w:numPr>
              <w:spacing w:before="120" w:after="120"/>
              <w:jc w:val="both"/>
              <w:rPr>
                <w:rFonts w:ascii="Calibri" w:hAnsi="Calibri"/>
                <w:color w:val="000000" w:themeColor="text1"/>
                <w:sz w:val="22"/>
                <w:szCs w:val="22"/>
              </w:rPr>
            </w:pPr>
            <w:r w:rsidRPr="00066260">
              <w:rPr>
                <w:rFonts w:ascii="Calibri" w:hAnsi="Calibri"/>
                <w:color w:val="000000" w:themeColor="text1"/>
                <w:sz w:val="22"/>
                <w:szCs w:val="22"/>
              </w:rPr>
              <w:t xml:space="preserve">In general, the intervention under UNDAF may have achieved mostly social and institutional sustainability, and to some extent financial sustainability. This financial sustainability especially applies to sectors which are heavily dependent on state funding (health, education, etc.) for those initiatives strictly aligned to sectorial strategic plan. </w:t>
            </w:r>
          </w:p>
          <w:p w14:paraId="2E576575" w14:textId="77777777" w:rsidR="0016175D" w:rsidRPr="00DF7AAF" w:rsidRDefault="0016175D" w:rsidP="0016175D">
            <w:pPr>
              <w:pStyle w:val="ListParagraph"/>
              <w:spacing w:before="120" w:after="120"/>
              <w:jc w:val="both"/>
              <w:rPr>
                <w:rFonts w:ascii="Calibri" w:hAnsi="Calibri"/>
                <w:b/>
                <w:color w:val="000000" w:themeColor="text1"/>
                <w:sz w:val="22"/>
                <w:szCs w:val="22"/>
                <w:u w:val="single"/>
              </w:rPr>
            </w:pPr>
          </w:p>
          <w:p w14:paraId="1F11B331" w14:textId="477E15BB" w:rsidR="00176B48" w:rsidRPr="00DF7AAF" w:rsidRDefault="00DF7AAF" w:rsidP="00DF7AAF">
            <w:pPr>
              <w:pStyle w:val="ListParagraph"/>
              <w:numPr>
                <w:ilvl w:val="0"/>
                <w:numId w:val="36"/>
              </w:numPr>
              <w:spacing w:before="120" w:after="120"/>
              <w:jc w:val="both"/>
              <w:rPr>
                <w:rFonts w:ascii="Calibri" w:hAnsi="Calibri"/>
                <w:b/>
                <w:color w:val="000000" w:themeColor="text1"/>
                <w:sz w:val="22"/>
                <w:szCs w:val="22"/>
                <w:u w:val="single"/>
              </w:rPr>
            </w:pPr>
            <w:r w:rsidRPr="00DF7AAF">
              <w:rPr>
                <w:rFonts w:ascii="Calibri" w:hAnsi="Calibri"/>
                <w:b/>
                <w:color w:val="000000" w:themeColor="text1"/>
                <w:sz w:val="22"/>
                <w:szCs w:val="22"/>
                <w:u w:val="single"/>
              </w:rPr>
              <w:t>T</w:t>
            </w:r>
            <w:r w:rsidR="00176B48" w:rsidRPr="00DF7AAF">
              <w:rPr>
                <w:rFonts w:ascii="Calibri" w:hAnsi="Calibri"/>
                <w:b/>
                <w:color w:val="000000" w:themeColor="text1"/>
                <w:sz w:val="22"/>
                <w:szCs w:val="22"/>
                <w:u w:val="single"/>
              </w:rPr>
              <w:t>erminal Evaluation of Coping with Drought and Climate Change</w:t>
            </w:r>
          </w:p>
          <w:p w14:paraId="32C4EE6F" w14:textId="77777777" w:rsidR="00320356" w:rsidRPr="00EC17F2" w:rsidRDefault="00176B48" w:rsidP="00320356">
            <w:pPr>
              <w:spacing w:before="120" w:after="120"/>
              <w:jc w:val="both"/>
              <w:rPr>
                <w:rStyle w:val="roarquestion"/>
                <w:rFonts w:ascii="Calibri" w:hAnsi="Calibri"/>
                <w:sz w:val="22"/>
                <w:szCs w:val="22"/>
              </w:rPr>
            </w:pPr>
            <w:r w:rsidRPr="00EC17F2">
              <w:rPr>
                <w:rStyle w:val="roarquestion"/>
                <w:rFonts w:ascii="Calibri" w:hAnsi="Calibri"/>
                <w:sz w:val="22"/>
                <w:szCs w:val="22"/>
              </w:rPr>
              <w:t xml:space="preserve">Recommendations: </w:t>
            </w:r>
          </w:p>
          <w:p w14:paraId="4DB7C63C" w14:textId="2413CE5F" w:rsidR="00770C18" w:rsidRPr="00EC17F2" w:rsidRDefault="00320356" w:rsidP="00EC17F2">
            <w:pPr>
              <w:pStyle w:val="ListParagraph"/>
              <w:numPr>
                <w:ilvl w:val="0"/>
                <w:numId w:val="30"/>
              </w:numPr>
              <w:spacing w:before="120" w:after="120"/>
              <w:jc w:val="both"/>
              <w:rPr>
                <w:rStyle w:val="roarquestion"/>
                <w:rFonts w:ascii="Calibri" w:hAnsi="Calibri"/>
              </w:rPr>
            </w:pPr>
            <w:r w:rsidRPr="00EC17F2">
              <w:rPr>
                <w:rStyle w:val="roarquestion"/>
                <w:rFonts w:ascii="Calibri" w:hAnsi="Calibri"/>
                <w:sz w:val="22"/>
                <w:szCs w:val="22"/>
              </w:rPr>
              <w:t>T</w:t>
            </w:r>
            <w:r w:rsidR="00176B48" w:rsidRPr="00EC17F2">
              <w:rPr>
                <w:rStyle w:val="roarquestion"/>
                <w:rFonts w:ascii="Calibri" w:hAnsi="Calibri"/>
                <w:sz w:val="22"/>
                <w:szCs w:val="22"/>
              </w:rPr>
              <w:t>o maximize the potential benefits of the NIM implementation modality, the project governance should have been exerted at the district and/ or provincial level, ideally with the project management unit immersed within the district government to: a) Enable a more efficient implementation responding to local ci</w:t>
            </w:r>
            <w:r w:rsidR="00A5543C">
              <w:rPr>
                <w:rStyle w:val="roarquestion"/>
                <w:rFonts w:ascii="Calibri" w:hAnsi="Calibri"/>
                <w:sz w:val="22"/>
                <w:szCs w:val="22"/>
              </w:rPr>
              <w:t>rcumstances and demands</w:t>
            </w:r>
            <w:r w:rsidR="00176B48" w:rsidRPr="00EC17F2">
              <w:rPr>
                <w:rStyle w:val="roarquestion"/>
                <w:rFonts w:ascii="Calibri" w:hAnsi="Calibri"/>
                <w:sz w:val="22"/>
                <w:szCs w:val="22"/>
              </w:rPr>
              <w:t xml:space="preserve"> b) Enable a transfer of capacity in terms of technical capacities, leadership, and institutional arrangements and procedures to the institution (district government) that would warrant the sustainability of results</w:t>
            </w:r>
            <w:r w:rsidRPr="00EC17F2">
              <w:rPr>
                <w:rStyle w:val="roarquestion"/>
                <w:rFonts w:ascii="Calibri" w:hAnsi="Calibri"/>
                <w:sz w:val="22"/>
                <w:szCs w:val="22"/>
              </w:rPr>
              <w:t>;</w:t>
            </w:r>
          </w:p>
          <w:p w14:paraId="6C1C6F69" w14:textId="77777777" w:rsidR="00320356" w:rsidRPr="00EC17F2" w:rsidRDefault="00320356" w:rsidP="00EC17F2">
            <w:pPr>
              <w:pStyle w:val="ListParagraph"/>
              <w:numPr>
                <w:ilvl w:val="0"/>
                <w:numId w:val="30"/>
              </w:numPr>
              <w:spacing w:before="120" w:after="120"/>
              <w:jc w:val="both"/>
              <w:rPr>
                <w:rStyle w:val="roarquestion"/>
                <w:rFonts w:ascii="Calibri" w:hAnsi="Calibri"/>
              </w:rPr>
            </w:pPr>
            <w:r w:rsidRPr="00EC17F2">
              <w:rPr>
                <w:rStyle w:val="roarquestion"/>
                <w:rFonts w:ascii="Calibri" w:hAnsi="Calibri"/>
                <w:sz w:val="22"/>
                <w:szCs w:val="22"/>
              </w:rPr>
              <w:t>The quality of the risk and assumptions must be reviewed by the implementing agency, the executing agency and the GEF to ensure that the risks and assumptions are plausible and correctly formulated and that the risks mitigation strategies are adequately developed and feasible within the projects context;</w:t>
            </w:r>
          </w:p>
          <w:p w14:paraId="098DF400" w14:textId="77777777" w:rsidR="00320356" w:rsidRPr="00EC17F2" w:rsidRDefault="00320356" w:rsidP="00EC17F2">
            <w:pPr>
              <w:pStyle w:val="ListParagraph"/>
              <w:numPr>
                <w:ilvl w:val="0"/>
                <w:numId w:val="30"/>
              </w:numPr>
              <w:spacing w:before="120" w:after="120"/>
              <w:jc w:val="both"/>
              <w:rPr>
                <w:rStyle w:val="roarquestion"/>
                <w:rFonts w:ascii="Calibri" w:hAnsi="Calibri"/>
              </w:rPr>
            </w:pPr>
            <w:r w:rsidRPr="00EC17F2">
              <w:rPr>
                <w:rStyle w:val="roarquestion"/>
                <w:rFonts w:ascii="Calibri" w:hAnsi="Calibri"/>
                <w:sz w:val="22"/>
                <w:szCs w:val="22"/>
              </w:rPr>
              <w:t>The indicator framework should be reviewed by the stakeholders, particularly the implementing agency to ensure that they respond to SMART standards. The newly developed Adaptation Monitoring Tool should guide the indicator framework of future adaptation interventions. Even if it counts with robust and SMART indicators, the indicator framework, would not produce the information needed for efficient adaptive management if the indicators are not made operational, i.e. quantitative scales developed to ensure their measurability, proper information sources and collection responsibilities and frequencies, as well as analysis methodology of monitoring data identified.</w:t>
            </w:r>
          </w:p>
          <w:p w14:paraId="59742106" w14:textId="5723DA2A" w:rsidR="004F3067" w:rsidRPr="00A5543C" w:rsidRDefault="004F3067" w:rsidP="00EC17F2">
            <w:pPr>
              <w:pStyle w:val="ListParagraph"/>
              <w:numPr>
                <w:ilvl w:val="0"/>
                <w:numId w:val="30"/>
              </w:numPr>
              <w:spacing w:before="120" w:after="120"/>
              <w:jc w:val="both"/>
              <w:rPr>
                <w:rStyle w:val="roarquestion"/>
                <w:rFonts w:ascii="Calibri" w:hAnsi="Calibri"/>
                <w:sz w:val="22"/>
                <w:szCs w:val="22"/>
              </w:rPr>
            </w:pPr>
            <w:r w:rsidRPr="00EC17F2">
              <w:rPr>
                <w:rStyle w:val="roarquestion"/>
                <w:rFonts w:ascii="Calibri" w:hAnsi="Calibri"/>
                <w:sz w:val="22"/>
                <w:szCs w:val="22"/>
              </w:rPr>
              <w:t xml:space="preserve">The project management arrangements should be based in a more solid and participative analysis of the institutional stakeholders, i.e. their mandates and capacities should be properly taken into consideration. </w:t>
            </w:r>
          </w:p>
          <w:p w14:paraId="39E70C00" w14:textId="77777777" w:rsidR="004F3067" w:rsidRPr="00A5543C" w:rsidRDefault="004F3067" w:rsidP="00EC17F2">
            <w:pPr>
              <w:pStyle w:val="ListParagraph"/>
              <w:numPr>
                <w:ilvl w:val="0"/>
                <w:numId w:val="30"/>
              </w:numPr>
              <w:spacing w:before="120" w:after="120"/>
              <w:jc w:val="both"/>
              <w:rPr>
                <w:rStyle w:val="roarquestion"/>
                <w:rFonts w:ascii="Calibri" w:hAnsi="Calibri"/>
                <w:sz w:val="22"/>
                <w:szCs w:val="22"/>
              </w:rPr>
            </w:pPr>
            <w:r w:rsidRPr="00EC17F2">
              <w:rPr>
                <w:rStyle w:val="roarquestion"/>
                <w:rFonts w:ascii="Calibri" w:hAnsi="Calibri"/>
                <w:sz w:val="22"/>
                <w:szCs w:val="22"/>
              </w:rPr>
              <w:t xml:space="preserve">Mid-level governance structures should have been set-up for effective project management: for instance, a project technical management committee that would meet on a monthly basis with presence of the district and provincial services, as well as representatives from the implementing and executing agencies. In that way, synergies would have been created between the proximity to field realities, capacity and mandate </w:t>
            </w:r>
            <w:r w:rsidRPr="00EC17F2">
              <w:rPr>
                <w:rStyle w:val="roarquestion"/>
                <w:rFonts w:ascii="Calibri" w:hAnsi="Calibri"/>
                <w:sz w:val="22"/>
                <w:szCs w:val="22"/>
              </w:rPr>
              <w:lastRenderedPageBreak/>
              <w:t>of local (district and provincial) institutions and the coordinating, technical knowledge, administrative support and political leverage of the executing and implementing agencies.</w:t>
            </w:r>
          </w:p>
          <w:p w14:paraId="5042D22D" w14:textId="77777777" w:rsidR="004F3067" w:rsidRPr="00A5543C" w:rsidRDefault="004F3067" w:rsidP="00EC17F2">
            <w:pPr>
              <w:pStyle w:val="ListParagraph"/>
              <w:numPr>
                <w:ilvl w:val="0"/>
                <w:numId w:val="30"/>
              </w:numPr>
              <w:spacing w:before="120" w:after="120"/>
              <w:jc w:val="both"/>
              <w:rPr>
                <w:rStyle w:val="roarquestion"/>
                <w:rFonts w:ascii="Calibri" w:hAnsi="Calibri"/>
                <w:sz w:val="22"/>
                <w:szCs w:val="22"/>
              </w:rPr>
            </w:pPr>
            <w:r w:rsidRPr="00EC17F2">
              <w:rPr>
                <w:rStyle w:val="roarquestion"/>
                <w:rFonts w:ascii="Calibri" w:hAnsi="Calibri"/>
                <w:sz w:val="22"/>
                <w:szCs w:val="22"/>
              </w:rPr>
              <w:t>The vulnerability of the project outputs to climate factors should be carefully analyzed including all plausible hazards. Failing to do this would mean investing in maladaptation. In the case of this project, structures and plots were set in flood prone areas assuming flooding would not occur. Reconstruction or rehabilitation in the same location will guarantee the loss of the investment eventually in the absence of mitigating measures.</w:t>
            </w:r>
          </w:p>
          <w:p w14:paraId="6AA6824F" w14:textId="77777777" w:rsidR="004F3067" w:rsidRPr="00A5543C" w:rsidRDefault="004F3067" w:rsidP="00EC17F2">
            <w:pPr>
              <w:pStyle w:val="ListParagraph"/>
              <w:numPr>
                <w:ilvl w:val="0"/>
                <w:numId w:val="30"/>
              </w:numPr>
              <w:spacing w:before="120" w:after="120"/>
              <w:jc w:val="both"/>
              <w:rPr>
                <w:rStyle w:val="roarquestion"/>
                <w:rFonts w:ascii="Calibri" w:hAnsi="Calibri"/>
                <w:sz w:val="22"/>
                <w:szCs w:val="22"/>
              </w:rPr>
            </w:pPr>
            <w:r w:rsidRPr="00EC17F2">
              <w:rPr>
                <w:rStyle w:val="roarquestion"/>
                <w:rFonts w:ascii="Calibri" w:hAnsi="Calibri"/>
                <w:sz w:val="22"/>
                <w:szCs w:val="22"/>
              </w:rPr>
              <w:t>Climate change should be mainstreamed into the district planning instruments, i.e. the districts strategic development plan to help better understand the potential impacts of climate change and variability and quantify the incremental financial needs. This would need the involvement of the appropriate institutions to support the mainstreaming process i.e. the Ministry of Planning and Development and would facilitate the alignment of future funds with the district development and adaptation priorities.</w:t>
            </w:r>
          </w:p>
          <w:p w14:paraId="5E98FA7D" w14:textId="472B21D9" w:rsidR="004F3067" w:rsidRPr="00EC17F2" w:rsidRDefault="00EC17F2" w:rsidP="00A5543C">
            <w:pPr>
              <w:pStyle w:val="ListParagraph"/>
              <w:numPr>
                <w:ilvl w:val="0"/>
                <w:numId w:val="30"/>
              </w:numPr>
              <w:spacing w:before="120" w:after="120"/>
              <w:jc w:val="both"/>
              <w:rPr>
                <w:rFonts w:asciiTheme="minorHAnsi" w:hAnsiTheme="minorHAnsi"/>
                <w:sz w:val="22"/>
                <w:szCs w:val="22"/>
              </w:rPr>
            </w:pPr>
            <w:r w:rsidRPr="00A5543C">
              <w:rPr>
                <w:rStyle w:val="roarquestion"/>
                <w:rFonts w:ascii="Calibri" w:hAnsi="Calibri"/>
                <w:sz w:val="22"/>
                <w:szCs w:val="22"/>
              </w:rPr>
              <w:t xml:space="preserve">Regardless of the metrics and indicators chosen to determine vulnerability and the contribution of the project to its reduction, an indicator (or set of indicators) for the project objective would have needed a baseline, provided by a vulnerability study or survey against which to measure the vulnerability at project end or at a later time point. </w:t>
            </w:r>
            <w:r w:rsidRPr="00A5543C">
              <w:rPr>
                <w:rStyle w:val="roarquestion"/>
                <w:rFonts w:ascii="Calibri" w:hAnsi="Calibri"/>
                <w:sz w:val="22"/>
                <w:szCs w:val="22"/>
              </w:rPr>
              <w:tab/>
            </w:r>
          </w:p>
        </w:tc>
      </w:tr>
    </w:tbl>
    <w:p w14:paraId="672CFC70" w14:textId="4645A637" w:rsidR="00584C12" w:rsidRDefault="00584C12">
      <w:pPr>
        <w:pStyle w:val="BodyText2"/>
        <w:rPr>
          <w:rFonts w:asciiTheme="minorHAnsi" w:hAnsiTheme="minorHAnsi"/>
          <w:sz w:val="24"/>
        </w:rPr>
      </w:pPr>
    </w:p>
    <w:p w14:paraId="79066465" w14:textId="77777777" w:rsidR="00584C12" w:rsidRDefault="00584C12">
      <w:pPr>
        <w:widowControl/>
        <w:rPr>
          <w:rFonts w:asciiTheme="minorHAnsi" w:hAnsiTheme="minorHAnsi"/>
        </w:rPr>
      </w:pPr>
      <w:r>
        <w:rPr>
          <w:rFonts w:asciiTheme="minorHAnsi" w:hAnsiTheme="minorHAnsi"/>
        </w:rPr>
        <w:br w:type="page"/>
      </w:r>
    </w:p>
    <w:p w14:paraId="43DD5138" w14:textId="77777777" w:rsidR="00E37E7A" w:rsidRPr="00584C12" w:rsidRDefault="00EA7740" w:rsidP="00584C12">
      <w:pPr>
        <w:pStyle w:val="Heading3"/>
        <w:jc w:val="left"/>
        <w:rPr>
          <w:rFonts w:asciiTheme="minorHAnsi" w:hAnsiTheme="minorHAnsi"/>
          <w:b/>
        </w:rPr>
      </w:pPr>
      <w:r w:rsidRPr="00584C12">
        <w:rPr>
          <w:rFonts w:asciiTheme="minorHAnsi" w:hAnsiTheme="minorHAnsi"/>
          <w:b/>
        </w:rPr>
        <w:lastRenderedPageBreak/>
        <w:t xml:space="preserve">III. </w:t>
      </w:r>
      <w:r w:rsidR="00673710" w:rsidRPr="00584C12">
        <w:rPr>
          <w:rFonts w:asciiTheme="minorHAnsi" w:hAnsiTheme="minorHAnsi"/>
          <w:b/>
        </w:rPr>
        <w:t xml:space="preserve">Country Programme </w:t>
      </w:r>
      <w:r w:rsidR="00E37E7A" w:rsidRPr="00584C12">
        <w:rPr>
          <w:rFonts w:asciiTheme="minorHAnsi" w:hAnsiTheme="minorHAnsi"/>
          <w:b/>
        </w:rPr>
        <w:t>Resources</w:t>
      </w:r>
    </w:p>
    <w:p w14:paraId="33700814" w14:textId="77777777" w:rsidR="00635929"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6117"/>
        <w:gridCol w:w="1866"/>
        <w:gridCol w:w="2039"/>
        <w:gridCol w:w="1949"/>
        <w:gridCol w:w="1979"/>
      </w:tblGrid>
      <w:tr w:rsidR="00BD43BE" w:rsidRPr="00BD43BE" w14:paraId="755CFA69" w14:textId="77777777" w:rsidTr="00BD43BE">
        <w:tc>
          <w:tcPr>
            <w:tcW w:w="61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5FF4E55" w14:textId="77777777" w:rsidR="00BD43BE" w:rsidRPr="00BD43BE" w:rsidRDefault="00BD43BE">
            <w:pPr>
              <w:pStyle w:val="BodyText2"/>
              <w:jc w:val="center"/>
              <w:rPr>
                <w:rFonts w:asciiTheme="minorHAnsi" w:hAnsiTheme="minorHAnsi"/>
                <w:b/>
                <w:color w:val="FFFFFF" w:themeColor="background1"/>
                <w:sz w:val="22"/>
                <w:szCs w:val="22"/>
              </w:rPr>
            </w:pPr>
            <w:r w:rsidRPr="00BD43BE">
              <w:rPr>
                <w:rFonts w:asciiTheme="minorHAnsi" w:hAnsiTheme="minorHAnsi"/>
                <w:b/>
                <w:color w:val="FFFFFF" w:themeColor="background1"/>
                <w:sz w:val="22"/>
                <w:szCs w:val="22"/>
              </w:rPr>
              <w:t>Focus Area</w:t>
            </w:r>
          </w:p>
        </w:tc>
        <w:tc>
          <w:tcPr>
            <w:tcW w:w="5854"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1E6CDCE9" w14:textId="77777777" w:rsidR="00BD43BE" w:rsidRPr="00BD43BE" w:rsidRDefault="00BD43BE">
            <w:pPr>
              <w:pStyle w:val="BodyText2"/>
              <w:jc w:val="center"/>
              <w:rPr>
                <w:rFonts w:asciiTheme="minorHAnsi" w:hAnsiTheme="minorHAnsi"/>
                <w:b/>
                <w:color w:val="FFFFFF" w:themeColor="background1"/>
                <w:sz w:val="22"/>
                <w:szCs w:val="22"/>
              </w:rPr>
            </w:pPr>
            <w:r w:rsidRPr="00BD43BE">
              <w:rPr>
                <w:rFonts w:asciiTheme="minorHAnsi" w:hAnsiTheme="minorHAnsi"/>
                <w:b/>
                <w:color w:val="FFFFFF" w:themeColor="background1"/>
                <w:sz w:val="22"/>
                <w:szCs w:val="22"/>
              </w:rPr>
              <w:t>Programme Expenditure 2012-2015 ($)</w:t>
            </w:r>
          </w:p>
        </w:tc>
        <w:tc>
          <w:tcPr>
            <w:tcW w:w="197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1639BCD" w14:textId="77777777" w:rsidR="00BD43BE" w:rsidRPr="00BD43BE" w:rsidRDefault="00BD43BE">
            <w:pPr>
              <w:pStyle w:val="BodyText2"/>
              <w:jc w:val="center"/>
              <w:rPr>
                <w:rFonts w:asciiTheme="minorHAnsi" w:hAnsiTheme="minorHAnsi"/>
                <w:b/>
                <w:color w:val="FFFFFF" w:themeColor="background1"/>
                <w:sz w:val="22"/>
                <w:szCs w:val="22"/>
              </w:rPr>
            </w:pPr>
            <w:r w:rsidRPr="00BD43BE">
              <w:rPr>
                <w:rFonts w:asciiTheme="minorHAnsi" w:hAnsiTheme="minorHAnsi"/>
                <w:b/>
                <w:color w:val="FFFFFF" w:themeColor="background1"/>
                <w:sz w:val="22"/>
                <w:szCs w:val="22"/>
              </w:rPr>
              <w:t>% of Total</w:t>
            </w:r>
          </w:p>
        </w:tc>
      </w:tr>
      <w:tr w:rsidR="00BD43BE" w:rsidRPr="00BD43BE" w14:paraId="7E51340A" w14:textId="77777777" w:rsidTr="00BD43BE">
        <w:tc>
          <w:tcPr>
            <w:tcW w:w="6117" w:type="dxa"/>
            <w:tcBorders>
              <w:top w:val="single" w:sz="4" w:space="0" w:color="auto"/>
              <w:left w:val="single" w:sz="4" w:space="0" w:color="auto"/>
              <w:bottom w:val="single" w:sz="4" w:space="0" w:color="auto"/>
              <w:right w:val="single" w:sz="4" w:space="0" w:color="auto"/>
            </w:tcBorders>
          </w:tcPr>
          <w:p w14:paraId="0AFF806A" w14:textId="77777777" w:rsidR="00BD43BE" w:rsidRPr="0054572C" w:rsidRDefault="00BD43BE">
            <w:pPr>
              <w:pStyle w:val="BodyText2"/>
              <w:rPr>
                <w:rFonts w:asciiTheme="minorHAnsi" w:hAnsiTheme="minorHAnsi"/>
                <w:sz w:val="22"/>
                <w:szCs w:val="22"/>
              </w:rPr>
            </w:pPr>
          </w:p>
        </w:tc>
        <w:tc>
          <w:tcPr>
            <w:tcW w:w="1866" w:type="dxa"/>
            <w:tcBorders>
              <w:top w:val="single" w:sz="4" w:space="0" w:color="auto"/>
              <w:left w:val="single" w:sz="4" w:space="0" w:color="auto"/>
              <w:bottom w:val="single" w:sz="4" w:space="0" w:color="auto"/>
              <w:right w:val="single" w:sz="4" w:space="0" w:color="auto"/>
            </w:tcBorders>
            <w:hideMark/>
          </w:tcPr>
          <w:p w14:paraId="06EE1623" w14:textId="77777777" w:rsidR="00BD43BE" w:rsidRPr="0054572C" w:rsidRDefault="00BD43BE">
            <w:pPr>
              <w:pStyle w:val="BodyText2"/>
              <w:jc w:val="center"/>
              <w:rPr>
                <w:rFonts w:asciiTheme="minorHAnsi" w:hAnsiTheme="minorHAnsi"/>
                <w:sz w:val="22"/>
                <w:szCs w:val="22"/>
              </w:rPr>
            </w:pPr>
            <w:r w:rsidRPr="0054572C">
              <w:rPr>
                <w:rFonts w:asciiTheme="minorHAnsi" w:hAnsiTheme="minorHAnsi"/>
                <w:sz w:val="22"/>
                <w:szCs w:val="22"/>
              </w:rPr>
              <w:t>Regular (TRAC)</w:t>
            </w:r>
          </w:p>
        </w:tc>
        <w:tc>
          <w:tcPr>
            <w:tcW w:w="2039" w:type="dxa"/>
            <w:tcBorders>
              <w:top w:val="single" w:sz="4" w:space="0" w:color="auto"/>
              <w:left w:val="single" w:sz="4" w:space="0" w:color="auto"/>
              <w:bottom w:val="single" w:sz="4" w:space="0" w:color="auto"/>
              <w:right w:val="single" w:sz="4" w:space="0" w:color="auto"/>
            </w:tcBorders>
            <w:hideMark/>
          </w:tcPr>
          <w:p w14:paraId="76D3F5F5" w14:textId="77777777" w:rsidR="00BD43BE" w:rsidRPr="0054572C" w:rsidRDefault="00BD43BE">
            <w:pPr>
              <w:pStyle w:val="BodyText2"/>
              <w:jc w:val="center"/>
              <w:rPr>
                <w:rFonts w:asciiTheme="minorHAnsi" w:hAnsiTheme="minorHAnsi"/>
                <w:sz w:val="22"/>
                <w:szCs w:val="22"/>
              </w:rPr>
            </w:pPr>
            <w:r w:rsidRPr="0054572C">
              <w:rPr>
                <w:rFonts w:asciiTheme="minorHAnsi" w:hAnsiTheme="minorHAnsi"/>
                <w:sz w:val="22"/>
                <w:szCs w:val="22"/>
              </w:rPr>
              <w:t>Other</w:t>
            </w:r>
          </w:p>
        </w:tc>
        <w:tc>
          <w:tcPr>
            <w:tcW w:w="1949" w:type="dxa"/>
            <w:tcBorders>
              <w:top w:val="single" w:sz="4" w:space="0" w:color="auto"/>
              <w:left w:val="single" w:sz="4" w:space="0" w:color="auto"/>
              <w:bottom w:val="single" w:sz="4" w:space="0" w:color="auto"/>
              <w:right w:val="single" w:sz="4" w:space="0" w:color="auto"/>
            </w:tcBorders>
            <w:hideMark/>
          </w:tcPr>
          <w:p w14:paraId="3C8FAF84" w14:textId="77777777" w:rsidR="00BD43BE" w:rsidRPr="0054572C" w:rsidRDefault="00BD43BE">
            <w:pPr>
              <w:pStyle w:val="BodyText2"/>
              <w:jc w:val="center"/>
              <w:rPr>
                <w:rFonts w:asciiTheme="minorHAnsi" w:hAnsiTheme="minorHAnsi"/>
                <w:sz w:val="22"/>
                <w:szCs w:val="22"/>
              </w:rPr>
            </w:pPr>
            <w:r w:rsidRPr="0054572C">
              <w:rPr>
                <w:rFonts w:asciiTheme="minorHAnsi" w:hAnsiTheme="minorHAnsi"/>
                <w:sz w:val="22"/>
                <w:szCs w:val="22"/>
              </w:rPr>
              <w:t>Total</w:t>
            </w:r>
          </w:p>
        </w:tc>
        <w:tc>
          <w:tcPr>
            <w:tcW w:w="1979" w:type="dxa"/>
            <w:tcBorders>
              <w:top w:val="single" w:sz="4" w:space="0" w:color="auto"/>
              <w:left w:val="single" w:sz="4" w:space="0" w:color="auto"/>
              <w:bottom w:val="single" w:sz="4" w:space="0" w:color="auto"/>
              <w:right w:val="single" w:sz="4" w:space="0" w:color="auto"/>
            </w:tcBorders>
          </w:tcPr>
          <w:p w14:paraId="6F4D2A00" w14:textId="626D096F" w:rsidR="00BD43BE" w:rsidRPr="0054572C" w:rsidRDefault="00BD43BE" w:rsidP="0054572C">
            <w:pPr>
              <w:pStyle w:val="BodyText2"/>
              <w:rPr>
                <w:rFonts w:asciiTheme="minorHAnsi" w:hAnsiTheme="minorHAnsi"/>
                <w:sz w:val="22"/>
                <w:szCs w:val="22"/>
              </w:rPr>
            </w:pPr>
          </w:p>
        </w:tc>
      </w:tr>
      <w:tr w:rsidR="00565572" w:rsidRPr="00BD43BE" w14:paraId="07426D49" w14:textId="77777777" w:rsidTr="00A671D2">
        <w:tc>
          <w:tcPr>
            <w:tcW w:w="6117" w:type="dxa"/>
            <w:tcBorders>
              <w:top w:val="single" w:sz="4" w:space="0" w:color="auto"/>
              <w:left w:val="single" w:sz="4" w:space="0" w:color="auto"/>
              <w:bottom w:val="single" w:sz="4" w:space="0" w:color="auto"/>
              <w:right w:val="single" w:sz="4" w:space="0" w:color="auto"/>
            </w:tcBorders>
            <w:vAlign w:val="bottom"/>
          </w:tcPr>
          <w:p w14:paraId="70F3F414" w14:textId="613AEB6F" w:rsidR="00565572" w:rsidRPr="0054572C" w:rsidRDefault="00565572" w:rsidP="00565572">
            <w:pPr>
              <w:pStyle w:val="BodyText2"/>
              <w:rPr>
                <w:rFonts w:ascii="Calibri" w:hAnsi="Calibri"/>
                <w:color w:val="000000"/>
                <w:sz w:val="22"/>
                <w:szCs w:val="22"/>
                <w:highlight w:val="yellow"/>
              </w:rPr>
            </w:pPr>
            <w:r w:rsidRPr="0054572C">
              <w:rPr>
                <w:rFonts w:ascii="Calibri" w:hAnsi="Calibri"/>
                <w:color w:val="000000"/>
                <w:sz w:val="22"/>
                <w:szCs w:val="22"/>
              </w:rPr>
              <w:t xml:space="preserve">Poverty </w:t>
            </w:r>
            <w:r>
              <w:rPr>
                <w:rFonts w:ascii="Calibri" w:hAnsi="Calibri"/>
                <w:color w:val="000000"/>
                <w:sz w:val="22"/>
                <w:szCs w:val="22"/>
              </w:rPr>
              <w:t>Reduction ( CPD Outcomes 59 and 60)</w:t>
            </w:r>
          </w:p>
        </w:tc>
        <w:tc>
          <w:tcPr>
            <w:tcW w:w="1866" w:type="dxa"/>
            <w:tcBorders>
              <w:top w:val="single" w:sz="4" w:space="0" w:color="auto"/>
              <w:left w:val="single" w:sz="4" w:space="0" w:color="auto"/>
              <w:bottom w:val="single" w:sz="4" w:space="0" w:color="auto"/>
              <w:right w:val="single" w:sz="4" w:space="0" w:color="auto"/>
            </w:tcBorders>
            <w:vAlign w:val="bottom"/>
          </w:tcPr>
          <w:p w14:paraId="59E79A8D" w14:textId="1728861D" w:rsidR="00565572" w:rsidRPr="0054572C" w:rsidRDefault="00565572" w:rsidP="00565572">
            <w:pPr>
              <w:pStyle w:val="BodyText2"/>
              <w:jc w:val="center"/>
              <w:rPr>
                <w:rFonts w:asciiTheme="minorHAnsi" w:hAnsiTheme="minorHAnsi"/>
                <w:sz w:val="22"/>
                <w:szCs w:val="22"/>
                <w:highlight w:val="yellow"/>
              </w:rPr>
            </w:pPr>
            <w:r w:rsidRPr="00565572">
              <w:rPr>
                <w:rFonts w:ascii="Calibri" w:hAnsi="Calibri"/>
                <w:color w:val="000000"/>
                <w:sz w:val="22"/>
                <w:szCs w:val="22"/>
              </w:rPr>
              <w:t xml:space="preserve">     1,299,116 </w:t>
            </w:r>
          </w:p>
        </w:tc>
        <w:tc>
          <w:tcPr>
            <w:tcW w:w="2039" w:type="dxa"/>
            <w:tcBorders>
              <w:top w:val="single" w:sz="4" w:space="0" w:color="auto"/>
              <w:left w:val="single" w:sz="4" w:space="0" w:color="auto"/>
              <w:bottom w:val="single" w:sz="4" w:space="0" w:color="auto"/>
              <w:right w:val="single" w:sz="4" w:space="0" w:color="auto"/>
            </w:tcBorders>
            <w:vAlign w:val="bottom"/>
          </w:tcPr>
          <w:p w14:paraId="25210ABC" w14:textId="0B9AB8B5" w:rsidR="00565572" w:rsidRPr="0054572C" w:rsidRDefault="00565572" w:rsidP="00565572">
            <w:pPr>
              <w:pStyle w:val="BodyText2"/>
              <w:jc w:val="center"/>
              <w:rPr>
                <w:rFonts w:asciiTheme="minorHAnsi" w:hAnsiTheme="minorHAnsi"/>
                <w:sz w:val="22"/>
                <w:szCs w:val="22"/>
                <w:highlight w:val="yellow"/>
              </w:rPr>
            </w:pPr>
            <w:r w:rsidRPr="00565572">
              <w:rPr>
                <w:rFonts w:ascii="Calibri" w:hAnsi="Calibri"/>
                <w:color w:val="000000"/>
                <w:sz w:val="22"/>
                <w:szCs w:val="22"/>
              </w:rPr>
              <w:t xml:space="preserve">     3,472,519 </w:t>
            </w:r>
          </w:p>
        </w:tc>
        <w:tc>
          <w:tcPr>
            <w:tcW w:w="1949" w:type="dxa"/>
            <w:tcBorders>
              <w:top w:val="single" w:sz="4" w:space="0" w:color="auto"/>
              <w:left w:val="single" w:sz="4" w:space="0" w:color="auto"/>
              <w:bottom w:val="single" w:sz="4" w:space="0" w:color="auto"/>
              <w:right w:val="single" w:sz="4" w:space="0" w:color="auto"/>
            </w:tcBorders>
            <w:vAlign w:val="bottom"/>
          </w:tcPr>
          <w:p w14:paraId="7FA59D45" w14:textId="7DE4829D" w:rsidR="00565572" w:rsidRPr="0054572C" w:rsidRDefault="00565572" w:rsidP="00565572">
            <w:pPr>
              <w:pStyle w:val="BodyText2"/>
              <w:jc w:val="center"/>
              <w:rPr>
                <w:rFonts w:asciiTheme="minorHAnsi" w:hAnsiTheme="minorHAnsi"/>
                <w:sz w:val="22"/>
                <w:szCs w:val="22"/>
                <w:highlight w:val="yellow"/>
              </w:rPr>
            </w:pPr>
            <w:r w:rsidRPr="00565572">
              <w:rPr>
                <w:rFonts w:ascii="Calibri" w:hAnsi="Calibri"/>
                <w:color w:val="000000"/>
                <w:sz w:val="22"/>
                <w:szCs w:val="22"/>
              </w:rPr>
              <w:t xml:space="preserve">     4,771,635 </w:t>
            </w:r>
          </w:p>
        </w:tc>
        <w:tc>
          <w:tcPr>
            <w:tcW w:w="1979" w:type="dxa"/>
            <w:tcBorders>
              <w:top w:val="single" w:sz="4" w:space="0" w:color="auto"/>
              <w:left w:val="single" w:sz="4" w:space="0" w:color="auto"/>
              <w:bottom w:val="single" w:sz="4" w:space="0" w:color="auto"/>
              <w:right w:val="single" w:sz="4" w:space="0" w:color="auto"/>
            </w:tcBorders>
          </w:tcPr>
          <w:p w14:paraId="0F8F4B24" w14:textId="5D0E5C65" w:rsidR="00565572" w:rsidRPr="0054572C" w:rsidRDefault="00801BDB" w:rsidP="00565572">
            <w:pPr>
              <w:pStyle w:val="BodyText2"/>
              <w:jc w:val="center"/>
              <w:rPr>
                <w:rFonts w:asciiTheme="minorHAnsi" w:hAnsiTheme="minorHAnsi"/>
                <w:sz w:val="22"/>
                <w:szCs w:val="22"/>
                <w:highlight w:val="yellow"/>
              </w:rPr>
            </w:pPr>
            <w:r>
              <w:rPr>
                <w:rFonts w:asciiTheme="minorHAnsi" w:hAnsiTheme="minorHAnsi"/>
                <w:sz w:val="22"/>
                <w:szCs w:val="22"/>
              </w:rPr>
              <w:t>8</w:t>
            </w:r>
            <w:r w:rsidR="00565572" w:rsidRPr="0054572C">
              <w:rPr>
                <w:rFonts w:asciiTheme="minorHAnsi" w:hAnsiTheme="minorHAnsi"/>
                <w:sz w:val="22"/>
                <w:szCs w:val="22"/>
              </w:rPr>
              <w:t>%</w:t>
            </w:r>
          </w:p>
        </w:tc>
      </w:tr>
      <w:tr w:rsidR="00801BDB" w:rsidRPr="00BD43BE" w14:paraId="05D7799B" w14:textId="77777777" w:rsidTr="00CB75E8">
        <w:tc>
          <w:tcPr>
            <w:tcW w:w="6117" w:type="dxa"/>
            <w:tcBorders>
              <w:top w:val="single" w:sz="4" w:space="0" w:color="auto"/>
              <w:left w:val="single" w:sz="4" w:space="0" w:color="auto"/>
              <w:bottom w:val="single" w:sz="4" w:space="0" w:color="auto"/>
              <w:right w:val="single" w:sz="4" w:space="0" w:color="auto"/>
            </w:tcBorders>
            <w:vAlign w:val="bottom"/>
          </w:tcPr>
          <w:p w14:paraId="782811C0" w14:textId="4BC2555C" w:rsidR="00801BDB" w:rsidRPr="0054572C" w:rsidRDefault="00801BDB" w:rsidP="00801BDB">
            <w:pPr>
              <w:pStyle w:val="BodyText2"/>
              <w:rPr>
                <w:rFonts w:ascii="Calibri" w:hAnsi="Calibri"/>
                <w:color w:val="000000"/>
                <w:sz w:val="22"/>
                <w:szCs w:val="22"/>
                <w:highlight w:val="yellow"/>
              </w:rPr>
            </w:pPr>
            <w:r>
              <w:rPr>
                <w:rFonts w:ascii="Calibri" w:hAnsi="Calibri"/>
                <w:color w:val="000000"/>
                <w:sz w:val="22"/>
                <w:szCs w:val="22"/>
              </w:rPr>
              <w:t>C</w:t>
            </w:r>
            <w:r w:rsidRPr="0054572C">
              <w:rPr>
                <w:rFonts w:ascii="Calibri" w:hAnsi="Calibri"/>
                <w:color w:val="000000"/>
                <w:sz w:val="22"/>
                <w:szCs w:val="22"/>
              </w:rPr>
              <w:t>risis Prevention and Recovery</w:t>
            </w:r>
            <w:r>
              <w:rPr>
                <w:rFonts w:ascii="Calibri" w:hAnsi="Calibri"/>
                <w:color w:val="000000"/>
                <w:sz w:val="22"/>
                <w:szCs w:val="22"/>
              </w:rPr>
              <w:t xml:space="preserve"> (CPD Outcome 61)</w:t>
            </w:r>
          </w:p>
        </w:tc>
        <w:tc>
          <w:tcPr>
            <w:tcW w:w="1866" w:type="dxa"/>
            <w:tcBorders>
              <w:top w:val="single" w:sz="4" w:space="0" w:color="auto"/>
              <w:left w:val="single" w:sz="4" w:space="0" w:color="auto"/>
              <w:bottom w:val="single" w:sz="4" w:space="0" w:color="auto"/>
              <w:right w:val="single" w:sz="4" w:space="0" w:color="auto"/>
            </w:tcBorders>
            <w:vAlign w:val="bottom"/>
          </w:tcPr>
          <w:p w14:paraId="343DF61A" w14:textId="09FD5D38" w:rsidR="00801BDB" w:rsidRPr="0054572C" w:rsidRDefault="00801BDB" w:rsidP="00801BDB">
            <w:pPr>
              <w:pStyle w:val="BodyText2"/>
              <w:jc w:val="center"/>
              <w:rPr>
                <w:rFonts w:asciiTheme="minorHAnsi" w:hAnsiTheme="minorHAnsi"/>
                <w:sz w:val="22"/>
                <w:szCs w:val="22"/>
                <w:highlight w:val="yellow"/>
              </w:rPr>
            </w:pPr>
            <w:r w:rsidRPr="00565572">
              <w:rPr>
                <w:rFonts w:ascii="Calibri" w:hAnsi="Calibri"/>
                <w:color w:val="000000"/>
                <w:sz w:val="22"/>
                <w:szCs w:val="22"/>
              </w:rPr>
              <w:t xml:space="preserve">   28,772,499 </w:t>
            </w:r>
          </w:p>
        </w:tc>
        <w:tc>
          <w:tcPr>
            <w:tcW w:w="2039" w:type="dxa"/>
            <w:tcBorders>
              <w:top w:val="single" w:sz="4" w:space="0" w:color="auto"/>
              <w:left w:val="single" w:sz="4" w:space="0" w:color="auto"/>
              <w:bottom w:val="single" w:sz="4" w:space="0" w:color="auto"/>
              <w:right w:val="single" w:sz="4" w:space="0" w:color="auto"/>
            </w:tcBorders>
            <w:vAlign w:val="bottom"/>
          </w:tcPr>
          <w:p w14:paraId="481706F5" w14:textId="5CA2C0C7" w:rsidR="00801BDB" w:rsidRPr="0054572C" w:rsidRDefault="00801BDB" w:rsidP="00801BDB">
            <w:pPr>
              <w:pStyle w:val="BodyText2"/>
              <w:jc w:val="center"/>
              <w:rPr>
                <w:rFonts w:asciiTheme="minorHAnsi" w:hAnsiTheme="minorHAnsi"/>
                <w:sz w:val="22"/>
                <w:szCs w:val="22"/>
                <w:highlight w:val="yellow"/>
              </w:rPr>
            </w:pPr>
            <w:r w:rsidRPr="00565572">
              <w:rPr>
                <w:rFonts w:ascii="Calibri" w:hAnsi="Calibri"/>
                <w:color w:val="000000"/>
                <w:sz w:val="22"/>
                <w:szCs w:val="22"/>
              </w:rPr>
              <w:t xml:space="preserve">     8,118,653 </w:t>
            </w:r>
          </w:p>
        </w:tc>
        <w:tc>
          <w:tcPr>
            <w:tcW w:w="1949" w:type="dxa"/>
            <w:tcBorders>
              <w:top w:val="single" w:sz="4" w:space="0" w:color="auto"/>
              <w:left w:val="single" w:sz="4" w:space="0" w:color="auto"/>
              <w:bottom w:val="single" w:sz="4" w:space="0" w:color="auto"/>
              <w:right w:val="single" w:sz="4" w:space="0" w:color="auto"/>
            </w:tcBorders>
            <w:vAlign w:val="bottom"/>
          </w:tcPr>
          <w:p w14:paraId="3672B1BB" w14:textId="74B6EE18" w:rsidR="00801BDB" w:rsidRPr="0054572C" w:rsidRDefault="00801BDB" w:rsidP="00801BDB">
            <w:pPr>
              <w:pStyle w:val="BodyText2"/>
              <w:jc w:val="center"/>
              <w:rPr>
                <w:rFonts w:asciiTheme="minorHAnsi" w:hAnsiTheme="minorHAnsi"/>
                <w:sz w:val="22"/>
                <w:szCs w:val="22"/>
                <w:highlight w:val="yellow"/>
              </w:rPr>
            </w:pPr>
            <w:r w:rsidRPr="00565572">
              <w:rPr>
                <w:rFonts w:ascii="Calibri" w:hAnsi="Calibri"/>
                <w:color w:val="000000"/>
                <w:sz w:val="22"/>
                <w:szCs w:val="22"/>
              </w:rPr>
              <w:t xml:space="preserve">   36,891,152 </w:t>
            </w:r>
          </w:p>
        </w:tc>
        <w:tc>
          <w:tcPr>
            <w:tcW w:w="1979" w:type="dxa"/>
            <w:tcBorders>
              <w:top w:val="single" w:sz="4" w:space="0" w:color="auto"/>
              <w:left w:val="single" w:sz="4" w:space="0" w:color="auto"/>
              <w:bottom w:val="single" w:sz="4" w:space="0" w:color="auto"/>
              <w:right w:val="single" w:sz="4" w:space="0" w:color="auto"/>
            </w:tcBorders>
            <w:vAlign w:val="bottom"/>
          </w:tcPr>
          <w:p w14:paraId="69192CC5" w14:textId="2ACABDB9" w:rsidR="00801BDB" w:rsidRPr="0054572C" w:rsidRDefault="00801BDB" w:rsidP="00801BDB">
            <w:pPr>
              <w:pStyle w:val="BodyText2"/>
              <w:jc w:val="center"/>
              <w:rPr>
                <w:rFonts w:asciiTheme="minorHAnsi" w:hAnsiTheme="minorHAnsi"/>
                <w:sz w:val="22"/>
                <w:szCs w:val="22"/>
              </w:rPr>
            </w:pPr>
            <w:r w:rsidRPr="00565572">
              <w:rPr>
                <w:rFonts w:ascii="Calibri" w:hAnsi="Calibri"/>
                <w:color w:val="000000"/>
                <w:sz w:val="22"/>
                <w:szCs w:val="22"/>
              </w:rPr>
              <w:t>58%</w:t>
            </w:r>
          </w:p>
        </w:tc>
      </w:tr>
      <w:tr w:rsidR="00801BDB" w:rsidRPr="00BD43BE" w14:paraId="116E4190" w14:textId="77777777" w:rsidTr="00D857E2">
        <w:tc>
          <w:tcPr>
            <w:tcW w:w="6117" w:type="dxa"/>
            <w:tcBorders>
              <w:top w:val="single" w:sz="4" w:space="0" w:color="auto"/>
              <w:left w:val="single" w:sz="4" w:space="0" w:color="auto"/>
              <w:bottom w:val="single" w:sz="4" w:space="0" w:color="auto"/>
              <w:right w:val="single" w:sz="4" w:space="0" w:color="auto"/>
            </w:tcBorders>
            <w:vAlign w:val="bottom"/>
          </w:tcPr>
          <w:p w14:paraId="2805DEDF" w14:textId="59F6563D" w:rsidR="00801BDB" w:rsidRPr="0054572C" w:rsidRDefault="00801BDB" w:rsidP="00801BDB">
            <w:pPr>
              <w:pStyle w:val="BodyText2"/>
              <w:rPr>
                <w:rFonts w:ascii="Calibri" w:hAnsi="Calibri"/>
                <w:color w:val="000000"/>
                <w:sz w:val="22"/>
                <w:szCs w:val="22"/>
                <w:highlight w:val="yellow"/>
              </w:rPr>
            </w:pPr>
            <w:r>
              <w:rPr>
                <w:rFonts w:ascii="Calibri" w:hAnsi="Calibri"/>
                <w:color w:val="000000"/>
                <w:sz w:val="22"/>
                <w:szCs w:val="22"/>
              </w:rPr>
              <w:t>Governance (CPD Outcome 62,63 and 64)</w:t>
            </w:r>
          </w:p>
        </w:tc>
        <w:tc>
          <w:tcPr>
            <w:tcW w:w="1866" w:type="dxa"/>
            <w:tcBorders>
              <w:top w:val="single" w:sz="4" w:space="0" w:color="auto"/>
              <w:left w:val="single" w:sz="4" w:space="0" w:color="auto"/>
              <w:bottom w:val="single" w:sz="4" w:space="0" w:color="auto"/>
              <w:right w:val="single" w:sz="4" w:space="0" w:color="auto"/>
            </w:tcBorders>
            <w:vAlign w:val="bottom"/>
          </w:tcPr>
          <w:p w14:paraId="0443D4E7" w14:textId="4379CEA9" w:rsidR="00801BDB" w:rsidRPr="0054572C" w:rsidRDefault="00801BDB" w:rsidP="00801BDB">
            <w:pPr>
              <w:pStyle w:val="BodyText2"/>
              <w:jc w:val="center"/>
              <w:rPr>
                <w:rFonts w:asciiTheme="minorHAnsi" w:hAnsiTheme="minorHAnsi"/>
                <w:sz w:val="22"/>
                <w:szCs w:val="22"/>
                <w:highlight w:val="yellow"/>
              </w:rPr>
            </w:pPr>
            <w:r w:rsidRPr="00565572">
              <w:rPr>
                <w:rFonts w:ascii="Calibri" w:hAnsi="Calibri"/>
                <w:color w:val="000000"/>
                <w:sz w:val="22"/>
                <w:szCs w:val="22"/>
              </w:rPr>
              <w:t xml:space="preserve">     5,863,786 </w:t>
            </w:r>
          </w:p>
        </w:tc>
        <w:tc>
          <w:tcPr>
            <w:tcW w:w="2039" w:type="dxa"/>
            <w:tcBorders>
              <w:top w:val="single" w:sz="4" w:space="0" w:color="auto"/>
              <w:left w:val="single" w:sz="4" w:space="0" w:color="auto"/>
              <w:bottom w:val="single" w:sz="4" w:space="0" w:color="auto"/>
              <w:right w:val="single" w:sz="4" w:space="0" w:color="auto"/>
            </w:tcBorders>
            <w:vAlign w:val="bottom"/>
          </w:tcPr>
          <w:p w14:paraId="394B44C3" w14:textId="3D1E5DAD" w:rsidR="00801BDB" w:rsidRPr="0054572C" w:rsidRDefault="00801BDB" w:rsidP="00801BDB">
            <w:pPr>
              <w:pStyle w:val="BodyText2"/>
              <w:jc w:val="center"/>
              <w:rPr>
                <w:rFonts w:asciiTheme="minorHAnsi" w:hAnsiTheme="minorHAnsi"/>
                <w:sz w:val="22"/>
                <w:szCs w:val="22"/>
                <w:highlight w:val="yellow"/>
              </w:rPr>
            </w:pPr>
            <w:r w:rsidRPr="00565572">
              <w:rPr>
                <w:rFonts w:ascii="Calibri" w:hAnsi="Calibri"/>
                <w:color w:val="000000"/>
                <w:sz w:val="22"/>
                <w:szCs w:val="22"/>
              </w:rPr>
              <w:t xml:space="preserve">   16,091,789 </w:t>
            </w:r>
          </w:p>
        </w:tc>
        <w:tc>
          <w:tcPr>
            <w:tcW w:w="1949" w:type="dxa"/>
            <w:tcBorders>
              <w:top w:val="single" w:sz="4" w:space="0" w:color="auto"/>
              <w:left w:val="single" w:sz="4" w:space="0" w:color="auto"/>
              <w:bottom w:val="single" w:sz="4" w:space="0" w:color="auto"/>
              <w:right w:val="single" w:sz="4" w:space="0" w:color="auto"/>
            </w:tcBorders>
            <w:vAlign w:val="bottom"/>
          </w:tcPr>
          <w:p w14:paraId="1799B214" w14:textId="024F7990" w:rsidR="00801BDB" w:rsidRPr="0054572C" w:rsidRDefault="00801BDB" w:rsidP="00801BDB">
            <w:pPr>
              <w:pStyle w:val="BodyText2"/>
              <w:jc w:val="center"/>
              <w:rPr>
                <w:rFonts w:asciiTheme="minorHAnsi" w:hAnsiTheme="minorHAnsi"/>
                <w:sz w:val="22"/>
                <w:szCs w:val="22"/>
                <w:highlight w:val="yellow"/>
              </w:rPr>
            </w:pPr>
            <w:r w:rsidRPr="00565572">
              <w:rPr>
                <w:rFonts w:ascii="Calibri" w:hAnsi="Calibri"/>
                <w:color w:val="000000"/>
                <w:sz w:val="22"/>
                <w:szCs w:val="22"/>
              </w:rPr>
              <w:t xml:space="preserve">   21,955,574 </w:t>
            </w:r>
          </w:p>
        </w:tc>
        <w:tc>
          <w:tcPr>
            <w:tcW w:w="1979" w:type="dxa"/>
            <w:tcBorders>
              <w:top w:val="single" w:sz="4" w:space="0" w:color="auto"/>
              <w:left w:val="single" w:sz="4" w:space="0" w:color="auto"/>
              <w:bottom w:val="single" w:sz="4" w:space="0" w:color="auto"/>
              <w:right w:val="single" w:sz="4" w:space="0" w:color="auto"/>
            </w:tcBorders>
            <w:vAlign w:val="bottom"/>
          </w:tcPr>
          <w:p w14:paraId="7E515672" w14:textId="6B9AE76B" w:rsidR="00801BDB" w:rsidRPr="0054572C" w:rsidRDefault="00801BDB" w:rsidP="00801BDB">
            <w:pPr>
              <w:pStyle w:val="BodyText2"/>
              <w:jc w:val="center"/>
              <w:rPr>
                <w:rFonts w:asciiTheme="minorHAnsi" w:hAnsiTheme="minorHAnsi"/>
                <w:sz w:val="22"/>
                <w:szCs w:val="22"/>
              </w:rPr>
            </w:pPr>
            <w:r>
              <w:rPr>
                <w:rFonts w:ascii="Calibri" w:hAnsi="Calibri"/>
                <w:color w:val="000000"/>
                <w:sz w:val="22"/>
                <w:szCs w:val="22"/>
              </w:rPr>
              <w:t>34</w:t>
            </w:r>
            <w:r w:rsidRPr="00565572">
              <w:rPr>
                <w:rFonts w:ascii="Calibri" w:hAnsi="Calibri"/>
                <w:color w:val="000000"/>
                <w:sz w:val="22"/>
                <w:szCs w:val="22"/>
              </w:rPr>
              <w:t>%</w:t>
            </w:r>
          </w:p>
        </w:tc>
      </w:tr>
      <w:tr w:rsidR="00565572" w:rsidRPr="00BD43BE" w14:paraId="78182EFF" w14:textId="77777777" w:rsidTr="00BD43BE">
        <w:tc>
          <w:tcPr>
            <w:tcW w:w="6117" w:type="dxa"/>
            <w:tcBorders>
              <w:top w:val="single" w:sz="4" w:space="0" w:color="auto"/>
              <w:left w:val="single" w:sz="4" w:space="0" w:color="auto"/>
              <w:bottom w:val="single" w:sz="4" w:space="0" w:color="auto"/>
              <w:right w:val="single" w:sz="4" w:space="0" w:color="auto"/>
            </w:tcBorders>
            <w:shd w:val="clear" w:color="auto" w:fill="00B0F0"/>
            <w:hideMark/>
          </w:tcPr>
          <w:p w14:paraId="7404B373" w14:textId="77777777" w:rsidR="00565572" w:rsidRPr="0054572C" w:rsidRDefault="00565572" w:rsidP="00565572">
            <w:pPr>
              <w:pStyle w:val="BodyText2"/>
              <w:jc w:val="center"/>
              <w:rPr>
                <w:rFonts w:asciiTheme="minorHAnsi" w:hAnsiTheme="minorHAnsi"/>
                <w:b/>
                <w:sz w:val="22"/>
                <w:szCs w:val="22"/>
              </w:rPr>
            </w:pPr>
            <w:r w:rsidRPr="0054572C">
              <w:rPr>
                <w:rFonts w:asciiTheme="minorHAnsi" w:hAnsiTheme="minorHAnsi"/>
                <w:b/>
                <w:sz w:val="22"/>
                <w:szCs w:val="22"/>
              </w:rPr>
              <w:t>Total</w:t>
            </w:r>
          </w:p>
        </w:tc>
        <w:tc>
          <w:tcPr>
            <w:tcW w:w="1866" w:type="dxa"/>
            <w:tcBorders>
              <w:top w:val="single" w:sz="4" w:space="0" w:color="auto"/>
              <w:left w:val="single" w:sz="4" w:space="0" w:color="auto"/>
              <w:bottom w:val="single" w:sz="4" w:space="0" w:color="auto"/>
              <w:right w:val="single" w:sz="4" w:space="0" w:color="auto"/>
            </w:tcBorders>
            <w:shd w:val="clear" w:color="auto" w:fill="00B0F0"/>
            <w:hideMark/>
          </w:tcPr>
          <w:p w14:paraId="73654779" w14:textId="69729B97" w:rsidR="00565572" w:rsidRPr="00C72F88" w:rsidRDefault="00565572" w:rsidP="00565572">
            <w:pPr>
              <w:pStyle w:val="BodyText2"/>
              <w:jc w:val="center"/>
              <w:rPr>
                <w:rFonts w:asciiTheme="minorHAnsi" w:hAnsiTheme="minorHAnsi"/>
                <w:b/>
                <w:sz w:val="22"/>
                <w:szCs w:val="22"/>
                <w:highlight w:val="yellow"/>
              </w:rPr>
            </w:pPr>
            <w:r w:rsidRPr="004709C4">
              <w:rPr>
                <w:rFonts w:asciiTheme="minorHAnsi" w:hAnsiTheme="minorHAnsi"/>
                <w:b/>
                <w:sz w:val="22"/>
                <w:szCs w:val="22"/>
              </w:rPr>
              <w:t>35,935,400</w:t>
            </w:r>
          </w:p>
        </w:tc>
        <w:tc>
          <w:tcPr>
            <w:tcW w:w="2039" w:type="dxa"/>
            <w:tcBorders>
              <w:top w:val="single" w:sz="4" w:space="0" w:color="auto"/>
              <w:left w:val="single" w:sz="4" w:space="0" w:color="auto"/>
              <w:bottom w:val="single" w:sz="4" w:space="0" w:color="auto"/>
              <w:right w:val="single" w:sz="4" w:space="0" w:color="auto"/>
            </w:tcBorders>
            <w:shd w:val="clear" w:color="auto" w:fill="00B0F0"/>
            <w:hideMark/>
          </w:tcPr>
          <w:p w14:paraId="0F73E12D" w14:textId="1EC875B2" w:rsidR="00565572" w:rsidRPr="00C72F88" w:rsidRDefault="00565572" w:rsidP="00565572">
            <w:pPr>
              <w:pStyle w:val="BodyText2"/>
              <w:jc w:val="center"/>
              <w:rPr>
                <w:rFonts w:asciiTheme="minorHAnsi" w:hAnsiTheme="minorHAnsi"/>
                <w:b/>
                <w:sz w:val="22"/>
                <w:szCs w:val="22"/>
                <w:highlight w:val="yellow"/>
              </w:rPr>
            </w:pPr>
            <w:r w:rsidRPr="004709C4">
              <w:rPr>
                <w:rFonts w:asciiTheme="minorHAnsi" w:hAnsiTheme="minorHAnsi"/>
                <w:b/>
                <w:sz w:val="22"/>
                <w:szCs w:val="22"/>
              </w:rPr>
              <w:t>27,682,961</w:t>
            </w:r>
          </w:p>
        </w:tc>
        <w:tc>
          <w:tcPr>
            <w:tcW w:w="1949" w:type="dxa"/>
            <w:tcBorders>
              <w:top w:val="single" w:sz="4" w:space="0" w:color="auto"/>
              <w:left w:val="single" w:sz="4" w:space="0" w:color="auto"/>
              <w:bottom w:val="single" w:sz="4" w:space="0" w:color="auto"/>
              <w:right w:val="single" w:sz="4" w:space="0" w:color="auto"/>
            </w:tcBorders>
            <w:shd w:val="clear" w:color="auto" w:fill="00B0F0"/>
            <w:hideMark/>
          </w:tcPr>
          <w:p w14:paraId="6B922455" w14:textId="2EC96897" w:rsidR="00565572" w:rsidRPr="00C72F88" w:rsidRDefault="00565572" w:rsidP="00565572">
            <w:pPr>
              <w:pStyle w:val="BodyText2"/>
              <w:jc w:val="center"/>
              <w:rPr>
                <w:rFonts w:asciiTheme="minorHAnsi" w:hAnsiTheme="minorHAnsi"/>
                <w:b/>
                <w:sz w:val="22"/>
                <w:szCs w:val="22"/>
                <w:highlight w:val="yellow"/>
              </w:rPr>
            </w:pPr>
            <w:r w:rsidRPr="004709C4">
              <w:rPr>
                <w:rFonts w:asciiTheme="minorHAnsi" w:hAnsiTheme="minorHAnsi"/>
                <w:b/>
                <w:sz w:val="22"/>
                <w:szCs w:val="22"/>
              </w:rPr>
              <w:t>63,618,361</w:t>
            </w:r>
          </w:p>
        </w:tc>
        <w:tc>
          <w:tcPr>
            <w:tcW w:w="1979" w:type="dxa"/>
            <w:tcBorders>
              <w:top w:val="single" w:sz="4" w:space="0" w:color="auto"/>
              <w:left w:val="single" w:sz="4" w:space="0" w:color="auto"/>
              <w:bottom w:val="single" w:sz="4" w:space="0" w:color="auto"/>
              <w:right w:val="single" w:sz="4" w:space="0" w:color="auto"/>
            </w:tcBorders>
            <w:shd w:val="clear" w:color="auto" w:fill="00B0F0"/>
          </w:tcPr>
          <w:p w14:paraId="6088B86E" w14:textId="778F4AF7" w:rsidR="00565572" w:rsidRPr="004709C4" w:rsidRDefault="00565572" w:rsidP="00565572">
            <w:pPr>
              <w:pStyle w:val="BodyText2"/>
              <w:jc w:val="center"/>
              <w:rPr>
                <w:rFonts w:asciiTheme="minorHAnsi" w:hAnsiTheme="minorHAnsi"/>
                <w:b/>
                <w:sz w:val="22"/>
                <w:szCs w:val="22"/>
              </w:rPr>
            </w:pPr>
            <w:r w:rsidRPr="004709C4">
              <w:rPr>
                <w:rFonts w:asciiTheme="minorHAnsi" w:hAnsiTheme="minorHAnsi"/>
                <w:b/>
                <w:sz w:val="22"/>
                <w:szCs w:val="22"/>
              </w:rPr>
              <w:t>100%</w:t>
            </w:r>
          </w:p>
        </w:tc>
      </w:tr>
    </w:tbl>
    <w:p w14:paraId="23E68725" w14:textId="77777777" w:rsidR="009031AA" w:rsidRDefault="009031AA" w:rsidP="002315A5">
      <w:pPr>
        <w:pStyle w:val="BodyText2"/>
        <w:rPr>
          <w:rFonts w:asciiTheme="minorHAnsi" w:hAnsiTheme="minorHAnsi"/>
          <w:sz w:val="24"/>
        </w:rPr>
      </w:pPr>
    </w:p>
    <w:p w14:paraId="5DDB541B" w14:textId="77777777" w:rsidR="009031AA" w:rsidRPr="00AB430F" w:rsidRDefault="009031AA"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AB430F" w14:paraId="5A0F642E" w14:textId="77777777" w:rsidTr="0054572C">
        <w:tc>
          <w:tcPr>
            <w:tcW w:w="13950" w:type="dxa"/>
          </w:tcPr>
          <w:p w14:paraId="6BF2BB7C" w14:textId="77777777" w:rsidR="002547CF" w:rsidRPr="00AB430F" w:rsidRDefault="002547CF" w:rsidP="005E0C05">
            <w:pPr>
              <w:pStyle w:val="BodyText2"/>
              <w:rPr>
                <w:rFonts w:asciiTheme="minorHAnsi" w:hAnsiTheme="minorHAnsi"/>
                <w:b/>
              </w:rPr>
            </w:pPr>
            <w:r w:rsidRPr="00AB430F">
              <w:rPr>
                <w:rFonts w:asciiTheme="minorHAnsi" w:hAnsiTheme="minorHAnsi"/>
                <w:b/>
              </w:rPr>
              <w:t xml:space="preserve">Data sources:  (please indicate the main sources from which data were obtained for this report.) </w:t>
            </w:r>
          </w:p>
        </w:tc>
      </w:tr>
      <w:tr w:rsidR="00B64ACA" w:rsidRPr="00AB430F" w14:paraId="63E84B97" w14:textId="77777777" w:rsidTr="0054572C">
        <w:tc>
          <w:tcPr>
            <w:tcW w:w="13950" w:type="dxa"/>
          </w:tcPr>
          <w:p w14:paraId="1B83145A" w14:textId="22F8D7E0" w:rsidR="00B64ACA" w:rsidRDefault="00B64ACA" w:rsidP="002315A5">
            <w:pPr>
              <w:pStyle w:val="BodyText2"/>
              <w:rPr>
                <w:rFonts w:asciiTheme="minorHAnsi" w:hAnsiTheme="minorHAnsi"/>
                <w:b/>
              </w:rPr>
            </w:pPr>
          </w:p>
          <w:p w14:paraId="0EB079CB" w14:textId="153E492F" w:rsidR="00FC6570" w:rsidRPr="00584C12" w:rsidRDefault="00584C12" w:rsidP="002315A5">
            <w:pPr>
              <w:pStyle w:val="BodyText2"/>
              <w:rPr>
                <w:rFonts w:asciiTheme="minorHAnsi" w:hAnsiTheme="minorHAnsi"/>
              </w:rPr>
            </w:pPr>
            <w:r w:rsidRPr="00584C12">
              <w:rPr>
                <w:rFonts w:asciiTheme="minorHAnsi" w:hAnsiTheme="minorHAnsi"/>
              </w:rPr>
              <w:t>Country Programme D</w:t>
            </w:r>
            <w:r w:rsidR="00FC6570" w:rsidRPr="00584C12">
              <w:rPr>
                <w:rFonts w:asciiTheme="minorHAnsi" w:hAnsiTheme="minorHAnsi"/>
              </w:rPr>
              <w:t>ocument 2012-2015</w:t>
            </w:r>
          </w:p>
          <w:p w14:paraId="233D23F5" w14:textId="3C9B7A49" w:rsidR="00463C72" w:rsidRPr="00584C12" w:rsidRDefault="00FC6570" w:rsidP="002315A5">
            <w:pPr>
              <w:pStyle w:val="BodyText2"/>
              <w:rPr>
                <w:rFonts w:asciiTheme="minorHAnsi" w:hAnsiTheme="minorHAnsi"/>
              </w:rPr>
            </w:pPr>
            <w:r w:rsidRPr="00584C12">
              <w:rPr>
                <w:rFonts w:ascii="Calibri" w:hAnsi="Calibri"/>
                <w:lang w:val="en-GB"/>
              </w:rPr>
              <w:t>Results Oriented Annual Report, (2012, 2013, 2014</w:t>
            </w:r>
            <w:r w:rsidR="001A3AE9">
              <w:rPr>
                <w:rFonts w:ascii="Calibri" w:hAnsi="Calibri"/>
                <w:lang w:val="en-GB"/>
              </w:rPr>
              <w:t>, 2015</w:t>
            </w:r>
            <w:r w:rsidRPr="00584C12">
              <w:rPr>
                <w:rFonts w:ascii="Calibri" w:hAnsi="Calibri"/>
                <w:lang w:val="en-GB"/>
              </w:rPr>
              <w:t>)</w:t>
            </w:r>
          </w:p>
          <w:p w14:paraId="7B994538" w14:textId="77777777" w:rsidR="008D791F" w:rsidRDefault="00FC6570" w:rsidP="002315A5">
            <w:pPr>
              <w:pStyle w:val="BodyText2"/>
              <w:rPr>
                <w:rFonts w:asciiTheme="minorHAnsi" w:hAnsiTheme="minorHAnsi"/>
              </w:rPr>
            </w:pPr>
            <w:r w:rsidRPr="00584C12">
              <w:rPr>
                <w:rFonts w:asciiTheme="minorHAnsi" w:hAnsiTheme="minorHAnsi"/>
              </w:rPr>
              <w:t>Strategic Reflection and Mid Term review of the UNDAF (2012-2015)</w:t>
            </w:r>
          </w:p>
          <w:p w14:paraId="33AF1BD6" w14:textId="308DDAD6" w:rsidR="001A3AE9" w:rsidRDefault="001A3AE9" w:rsidP="002315A5">
            <w:pPr>
              <w:pStyle w:val="BodyText2"/>
              <w:rPr>
                <w:rFonts w:asciiTheme="minorHAnsi" w:hAnsiTheme="minorHAnsi"/>
              </w:rPr>
            </w:pPr>
            <w:r>
              <w:rPr>
                <w:rFonts w:asciiTheme="minorHAnsi" w:hAnsiTheme="minorHAnsi"/>
              </w:rPr>
              <w:t>UNDAF Final Evaluation</w:t>
            </w:r>
            <w:r w:rsidR="00C72F88">
              <w:rPr>
                <w:rFonts w:asciiTheme="minorHAnsi" w:hAnsiTheme="minorHAnsi"/>
              </w:rPr>
              <w:t xml:space="preserve"> (2012-2016)</w:t>
            </w:r>
          </w:p>
          <w:p w14:paraId="5FCBA7FF" w14:textId="03D1BEBF" w:rsidR="001A3AE9" w:rsidRDefault="001A3AE9" w:rsidP="002315A5">
            <w:pPr>
              <w:pStyle w:val="BodyText2"/>
              <w:rPr>
                <w:rFonts w:asciiTheme="minorHAnsi" w:hAnsiTheme="minorHAnsi"/>
              </w:rPr>
            </w:pPr>
            <w:r w:rsidRPr="001A3AE9">
              <w:rPr>
                <w:rFonts w:asciiTheme="minorHAnsi" w:hAnsiTheme="minorHAnsi"/>
              </w:rPr>
              <w:t>Terminal Evaluation of Coping with Drought and Climate Change</w:t>
            </w:r>
          </w:p>
          <w:p w14:paraId="7478DD24" w14:textId="421C36C5" w:rsidR="001A3AE9" w:rsidRDefault="001A3AE9" w:rsidP="002315A5">
            <w:pPr>
              <w:pStyle w:val="BodyText2"/>
              <w:rPr>
                <w:rFonts w:asciiTheme="minorHAnsi" w:hAnsiTheme="minorHAnsi"/>
              </w:rPr>
            </w:pPr>
            <w:r w:rsidRPr="001A3AE9">
              <w:rPr>
                <w:rFonts w:asciiTheme="minorHAnsi" w:hAnsiTheme="minorHAnsi"/>
              </w:rPr>
              <w:t>Sustainable Financing of the Protected Area System in Mozambique - Mid-Term Review</w:t>
            </w:r>
          </w:p>
          <w:p w14:paraId="42015FAB" w14:textId="77777777" w:rsidR="008D791F" w:rsidRPr="00FC6570" w:rsidRDefault="008D791F" w:rsidP="002315A5">
            <w:pPr>
              <w:pStyle w:val="BodyText2"/>
              <w:rPr>
                <w:rFonts w:asciiTheme="minorHAnsi" w:hAnsiTheme="minorHAnsi"/>
                <w:b/>
              </w:rPr>
            </w:pPr>
          </w:p>
          <w:p w14:paraId="49BFF35E" w14:textId="77777777" w:rsidR="008D791F" w:rsidRPr="00AB430F" w:rsidRDefault="008D791F" w:rsidP="002315A5">
            <w:pPr>
              <w:pStyle w:val="BodyText2"/>
              <w:rPr>
                <w:rFonts w:asciiTheme="minorHAnsi" w:hAnsiTheme="minorHAnsi"/>
                <w:b/>
              </w:rPr>
            </w:pPr>
          </w:p>
        </w:tc>
      </w:tr>
    </w:tbl>
    <w:p w14:paraId="61A8D604" w14:textId="268F1CDD" w:rsidR="00635929" w:rsidRDefault="00635929" w:rsidP="0054572C">
      <w:pPr>
        <w:pStyle w:val="BodyText2"/>
        <w:rPr>
          <w:rFonts w:asciiTheme="minorHAnsi" w:hAnsiTheme="minorHAnsi"/>
          <w:sz w:val="24"/>
        </w:rPr>
      </w:pPr>
    </w:p>
    <w:p w14:paraId="506A5588" w14:textId="77777777" w:rsidR="00565572" w:rsidRDefault="00565572" w:rsidP="0054572C">
      <w:pPr>
        <w:pStyle w:val="BodyText2"/>
        <w:rPr>
          <w:rFonts w:asciiTheme="minorHAnsi" w:hAnsiTheme="minorHAnsi"/>
          <w:sz w:val="24"/>
        </w:rPr>
      </w:pPr>
    </w:p>
    <w:sectPr w:rsidR="00565572"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8A6FA" w14:textId="77777777" w:rsidR="00C21FEA" w:rsidRDefault="00C21FEA">
      <w:r>
        <w:separator/>
      </w:r>
    </w:p>
  </w:endnote>
  <w:endnote w:type="continuationSeparator" w:id="0">
    <w:p w14:paraId="63121E43" w14:textId="77777777" w:rsidR="00C21FEA" w:rsidRDefault="00C2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45 Light">
    <w:altName w:val="Univers 45 Light"/>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38F828D0" w14:textId="77777777" w:rsidR="001640A1" w:rsidRDefault="001640A1">
        <w:pPr>
          <w:pStyle w:val="Footer"/>
          <w:jc w:val="center"/>
        </w:pPr>
        <w:r>
          <w:fldChar w:fldCharType="begin"/>
        </w:r>
        <w:r>
          <w:instrText xml:space="preserve"> PAGE   \* MERGEFORMAT </w:instrText>
        </w:r>
        <w:r>
          <w:fldChar w:fldCharType="separate"/>
        </w:r>
        <w:r w:rsidR="00E11BBC">
          <w:rPr>
            <w:noProof/>
          </w:rPr>
          <w:t>2</w:t>
        </w:r>
        <w:r>
          <w:rPr>
            <w:noProof/>
          </w:rPr>
          <w:fldChar w:fldCharType="end"/>
        </w:r>
      </w:p>
    </w:sdtContent>
  </w:sdt>
  <w:p w14:paraId="234297E5" w14:textId="77777777" w:rsidR="001640A1" w:rsidRDefault="00164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833A1" w14:textId="77777777" w:rsidR="00C21FEA" w:rsidRDefault="00C21FEA">
      <w:r>
        <w:separator/>
      </w:r>
    </w:p>
  </w:footnote>
  <w:footnote w:type="continuationSeparator" w:id="0">
    <w:p w14:paraId="736AA999" w14:textId="77777777" w:rsidR="00C21FEA" w:rsidRDefault="00C21FEA">
      <w:r>
        <w:continuationSeparator/>
      </w:r>
    </w:p>
  </w:footnote>
  <w:footnote w:id="1">
    <w:p w14:paraId="32935300" w14:textId="77777777" w:rsidR="001640A1" w:rsidRPr="0064746F" w:rsidRDefault="001640A1">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A16882"/>
    <w:multiLevelType w:val="hybridMultilevel"/>
    <w:tmpl w:val="6426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D2498"/>
    <w:multiLevelType w:val="multilevel"/>
    <w:tmpl w:val="1D7A5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845C63"/>
    <w:multiLevelType w:val="hybridMultilevel"/>
    <w:tmpl w:val="28AA5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D3D3C"/>
    <w:multiLevelType w:val="hybridMultilevel"/>
    <w:tmpl w:val="AEEE9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A46502"/>
    <w:multiLevelType w:val="hybridMultilevel"/>
    <w:tmpl w:val="E5ACB3D4"/>
    <w:lvl w:ilvl="0" w:tplc="0409000F">
      <w:start w:val="1"/>
      <w:numFmt w:val="decimal"/>
      <w:lvlText w:val="%1."/>
      <w:lvlJc w:val="left"/>
      <w:pPr>
        <w:ind w:left="1620" w:hanging="360"/>
      </w:pPr>
    </w:lvl>
    <w:lvl w:ilvl="1" w:tplc="04090019">
      <w:start w:val="1"/>
      <w:numFmt w:val="lowerLetter"/>
      <w:lvlText w:val="%2."/>
      <w:lvlJc w:val="left"/>
      <w:pPr>
        <w:ind w:left="3226" w:hanging="360"/>
      </w:pPr>
      <w:rPr>
        <w:rFonts w:cs="Times New Roman"/>
      </w:rPr>
    </w:lvl>
    <w:lvl w:ilvl="2" w:tplc="0409001B" w:tentative="1">
      <w:start w:val="1"/>
      <w:numFmt w:val="lowerRoman"/>
      <w:lvlText w:val="%3."/>
      <w:lvlJc w:val="right"/>
      <w:pPr>
        <w:ind w:left="3946" w:hanging="180"/>
      </w:pPr>
      <w:rPr>
        <w:rFonts w:cs="Times New Roman"/>
      </w:rPr>
    </w:lvl>
    <w:lvl w:ilvl="3" w:tplc="0409000F" w:tentative="1">
      <w:start w:val="1"/>
      <w:numFmt w:val="decimal"/>
      <w:lvlText w:val="%4."/>
      <w:lvlJc w:val="left"/>
      <w:pPr>
        <w:ind w:left="4666" w:hanging="360"/>
      </w:pPr>
      <w:rPr>
        <w:rFonts w:cs="Times New Roman"/>
      </w:rPr>
    </w:lvl>
    <w:lvl w:ilvl="4" w:tplc="04090019" w:tentative="1">
      <w:start w:val="1"/>
      <w:numFmt w:val="lowerLetter"/>
      <w:lvlText w:val="%5."/>
      <w:lvlJc w:val="left"/>
      <w:pPr>
        <w:ind w:left="5386" w:hanging="360"/>
      </w:pPr>
      <w:rPr>
        <w:rFonts w:cs="Times New Roman"/>
      </w:rPr>
    </w:lvl>
    <w:lvl w:ilvl="5" w:tplc="0409001B" w:tentative="1">
      <w:start w:val="1"/>
      <w:numFmt w:val="lowerRoman"/>
      <w:lvlText w:val="%6."/>
      <w:lvlJc w:val="right"/>
      <w:pPr>
        <w:ind w:left="6106" w:hanging="180"/>
      </w:pPr>
      <w:rPr>
        <w:rFonts w:cs="Times New Roman"/>
      </w:rPr>
    </w:lvl>
    <w:lvl w:ilvl="6" w:tplc="0409000F" w:tentative="1">
      <w:start w:val="1"/>
      <w:numFmt w:val="decimal"/>
      <w:lvlText w:val="%7."/>
      <w:lvlJc w:val="left"/>
      <w:pPr>
        <w:ind w:left="6826" w:hanging="360"/>
      </w:pPr>
      <w:rPr>
        <w:rFonts w:cs="Times New Roman"/>
      </w:rPr>
    </w:lvl>
    <w:lvl w:ilvl="7" w:tplc="04090019" w:tentative="1">
      <w:start w:val="1"/>
      <w:numFmt w:val="lowerLetter"/>
      <w:lvlText w:val="%8."/>
      <w:lvlJc w:val="left"/>
      <w:pPr>
        <w:ind w:left="7546" w:hanging="360"/>
      </w:pPr>
      <w:rPr>
        <w:rFonts w:cs="Times New Roman"/>
      </w:rPr>
    </w:lvl>
    <w:lvl w:ilvl="8" w:tplc="0409001B" w:tentative="1">
      <w:start w:val="1"/>
      <w:numFmt w:val="lowerRoman"/>
      <w:lvlText w:val="%9."/>
      <w:lvlJc w:val="right"/>
      <w:pPr>
        <w:ind w:left="8266" w:hanging="180"/>
      </w:pPr>
      <w:rPr>
        <w:rFonts w:cs="Times New Roman"/>
      </w:rPr>
    </w:lvl>
  </w:abstractNum>
  <w:abstractNum w:abstractNumId="9"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73F54"/>
    <w:multiLevelType w:val="hybridMultilevel"/>
    <w:tmpl w:val="76BEE398"/>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3464CA"/>
    <w:multiLevelType w:val="hybridMultilevel"/>
    <w:tmpl w:val="C9FEA042"/>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1674D"/>
    <w:multiLevelType w:val="hybridMultilevel"/>
    <w:tmpl w:val="8E085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D355B"/>
    <w:multiLevelType w:val="hybridMultilevel"/>
    <w:tmpl w:val="434AF602"/>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A3B70"/>
    <w:multiLevelType w:val="hybridMultilevel"/>
    <w:tmpl w:val="F06E6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843CE"/>
    <w:multiLevelType w:val="hybridMultilevel"/>
    <w:tmpl w:val="CAA6F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71C89"/>
    <w:multiLevelType w:val="hybridMultilevel"/>
    <w:tmpl w:val="393652EE"/>
    <w:lvl w:ilvl="0" w:tplc="04C432B6">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E4942BA"/>
    <w:multiLevelType w:val="hybridMultilevel"/>
    <w:tmpl w:val="D83024C4"/>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2" w15:restartNumberingAfterBreak="0">
    <w:nsid w:val="3F172087"/>
    <w:multiLevelType w:val="hybridMultilevel"/>
    <w:tmpl w:val="FFF043EA"/>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54B73"/>
    <w:multiLevelType w:val="hybridMultilevel"/>
    <w:tmpl w:val="5FDAC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EA62ED"/>
    <w:multiLevelType w:val="hybridMultilevel"/>
    <w:tmpl w:val="F98E6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8E74E2"/>
    <w:multiLevelType w:val="hybridMultilevel"/>
    <w:tmpl w:val="B790863E"/>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169EF"/>
    <w:multiLevelType w:val="hybridMultilevel"/>
    <w:tmpl w:val="79901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D3F30D8"/>
    <w:multiLevelType w:val="hybridMultilevel"/>
    <w:tmpl w:val="999C9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1"/>
  </w:num>
  <w:num w:numId="4">
    <w:abstractNumId w:val="7"/>
  </w:num>
  <w:num w:numId="5">
    <w:abstractNumId w:val="26"/>
  </w:num>
  <w:num w:numId="6">
    <w:abstractNumId w:val="28"/>
  </w:num>
  <w:num w:numId="7">
    <w:abstractNumId w:val="2"/>
  </w:num>
  <w:num w:numId="8">
    <w:abstractNumId w:val="27"/>
  </w:num>
  <w:num w:numId="9">
    <w:abstractNumId w:val="9"/>
  </w:num>
  <w:num w:numId="10">
    <w:abstractNumId w:val="19"/>
  </w:num>
  <w:num w:numId="11">
    <w:abstractNumId w:val="34"/>
  </w:num>
  <w:num w:numId="12">
    <w:abstractNumId w:val="23"/>
  </w:num>
  <w:num w:numId="13">
    <w:abstractNumId w:val="25"/>
  </w:num>
  <w:num w:numId="14">
    <w:abstractNumId w:val="12"/>
  </w:num>
  <w:num w:numId="15">
    <w:abstractNumId w:val="0"/>
  </w:num>
  <w:num w:numId="16">
    <w:abstractNumId w:val="31"/>
  </w:num>
  <w:num w:numId="17">
    <w:abstractNumId w:val="30"/>
  </w:num>
  <w:num w:numId="18">
    <w:abstractNumId w:val="4"/>
  </w:num>
  <w:num w:numId="19">
    <w:abstractNumId w:val="24"/>
  </w:num>
  <w:num w:numId="20">
    <w:abstractNumId w:val="33"/>
  </w:num>
  <w:num w:numId="21">
    <w:abstractNumId w:val="18"/>
  </w:num>
  <w:num w:numId="22">
    <w:abstractNumId w:val="29"/>
  </w:num>
  <w:num w:numId="23">
    <w:abstractNumId w:val="5"/>
  </w:num>
  <w:num w:numId="24">
    <w:abstractNumId w:val="14"/>
  </w:num>
  <w:num w:numId="25">
    <w:abstractNumId w:val="16"/>
  </w:num>
  <w:num w:numId="26">
    <w:abstractNumId w:val="17"/>
  </w:num>
  <w:num w:numId="27">
    <w:abstractNumId w:val="6"/>
  </w:num>
  <w:num w:numId="28">
    <w:abstractNumId w:val="8"/>
  </w:num>
  <w:num w:numId="29">
    <w:abstractNumId w:val="20"/>
  </w:num>
  <w:num w:numId="30">
    <w:abstractNumId w:val="13"/>
  </w:num>
  <w:num w:numId="31">
    <w:abstractNumId w:val="15"/>
  </w:num>
  <w:num w:numId="32">
    <w:abstractNumId w:val="10"/>
  </w:num>
  <w:num w:numId="33">
    <w:abstractNumId w:val="22"/>
  </w:num>
  <w:num w:numId="34">
    <w:abstractNumId w:val="35"/>
  </w:num>
  <w:num w:numId="35">
    <w:abstractNumId w:val="3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0E66"/>
    <w:rsid w:val="00003D61"/>
    <w:rsid w:val="00004C8C"/>
    <w:rsid w:val="00007461"/>
    <w:rsid w:val="000079CC"/>
    <w:rsid w:val="00011A63"/>
    <w:rsid w:val="000359A9"/>
    <w:rsid w:val="00040921"/>
    <w:rsid w:val="000502AD"/>
    <w:rsid w:val="00053FEE"/>
    <w:rsid w:val="00066260"/>
    <w:rsid w:val="00074A8B"/>
    <w:rsid w:val="000823AC"/>
    <w:rsid w:val="00085E44"/>
    <w:rsid w:val="000A049E"/>
    <w:rsid w:val="000A4544"/>
    <w:rsid w:val="000C09B4"/>
    <w:rsid w:val="000C4457"/>
    <w:rsid w:val="000C760E"/>
    <w:rsid w:val="000D3C49"/>
    <w:rsid w:val="000D6DE5"/>
    <w:rsid w:val="000E2518"/>
    <w:rsid w:val="000E72A1"/>
    <w:rsid w:val="000F77FD"/>
    <w:rsid w:val="0015409F"/>
    <w:rsid w:val="001545D0"/>
    <w:rsid w:val="00157815"/>
    <w:rsid w:val="0016175D"/>
    <w:rsid w:val="001640A1"/>
    <w:rsid w:val="001663A4"/>
    <w:rsid w:val="001666CE"/>
    <w:rsid w:val="00167DA9"/>
    <w:rsid w:val="00172709"/>
    <w:rsid w:val="00176076"/>
    <w:rsid w:val="00176B48"/>
    <w:rsid w:val="00180A21"/>
    <w:rsid w:val="001956C7"/>
    <w:rsid w:val="001A3AE9"/>
    <w:rsid w:val="001A4D75"/>
    <w:rsid w:val="001B721D"/>
    <w:rsid w:val="001C44CF"/>
    <w:rsid w:val="001F1880"/>
    <w:rsid w:val="001F3524"/>
    <w:rsid w:val="00200ACB"/>
    <w:rsid w:val="0021015A"/>
    <w:rsid w:val="00224F9C"/>
    <w:rsid w:val="00227EED"/>
    <w:rsid w:val="00230A0E"/>
    <w:rsid w:val="002315A5"/>
    <w:rsid w:val="00232597"/>
    <w:rsid w:val="00235B28"/>
    <w:rsid w:val="002371A7"/>
    <w:rsid w:val="002528E3"/>
    <w:rsid w:val="002547CF"/>
    <w:rsid w:val="00255293"/>
    <w:rsid w:val="0026321D"/>
    <w:rsid w:val="00266146"/>
    <w:rsid w:val="00267D7D"/>
    <w:rsid w:val="002701BA"/>
    <w:rsid w:val="0028252A"/>
    <w:rsid w:val="002A23C1"/>
    <w:rsid w:val="002B09F4"/>
    <w:rsid w:val="002C4B80"/>
    <w:rsid w:val="002F336A"/>
    <w:rsid w:val="002F7E65"/>
    <w:rsid w:val="003200FE"/>
    <w:rsid w:val="00320356"/>
    <w:rsid w:val="0032175A"/>
    <w:rsid w:val="00322DEA"/>
    <w:rsid w:val="00334CE7"/>
    <w:rsid w:val="00343514"/>
    <w:rsid w:val="00346615"/>
    <w:rsid w:val="00354CB5"/>
    <w:rsid w:val="00357B0E"/>
    <w:rsid w:val="00363EC5"/>
    <w:rsid w:val="00366AD1"/>
    <w:rsid w:val="00366CF6"/>
    <w:rsid w:val="00370DCF"/>
    <w:rsid w:val="0037523B"/>
    <w:rsid w:val="00385983"/>
    <w:rsid w:val="003A4923"/>
    <w:rsid w:val="003B037A"/>
    <w:rsid w:val="003B422F"/>
    <w:rsid w:val="003C3615"/>
    <w:rsid w:val="003D653B"/>
    <w:rsid w:val="003E3DD5"/>
    <w:rsid w:val="003F1C9A"/>
    <w:rsid w:val="003F4ED8"/>
    <w:rsid w:val="004004FC"/>
    <w:rsid w:val="0041277E"/>
    <w:rsid w:val="004164B0"/>
    <w:rsid w:val="00417008"/>
    <w:rsid w:val="00424E4F"/>
    <w:rsid w:val="0043122D"/>
    <w:rsid w:val="00447075"/>
    <w:rsid w:val="00453353"/>
    <w:rsid w:val="00461D62"/>
    <w:rsid w:val="00463C72"/>
    <w:rsid w:val="004709C4"/>
    <w:rsid w:val="00471DA4"/>
    <w:rsid w:val="00471E35"/>
    <w:rsid w:val="004772A7"/>
    <w:rsid w:val="00495C03"/>
    <w:rsid w:val="004A3F65"/>
    <w:rsid w:val="004A4975"/>
    <w:rsid w:val="004B3911"/>
    <w:rsid w:val="004C595C"/>
    <w:rsid w:val="004D3DBE"/>
    <w:rsid w:val="004E38E6"/>
    <w:rsid w:val="004F3067"/>
    <w:rsid w:val="00503226"/>
    <w:rsid w:val="00512E93"/>
    <w:rsid w:val="00516AC8"/>
    <w:rsid w:val="00517955"/>
    <w:rsid w:val="00517F5E"/>
    <w:rsid w:val="00530FDE"/>
    <w:rsid w:val="00535566"/>
    <w:rsid w:val="00535F54"/>
    <w:rsid w:val="00536D46"/>
    <w:rsid w:val="005371F8"/>
    <w:rsid w:val="0054572C"/>
    <w:rsid w:val="005474ED"/>
    <w:rsid w:val="00551F11"/>
    <w:rsid w:val="00553530"/>
    <w:rsid w:val="00565572"/>
    <w:rsid w:val="005729A4"/>
    <w:rsid w:val="00576972"/>
    <w:rsid w:val="00584C12"/>
    <w:rsid w:val="005A122C"/>
    <w:rsid w:val="005A7B65"/>
    <w:rsid w:val="005B5CBE"/>
    <w:rsid w:val="005C6168"/>
    <w:rsid w:val="005D7225"/>
    <w:rsid w:val="005E0C05"/>
    <w:rsid w:val="005E1847"/>
    <w:rsid w:val="005E4E93"/>
    <w:rsid w:val="005E6B78"/>
    <w:rsid w:val="005F2E08"/>
    <w:rsid w:val="005F6261"/>
    <w:rsid w:val="006111E2"/>
    <w:rsid w:val="00612159"/>
    <w:rsid w:val="00635929"/>
    <w:rsid w:val="006444F4"/>
    <w:rsid w:val="0064746F"/>
    <w:rsid w:val="0066628E"/>
    <w:rsid w:val="0066648B"/>
    <w:rsid w:val="00673710"/>
    <w:rsid w:val="00674B1A"/>
    <w:rsid w:val="00675517"/>
    <w:rsid w:val="006900FE"/>
    <w:rsid w:val="0069414D"/>
    <w:rsid w:val="006A142C"/>
    <w:rsid w:val="006A1828"/>
    <w:rsid w:val="006B2EA5"/>
    <w:rsid w:val="006B3765"/>
    <w:rsid w:val="006D24E7"/>
    <w:rsid w:val="006D739C"/>
    <w:rsid w:val="006E275B"/>
    <w:rsid w:val="006F2498"/>
    <w:rsid w:val="00700521"/>
    <w:rsid w:val="00702A48"/>
    <w:rsid w:val="00740976"/>
    <w:rsid w:val="00744157"/>
    <w:rsid w:val="00760E32"/>
    <w:rsid w:val="007628CB"/>
    <w:rsid w:val="00764E41"/>
    <w:rsid w:val="00770C18"/>
    <w:rsid w:val="00771515"/>
    <w:rsid w:val="00776056"/>
    <w:rsid w:val="00790C12"/>
    <w:rsid w:val="00792C8F"/>
    <w:rsid w:val="0079405E"/>
    <w:rsid w:val="007C1B15"/>
    <w:rsid w:val="007C2C04"/>
    <w:rsid w:val="007C6866"/>
    <w:rsid w:val="007D4271"/>
    <w:rsid w:val="007E01C4"/>
    <w:rsid w:val="007E1663"/>
    <w:rsid w:val="007E21DF"/>
    <w:rsid w:val="007E688D"/>
    <w:rsid w:val="007F62AB"/>
    <w:rsid w:val="008018C5"/>
    <w:rsid w:val="00801BDB"/>
    <w:rsid w:val="00813F1E"/>
    <w:rsid w:val="0081403B"/>
    <w:rsid w:val="008221DC"/>
    <w:rsid w:val="00824154"/>
    <w:rsid w:val="00837C4B"/>
    <w:rsid w:val="00842737"/>
    <w:rsid w:val="00843006"/>
    <w:rsid w:val="008440D9"/>
    <w:rsid w:val="00845340"/>
    <w:rsid w:val="008514D3"/>
    <w:rsid w:val="00854611"/>
    <w:rsid w:val="0085635E"/>
    <w:rsid w:val="008579AB"/>
    <w:rsid w:val="00863BF7"/>
    <w:rsid w:val="00867AAC"/>
    <w:rsid w:val="00874863"/>
    <w:rsid w:val="00882ECA"/>
    <w:rsid w:val="0088525D"/>
    <w:rsid w:val="00891BB8"/>
    <w:rsid w:val="008B06DD"/>
    <w:rsid w:val="008D4556"/>
    <w:rsid w:val="008D6D7B"/>
    <w:rsid w:val="008D791F"/>
    <w:rsid w:val="008E4906"/>
    <w:rsid w:val="008E6BA6"/>
    <w:rsid w:val="008F0A97"/>
    <w:rsid w:val="009031AA"/>
    <w:rsid w:val="009137AB"/>
    <w:rsid w:val="00915AB4"/>
    <w:rsid w:val="00920DBC"/>
    <w:rsid w:val="0093018A"/>
    <w:rsid w:val="009353D7"/>
    <w:rsid w:val="00942B3B"/>
    <w:rsid w:val="00942F8D"/>
    <w:rsid w:val="00951468"/>
    <w:rsid w:val="009579D0"/>
    <w:rsid w:val="0096669E"/>
    <w:rsid w:val="0097197E"/>
    <w:rsid w:val="00975566"/>
    <w:rsid w:val="00975AC2"/>
    <w:rsid w:val="00976AD4"/>
    <w:rsid w:val="00983D7D"/>
    <w:rsid w:val="00990CED"/>
    <w:rsid w:val="00997CC0"/>
    <w:rsid w:val="009B76A1"/>
    <w:rsid w:val="009E513F"/>
    <w:rsid w:val="009E7526"/>
    <w:rsid w:val="009F21FD"/>
    <w:rsid w:val="00A0001A"/>
    <w:rsid w:val="00A1786A"/>
    <w:rsid w:val="00A210CD"/>
    <w:rsid w:val="00A2197F"/>
    <w:rsid w:val="00A22278"/>
    <w:rsid w:val="00A30EBB"/>
    <w:rsid w:val="00A40130"/>
    <w:rsid w:val="00A44F24"/>
    <w:rsid w:val="00A45528"/>
    <w:rsid w:val="00A508C8"/>
    <w:rsid w:val="00A537BB"/>
    <w:rsid w:val="00A5543C"/>
    <w:rsid w:val="00A57912"/>
    <w:rsid w:val="00A74149"/>
    <w:rsid w:val="00A77EB4"/>
    <w:rsid w:val="00A82539"/>
    <w:rsid w:val="00A85E34"/>
    <w:rsid w:val="00A90A69"/>
    <w:rsid w:val="00A96279"/>
    <w:rsid w:val="00A979EA"/>
    <w:rsid w:val="00AB430F"/>
    <w:rsid w:val="00AD2EE0"/>
    <w:rsid w:val="00AE12DA"/>
    <w:rsid w:val="00AF6AB8"/>
    <w:rsid w:val="00AF73E1"/>
    <w:rsid w:val="00B00E5C"/>
    <w:rsid w:val="00B053BE"/>
    <w:rsid w:val="00B202F8"/>
    <w:rsid w:val="00B2050D"/>
    <w:rsid w:val="00B20E1D"/>
    <w:rsid w:val="00B234E5"/>
    <w:rsid w:val="00B25B8C"/>
    <w:rsid w:val="00B2695A"/>
    <w:rsid w:val="00B32ADA"/>
    <w:rsid w:val="00B50C4F"/>
    <w:rsid w:val="00B5113D"/>
    <w:rsid w:val="00B52AD3"/>
    <w:rsid w:val="00B56C0F"/>
    <w:rsid w:val="00B64ACA"/>
    <w:rsid w:val="00B67214"/>
    <w:rsid w:val="00B75A8F"/>
    <w:rsid w:val="00B8410C"/>
    <w:rsid w:val="00BA2899"/>
    <w:rsid w:val="00BA3646"/>
    <w:rsid w:val="00BB0921"/>
    <w:rsid w:val="00BB09C3"/>
    <w:rsid w:val="00BB6C5C"/>
    <w:rsid w:val="00BC0F06"/>
    <w:rsid w:val="00BC38E0"/>
    <w:rsid w:val="00BC6549"/>
    <w:rsid w:val="00BC65CB"/>
    <w:rsid w:val="00BC7C45"/>
    <w:rsid w:val="00BD43BE"/>
    <w:rsid w:val="00BD4EDB"/>
    <w:rsid w:val="00BD786B"/>
    <w:rsid w:val="00BE2925"/>
    <w:rsid w:val="00BE7B47"/>
    <w:rsid w:val="00C21BDB"/>
    <w:rsid w:val="00C21FEA"/>
    <w:rsid w:val="00C27A1E"/>
    <w:rsid w:val="00C66DE1"/>
    <w:rsid w:val="00C72F88"/>
    <w:rsid w:val="00C96C62"/>
    <w:rsid w:val="00C97E31"/>
    <w:rsid w:val="00CA4DBB"/>
    <w:rsid w:val="00CB4603"/>
    <w:rsid w:val="00CB647D"/>
    <w:rsid w:val="00CC4649"/>
    <w:rsid w:val="00CD7143"/>
    <w:rsid w:val="00CF1E08"/>
    <w:rsid w:val="00D03FCE"/>
    <w:rsid w:val="00D13415"/>
    <w:rsid w:val="00D30BE3"/>
    <w:rsid w:val="00D464F1"/>
    <w:rsid w:val="00D514C6"/>
    <w:rsid w:val="00D62076"/>
    <w:rsid w:val="00D678E9"/>
    <w:rsid w:val="00D80A4F"/>
    <w:rsid w:val="00D8119E"/>
    <w:rsid w:val="00D87D23"/>
    <w:rsid w:val="00D9192E"/>
    <w:rsid w:val="00DA143B"/>
    <w:rsid w:val="00DA1F19"/>
    <w:rsid w:val="00DB1983"/>
    <w:rsid w:val="00DB5BCA"/>
    <w:rsid w:val="00DB619C"/>
    <w:rsid w:val="00DC4D86"/>
    <w:rsid w:val="00DC7354"/>
    <w:rsid w:val="00DD4368"/>
    <w:rsid w:val="00DF0357"/>
    <w:rsid w:val="00DF7AAF"/>
    <w:rsid w:val="00E06A4E"/>
    <w:rsid w:val="00E11BBC"/>
    <w:rsid w:val="00E1547F"/>
    <w:rsid w:val="00E23CDD"/>
    <w:rsid w:val="00E32ACA"/>
    <w:rsid w:val="00E37E7A"/>
    <w:rsid w:val="00E41678"/>
    <w:rsid w:val="00E471F8"/>
    <w:rsid w:val="00E62FC8"/>
    <w:rsid w:val="00E770DC"/>
    <w:rsid w:val="00E96A18"/>
    <w:rsid w:val="00EA4672"/>
    <w:rsid w:val="00EA7740"/>
    <w:rsid w:val="00EA7AB0"/>
    <w:rsid w:val="00EC17F2"/>
    <w:rsid w:val="00EC34A3"/>
    <w:rsid w:val="00EC7BBC"/>
    <w:rsid w:val="00ED42B1"/>
    <w:rsid w:val="00ED6271"/>
    <w:rsid w:val="00EE1D60"/>
    <w:rsid w:val="00EE73A9"/>
    <w:rsid w:val="00EF4321"/>
    <w:rsid w:val="00F01FDE"/>
    <w:rsid w:val="00F16195"/>
    <w:rsid w:val="00F31949"/>
    <w:rsid w:val="00F37FA7"/>
    <w:rsid w:val="00F52FBD"/>
    <w:rsid w:val="00F75C9E"/>
    <w:rsid w:val="00F7622D"/>
    <w:rsid w:val="00F826EC"/>
    <w:rsid w:val="00F84FD4"/>
    <w:rsid w:val="00F95C2A"/>
    <w:rsid w:val="00FB2C4C"/>
    <w:rsid w:val="00FB3DB2"/>
    <w:rsid w:val="00FC6570"/>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39D2C"/>
  <w15:docId w15:val="{2EDA414A-BE74-45B8-B40D-C6AEF2BD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character" w:customStyle="1" w:styleId="apple-converted-space">
    <w:name w:val="apple-converted-space"/>
    <w:basedOn w:val="DefaultParagraphFont"/>
    <w:rsid w:val="0066648B"/>
  </w:style>
  <w:style w:type="character" w:customStyle="1" w:styleId="roaranswertext">
    <w:name w:val="roar_answertext"/>
    <w:basedOn w:val="DefaultParagraphFont"/>
    <w:rsid w:val="007E21DF"/>
  </w:style>
  <w:style w:type="character" w:styleId="CommentReference">
    <w:name w:val="annotation reference"/>
    <w:basedOn w:val="DefaultParagraphFont"/>
    <w:semiHidden/>
    <w:unhideWhenUsed/>
    <w:rsid w:val="00FC6570"/>
    <w:rPr>
      <w:sz w:val="16"/>
      <w:szCs w:val="16"/>
    </w:rPr>
  </w:style>
  <w:style w:type="paragraph" w:styleId="CommentText">
    <w:name w:val="annotation text"/>
    <w:basedOn w:val="Normal"/>
    <w:link w:val="CommentTextChar"/>
    <w:unhideWhenUsed/>
    <w:rsid w:val="00FC6570"/>
    <w:rPr>
      <w:sz w:val="20"/>
    </w:rPr>
  </w:style>
  <w:style w:type="character" w:customStyle="1" w:styleId="CommentTextChar">
    <w:name w:val="Comment Text Char"/>
    <w:basedOn w:val="DefaultParagraphFont"/>
    <w:link w:val="CommentText"/>
    <w:rsid w:val="00FC6570"/>
  </w:style>
  <w:style w:type="paragraph" w:styleId="CommentSubject">
    <w:name w:val="annotation subject"/>
    <w:basedOn w:val="CommentText"/>
    <w:next w:val="CommentText"/>
    <w:link w:val="CommentSubjectChar"/>
    <w:semiHidden/>
    <w:unhideWhenUsed/>
    <w:rsid w:val="00FC6570"/>
    <w:rPr>
      <w:b/>
      <w:bCs/>
    </w:rPr>
  </w:style>
  <w:style w:type="character" w:customStyle="1" w:styleId="CommentSubjectChar">
    <w:name w:val="Comment Subject Char"/>
    <w:basedOn w:val="CommentTextChar"/>
    <w:link w:val="CommentSubject"/>
    <w:semiHidden/>
    <w:rsid w:val="00FC6570"/>
    <w:rPr>
      <w:b/>
      <w:bCs/>
    </w:rPr>
  </w:style>
  <w:style w:type="paragraph" w:styleId="BalloonText">
    <w:name w:val="Balloon Text"/>
    <w:basedOn w:val="Normal"/>
    <w:link w:val="BalloonTextChar"/>
    <w:semiHidden/>
    <w:unhideWhenUsed/>
    <w:rsid w:val="00FC6570"/>
    <w:rPr>
      <w:rFonts w:ascii="Segoe UI" w:hAnsi="Segoe UI" w:cs="Segoe UI"/>
      <w:sz w:val="18"/>
      <w:szCs w:val="18"/>
    </w:rPr>
  </w:style>
  <w:style w:type="character" w:customStyle="1" w:styleId="BalloonTextChar">
    <w:name w:val="Balloon Text Char"/>
    <w:basedOn w:val="DefaultParagraphFont"/>
    <w:link w:val="BalloonText"/>
    <w:semiHidden/>
    <w:rsid w:val="00FC6570"/>
    <w:rPr>
      <w:rFonts w:ascii="Segoe UI" w:hAnsi="Segoe UI" w:cs="Segoe UI"/>
      <w:sz w:val="18"/>
      <w:szCs w:val="18"/>
    </w:rPr>
  </w:style>
  <w:style w:type="character" w:customStyle="1" w:styleId="EmailStyle161">
    <w:name w:val="EmailStyle161"/>
    <w:basedOn w:val="DefaultParagraphFont"/>
    <w:semiHidden/>
    <w:rsid w:val="00BD4EDB"/>
    <w:rPr>
      <w:rFonts w:ascii="Arial" w:hAnsi="Arial" w:cs="Arial" w:hint="default"/>
      <w:color w:val="000000"/>
    </w:rPr>
  </w:style>
  <w:style w:type="paragraph" w:styleId="ListParagraph">
    <w:name w:val="List Paragraph"/>
    <w:basedOn w:val="Normal"/>
    <w:uiPriority w:val="99"/>
    <w:qFormat/>
    <w:rsid w:val="005729A4"/>
    <w:pPr>
      <w:widowControl/>
      <w:ind w:left="720"/>
    </w:pPr>
    <w:rPr>
      <w:sz w:val="20"/>
    </w:rPr>
  </w:style>
  <w:style w:type="character" w:customStyle="1" w:styleId="roarquestion">
    <w:name w:val="roar_question"/>
    <w:basedOn w:val="DefaultParagraphFont"/>
    <w:rsid w:val="009137AB"/>
  </w:style>
  <w:style w:type="character" w:customStyle="1" w:styleId="BodyText2Char">
    <w:name w:val="Body Text 2 Char"/>
    <w:basedOn w:val="DefaultParagraphFont"/>
    <w:link w:val="BodyText2"/>
    <w:rsid w:val="00BD43BE"/>
    <w:rPr>
      <w:rFonts w:ascii="Arial" w:hAnsi="Arial"/>
    </w:rPr>
  </w:style>
  <w:style w:type="character" w:customStyle="1" w:styleId="highlight">
    <w:name w:val="highlight"/>
    <w:basedOn w:val="DefaultParagraphFont"/>
    <w:rsid w:val="005E6B78"/>
  </w:style>
  <w:style w:type="character" w:customStyle="1" w:styleId="evaluationtext">
    <w:name w:val="evaluation_text"/>
    <w:basedOn w:val="DefaultParagraphFont"/>
    <w:rsid w:val="00176B48"/>
  </w:style>
  <w:style w:type="paragraph" w:customStyle="1" w:styleId="Default">
    <w:name w:val="Default"/>
    <w:rsid w:val="00A979EA"/>
    <w:pPr>
      <w:autoSpaceDE w:val="0"/>
      <w:autoSpaceDN w:val="0"/>
      <w:adjustRightInd w:val="0"/>
    </w:pPr>
    <w:rPr>
      <w:rFonts w:ascii="Univers 45 Light" w:hAnsi="Univers 45 Light" w:cs="Univers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1002">
      <w:bodyDiv w:val="1"/>
      <w:marLeft w:val="0"/>
      <w:marRight w:val="0"/>
      <w:marTop w:val="0"/>
      <w:marBottom w:val="0"/>
      <w:divBdr>
        <w:top w:val="none" w:sz="0" w:space="0" w:color="auto"/>
        <w:left w:val="none" w:sz="0" w:space="0" w:color="auto"/>
        <w:bottom w:val="none" w:sz="0" w:space="0" w:color="auto"/>
        <w:right w:val="none" w:sz="0" w:space="0" w:color="auto"/>
      </w:divBdr>
    </w:div>
    <w:div w:id="132453855">
      <w:bodyDiv w:val="1"/>
      <w:marLeft w:val="0"/>
      <w:marRight w:val="0"/>
      <w:marTop w:val="0"/>
      <w:marBottom w:val="0"/>
      <w:divBdr>
        <w:top w:val="none" w:sz="0" w:space="0" w:color="auto"/>
        <w:left w:val="none" w:sz="0" w:space="0" w:color="auto"/>
        <w:bottom w:val="none" w:sz="0" w:space="0" w:color="auto"/>
        <w:right w:val="none" w:sz="0" w:space="0" w:color="auto"/>
      </w:divBdr>
    </w:div>
    <w:div w:id="214439605">
      <w:bodyDiv w:val="1"/>
      <w:marLeft w:val="0"/>
      <w:marRight w:val="0"/>
      <w:marTop w:val="0"/>
      <w:marBottom w:val="0"/>
      <w:divBdr>
        <w:top w:val="none" w:sz="0" w:space="0" w:color="auto"/>
        <w:left w:val="none" w:sz="0" w:space="0" w:color="auto"/>
        <w:bottom w:val="none" w:sz="0" w:space="0" w:color="auto"/>
        <w:right w:val="none" w:sz="0" w:space="0" w:color="auto"/>
      </w:divBdr>
    </w:div>
    <w:div w:id="249117900">
      <w:bodyDiv w:val="1"/>
      <w:marLeft w:val="0"/>
      <w:marRight w:val="0"/>
      <w:marTop w:val="0"/>
      <w:marBottom w:val="0"/>
      <w:divBdr>
        <w:top w:val="none" w:sz="0" w:space="0" w:color="auto"/>
        <w:left w:val="none" w:sz="0" w:space="0" w:color="auto"/>
        <w:bottom w:val="none" w:sz="0" w:space="0" w:color="auto"/>
        <w:right w:val="none" w:sz="0" w:space="0" w:color="auto"/>
      </w:divBdr>
    </w:div>
    <w:div w:id="278030056">
      <w:bodyDiv w:val="1"/>
      <w:marLeft w:val="0"/>
      <w:marRight w:val="0"/>
      <w:marTop w:val="0"/>
      <w:marBottom w:val="0"/>
      <w:divBdr>
        <w:top w:val="none" w:sz="0" w:space="0" w:color="auto"/>
        <w:left w:val="none" w:sz="0" w:space="0" w:color="auto"/>
        <w:bottom w:val="none" w:sz="0" w:space="0" w:color="auto"/>
        <w:right w:val="none" w:sz="0" w:space="0" w:color="auto"/>
      </w:divBdr>
    </w:div>
    <w:div w:id="636028826">
      <w:bodyDiv w:val="1"/>
      <w:marLeft w:val="0"/>
      <w:marRight w:val="0"/>
      <w:marTop w:val="0"/>
      <w:marBottom w:val="0"/>
      <w:divBdr>
        <w:top w:val="none" w:sz="0" w:space="0" w:color="auto"/>
        <w:left w:val="none" w:sz="0" w:space="0" w:color="auto"/>
        <w:bottom w:val="none" w:sz="0" w:space="0" w:color="auto"/>
        <w:right w:val="none" w:sz="0" w:space="0" w:color="auto"/>
      </w:divBdr>
    </w:div>
    <w:div w:id="642271749">
      <w:bodyDiv w:val="1"/>
      <w:marLeft w:val="0"/>
      <w:marRight w:val="0"/>
      <w:marTop w:val="0"/>
      <w:marBottom w:val="0"/>
      <w:divBdr>
        <w:top w:val="none" w:sz="0" w:space="0" w:color="auto"/>
        <w:left w:val="none" w:sz="0" w:space="0" w:color="auto"/>
        <w:bottom w:val="none" w:sz="0" w:space="0" w:color="auto"/>
        <w:right w:val="none" w:sz="0" w:space="0" w:color="auto"/>
      </w:divBdr>
    </w:div>
    <w:div w:id="738748876">
      <w:bodyDiv w:val="1"/>
      <w:marLeft w:val="0"/>
      <w:marRight w:val="0"/>
      <w:marTop w:val="0"/>
      <w:marBottom w:val="0"/>
      <w:divBdr>
        <w:top w:val="none" w:sz="0" w:space="0" w:color="auto"/>
        <w:left w:val="none" w:sz="0" w:space="0" w:color="auto"/>
        <w:bottom w:val="none" w:sz="0" w:space="0" w:color="auto"/>
        <w:right w:val="none" w:sz="0" w:space="0" w:color="auto"/>
      </w:divBdr>
    </w:div>
    <w:div w:id="931359700">
      <w:bodyDiv w:val="1"/>
      <w:marLeft w:val="0"/>
      <w:marRight w:val="0"/>
      <w:marTop w:val="0"/>
      <w:marBottom w:val="0"/>
      <w:divBdr>
        <w:top w:val="none" w:sz="0" w:space="0" w:color="auto"/>
        <w:left w:val="none" w:sz="0" w:space="0" w:color="auto"/>
        <w:bottom w:val="none" w:sz="0" w:space="0" w:color="auto"/>
        <w:right w:val="none" w:sz="0" w:space="0" w:color="auto"/>
      </w:divBdr>
    </w:div>
    <w:div w:id="1333097352">
      <w:bodyDiv w:val="1"/>
      <w:marLeft w:val="0"/>
      <w:marRight w:val="0"/>
      <w:marTop w:val="0"/>
      <w:marBottom w:val="0"/>
      <w:divBdr>
        <w:top w:val="none" w:sz="0" w:space="0" w:color="auto"/>
        <w:left w:val="none" w:sz="0" w:space="0" w:color="auto"/>
        <w:bottom w:val="none" w:sz="0" w:space="0" w:color="auto"/>
        <w:right w:val="none" w:sz="0" w:space="0" w:color="auto"/>
      </w:divBdr>
    </w:div>
    <w:div w:id="1703632658">
      <w:bodyDiv w:val="1"/>
      <w:marLeft w:val="0"/>
      <w:marRight w:val="0"/>
      <w:marTop w:val="0"/>
      <w:marBottom w:val="0"/>
      <w:divBdr>
        <w:top w:val="none" w:sz="0" w:space="0" w:color="auto"/>
        <w:left w:val="none" w:sz="0" w:space="0" w:color="auto"/>
        <w:bottom w:val="none" w:sz="0" w:space="0" w:color="auto"/>
        <w:right w:val="none" w:sz="0" w:space="0" w:color="auto"/>
      </w:divBdr>
    </w:div>
    <w:div w:id="1784153888">
      <w:bodyDiv w:val="1"/>
      <w:marLeft w:val="0"/>
      <w:marRight w:val="0"/>
      <w:marTop w:val="0"/>
      <w:marBottom w:val="0"/>
      <w:divBdr>
        <w:top w:val="none" w:sz="0" w:space="0" w:color="auto"/>
        <w:left w:val="none" w:sz="0" w:space="0" w:color="auto"/>
        <w:bottom w:val="none" w:sz="0" w:space="0" w:color="auto"/>
        <w:right w:val="none" w:sz="0" w:space="0" w:color="auto"/>
      </w:divBdr>
    </w:div>
    <w:div w:id="20550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EffectiveDate xmlns="83ed2304-0f0e-45ba-b0cc-7d360cbc1769" xsi:nil="true"/>
    <UNDPResponsibleUnit xmlns="83ed2304-0f0e-45ba-b0cc-7d360cbc1769"/>
    <UNDPCreator xmlns="83ed2304-0f0e-45ba-b0cc-7d360cbc1769">
      <UserInfo>
        <DisplayName/>
        <AccountId xsi:nil="true"/>
        <AccountType/>
      </UserInfo>
    </UNDPCreator>
    <UNDPApplicability xmlns="83ed2304-0f0e-45ba-b0cc-7d360cbc1769" xsi:nil="true"/>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xsi:nil="true"/>
    <UNDPPOPPProcess xmlns="83ed2304-0f0e-45ba-b0cc-7d360cbc1769">Programme Management</UNDPPOPPProcess>
    <UNDPPOPPSubsubprocess xmlns="83ed2304-0f0e-45ba-b0cc-7d360cbc1769" xsi:nil="true"/>
    <UNDPIssuanceDate xmlns="83ed2304-0f0e-45ba-b0cc-7d360cbc1769" xsi:nil="true"/>
    <_dlc_DocId xmlns="83ed2304-0f0e-45ba-b0cc-7d360cbc1769">UNDPGBL-229-92</_dlc_DocId>
    <_dlc_DocIdUrl xmlns="83ed2304-0f0e-45ba-b0cc-7d360cbc1769">
      <Url>https://intranet.undp.org/global/documents/_layouts/DocIdRedir.aspx?ID=UNDPGBL-229-92</Url>
      <Description>UNDPGBL-229-92</Description>
    </_dlc_DocIdUrl>
    <UNDPSummary xmlns="83ed2304-0f0e-45ba-b0cc-7d360cbc1769" xsi:nil="true"/>
    <UNDPFocalpoint xmlns="83ed2304-0f0e-45ba-b0cc-7d360cbc1769">
      <UserInfo>
        <DisplayName/>
        <AccountId xsi:nil="true"/>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5.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66" ma:contentTypeDescription="Create a new POPP Deliverable document" ma:contentTypeScope="" ma:versionID="c1250cfb66ef80672605b85c0fd434ba">
  <xsd:schema xmlns:xsd="http://www.w3.org/2001/XMLSchema" xmlns:xs="http://www.w3.org/2001/XMLSchema" xmlns:p="http://schemas.microsoft.com/office/2006/metadata/properties" xmlns:ns2="83ed2304-0f0e-45ba-b0cc-7d360cbc1769" targetNamespace="http://schemas.microsoft.com/office/2006/metadata/properties" ma:root="true" ma:fieldsID="0ce56cadaedc82cf8b2664c217ea985a" ns2:_="">
    <xsd:import namespace="83ed2304-0f0e-45ba-b0cc-7d360cbc1769"/>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ActualReviewDate" minOccurs="0"/>
                <xsd:element ref="ns2:UNDPSummary"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dexed="true" ma:internalName="UNDPPOPPSubprocess">
      <xsd:simpleType>
        <xsd:restriction base="dms:Choic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gal Framework"/>
          <xsd:enumeration value="Legal Status of IC"/>
          <xsd:enumeration value="Making Information Available to the Public"/>
          <xsd:enumeration value="Management of Obligations (Expenditure)"/>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ping and Insurance"/>
          <xsd:enumeration value="Solicitation Documents"/>
          <xsd:enumeration value="Sourcing"/>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DP Non Expendable (Fixed) Asset Management"/>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stablishment and Use of Electronic Banking Systems"/>
          <xsd:enumeration value="Euro Reporting Guidelines"/>
          <xsd:enumeration value="Executive Board Papers"/>
          <xsd:enumeration value="Expense Management of UNODC Funded Activities"/>
          <xsd:enumeration value="Expenditure of Income Accrued from Cost Recovery"/>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Handling of Cash and Receipts"/>
          <xsd:enumeration value="Hazard Pay"/>
          <xsd:enumeration value="Home Leave"/>
          <xsd:enumeration value="Hospitality Expenditures"/>
          <xsd:enumeration value="Hospitality Expense"/>
          <xsd:enumeration value="Introduction"/>
          <xsd:enumeration value="Issuing Letters of Credit"/>
          <xsd:enumeration value="Language Allowance"/>
          <xsd:enumeration value="Last Day for Pay Purpo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ActualReviewDate" ma:index="7" nillable="true" ma:displayName="Actual Review Date" ma:format="DateOnly" ma:internalName="UNDPActualReviewDate">
      <xsd:simpleType>
        <xsd:restriction base="dms:DateTime"/>
      </xsd:simpleType>
    </xsd:element>
    <xsd:element name="UNDPSummary" ma:index="8" nillable="true" ma:displayName="Summary" ma:internalName="UNDPSummary">
      <xsd:simpleType>
        <xsd:restriction base="dms:Note">
          <xsd:maxLength value="255"/>
        </xsd:restriction>
      </xsd:simpleType>
    </xsd:element>
    <xsd:element name="UNDPPOPPPrescriptiveContentSelection" ma:index="15"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17"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8" nillable="true" ma:displayName="Focalpoint" ma:SearchPeopleOnly="false" ma:SharePointGroup="0" ma:internalName="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pplicability" ma:index="25" nillable="true" ma:displayName="Applicability" ma:internalName="UNDPApplicability">
      <xsd:simpleType>
        <xsd:restriction base="dms:Text"/>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3.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4.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5.xml><?xml version="1.0" encoding="utf-8"?>
<ds:datastoreItem xmlns:ds="http://schemas.openxmlformats.org/officeDocument/2006/customXml" ds:itemID="{2B79CB7C-0125-42C2-B06F-3A94F0200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1A5A29-77F8-4A5A-916E-6C377D49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7567</Words>
  <Characters>46009</Characters>
  <Application>Microsoft Office Word</Application>
  <DocSecurity>0</DocSecurity>
  <Lines>1210</Lines>
  <Paragraphs>343</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53233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2015-03-20T13:07:00Z</cp:lastPrinted>
  <dcterms:created xsi:type="dcterms:W3CDTF">2016-04-28T19:15:00Z</dcterms:created>
  <dcterms:modified xsi:type="dcterms:W3CDTF">2016-04-28T19:15:00Z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ies>
</file>