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0AB2C" w14:textId="77777777" w:rsidR="0019448E" w:rsidRPr="0019448E" w:rsidRDefault="0019448E" w:rsidP="0019448E">
      <w:pPr>
        <w:spacing w:line="240" w:lineRule="auto"/>
        <w:rPr>
          <w:sz w:val="2"/>
        </w:rPr>
        <w:sectPr w:rsidR="0019448E" w:rsidRPr="0019448E" w:rsidSect="001944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14:paraId="6723B862" w14:textId="72E5381D" w:rsidR="003A13CD" w:rsidRPr="003C26C1" w:rsidRDefault="00275784" w:rsidP="003A13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Pr>
          <w:b/>
          <w:color w:val="000000"/>
        </w:rPr>
        <w:lastRenderedPageBreak/>
        <w:t>First</w:t>
      </w:r>
      <w:r w:rsidR="003A13CD">
        <w:rPr>
          <w:b/>
          <w:color w:val="000000"/>
        </w:rPr>
        <w:t xml:space="preserve"> regular session 201</w:t>
      </w:r>
      <w:r>
        <w:rPr>
          <w:b/>
          <w:color w:val="000000"/>
        </w:rPr>
        <w:t>6</w:t>
      </w:r>
    </w:p>
    <w:p w14:paraId="60657C1D" w14:textId="5A926CA3" w:rsidR="003A13CD" w:rsidRPr="003C26C1" w:rsidRDefault="00275784" w:rsidP="003A13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25 </w:t>
      </w:r>
      <w:r w:rsidR="003A13CD">
        <w:rPr>
          <w:color w:val="000000"/>
        </w:rPr>
        <w:t>-</w:t>
      </w:r>
      <w:r>
        <w:rPr>
          <w:color w:val="000000"/>
        </w:rPr>
        <w:t xml:space="preserve"> 29 January</w:t>
      </w:r>
      <w:r w:rsidR="003A13CD">
        <w:rPr>
          <w:color w:val="000000"/>
        </w:rPr>
        <w:t xml:space="preserve"> 201</w:t>
      </w:r>
      <w:r>
        <w:rPr>
          <w:color w:val="000000"/>
        </w:rPr>
        <w:t>6</w:t>
      </w:r>
      <w:r w:rsidR="003A13CD">
        <w:rPr>
          <w:color w:val="000000"/>
        </w:rPr>
        <w:t>, New York</w:t>
      </w:r>
    </w:p>
    <w:p w14:paraId="30574FAF" w14:textId="3E5E9CE8" w:rsidR="003A13CD" w:rsidRPr="003C26C1" w:rsidRDefault="003A13CD" w:rsidP="003A13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 xml:space="preserve">Item </w:t>
      </w:r>
      <w:r w:rsidR="00275784">
        <w:rPr>
          <w:color w:val="000000"/>
        </w:rPr>
        <w:t>2</w:t>
      </w:r>
      <w:r w:rsidRPr="003C26C1">
        <w:rPr>
          <w:color w:val="000000"/>
        </w:rPr>
        <w:t xml:space="preserve"> of the provisional agenda</w:t>
      </w:r>
    </w:p>
    <w:p w14:paraId="2098BCAD" w14:textId="77777777" w:rsidR="003A13CD" w:rsidRPr="003C26C1" w:rsidRDefault="003A13CD" w:rsidP="003A13CD">
      <w:pPr>
        <w:ind w:right="1260"/>
        <w:rPr>
          <w:b/>
          <w:color w:val="000000"/>
        </w:rPr>
      </w:pPr>
      <w:r w:rsidRPr="003C26C1">
        <w:rPr>
          <w:b/>
          <w:color w:val="000000"/>
        </w:rPr>
        <w:t>Country programmes and related matters</w:t>
      </w:r>
    </w:p>
    <w:p w14:paraId="1E8AF2FF" w14:textId="77777777" w:rsidR="003A13CD" w:rsidRPr="003C26C1" w:rsidRDefault="003A13CD" w:rsidP="003A13CD">
      <w:pPr>
        <w:pStyle w:val="SingleTxt"/>
        <w:spacing w:after="0" w:line="120" w:lineRule="exact"/>
        <w:rPr>
          <w:color w:val="000000"/>
          <w:sz w:val="10"/>
        </w:rPr>
      </w:pPr>
    </w:p>
    <w:p w14:paraId="5398D250" w14:textId="77777777" w:rsidR="003A13CD" w:rsidRPr="003C26C1" w:rsidRDefault="003A13CD" w:rsidP="003A13CD">
      <w:pPr>
        <w:pStyle w:val="SingleTxt"/>
        <w:spacing w:after="0" w:line="120" w:lineRule="exact"/>
        <w:rPr>
          <w:color w:val="000000"/>
          <w:sz w:val="10"/>
        </w:rPr>
      </w:pPr>
    </w:p>
    <w:p w14:paraId="28C93150" w14:textId="77777777" w:rsidR="003A13CD" w:rsidRPr="003C26C1" w:rsidRDefault="003A13CD" w:rsidP="003A13CD">
      <w:pPr>
        <w:pStyle w:val="SingleTxt"/>
        <w:spacing w:after="0" w:line="120" w:lineRule="exact"/>
        <w:rPr>
          <w:color w:val="000000"/>
          <w:sz w:val="10"/>
        </w:rPr>
      </w:pPr>
    </w:p>
    <w:p w14:paraId="49759344" w14:textId="77777777" w:rsidR="003A13CD" w:rsidRDefault="003A13CD" w:rsidP="003A13CD">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rFonts w:asciiTheme="minorHAnsi" w:hAnsiTheme="minorHAnsi"/>
          <w:color w:val="000000"/>
        </w:rPr>
      </w:pPr>
    </w:p>
    <w:p w14:paraId="3E9F834D" w14:textId="4EB63524" w:rsidR="003A13CD" w:rsidRPr="001320CE" w:rsidRDefault="003A13CD" w:rsidP="003A13CD">
      <w:pPr>
        <w:keepNext/>
        <w:keepLines/>
        <w:tabs>
          <w:tab w:val="right" w:pos="1022"/>
          <w:tab w:val="left" w:pos="1296"/>
          <w:tab w:val="left" w:pos="2218"/>
          <w:tab w:val="left" w:pos="2693"/>
          <w:tab w:val="left" w:pos="3182"/>
          <w:tab w:val="left" w:pos="3658"/>
          <w:tab w:val="left" w:pos="4133"/>
          <w:tab w:val="left" w:pos="4622"/>
          <w:tab w:val="left" w:pos="5098"/>
          <w:tab w:val="left" w:pos="5573"/>
          <w:tab w:val="left" w:pos="6048"/>
        </w:tabs>
        <w:spacing w:line="300" w:lineRule="exact"/>
        <w:outlineLvl w:val="0"/>
        <w:rPr>
          <w:b/>
          <w:color w:val="000000"/>
          <w:spacing w:val="-2"/>
          <w:sz w:val="28"/>
          <w:szCs w:val="28"/>
        </w:rPr>
      </w:pPr>
      <w:r>
        <w:rPr>
          <w:b/>
          <w:color w:val="000000"/>
          <w:spacing w:val="-2"/>
          <w:sz w:val="28"/>
          <w:szCs w:val="28"/>
        </w:rPr>
        <w:tab/>
      </w:r>
      <w:r>
        <w:rPr>
          <w:b/>
          <w:color w:val="000000"/>
          <w:spacing w:val="-2"/>
          <w:sz w:val="28"/>
          <w:szCs w:val="28"/>
        </w:rPr>
        <w:tab/>
      </w:r>
      <w:r w:rsidR="00275784">
        <w:rPr>
          <w:b/>
          <w:color w:val="000000"/>
          <w:spacing w:val="2"/>
          <w:w w:val="101"/>
          <w:sz w:val="28"/>
          <w:szCs w:val="28"/>
        </w:rPr>
        <w:t>Draft c</w:t>
      </w:r>
      <w:r w:rsidRPr="005A635C">
        <w:rPr>
          <w:b/>
          <w:color w:val="000000"/>
          <w:spacing w:val="2"/>
          <w:w w:val="101"/>
          <w:sz w:val="28"/>
          <w:szCs w:val="28"/>
        </w:rPr>
        <w:t>ountry programme document for the Republic of Azerbaijan</w:t>
      </w:r>
      <w:r>
        <w:rPr>
          <w:b/>
          <w:color w:val="000000"/>
          <w:sz w:val="28"/>
          <w:szCs w:val="28"/>
        </w:rPr>
        <w:br/>
      </w:r>
      <w:r>
        <w:rPr>
          <w:b/>
          <w:color w:val="000000"/>
          <w:sz w:val="28"/>
          <w:szCs w:val="28"/>
        </w:rPr>
        <w:tab/>
      </w:r>
      <w:r>
        <w:rPr>
          <w:b/>
          <w:color w:val="000000"/>
          <w:sz w:val="28"/>
          <w:szCs w:val="28"/>
        </w:rPr>
        <w:tab/>
      </w:r>
      <w:r w:rsidRPr="001320CE">
        <w:rPr>
          <w:b/>
          <w:color w:val="000000"/>
          <w:sz w:val="28"/>
          <w:szCs w:val="28"/>
        </w:rPr>
        <w:t>(2016-2020)</w:t>
      </w:r>
      <w:r w:rsidRPr="001320CE">
        <w:rPr>
          <w:b/>
          <w:color w:val="000000"/>
          <w:sz w:val="28"/>
          <w:szCs w:val="28"/>
        </w:rPr>
        <w:br/>
      </w:r>
    </w:p>
    <w:p w14:paraId="087CF485" w14:textId="77777777" w:rsidR="003A13CD" w:rsidRPr="001320CE" w:rsidRDefault="003A13CD" w:rsidP="003A13CD"/>
    <w:p w14:paraId="3CBD5A19" w14:textId="77777777" w:rsidR="003A13CD" w:rsidRDefault="003A13CD" w:rsidP="003A13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firstLine="450"/>
        <w:outlineLvl w:val="0"/>
        <w:rPr>
          <w:spacing w:val="-2"/>
          <w:sz w:val="28"/>
        </w:rPr>
      </w:pPr>
      <w:r w:rsidRPr="001320CE">
        <w:rPr>
          <w:spacing w:val="-2"/>
          <w:sz w:val="28"/>
        </w:rPr>
        <w:t>Contents</w:t>
      </w:r>
    </w:p>
    <w:tbl>
      <w:tblPr>
        <w:tblW w:w="8793" w:type="dxa"/>
        <w:tblLayout w:type="fixed"/>
        <w:tblCellMar>
          <w:left w:w="0" w:type="dxa"/>
          <w:right w:w="0" w:type="dxa"/>
        </w:tblCellMar>
        <w:tblLook w:val="0000" w:firstRow="0" w:lastRow="0" w:firstColumn="0" w:lastColumn="0" w:noHBand="0" w:noVBand="0"/>
      </w:tblPr>
      <w:tblGrid>
        <w:gridCol w:w="1060"/>
        <w:gridCol w:w="7316"/>
        <w:gridCol w:w="417"/>
      </w:tblGrid>
      <w:tr w:rsidR="003A13CD" w:rsidRPr="002229DA" w14:paraId="0912F36E" w14:textId="77777777" w:rsidTr="006D149C">
        <w:tc>
          <w:tcPr>
            <w:tcW w:w="1060" w:type="dxa"/>
            <w:shd w:val="clear" w:color="auto" w:fill="auto"/>
          </w:tcPr>
          <w:p w14:paraId="47364B5F" w14:textId="77777777" w:rsidR="003A13CD" w:rsidRPr="002229DA" w:rsidRDefault="003A13CD" w:rsidP="006D149C">
            <w:pPr>
              <w:tabs>
                <w:tab w:val="left" w:pos="1620"/>
              </w:tabs>
              <w:spacing w:after="120"/>
              <w:jc w:val="right"/>
              <w:rPr>
                <w:i/>
                <w:sz w:val="14"/>
              </w:rPr>
            </w:pPr>
          </w:p>
        </w:tc>
        <w:tc>
          <w:tcPr>
            <w:tcW w:w="7316" w:type="dxa"/>
            <w:shd w:val="clear" w:color="auto" w:fill="auto"/>
          </w:tcPr>
          <w:p w14:paraId="08F650A2" w14:textId="77777777" w:rsidR="003A13CD" w:rsidRPr="002229DA" w:rsidRDefault="003A13CD" w:rsidP="006D149C">
            <w:pPr>
              <w:tabs>
                <w:tab w:val="left" w:pos="1620"/>
              </w:tabs>
              <w:spacing w:after="120"/>
              <w:rPr>
                <w:i/>
                <w:sz w:val="14"/>
              </w:rPr>
            </w:pPr>
          </w:p>
        </w:tc>
        <w:tc>
          <w:tcPr>
            <w:tcW w:w="417" w:type="dxa"/>
            <w:shd w:val="clear" w:color="auto" w:fill="auto"/>
          </w:tcPr>
          <w:p w14:paraId="6C801783" w14:textId="77777777" w:rsidR="003A13CD" w:rsidRPr="002229DA" w:rsidRDefault="003A13CD" w:rsidP="006D149C">
            <w:pPr>
              <w:tabs>
                <w:tab w:val="left" w:pos="1620"/>
              </w:tabs>
              <w:spacing w:after="120"/>
              <w:jc w:val="right"/>
              <w:rPr>
                <w:i/>
                <w:sz w:val="14"/>
              </w:rPr>
            </w:pPr>
            <w:r w:rsidRPr="002229DA">
              <w:rPr>
                <w:i/>
                <w:sz w:val="14"/>
              </w:rPr>
              <w:t>Page</w:t>
            </w:r>
          </w:p>
        </w:tc>
      </w:tr>
      <w:tr w:rsidR="003A13CD" w:rsidRPr="002229DA" w14:paraId="7D79D4B5" w14:textId="77777777" w:rsidTr="006D149C">
        <w:tc>
          <w:tcPr>
            <w:tcW w:w="8376" w:type="dxa"/>
            <w:gridSpan w:val="2"/>
            <w:shd w:val="clear" w:color="auto" w:fill="auto"/>
          </w:tcPr>
          <w:p w14:paraId="371179BC" w14:textId="77777777" w:rsidR="003A13CD" w:rsidRPr="002229DA" w:rsidRDefault="003A13CD" w:rsidP="003A13CD">
            <w:pPr>
              <w:numPr>
                <w:ilvl w:val="0"/>
                <w:numId w:val="4"/>
              </w:numPr>
              <w:tabs>
                <w:tab w:val="right" w:pos="1080"/>
                <w:tab w:val="left" w:pos="1296"/>
                <w:tab w:val="left" w:pos="1620"/>
                <w:tab w:val="left" w:pos="2160"/>
                <w:tab w:val="left" w:pos="2592"/>
                <w:tab w:val="right" w:leader="dot" w:pos="8381"/>
              </w:tabs>
              <w:spacing w:after="120"/>
              <w:jc w:val="both"/>
            </w:pPr>
            <w:r w:rsidRPr="002229DA">
              <w:tab/>
              <w:t>Programme rationale</w:t>
            </w:r>
            <w:r w:rsidRPr="002229DA">
              <w:rPr>
                <w:spacing w:val="60"/>
                <w:sz w:val="17"/>
              </w:rPr>
              <w:tab/>
            </w:r>
          </w:p>
        </w:tc>
        <w:tc>
          <w:tcPr>
            <w:tcW w:w="417" w:type="dxa"/>
            <w:vMerge w:val="restart"/>
            <w:shd w:val="clear" w:color="auto" w:fill="auto"/>
            <w:vAlign w:val="bottom"/>
          </w:tcPr>
          <w:p w14:paraId="3477F2AC" w14:textId="77777777" w:rsidR="003A13CD" w:rsidRPr="002229DA" w:rsidRDefault="003A13CD" w:rsidP="006D149C">
            <w:pPr>
              <w:tabs>
                <w:tab w:val="left" w:pos="1620"/>
              </w:tabs>
              <w:spacing w:after="120"/>
              <w:jc w:val="right"/>
            </w:pPr>
            <w:r w:rsidRPr="002229DA">
              <w:t>2</w:t>
            </w:r>
          </w:p>
          <w:p w14:paraId="78A56DFF" w14:textId="77777777" w:rsidR="003A13CD" w:rsidRPr="002229DA" w:rsidRDefault="003A13CD" w:rsidP="006D149C">
            <w:pPr>
              <w:tabs>
                <w:tab w:val="left" w:pos="1620"/>
              </w:tabs>
              <w:spacing w:after="120"/>
              <w:jc w:val="right"/>
            </w:pPr>
            <w:r>
              <w:t>5</w:t>
            </w:r>
          </w:p>
        </w:tc>
      </w:tr>
      <w:tr w:rsidR="003A13CD" w:rsidRPr="002229DA" w14:paraId="2C867FDA" w14:textId="77777777" w:rsidTr="006D149C">
        <w:tc>
          <w:tcPr>
            <w:tcW w:w="8376" w:type="dxa"/>
            <w:gridSpan w:val="2"/>
            <w:shd w:val="clear" w:color="auto" w:fill="auto"/>
          </w:tcPr>
          <w:p w14:paraId="45E2145F" w14:textId="77777777" w:rsidR="003A13CD" w:rsidRPr="002229DA" w:rsidRDefault="003A13CD" w:rsidP="003A13CD">
            <w:pPr>
              <w:numPr>
                <w:ilvl w:val="0"/>
                <w:numId w:val="4"/>
              </w:numPr>
              <w:tabs>
                <w:tab w:val="right" w:pos="1080"/>
                <w:tab w:val="left" w:pos="1296"/>
                <w:tab w:val="left" w:pos="1620"/>
                <w:tab w:val="left" w:pos="2160"/>
                <w:tab w:val="left" w:pos="2592"/>
                <w:tab w:val="left" w:pos="3024"/>
                <w:tab w:val="left" w:pos="3456"/>
                <w:tab w:val="left" w:pos="3888"/>
                <w:tab w:val="left" w:pos="4320"/>
                <w:tab w:val="right" w:leader="dot" w:pos="8381"/>
              </w:tabs>
              <w:spacing w:after="120"/>
              <w:jc w:val="both"/>
            </w:pPr>
            <w:r w:rsidRPr="002229DA">
              <w:tab/>
              <w:t>Programme priorities and partnerships</w:t>
            </w:r>
            <w:r w:rsidRPr="002229DA">
              <w:rPr>
                <w:spacing w:val="60"/>
                <w:sz w:val="17"/>
              </w:rPr>
              <w:tab/>
            </w:r>
          </w:p>
        </w:tc>
        <w:tc>
          <w:tcPr>
            <w:tcW w:w="417" w:type="dxa"/>
            <w:vMerge/>
            <w:shd w:val="clear" w:color="auto" w:fill="auto"/>
            <w:vAlign w:val="bottom"/>
          </w:tcPr>
          <w:p w14:paraId="0D345AA7" w14:textId="77777777" w:rsidR="003A13CD" w:rsidRPr="002229DA" w:rsidRDefault="003A13CD" w:rsidP="006D149C">
            <w:pPr>
              <w:tabs>
                <w:tab w:val="left" w:pos="1620"/>
              </w:tabs>
              <w:spacing w:after="120"/>
              <w:jc w:val="right"/>
            </w:pPr>
          </w:p>
        </w:tc>
      </w:tr>
      <w:tr w:rsidR="003A13CD" w:rsidRPr="002229DA" w14:paraId="6DF2BDF3" w14:textId="77777777" w:rsidTr="006D149C">
        <w:tc>
          <w:tcPr>
            <w:tcW w:w="8376" w:type="dxa"/>
            <w:gridSpan w:val="2"/>
            <w:shd w:val="clear" w:color="auto" w:fill="auto"/>
          </w:tcPr>
          <w:p w14:paraId="3EE3971A" w14:textId="77777777" w:rsidR="003A13CD" w:rsidRPr="002229DA" w:rsidRDefault="003A13CD" w:rsidP="003A13CD">
            <w:pPr>
              <w:numPr>
                <w:ilvl w:val="0"/>
                <w:numId w:val="4"/>
              </w:numPr>
              <w:tabs>
                <w:tab w:val="right" w:pos="1080"/>
                <w:tab w:val="left" w:pos="1296"/>
                <w:tab w:val="left" w:pos="1620"/>
                <w:tab w:val="left" w:pos="2160"/>
                <w:tab w:val="left" w:pos="2592"/>
                <w:tab w:val="left" w:pos="3024"/>
                <w:tab w:val="right" w:leader="dot" w:pos="8381"/>
              </w:tabs>
              <w:spacing w:after="120"/>
              <w:jc w:val="both"/>
            </w:pPr>
            <w:r w:rsidRPr="002229DA">
              <w:tab/>
              <w:t>Programme and risk management</w:t>
            </w:r>
            <w:r w:rsidRPr="002229DA">
              <w:rPr>
                <w:spacing w:val="60"/>
                <w:sz w:val="17"/>
              </w:rPr>
              <w:tab/>
            </w:r>
          </w:p>
        </w:tc>
        <w:tc>
          <w:tcPr>
            <w:tcW w:w="417" w:type="dxa"/>
            <w:vMerge w:val="restart"/>
            <w:shd w:val="clear" w:color="auto" w:fill="auto"/>
            <w:vAlign w:val="bottom"/>
          </w:tcPr>
          <w:p w14:paraId="3C28902B" w14:textId="77777777" w:rsidR="003A13CD" w:rsidRPr="002229DA" w:rsidRDefault="003A13CD" w:rsidP="006D149C">
            <w:pPr>
              <w:tabs>
                <w:tab w:val="left" w:pos="1620"/>
              </w:tabs>
              <w:spacing w:after="120"/>
              <w:jc w:val="right"/>
            </w:pPr>
            <w:r w:rsidRPr="002229DA">
              <w:t>7</w:t>
            </w:r>
          </w:p>
          <w:p w14:paraId="7B2FA5A6" w14:textId="77777777" w:rsidR="003A13CD" w:rsidRPr="002229DA" w:rsidRDefault="003A13CD" w:rsidP="006D149C">
            <w:pPr>
              <w:tabs>
                <w:tab w:val="left" w:pos="1620"/>
              </w:tabs>
              <w:spacing w:after="120"/>
              <w:jc w:val="right"/>
            </w:pPr>
            <w:r w:rsidRPr="002229DA">
              <w:t>8</w:t>
            </w:r>
          </w:p>
        </w:tc>
      </w:tr>
      <w:tr w:rsidR="003A13CD" w:rsidRPr="002229DA" w14:paraId="7580D1DE" w14:textId="77777777" w:rsidTr="006D149C">
        <w:tc>
          <w:tcPr>
            <w:tcW w:w="8376" w:type="dxa"/>
            <w:gridSpan w:val="2"/>
            <w:shd w:val="clear" w:color="auto" w:fill="auto"/>
          </w:tcPr>
          <w:p w14:paraId="146DFBCE" w14:textId="77777777" w:rsidR="003A13CD" w:rsidRPr="002229DA" w:rsidRDefault="003A13CD" w:rsidP="003A13CD">
            <w:pPr>
              <w:numPr>
                <w:ilvl w:val="0"/>
                <w:numId w:val="4"/>
              </w:numPr>
              <w:tabs>
                <w:tab w:val="right" w:pos="1080"/>
                <w:tab w:val="left" w:pos="1296"/>
                <w:tab w:val="left" w:pos="1620"/>
                <w:tab w:val="left" w:pos="2160"/>
                <w:tab w:val="left" w:pos="2592"/>
                <w:tab w:val="left" w:pos="3024"/>
                <w:tab w:val="left" w:pos="3420"/>
                <w:tab w:val="left" w:pos="3456"/>
                <w:tab w:val="right" w:leader="dot" w:pos="8381"/>
              </w:tabs>
              <w:spacing w:after="120"/>
              <w:jc w:val="both"/>
            </w:pPr>
            <w:r w:rsidRPr="002229DA">
              <w:tab/>
              <w:t>Monitoring and evaluation</w:t>
            </w:r>
            <w:r w:rsidRPr="002229DA">
              <w:rPr>
                <w:spacing w:val="60"/>
                <w:sz w:val="17"/>
              </w:rPr>
              <w:tab/>
            </w:r>
          </w:p>
        </w:tc>
        <w:tc>
          <w:tcPr>
            <w:tcW w:w="417" w:type="dxa"/>
            <w:vMerge/>
            <w:shd w:val="clear" w:color="auto" w:fill="auto"/>
            <w:vAlign w:val="bottom"/>
          </w:tcPr>
          <w:p w14:paraId="5A61D04C" w14:textId="77777777" w:rsidR="003A13CD" w:rsidRPr="002229DA" w:rsidRDefault="003A13CD" w:rsidP="006D149C">
            <w:pPr>
              <w:tabs>
                <w:tab w:val="left" w:pos="1620"/>
              </w:tabs>
              <w:spacing w:after="120"/>
              <w:jc w:val="right"/>
            </w:pPr>
          </w:p>
        </w:tc>
      </w:tr>
      <w:tr w:rsidR="003A13CD" w:rsidRPr="002229DA" w14:paraId="3E9572AE" w14:textId="77777777" w:rsidTr="006D149C">
        <w:tc>
          <w:tcPr>
            <w:tcW w:w="8376" w:type="dxa"/>
            <w:gridSpan w:val="2"/>
            <w:shd w:val="clear" w:color="auto" w:fill="auto"/>
          </w:tcPr>
          <w:p w14:paraId="6A001ED1" w14:textId="77777777" w:rsidR="003A13CD" w:rsidRPr="002229DA" w:rsidRDefault="003A13CD" w:rsidP="006D149C">
            <w:pPr>
              <w:tabs>
                <w:tab w:val="right" w:pos="1080"/>
                <w:tab w:val="left" w:pos="1296"/>
                <w:tab w:val="left" w:pos="1620"/>
                <w:tab w:val="right" w:pos="1714"/>
                <w:tab w:val="left" w:pos="2160"/>
                <w:tab w:val="left" w:pos="2592"/>
                <w:tab w:val="left" w:pos="3024"/>
                <w:tab w:val="left" w:pos="3456"/>
              </w:tabs>
              <w:spacing w:after="120"/>
              <w:ind w:left="475"/>
            </w:pPr>
            <w:r>
              <w:t xml:space="preserve">     </w:t>
            </w:r>
            <w:r w:rsidRPr="002229DA">
              <w:t>Annex</w:t>
            </w:r>
          </w:p>
        </w:tc>
        <w:tc>
          <w:tcPr>
            <w:tcW w:w="417" w:type="dxa"/>
            <w:shd w:val="clear" w:color="auto" w:fill="auto"/>
            <w:vAlign w:val="bottom"/>
          </w:tcPr>
          <w:p w14:paraId="21AB2ACB" w14:textId="77777777" w:rsidR="003A13CD" w:rsidRPr="002229DA" w:rsidRDefault="003A13CD" w:rsidP="006D149C">
            <w:pPr>
              <w:tabs>
                <w:tab w:val="left" w:pos="1620"/>
              </w:tabs>
              <w:spacing w:after="120"/>
              <w:jc w:val="right"/>
            </w:pPr>
          </w:p>
        </w:tc>
      </w:tr>
      <w:tr w:rsidR="003A13CD" w:rsidRPr="002229DA" w14:paraId="117CA8F6" w14:textId="77777777" w:rsidTr="006D149C">
        <w:tc>
          <w:tcPr>
            <w:tcW w:w="8376" w:type="dxa"/>
            <w:gridSpan w:val="2"/>
            <w:shd w:val="clear" w:color="auto" w:fill="auto"/>
          </w:tcPr>
          <w:p w14:paraId="065D5B40" w14:textId="77777777" w:rsidR="003A13CD" w:rsidRPr="002229DA" w:rsidRDefault="003A13CD" w:rsidP="006D149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2229DA">
              <w:t xml:space="preserve">Results and resources framework for </w:t>
            </w:r>
            <w:r>
              <w:t xml:space="preserve">the Republic of Azerbaijan </w:t>
            </w:r>
            <w:r w:rsidRPr="002229DA">
              <w:t>(2016-2020)</w:t>
            </w:r>
          </w:p>
        </w:tc>
        <w:tc>
          <w:tcPr>
            <w:tcW w:w="417" w:type="dxa"/>
            <w:shd w:val="clear" w:color="auto" w:fill="auto"/>
            <w:vAlign w:val="bottom"/>
          </w:tcPr>
          <w:p w14:paraId="46825827" w14:textId="77777777" w:rsidR="003A13CD" w:rsidRPr="002229DA" w:rsidRDefault="003A13CD" w:rsidP="006D149C">
            <w:pPr>
              <w:tabs>
                <w:tab w:val="left" w:pos="1620"/>
              </w:tabs>
              <w:spacing w:after="120"/>
              <w:jc w:val="right"/>
            </w:pPr>
            <w:r>
              <w:t>9</w:t>
            </w:r>
          </w:p>
        </w:tc>
      </w:tr>
    </w:tbl>
    <w:p w14:paraId="766AA235" w14:textId="77777777" w:rsidR="003A13CD" w:rsidRPr="004A575A" w:rsidRDefault="003A13CD" w:rsidP="003A13CD"/>
    <w:p w14:paraId="73DDB7F9" w14:textId="77777777" w:rsidR="003A13CD" w:rsidRDefault="003A13CD" w:rsidP="003A13CD">
      <w:pPr>
        <w:pStyle w:val="Heading2"/>
        <w:numPr>
          <w:ilvl w:val="0"/>
          <w:numId w:val="3"/>
        </w:numPr>
        <w:ind w:left="1440" w:right="1267" w:hanging="270"/>
        <w:jc w:val="both"/>
        <w:rPr>
          <w:rFonts w:ascii="Times New Roman" w:hAnsi="Times New Roman"/>
          <w:bCs/>
          <w:color w:val="000000"/>
          <w:sz w:val="24"/>
          <w:szCs w:val="24"/>
        </w:rPr>
      </w:pPr>
      <w:r w:rsidRPr="003C26C1">
        <w:br w:type="page"/>
      </w:r>
      <w:r w:rsidRPr="003C26C1">
        <w:rPr>
          <w:rFonts w:ascii="Times New Roman" w:hAnsi="Times New Roman"/>
          <w:bCs/>
          <w:color w:val="000000"/>
          <w:sz w:val="24"/>
          <w:szCs w:val="24"/>
        </w:rPr>
        <w:lastRenderedPageBreak/>
        <w:t xml:space="preserve">Programme </w:t>
      </w:r>
      <w:r>
        <w:rPr>
          <w:rFonts w:ascii="Times New Roman" w:hAnsi="Times New Roman"/>
          <w:bCs/>
          <w:color w:val="000000"/>
          <w:sz w:val="24"/>
          <w:szCs w:val="24"/>
        </w:rPr>
        <w:t>r</w:t>
      </w:r>
      <w:r w:rsidRPr="003C26C1">
        <w:rPr>
          <w:rFonts w:ascii="Times New Roman" w:hAnsi="Times New Roman"/>
          <w:bCs/>
          <w:color w:val="000000"/>
          <w:sz w:val="24"/>
          <w:szCs w:val="24"/>
        </w:rPr>
        <w:t>ationale</w:t>
      </w:r>
    </w:p>
    <w:p w14:paraId="1BE7BAE1" w14:textId="77777777" w:rsidR="003A13CD" w:rsidRPr="001C1666" w:rsidRDefault="003A13CD" w:rsidP="003A13CD">
      <w:pPr>
        <w:pStyle w:val="Heading2"/>
        <w:ind w:left="1987" w:right="1267"/>
        <w:jc w:val="both"/>
        <w:rPr>
          <w:rFonts w:ascii="Times New Roman" w:hAnsi="Times New Roman"/>
          <w:b w:val="0"/>
          <w:bCs/>
          <w:color w:val="000000"/>
          <w:sz w:val="16"/>
          <w:szCs w:val="16"/>
        </w:rPr>
      </w:pPr>
    </w:p>
    <w:p w14:paraId="23F9011D" w14:textId="3B86ABC2" w:rsidR="003A13CD" w:rsidRDefault="003A13CD" w:rsidP="003A13CD">
      <w:pPr>
        <w:pStyle w:val="Heading2"/>
        <w:spacing w:after="120"/>
        <w:ind w:left="1440" w:right="4"/>
        <w:jc w:val="both"/>
        <w:rPr>
          <w:rFonts w:ascii="Times New Roman" w:hAnsi="Times New Roman"/>
          <w:b w:val="0"/>
          <w:sz w:val="20"/>
        </w:rPr>
      </w:pPr>
      <w:r>
        <w:rPr>
          <w:rFonts w:ascii="Times New Roman" w:hAnsi="Times New Roman"/>
          <w:b w:val="0"/>
          <w:sz w:val="20"/>
        </w:rPr>
        <w:t xml:space="preserve">1. </w:t>
      </w:r>
      <w:r w:rsidRPr="00A41EBE">
        <w:rPr>
          <w:rFonts w:ascii="Times New Roman" w:hAnsi="Times New Roman"/>
          <w:b w:val="0"/>
          <w:sz w:val="20"/>
        </w:rPr>
        <w:t xml:space="preserve">Azerbaijan is an </w:t>
      </w:r>
      <w:r>
        <w:rPr>
          <w:rFonts w:ascii="Times New Roman" w:hAnsi="Times New Roman"/>
          <w:b w:val="0"/>
          <w:sz w:val="20"/>
        </w:rPr>
        <w:t>u</w:t>
      </w:r>
      <w:r w:rsidRPr="00A41EBE">
        <w:rPr>
          <w:rFonts w:ascii="Times New Roman" w:hAnsi="Times New Roman"/>
          <w:b w:val="0"/>
          <w:sz w:val="20"/>
        </w:rPr>
        <w:t>pper</w:t>
      </w:r>
      <w:r>
        <w:rPr>
          <w:rFonts w:ascii="Times New Roman" w:hAnsi="Times New Roman"/>
          <w:b w:val="0"/>
          <w:sz w:val="20"/>
        </w:rPr>
        <w:t>-m</w:t>
      </w:r>
      <w:r w:rsidRPr="00A41EBE">
        <w:rPr>
          <w:rFonts w:ascii="Times New Roman" w:hAnsi="Times New Roman"/>
          <w:b w:val="0"/>
          <w:sz w:val="20"/>
        </w:rPr>
        <w:t>iddle</w:t>
      </w:r>
      <w:r>
        <w:rPr>
          <w:rFonts w:ascii="Times New Roman" w:hAnsi="Times New Roman"/>
          <w:b w:val="0"/>
          <w:sz w:val="20"/>
        </w:rPr>
        <w:t>-i</w:t>
      </w:r>
      <w:r w:rsidRPr="00A41EBE">
        <w:rPr>
          <w:rFonts w:ascii="Times New Roman" w:hAnsi="Times New Roman"/>
          <w:b w:val="0"/>
          <w:sz w:val="20"/>
        </w:rPr>
        <w:t xml:space="preserve">ncome </w:t>
      </w:r>
      <w:r>
        <w:rPr>
          <w:rFonts w:ascii="Times New Roman" w:hAnsi="Times New Roman"/>
          <w:b w:val="0"/>
          <w:sz w:val="20"/>
        </w:rPr>
        <w:t>c</w:t>
      </w:r>
      <w:r w:rsidRPr="00A41EBE">
        <w:rPr>
          <w:rFonts w:ascii="Times New Roman" w:hAnsi="Times New Roman"/>
          <w:b w:val="0"/>
          <w:sz w:val="20"/>
        </w:rPr>
        <w:t xml:space="preserve">ountry in the </w:t>
      </w:r>
      <w:r>
        <w:rPr>
          <w:rFonts w:ascii="Times New Roman" w:hAnsi="Times New Roman"/>
          <w:b w:val="0"/>
          <w:sz w:val="20"/>
        </w:rPr>
        <w:t>h</w:t>
      </w:r>
      <w:r w:rsidRPr="00A41EBE">
        <w:rPr>
          <w:rFonts w:ascii="Times New Roman" w:hAnsi="Times New Roman"/>
          <w:b w:val="0"/>
          <w:sz w:val="20"/>
        </w:rPr>
        <w:t xml:space="preserve">igh </w:t>
      </w:r>
      <w:r>
        <w:rPr>
          <w:rFonts w:ascii="Times New Roman" w:hAnsi="Times New Roman"/>
          <w:b w:val="0"/>
          <w:sz w:val="20"/>
        </w:rPr>
        <w:t>h</w:t>
      </w:r>
      <w:r w:rsidRPr="00A41EBE">
        <w:rPr>
          <w:rFonts w:ascii="Times New Roman" w:hAnsi="Times New Roman"/>
          <w:b w:val="0"/>
          <w:sz w:val="20"/>
        </w:rPr>
        <w:t xml:space="preserve">uman </w:t>
      </w:r>
      <w:r>
        <w:rPr>
          <w:rFonts w:ascii="Times New Roman" w:hAnsi="Times New Roman"/>
          <w:b w:val="0"/>
          <w:sz w:val="20"/>
        </w:rPr>
        <w:t>d</w:t>
      </w:r>
      <w:r w:rsidRPr="00A41EBE">
        <w:rPr>
          <w:rFonts w:ascii="Times New Roman" w:hAnsi="Times New Roman"/>
          <w:b w:val="0"/>
          <w:sz w:val="20"/>
        </w:rPr>
        <w:t xml:space="preserve">evelopment category. It ranks 76 out of 187 countries in the Human Development Index, with a </w:t>
      </w:r>
      <w:r>
        <w:rPr>
          <w:rFonts w:ascii="Times New Roman" w:hAnsi="Times New Roman"/>
          <w:b w:val="0"/>
          <w:sz w:val="20"/>
        </w:rPr>
        <w:t xml:space="preserve">score </w:t>
      </w:r>
      <w:r w:rsidRPr="00A41EBE">
        <w:rPr>
          <w:rFonts w:ascii="Times New Roman" w:hAnsi="Times New Roman"/>
          <w:b w:val="0"/>
          <w:sz w:val="20"/>
        </w:rPr>
        <w:t>of 0.747</w:t>
      </w:r>
      <w:r>
        <w:rPr>
          <w:rFonts w:ascii="Times New Roman" w:hAnsi="Times New Roman"/>
          <w:b w:val="0"/>
          <w:sz w:val="20"/>
        </w:rPr>
        <w:t>.</w:t>
      </w:r>
      <w:r w:rsidRPr="00A41EBE">
        <w:rPr>
          <w:rStyle w:val="FootnoteReference"/>
          <w:rFonts w:ascii="Times New Roman" w:hAnsi="Times New Roman"/>
          <w:b w:val="0"/>
          <w:sz w:val="20"/>
        </w:rPr>
        <w:footnoteReference w:id="1"/>
      </w:r>
      <w:r w:rsidRPr="00A41EBE">
        <w:rPr>
          <w:rFonts w:ascii="Times New Roman" w:hAnsi="Times New Roman"/>
          <w:b w:val="0"/>
          <w:sz w:val="20"/>
        </w:rPr>
        <w:t xml:space="preserve"> Between </w:t>
      </w:r>
      <w:r w:rsidRPr="002E2C43">
        <w:rPr>
          <w:rFonts w:ascii="Times New Roman" w:hAnsi="Times New Roman"/>
          <w:b w:val="0"/>
          <w:sz w:val="20"/>
        </w:rPr>
        <w:t>1980</w:t>
      </w:r>
      <w:r w:rsidRPr="00A41EBE">
        <w:rPr>
          <w:rFonts w:ascii="Times New Roman" w:hAnsi="Times New Roman"/>
          <w:b w:val="0"/>
          <w:sz w:val="20"/>
        </w:rPr>
        <w:t xml:space="preserve"> and 2013, </w:t>
      </w:r>
      <w:r w:rsidRPr="002E2C43">
        <w:rPr>
          <w:rFonts w:ascii="Times New Roman" w:hAnsi="Times New Roman"/>
          <w:b w:val="0"/>
          <w:sz w:val="20"/>
        </w:rPr>
        <w:t>life expectancy at birth increased</w:t>
      </w:r>
      <w:r w:rsidRPr="00A41EBE">
        <w:rPr>
          <w:rFonts w:ascii="Times New Roman" w:hAnsi="Times New Roman"/>
          <w:b w:val="0"/>
          <w:sz w:val="20"/>
        </w:rPr>
        <w:t xml:space="preserve"> </w:t>
      </w:r>
      <w:r w:rsidRPr="002E2C43">
        <w:rPr>
          <w:rFonts w:ascii="Times New Roman" w:hAnsi="Times New Roman"/>
          <w:b w:val="0"/>
          <w:sz w:val="20"/>
        </w:rPr>
        <w:t>by 5.</w:t>
      </w:r>
      <w:r w:rsidR="00C0184D">
        <w:rPr>
          <w:rFonts w:ascii="Times New Roman" w:hAnsi="Times New Roman"/>
          <w:b w:val="0"/>
          <w:sz w:val="20"/>
        </w:rPr>
        <w:t>6</w:t>
      </w:r>
      <w:r w:rsidRPr="00A41EBE">
        <w:rPr>
          <w:rFonts w:ascii="Times New Roman" w:hAnsi="Times New Roman"/>
          <w:b w:val="0"/>
          <w:sz w:val="20"/>
        </w:rPr>
        <w:t xml:space="preserve"> </w:t>
      </w:r>
      <w:r w:rsidRPr="002E2C43">
        <w:rPr>
          <w:rFonts w:ascii="Times New Roman" w:hAnsi="Times New Roman"/>
          <w:b w:val="0"/>
          <w:sz w:val="20"/>
        </w:rPr>
        <w:t>years, mean</w:t>
      </w:r>
      <w:r>
        <w:rPr>
          <w:rFonts w:ascii="Times New Roman" w:hAnsi="Times New Roman"/>
          <w:b w:val="0"/>
          <w:sz w:val="20"/>
        </w:rPr>
        <w:t xml:space="preserve"> </w:t>
      </w:r>
      <w:r w:rsidRPr="002E2C43">
        <w:rPr>
          <w:rFonts w:ascii="Times New Roman" w:hAnsi="Times New Roman"/>
          <w:b w:val="0"/>
          <w:sz w:val="20"/>
        </w:rPr>
        <w:t>years of schooling increased</w:t>
      </w:r>
      <w:r w:rsidRPr="00A41EBE">
        <w:rPr>
          <w:rFonts w:ascii="Times New Roman" w:hAnsi="Times New Roman"/>
          <w:b w:val="0"/>
          <w:sz w:val="20"/>
        </w:rPr>
        <w:t xml:space="preserve"> </w:t>
      </w:r>
      <w:r w:rsidRPr="002E2C43">
        <w:rPr>
          <w:rFonts w:ascii="Times New Roman" w:hAnsi="Times New Roman"/>
          <w:b w:val="0"/>
          <w:sz w:val="20"/>
        </w:rPr>
        <w:t>by 0.6</w:t>
      </w:r>
      <w:r w:rsidRPr="00A41EBE">
        <w:rPr>
          <w:rFonts w:ascii="Times New Roman" w:hAnsi="Times New Roman"/>
          <w:b w:val="0"/>
          <w:sz w:val="20"/>
        </w:rPr>
        <w:t xml:space="preserve"> </w:t>
      </w:r>
      <w:r w:rsidRPr="002E2C43">
        <w:rPr>
          <w:rFonts w:ascii="Times New Roman" w:hAnsi="Times New Roman"/>
          <w:b w:val="0"/>
          <w:sz w:val="20"/>
        </w:rPr>
        <w:t>years and expected years of schooling increased</w:t>
      </w:r>
      <w:r w:rsidRPr="00A41EBE">
        <w:rPr>
          <w:rFonts w:ascii="Times New Roman" w:hAnsi="Times New Roman"/>
          <w:b w:val="0"/>
          <w:sz w:val="20"/>
        </w:rPr>
        <w:t xml:space="preserve"> </w:t>
      </w:r>
      <w:r w:rsidRPr="002E2C43">
        <w:rPr>
          <w:rFonts w:ascii="Times New Roman" w:hAnsi="Times New Roman"/>
          <w:b w:val="0"/>
          <w:sz w:val="20"/>
        </w:rPr>
        <w:t>by 0.5</w:t>
      </w:r>
      <w:r w:rsidRPr="00A41EBE">
        <w:rPr>
          <w:rFonts w:ascii="Times New Roman" w:hAnsi="Times New Roman"/>
          <w:b w:val="0"/>
          <w:sz w:val="20"/>
        </w:rPr>
        <w:t xml:space="preserve"> </w:t>
      </w:r>
      <w:r w:rsidRPr="002E2C43">
        <w:rPr>
          <w:rFonts w:ascii="Times New Roman" w:hAnsi="Times New Roman"/>
          <w:b w:val="0"/>
          <w:sz w:val="20"/>
        </w:rPr>
        <w:t xml:space="preserve">years. Azerbaijan’s </w:t>
      </w:r>
      <w:r>
        <w:rPr>
          <w:rFonts w:ascii="Times New Roman" w:hAnsi="Times New Roman"/>
          <w:b w:val="0"/>
          <w:sz w:val="20"/>
        </w:rPr>
        <w:t>gross national income</w:t>
      </w:r>
      <w:r w:rsidRPr="002E2C43">
        <w:rPr>
          <w:rFonts w:ascii="Times New Roman" w:hAnsi="Times New Roman"/>
          <w:b w:val="0"/>
          <w:sz w:val="20"/>
        </w:rPr>
        <w:t xml:space="preserve"> per capita increased</w:t>
      </w:r>
      <w:r w:rsidRPr="00A41EBE">
        <w:rPr>
          <w:rFonts w:ascii="Times New Roman" w:hAnsi="Times New Roman"/>
          <w:b w:val="0"/>
          <w:sz w:val="20"/>
        </w:rPr>
        <w:t xml:space="preserve"> </w:t>
      </w:r>
      <w:r w:rsidRPr="002E2C43">
        <w:rPr>
          <w:rFonts w:ascii="Times New Roman" w:hAnsi="Times New Roman"/>
          <w:b w:val="0"/>
          <w:sz w:val="20"/>
        </w:rPr>
        <w:t xml:space="preserve">by </w:t>
      </w:r>
      <w:r w:rsidR="00B63504">
        <w:rPr>
          <w:rFonts w:ascii="Times New Roman" w:hAnsi="Times New Roman"/>
          <w:b w:val="0"/>
          <w:sz w:val="20"/>
        </w:rPr>
        <w:t xml:space="preserve">4.9 times </w:t>
      </w:r>
      <w:r w:rsidRPr="002E2C43">
        <w:rPr>
          <w:rFonts w:ascii="Times New Roman" w:hAnsi="Times New Roman"/>
          <w:b w:val="0"/>
          <w:sz w:val="20"/>
        </w:rPr>
        <w:t>between 1990</w:t>
      </w:r>
      <w:r w:rsidRPr="00A41EBE">
        <w:rPr>
          <w:rFonts w:ascii="Times New Roman" w:hAnsi="Times New Roman"/>
          <w:b w:val="0"/>
          <w:sz w:val="20"/>
        </w:rPr>
        <w:t xml:space="preserve"> and 2013</w:t>
      </w:r>
      <w:r>
        <w:rPr>
          <w:rFonts w:ascii="Times New Roman" w:hAnsi="Times New Roman"/>
          <w:b w:val="0"/>
          <w:sz w:val="20"/>
        </w:rPr>
        <w:t>.</w:t>
      </w:r>
      <w:r w:rsidRPr="00A41EBE">
        <w:rPr>
          <w:rStyle w:val="FootnoteReference"/>
          <w:rFonts w:ascii="Times New Roman" w:hAnsi="Times New Roman"/>
          <w:b w:val="0"/>
          <w:sz w:val="20"/>
        </w:rPr>
        <w:footnoteReference w:id="2"/>
      </w:r>
      <w:r w:rsidRPr="00A41EBE">
        <w:rPr>
          <w:rFonts w:ascii="Times New Roman" w:hAnsi="Times New Roman"/>
          <w:b w:val="0"/>
          <w:sz w:val="20"/>
        </w:rPr>
        <w:t xml:space="preserve"> </w:t>
      </w:r>
    </w:p>
    <w:p w14:paraId="22AC71EE" w14:textId="77777777" w:rsidR="003A13CD" w:rsidRDefault="003A13CD" w:rsidP="003A13CD">
      <w:pPr>
        <w:spacing w:after="120"/>
        <w:ind w:left="1440"/>
        <w:jc w:val="both"/>
      </w:pPr>
      <w:r>
        <w:t xml:space="preserve">2. </w:t>
      </w:r>
      <w:r w:rsidRPr="004F3D9B">
        <w:t>Progress toward the Millennium Development Goals has been largely positive</w:t>
      </w:r>
      <w:r w:rsidRPr="004F3D9B">
        <w:rPr>
          <w:b/>
        </w:rPr>
        <w:t>.</w:t>
      </w:r>
      <w:r w:rsidRPr="004F3D9B">
        <w:t xml:space="preserve"> The country has performed well at reducing poverty, minimizing gender disparities in primary and secondary education, improving access to water and reducing the spread of tuberculosis and malaria. Some indicators e.g.</w:t>
      </w:r>
      <w:r>
        <w:t>,</w:t>
      </w:r>
      <w:r w:rsidRPr="004F3D9B">
        <w:t xml:space="preserve"> </w:t>
      </w:r>
      <w:r>
        <w:t xml:space="preserve">for </w:t>
      </w:r>
      <w:r w:rsidRPr="004F3D9B">
        <w:t xml:space="preserve">maternal health and child nutrition, while improving, still require continued attention as they remain below the average for </w:t>
      </w:r>
      <w:r>
        <w:t>u</w:t>
      </w:r>
      <w:r w:rsidRPr="004F3D9B">
        <w:t>pper-</w:t>
      </w:r>
      <w:r>
        <w:t>m</w:t>
      </w:r>
      <w:r w:rsidRPr="004F3D9B">
        <w:t>iddle-</w:t>
      </w:r>
      <w:r>
        <w:t>i</w:t>
      </w:r>
      <w:r w:rsidRPr="004F3D9B">
        <w:t>ncome countries.</w:t>
      </w:r>
    </w:p>
    <w:p w14:paraId="4C9B7A5F" w14:textId="2CDAF23D" w:rsidR="003A13CD" w:rsidRPr="00D90C8E" w:rsidRDefault="003A13CD" w:rsidP="003A13CD">
      <w:pPr>
        <w:spacing w:after="120"/>
        <w:ind w:left="1440"/>
        <w:jc w:val="both"/>
      </w:pPr>
      <w:r>
        <w:t xml:space="preserve">3. </w:t>
      </w:r>
      <w:r w:rsidRPr="00AB5417">
        <w:t>Azerbaijan has acceded to or ratified 172 international treaties, protocols and other instruments,</w:t>
      </w:r>
      <w:r>
        <w:t xml:space="preserve"> including most of the core United Nations human rights treaties. In addition, it has adopted its second National Human Rights Action Plan and implemented a number of relevant judicial and legal reforms.</w:t>
      </w:r>
      <w:r w:rsidR="00092059">
        <w:rPr>
          <w:lang w:val="en-US"/>
        </w:rPr>
        <w:t xml:space="preserve"> </w:t>
      </w:r>
    </w:p>
    <w:p w14:paraId="03B27039" w14:textId="1EA98CAF" w:rsidR="003A13CD" w:rsidRDefault="003A13CD" w:rsidP="003A13CD">
      <w:pPr>
        <w:pStyle w:val="Heading2"/>
        <w:spacing w:after="120"/>
        <w:ind w:left="1440" w:right="4"/>
        <w:jc w:val="both"/>
        <w:rPr>
          <w:rFonts w:ascii="Times New Roman" w:hAnsi="Times New Roman"/>
          <w:b w:val="0"/>
          <w:sz w:val="20"/>
        </w:rPr>
      </w:pPr>
      <w:r>
        <w:rPr>
          <w:rFonts w:ascii="Times New Roman" w:hAnsi="Times New Roman"/>
          <w:b w:val="0"/>
          <w:sz w:val="20"/>
        </w:rPr>
        <w:t xml:space="preserve">4. </w:t>
      </w:r>
      <w:r w:rsidRPr="00A41EBE">
        <w:rPr>
          <w:rFonts w:ascii="Times New Roman" w:hAnsi="Times New Roman"/>
          <w:b w:val="0"/>
          <w:sz w:val="20"/>
        </w:rPr>
        <w:t>Driven by hydrocarbon wealth, growth in Azerbaijan remained comparatively buoyant despite the global economic downturn,</w:t>
      </w:r>
      <w:r>
        <w:rPr>
          <w:rFonts w:ascii="Times New Roman" w:hAnsi="Times New Roman"/>
          <w:b w:val="0"/>
          <w:sz w:val="20"/>
        </w:rPr>
        <w:t xml:space="preserve"> and gross domestic product in 2013 reached $</w:t>
      </w:r>
      <w:r w:rsidR="00B63504">
        <w:rPr>
          <w:rFonts w:ascii="Times New Roman" w:hAnsi="Times New Roman"/>
          <w:b w:val="0"/>
          <w:sz w:val="20"/>
        </w:rPr>
        <w:t xml:space="preserve"> 74.17 </w:t>
      </w:r>
      <w:r>
        <w:rPr>
          <w:rFonts w:ascii="Times New Roman" w:hAnsi="Times New Roman"/>
          <w:b w:val="0"/>
          <w:sz w:val="20"/>
        </w:rPr>
        <w:t>billion, a 10-fold increase from 2003.</w:t>
      </w:r>
      <w:r>
        <w:rPr>
          <w:rStyle w:val="FootnoteReference"/>
          <w:rFonts w:ascii="Times New Roman" w:hAnsi="Times New Roman"/>
          <w:b w:val="0"/>
          <w:sz w:val="20"/>
        </w:rPr>
        <w:footnoteReference w:id="3"/>
      </w:r>
      <w:r>
        <w:rPr>
          <w:rFonts w:ascii="Times New Roman" w:hAnsi="Times New Roman"/>
          <w:b w:val="0"/>
          <w:sz w:val="20"/>
        </w:rPr>
        <w:t xml:space="preserve"> As a result, poverty rates have plunged to 5.3 per cent (2013) from 49 per cent in 2001.</w:t>
      </w:r>
      <w:r>
        <w:rPr>
          <w:rStyle w:val="FootnoteReference"/>
          <w:rFonts w:ascii="Times New Roman" w:hAnsi="Times New Roman"/>
          <w:b w:val="0"/>
          <w:sz w:val="20"/>
        </w:rPr>
        <w:footnoteReference w:id="4"/>
      </w:r>
      <w:r>
        <w:rPr>
          <w:rFonts w:ascii="Times New Roman" w:hAnsi="Times New Roman"/>
          <w:b w:val="0"/>
          <w:sz w:val="20"/>
        </w:rPr>
        <w:t xml:space="preserve"> Recently, however, oil revenues have fallen, as has the pace of overall growth, due to declining oil production volumes and oil prices.</w:t>
      </w:r>
    </w:p>
    <w:p w14:paraId="6F87E8C9" w14:textId="77777777" w:rsidR="003A13CD" w:rsidRDefault="003A13CD" w:rsidP="003A13CD">
      <w:pPr>
        <w:pStyle w:val="Heading2"/>
        <w:spacing w:after="120"/>
        <w:ind w:left="1440" w:right="4"/>
        <w:jc w:val="both"/>
        <w:rPr>
          <w:rFonts w:ascii="Times New Roman" w:hAnsi="Times New Roman"/>
          <w:b w:val="0"/>
          <w:sz w:val="20"/>
        </w:rPr>
      </w:pPr>
      <w:r>
        <w:rPr>
          <w:rFonts w:ascii="Times New Roman" w:hAnsi="Times New Roman"/>
          <w:b w:val="0"/>
          <w:sz w:val="20"/>
        </w:rPr>
        <w:t xml:space="preserve">5. </w:t>
      </w:r>
      <w:r w:rsidRPr="00EB7A23">
        <w:rPr>
          <w:rFonts w:ascii="Times New Roman" w:hAnsi="Times New Roman"/>
          <w:b w:val="0"/>
          <w:sz w:val="20"/>
        </w:rPr>
        <w:t xml:space="preserve">A key challenge </w:t>
      </w:r>
      <w:r>
        <w:rPr>
          <w:rFonts w:ascii="Times New Roman" w:hAnsi="Times New Roman"/>
          <w:b w:val="0"/>
          <w:sz w:val="20"/>
        </w:rPr>
        <w:t xml:space="preserve">for </w:t>
      </w:r>
      <w:r w:rsidRPr="00EB7A23">
        <w:rPr>
          <w:rFonts w:ascii="Times New Roman" w:hAnsi="Times New Roman"/>
          <w:b w:val="0"/>
          <w:sz w:val="20"/>
        </w:rPr>
        <w:t xml:space="preserve">Azerbaijan is to </w:t>
      </w:r>
      <w:r>
        <w:rPr>
          <w:rFonts w:ascii="Times New Roman" w:hAnsi="Times New Roman"/>
          <w:b w:val="0"/>
          <w:sz w:val="20"/>
        </w:rPr>
        <w:t>reduce its</w:t>
      </w:r>
      <w:r w:rsidRPr="00EB7A23">
        <w:rPr>
          <w:rFonts w:ascii="Times New Roman" w:hAnsi="Times New Roman"/>
          <w:b w:val="0"/>
          <w:sz w:val="20"/>
        </w:rPr>
        <w:t xml:space="preserve"> dependence on hydrocarbon exports and to </w:t>
      </w:r>
      <w:r>
        <w:rPr>
          <w:rFonts w:ascii="Times New Roman" w:hAnsi="Times New Roman"/>
          <w:b w:val="0"/>
          <w:sz w:val="20"/>
        </w:rPr>
        <w:t xml:space="preserve">secure the development gains already achieved by moving towards </w:t>
      </w:r>
      <w:r w:rsidRPr="00EB7A23">
        <w:rPr>
          <w:rFonts w:ascii="Times New Roman" w:hAnsi="Times New Roman"/>
          <w:b w:val="0"/>
          <w:sz w:val="20"/>
        </w:rPr>
        <w:t>an efficiency-driven</w:t>
      </w:r>
      <w:r>
        <w:rPr>
          <w:rFonts w:ascii="Times New Roman" w:hAnsi="Times New Roman"/>
          <w:b w:val="0"/>
          <w:sz w:val="20"/>
        </w:rPr>
        <w:t>, diversified</w:t>
      </w:r>
      <w:r w:rsidRPr="00EB7A23">
        <w:rPr>
          <w:rFonts w:ascii="Times New Roman" w:hAnsi="Times New Roman"/>
          <w:b w:val="0"/>
          <w:sz w:val="20"/>
        </w:rPr>
        <w:t xml:space="preserve"> economy</w:t>
      </w:r>
      <w:r>
        <w:rPr>
          <w:rFonts w:ascii="Times New Roman" w:hAnsi="Times New Roman"/>
          <w:b w:val="0"/>
          <w:sz w:val="20"/>
        </w:rPr>
        <w:t xml:space="preserve"> that is propelled forward by an </w:t>
      </w:r>
      <w:r w:rsidRPr="00EB7A23">
        <w:rPr>
          <w:rFonts w:ascii="Times New Roman" w:hAnsi="Times New Roman"/>
          <w:b w:val="0"/>
          <w:sz w:val="20"/>
        </w:rPr>
        <w:t>educated workforce, well-functioning labo</w:t>
      </w:r>
      <w:r>
        <w:rPr>
          <w:rFonts w:ascii="Times New Roman" w:hAnsi="Times New Roman"/>
          <w:b w:val="0"/>
          <w:sz w:val="20"/>
        </w:rPr>
        <w:t>u</w:t>
      </w:r>
      <w:r w:rsidRPr="00EB7A23">
        <w:rPr>
          <w:rFonts w:ascii="Times New Roman" w:hAnsi="Times New Roman"/>
          <w:b w:val="0"/>
          <w:sz w:val="20"/>
        </w:rPr>
        <w:t>r market</w:t>
      </w:r>
      <w:r>
        <w:rPr>
          <w:rFonts w:ascii="Times New Roman" w:hAnsi="Times New Roman"/>
          <w:b w:val="0"/>
          <w:sz w:val="20"/>
        </w:rPr>
        <w:t xml:space="preserve"> and</w:t>
      </w:r>
      <w:r w:rsidRPr="00EB7A23">
        <w:rPr>
          <w:rFonts w:ascii="Times New Roman" w:hAnsi="Times New Roman"/>
          <w:b w:val="0"/>
          <w:sz w:val="20"/>
        </w:rPr>
        <w:t xml:space="preserve"> efficient governance sy</w:t>
      </w:r>
      <w:r>
        <w:rPr>
          <w:rFonts w:ascii="Times New Roman" w:hAnsi="Times New Roman"/>
          <w:b w:val="0"/>
          <w:sz w:val="20"/>
        </w:rPr>
        <w:t>stem</w:t>
      </w:r>
      <w:r w:rsidRPr="00EB7A23">
        <w:rPr>
          <w:rFonts w:ascii="Times New Roman" w:hAnsi="Times New Roman"/>
          <w:b w:val="0"/>
          <w:sz w:val="20"/>
        </w:rPr>
        <w:t xml:space="preserve">, </w:t>
      </w:r>
      <w:r>
        <w:rPr>
          <w:rFonts w:ascii="Times New Roman" w:hAnsi="Times New Roman"/>
          <w:b w:val="0"/>
          <w:sz w:val="20"/>
        </w:rPr>
        <w:t xml:space="preserve">with </w:t>
      </w:r>
      <w:r w:rsidRPr="00EB7A23">
        <w:rPr>
          <w:rFonts w:ascii="Times New Roman" w:hAnsi="Times New Roman"/>
          <w:b w:val="0"/>
          <w:sz w:val="20"/>
        </w:rPr>
        <w:t xml:space="preserve">the ability to </w:t>
      </w:r>
      <w:r>
        <w:rPr>
          <w:rFonts w:ascii="Times New Roman" w:hAnsi="Times New Roman"/>
          <w:b w:val="0"/>
          <w:sz w:val="20"/>
        </w:rPr>
        <w:t>harness the benefits of</w:t>
      </w:r>
      <w:r w:rsidRPr="00EB7A23">
        <w:rPr>
          <w:rFonts w:ascii="Times New Roman" w:hAnsi="Times New Roman"/>
          <w:b w:val="0"/>
          <w:sz w:val="20"/>
        </w:rPr>
        <w:t xml:space="preserve"> </w:t>
      </w:r>
      <w:r>
        <w:rPr>
          <w:rFonts w:ascii="Times New Roman" w:hAnsi="Times New Roman"/>
          <w:b w:val="0"/>
          <w:sz w:val="20"/>
        </w:rPr>
        <w:t xml:space="preserve">new </w:t>
      </w:r>
      <w:r w:rsidRPr="00EB7A23">
        <w:rPr>
          <w:rFonts w:ascii="Times New Roman" w:hAnsi="Times New Roman"/>
          <w:b w:val="0"/>
          <w:bCs/>
          <w:sz w:val="20"/>
        </w:rPr>
        <w:t>technologies</w:t>
      </w:r>
      <w:r>
        <w:rPr>
          <w:rFonts w:ascii="Times New Roman" w:hAnsi="Times New Roman"/>
          <w:b w:val="0"/>
          <w:bCs/>
          <w:sz w:val="20"/>
        </w:rPr>
        <w:t xml:space="preserve"> </w:t>
      </w:r>
      <w:r w:rsidRPr="00EB7A23">
        <w:rPr>
          <w:rFonts w:ascii="Times New Roman" w:hAnsi="Times New Roman"/>
          <w:b w:val="0"/>
          <w:sz w:val="20"/>
        </w:rPr>
        <w:t xml:space="preserve">and </w:t>
      </w:r>
      <w:r>
        <w:rPr>
          <w:rFonts w:ascii="Times New Roman" w:hAnsi="Times New Roman"/>
          <w:b w:val="0"/>
          <w:sz w:val="20"/>
        </w:rPr>
        <w:t xml:space="preserve">be </w:t>
      </w:r>
      <w:r w:rsidRPr="00EB7A23">
        <w:rPr>
          <w:rFonts w:ascii="Times New Roman" w:hAnsi="Times New Roman"/>
          <w:b w:val="0"/>
          <w:sz w:val="20"/>
        </w:rPr>
        <w:t>resilien</w:t>
      </w:r>
      <w:r>
        <w:rPr>
          <w:rFonts w:ascii="Times New Roman" w:hAnsi="Times New Roman"/>
          <w:b w:val="0"/>
          <w:sz w:val="20"/>
        </w:rPr>
        <w:t xml:space="preserve">t </w:t>
      </w:r>
      <w:r w:rsidRPr="00EB7A23">
        <w:rPr>
          <w:rFonts w:ascii="Times New Roman" w:hAnsi="Times New Roman"/>
          <w:b w:val="0"/>
          <w:sz w:val="20"/>
        </w:rPr>
        <w:t>to interna</w:t>
      </w:r>
      <w:r>
        <w:rPr>
          <w:rFonts w:ascii="Times New Roman" w:hAnsi="Times New Roman"/>
          <w:b w:val="0"/>
          <w:sz w:val="20"/>
        </w:rPr>
        <w:t>l and external shocks.</w:t>
      </w:r>
    </w:p>
    <w:p w14:paraId="4BFA5C0F" w14:textId="288951C2" w:rsidR="003A13CD" w:rsidRPr="00096066" w:rsidRDefault="003A13CD" w:rsidP="003A13CD">
      <w:pPr>
        <w:spacing w:after="120"/>
        <w:ind w:left="1440"/>
        <w:jc w:val="both"/>
      </w:pPr>
      <w:r>
        <w:t>6. Azerbaijan has made several successful efforts to position itself on the international arena. In 201</w:t>
      </w:r>
      <w:r w:rsidR="0010029F">
        <w:t>2</w:t>
      </w:r>
      <w:r>
        <w:t>-2013, Azerbaijan was a non-permanent member of United Nations Security Council and in the second half of 201</w:t>
      </w:r>
      <w:r w:rsidR="0010029F">
        <w:t>4</w:t>
      </w:r>
      <w:r>
        <w:t xml:space="preserve"> chaired the </w:t>
      </w:r>
      <w:r w:rsidR="002513C8">
        <w:t xml:space="preserve">Committee of </w:t>
      </w:r>
      <w:r w:rsidR="00647710">
        <w:t>Ministers of</w:t>
      </w:r>
      <w:r>
        <w:t xml:space="preserve"> the Council of Europe. The country is increasingly visible as an emerging donor, with special emphasis on humanitarian causes, but also with an interest to cooperate with the United Nations system and UNDP in development and South-South Cooperation (e.g., in the areas of youth and information and communication technology (ICT)).</w:t>
      </w:r>
    </w:p>
    <w:p w14:paraId="5EAA7ACC" w14:textId="77777777" w:rsidR="003A13CD" w:rsidRDefault="003A13CD" w:rsidP="003A13CD">
      <w:pPr>
        <w:pStyle w:val="Heading2"/>
        <w:keepNext w:val="0"/>
        <w:spacing w:after="120"/>
        <w:ind w:left="1440" w:right="4"/>
        <w:jc w:val="both"/>
        <w:rPr>
          <w:rFonts w:ascii="Times New Roman" w:hAnsi="Times New Roman"/>
          <w:b w:val="0"/>
          <w:sz w:val="20"/>
        </w:rPr>
      </w:pPr>
      <w:r>
        <w:rPr>
          <w:rFonts w:ascii="Times New Roman" w:hAnsi="Times New Roman"/>
          <w:b w:val="0"/>
          <w:sz w:val="20"/>
        </w:rPr>
        <w:t xml:space="preserve">7. </w:t>
      </w:r>
      <w:r w:rsidRPr="00EB7A23">
        <w:rPr>
          <w:rFonts w:ascii="Times New Roman" w:hAnsi="Times New Roman"/>
          <w:b w:val="0"/>
          <w:sz w:val="20"/>
        </w:rPr>
        <w:t xml:space="preserve">To </w:t>
      </w:r>
      <w:r>
        <w:rPr>
          <w:rFonts w:ascii="Times New Roman" w:hAnsi="Times New Roman"/>
          <w:b w:val="0"/>
          <w:sz w:val="20"/>
        </w:rPr>
        <w:t xml:space="preserve">achieve this ambitious agenda, </w:t>
      </w:r>
      <w:r w:rsidRPr="00EB7A23">
        <w:rPr>
          <w:rFonts w:ascii="Times New Roman" w:hAnsi="Times New Roman"/>
          <w:b w:val="0"/>
          <w:sz w:val="20"/>
        </w:rPr>
        <w:t xml:space="preserve">Azerbaijan has </w:t>
      </w:r>
      <w:r>
        <w:rPr>
          <w:rFonts w:ascii="Times New Roman" w:hAnsi="Times New Roman"/>
          <w:b w:val="0"/>
          <w:sz w:val="20"/>
        </w:rPr>
        <w:t xml:space="preserve">adopted </w:t>
      </w:r>
      <w:r w:rsidRPr="00EB7A23">
        <w:rPr>
          <w:rFonts w:ascii="Times New Roman" w:hAnsi="Times New Roman"/>
          <w:b w:val="0"/>
          <w:sz w:val="20"/>
        </w:rPr>
        <w:t>Vision 2020</w:t>
      </w:r>
      <w:r>
        <w:rPr>
          <w:rFonts w:ascii="Times New Roman" w:hAnsi="Times New Roman"/>
          <w:b w:val="0"/>
          <w:sz w:val="20"/>
        </w:rPr>
        <w:t>, its first</w:t>
      </w:r>
      <w:r w:rsidRPr="00EB7A23">
        <w:rPr>
          <w:rFonts w:ascii="Times New Roman" w:hAnsi="Times New Roman"/>
          <w:b w:val="0"/>
          <w:sz w:val="20"/>
        </w:rPr>
        <w:t xml:space="preserve"> national development strategy that sets a framework for the country’s transition from a traditional, input-based economy to a knowledge-based, diversified and competitive economy. </w:t>
      </w:r>
      <w:r>
        <w:rPr>
          <w:rFonts w:ascii="Times New Roman" w:hAnsi="Times New Roman"/>
          <w:b w:val="0"/>
          <w:sz w:val="20"/>
        </w:rPr>
        <w:t>In p</w:t>
      </w:r>
      <w:r w:rsidRPr="00EB7A23">
        <w:rPr>
          <w:rFonts w:ascii="Times New Roman" w:hAnsi="Times New Roman"/>
          <w:b w:val="0"/>
          <w:sz w:val="20"/>
        </w:rPr>
        <w:t xml:space="preserve">articular, </w:t>
      </w:r>
      <w:r w:rsidRPr="00EB7A23">
        <w:rPr>
          <w:rFonts w:ascii="Times New Roman" w:eastAsia="Calibri" w:hAnsi="Times New Roman"/>
          <w:b w:val="0"/>
          <w:sz w:val="20"/>
        </w:rPr>
        <w:t xml:space="preserve">three critical </w:t>
      </w:r>
      <w:r w:rsidRPr="00EB7A23">
        <w:rPr>
          <w:rFonts w:ascii="Times New Roman" w:hAnsi="Times New Roman"/>
          <w:b w:val="0"/>
          <w:sz w:val="20"/>
        </w:rPr>
        <w:t>development issues will require urgent attention to realize the pathway outlined in Vision 2020</w:t>
      </w:r>
      <w:r>
        <w:rPr>
          <w:rFonts w:ascii="Times New Roman" w:hAnsi="Times New Roman"/>
          <w:b w:val="0"/>
          <w:sz w:val="20"/>
        </w:rPr>
        <w:t>, as described below</w:t>
      </w:r>
      <w:r w:rsidRPr="00EB7A23">
        <w:rPr>
          <w:rFonts w:ascii="Times New Roman" w:hAnsi="Times New Roman"/>
          <w:b w:val="0"/>
          <w:sz w:val="20"/>
        </w:rPr>
        <w:t xml:space="preserve">. </w:t>
      </w:r>
    </w:p>
    <w:p w14:paraId="4D35CBA9" w14:textId="77777777" w:rsidR="003A13CD" w:rsidRDefault="003A13CD" w:rsidP="003A13CD">
      <w:pPr>
        <w:pStyle w:val="Heading2"/>
        <w:keepLines/>
        <w:spacing w:after="120"/>
        <w:ind w:left="1440" w:right="1267"/>
        <w:jc w:val="both"/>
        <w:rPr>
          <w:rFonts w:ascii="Times New Roman" w:hAnsi="Times New Roman"/>
          <w:b w:val="0"/>
          <w:sz w:val="20"/>
        </w:rPr>
      </w:pPr>
      <w:r w:rsidRPr="00B85E67">
        <w:rPr>
          <w:rFonts w:ascii="Times New Roman" w:hAnsi="Times New Roman"/>
          <w:sz w:val="20"/>
        </w:rPr>
        <w:lastRenderedPageBreak/>
        <w:t xml:space="preserve">Economic </w:t>
      </w:r>
      <w:r>
        <w:rPr>
          <w:rFonts w:ascii="Times New Roman" w:hAnsi="Times New Roman"/>
          <w:sz w:val="20"/>
        </w:rPr>
        <w:t>d</w:t>
      </w:r>
      <w:r w:rsidRPr="00B85E67">
        <w:rPr>
          <w:rFonts w:ascii="Times New Roman" w:hAnsi="Times New Roman"/>
          <w:sz w:val="20"/>
        </w:rPr>
        <w:t xml:space="preserve">iversification </w:t>
      </w:r>
      <w:r>
        <w:rPr>
          <w:rFonts w:ascii="Times New Roman" w:hAnsi="Times New Roman"/>
          <w:sz w:val="20"/>
        </w:rPr>
        <w:t>and inclusive growth</w:t>
      </w:r>
    </w:p>
    <w:p w14:paraId="23D2ED49" w14:textId="3712598B" w:rsidR="003A13CD" w:rsidRDefault="003A13CD" w:rsidP="003A13CD">
      <w:pPr>
        <w:keepNext/>
        <w:keepLines/>
        <w:spacing w:after="120"/>
        <w:ind w:left="1440"/>
        <w:jc w:val="both"/>
      </w:pPr>
      <w:r>
        <w:rPr>
          <w:rFonts w:eastAsia="Calibri"/>
        </w:rPr>
        <w:t xml:space="preserve">8. </w:t>
      </w:r>
      <w:r w:rsidRPr="00E0612F">
        <w:rPr>
          <w:rFonts w:eastAsia="Calibri"/>
        </w:rPr>
        <w:t>Central to Azerbaijan</w:t>
      </w:r>
      <w:r>
        <w:rPr>
          <w:rFonts w:eastAsia="Calibri"/>
        </w:rPr>
        <w:t xml:space="preserve">’s development </w:t>
      </w:r>
      <w:r w:rsidRPr="00E0612F">
        <w:rPr>
          <w:rFonts w:eastAsia="Calibri"/>
        </w:rPr>
        <w:t xml:space="preserve">is the challenge to diversify the economy </w:t>
      </w:r>
      <w:r>
        <w:rPr>
          <w:rFonts w:eastAsia="Calibri"/>
        </w:rPr>
        <w:t>and create</w:t>
      </w:r>
      <w:r w:rsidRPr="00E0612F">
        <w:rPr>
          <w:rFonts w:eastAsia="Calibri"/>
        </w:rPr>
        <w:t xml:space="preserve"> new and sustainable sources of gro</w:t>
      </w:r>
      <w:r>
        <w:rPr>
          <w:rFonts w:eastAsia="Calibri"/>
        </w:rPr>
        <w:t>wth to make it more</w:t>
      </w:r>
      <w:r w:rsidRPr="00E0612F">
        <w:rPr>
          <w:rFonts w:eastAsia="Calibri"/>
        </w:rPr>
        <w:t xml:space="preserve"> competitive</w:t>
      </w:r>
      <w:r>
        <w:rPr>
          <w:rFonts w:eastAsia="Calibri"/>
        </w:rPr>
        <w:t xml:space="preserve"> and inclusive. This will help to reduce</w:t>
      </w:r>
      <w:r w:rsidRPr="00E0612F">
        <w:rPr>
          <w:rFonts w:eastAsia="Calibri"/>
        </w:rPr>
        <w:t xml:space="preserve"> </w:t>
      </w:r>
      <w:r>
        <w:rPr>
          <w:rFonts w:eastAsia="Calibri"/>
        </w:rPr>
        <w:t xml:space="preserve">its </w:t>
      </w:r>
      <w:r w:rsidRPr="00E0612F">
        <w:rPr>
          <w:rFonts w:eastAsia="Calibri"/>
        </w:rPr>
        <w:t xml:space="preserve">high reliance on the oil and gas sector, which </w:t>
      </w:r>
      <w:r>
        <w:rPr>
          <w:rFonts w:eastAsia="Calibri"/>
        </w:rPr>
        <w:t>currently</w:t>
      </w:r>
      <w:r w:rsidRPr="00E0612F">
        <w:rPr>
          <w:rFonts w:eastAsia="Calibri"/>
        </w:rPr>
        <w:t xml:space="preserve"> accounts for more than 70 per</w:t>
      </w:r>
      <w:r>
        <w:rPr>
          <w:rFonts w:eastAsia="Calibri"/>
        </w:rPr>
        <w:t xml:space="preserve"> </w:t>
      </w:r>
      <w:r w:rsidRPr="00E0612F">
        <w:rPr>
          <w:rFonts w:eastAsia="Calibri"/>
        </w:rPr>
        <w:t>cent of state budget revenues and 92 per</w:t>
      </w:r>
      <w:r>
        <w:rPr>
          <w:rFonts w:eastAsia="Calibri"/>
        </w:rPr>
        <w:t xml:space="preserve"> </w:t>
      </w:r>
      <w:r w:rsidRPr="00E0612F">
        <w:rPr>
          <w:rFonts w:eastAsia="Calibri"/>
        </w:rPr>
        <w:t>cent of exports</w:t>
      </w:r>
      <w:r w:rsidRPr="00E0612F">
        <w:rPr>
          <w:rStyle w:val="FootnoteReference"/>
          <w:rFonts w:eastAsia="Calibri"/>
        </w:rPr>
        <w:footnoteReference w:id="5"/>
      </w:r>
      <w:r w:rsidRPr="00E0612F">
        <w:rPr>
          <w:rFonts w:eastAsia="Calibri"/>
        </w:rPr>
        <w:t xml:space="preserve"> and provides only 7</w:t>
      </w:r>
      <w:r>
        <w:rPr>
          <w:rFonts w:eastAsia="Calibri"/>
        </w:rPr>
        <w:t xml:space="preserve"> per cent</w:t>
      </w:r>
      <w:r w:rsidRPr="00E0612F">
        <w:rPr>
          <w:rFonts w:eastAsia="Calibri"/>
        </w:rPr>
        <w:t xml:space="preserve"> of employment. </w:t>
      </w:r>
      <w:r>
        <w:t>In this context, the Government identified tourism, information technology and agro-industry as priority sectors for diversification.</w:t>
      </w:r>
      <w:r>
        <w:rPr>
          <w:rStyle w:val="FootnoteReference"/>
        </w:rPr>
        <w:footnoteReference w:id="6"/>
      </w:r>
      <w:r>
        <w:t xml:space="preserve"> The dramatic devaluation of the local currency (manat) on 21 February opened up some opportunities to increase the volume of exports.</w:t>
      </w:r>
    </w:p>
    <w:p w14:paraId="6DE5C9A8" w14:textId="703A3425" w:rsidR="003A13CD" w:rsidRDefault="003A13CD" w:rsidP="003A13CD">
      <w:pPr>
        <w:spacing w:after="120"/>
        <w:ind w:left="1440"/>
        <w:jc w:val="both"/>
      </w:pPr>
      <w:r>
        <w:rPr>
          <w:rFonts w:eastAsia="Calibri"/>
        </w:rPr>
        <w:t xml:space="preserve">9. </w:t>
      </w:r>
      <w:r w:rsidR="00092059">
        <w:rPr>
          <w:rFonts w:eastAsia="Calibri"/>
        </w:rPr>
        <w:t xml:space="preserve">While economic growth is critically important for Azerbaijan, it is the pattern of such growth that will determine its sustainability and its promotion of longer-term development. In particular, industrial diversification and growth must be based on a sustainable and inclusive footing. Improving standards of living for all remains a major challenge, yet the wider the distribution of the fruits of development and service delivery, the greater will be the likelihood of Azerbaijan’s smooth transition to inclusive, equitable and sustainable development. </w:t>
      </w:r>
      <w:r>
        <w:rPr>
          <w:rFonts w:cs="Arial"/>
          <w:szCs w:val="22"/>
        </w:rPr>
        <w:t>People with disabilities, including mine victims, have also not fully benefited from economic growth. Seventy-four per cent of people with disabilities</w:t>
      </w:r>
      <w:r w:rsidRPr="00616996">
        <w:rPr>
          <w:rFonts w:cs="Arial"/>
          <w:szCs w:val="22"/>
        </w:rPr>
        <w:t xml:space="preserve"> </w:t>
      </w:r>
      <w:r>
        <w:rPr>
          <w:rFonts w:cs="Arial"/>
          <w:szCs w:val="22"/>
        </w:rPr>
        <w:t>out of 750 surveyed</w:t>
      </w:r>
      <w:r>
        <w:rPr>
          <w:rStyle w:val="FootnoteReference"/>
          <w:szCs w:val="22"/>
        </w:rPr>
        <w:footnoteReference w:id="7"/>
      </w:r>
      <w:r>
        <w:rPr>
          <w:rFonts w:cs="Arial"/>
          <w:szCs w:val="22"/>
        </w:rPr>
        <w:t xml:space="preserve"> </w:t>
      </w:r>
      <w:r w:rsidRPr="00616996">
        <w:rPr>
          <w:rFonts w:cs="Arial"/>
          <w:szCs w:val="22"/>
        </w:rPr>
        <w:t xml:space="preserve">are </w:t>
      </w:r>
      <w:r w:rsidRPr="00061AA8">
        <w:rPr>
          <w:rFonts w:cs="Arial"/>
          <w:szCs w:val="22"/>
        </w:rPr>
        <w:t xml:space="preserve">unemployed and </w:t>
      </w:r>
      <w:r>
        <w:rPr>
          <w:rFonts w:cs="Arial"/>
          <w:szCs w:val="22"/>
        </w:rPr>
        <w:t xml:space="preserve">face obstacles to economic participation. </w:t>
      </w:r>
      <w:r>
        <w:t xml:space="preserve">Mine contamination presents a barrier to economic development in the conflict-affected areas. </w:t>
      </w:r>
      <w:r>
        <w:rPr>
          <w:rFonts w:cs="Arial"/>
          <w:szCs w:val="22"/>
        </w:rPr>
        <w:t xml:space="preserve">The </w:t>
      </w:r>
      <w:r w:rsidRPr="00EE067E">
        <w:t xml:space="preserve">need to translate </w:t>
      </w:r>
      <w:r>
        <w:t>growth into increased</w:t>
      </w:r>
      <w:r w:rsidRPr="00EE067E">
        <w:t xml:space="preserve"> opportunities for </w:t>
      </w:r>
      <w:r>
        <w:t xml:space="preserve">equitable </w:t>
      </w:r>
      <w:r w:rsidRPr="00EE067E">
        <w:t>employment and availability of skilled human resources</w:t>
      </w:r>
      <w:r>
        <w:t xml:space="preserve"> was further emphasized by the participants in the national post-2015 consultations who voted for good education and better jobs opportunities as top priorities for the sustainable development goals.</w:t>
      </w:r>
      <w:r>
        <w:rPr>
          <w:rStyle w:val="FootnoteReference"/>
        </w:rPr>
        <w:footnoteReference w:id="8"/>
      </w:r>
      <w:r>
        <w:t xml:space="preserve"> </w:t>
      </w:r>
    </w:p>
    <w:p w14:paraId="23761E74" w14:textId="77777777" w:rsidR="003A13CD" w:rsidRPr="00C919AD" w:rsidRDefault="003A13CD" w:rsidP="003A13CD">
      <w:pPr>
        <w:spacing w:after="120"/>
        <w:ind w:left="1440"/>
        <w:jc w:val="both"/>
        <w:rPr>
          <w:b/>
        </w:rPr>
      </w:pPr>
      <w:r w:rsidRPr="00C919AD">
        <w:rPr>
          <w:b/>
        </w:rPr>
        <w:t>Institutional capacities and effective governance</w:t>
      </w:r>
    </w:p>
    <w:p w14:paraId="057B1BB1" w14:textId="1310E4E6" w:rsidR="003A13CD" w:rsidRDefault="003A13CD" w:rsidP="003A13CD">
      <w:pPr>
        <w:spacing w:after="120"/>
        <w:ind w:left="1440"/>
        <w:jc w:val="both"/>
      </w:pPr>
      <w:r>
        <w:rPr>
          <w:rFonts w:eastAsia="Calibri"/>
        </w:rPr>
        <w:t xml:space="preserve">10. </w:t>
      </w:r>
      <w:r w:rsidRPr="00BE3BAF">
        <w:rPr>
          <w:rFonts w:eastAsia="Calibri"/>
        </w:rPr>
        <w:t xml:space="preserve">The second </w:t>
      </w:r>
      <w:r>
        <w:rPr>
          <w:rFonts w:eastAsia="Calibri"/>
        </w:rPr>
        <w:t>issue</w:t>
      </w:r>
      <w:r w:rsidRPr="00BE3BAF">
        <w:rPr>
          <w:rFonts w:eastAsia="Calibri"/>
        </w:rPr>
        <w:t xml:space="preserve"> </w:t>
      </w:r>
      <w:r>
        <w:rPr>
          <w:rFonts w:eastAsia="Calibri"/>
        </w:rPr>
        <w:t>is</w:t>
      </w:r>
      <w:r w:rsidRPr="00BE3BAF">
        <w:rPr>
          <w:rFonts w:eastAsia="Calibri"/>
        </w:rPr>
        <w:t xml:space="preserve"> </w:t>
      </w:r>
      <w:r w:rsidR="002513C8">
        <w:rPr>
          <w:rFonts w:eastAsia="Calibri"/>
        </w:rPr>
        <w:t>the need to further strengthen</w:t>
      </w:r>
      <w:r w:rsidR="002513C8" w:rsidRPr="00BE3BAF">
        <w:rPr>
          <w:rFonts w:eastAsia="Calibri"/>
        </w:rPr>
        <w:t xml:space="preserve"> </w:t>
      </w:r>
      <w:r w:rsidRPr="00BE3BAF">
        <w:t xml:space="preserve">institutional capacities </w:t>
      </w:r>
      <w:r>
        <w:t xml:space="preserve">to formulate and implement public policies, which should be tackled through development of human resources for the public sector and expansion of ‘e-government’ as key areas for institutional reform. </w:t>
      </w:r>
      <w:r w:rsidRPr="00BE3BAF">
        <w:t xml:space="preserve">In this context, a major challenge is to </w:t>
      </w:r>
      <w:r>
        <w:t>build a</w:t>
      </w:r>
      <w:r w:rsidRPr="00BE3BAF">
        <w:t xml:space="preserve"> </w:t>
      </w:r>
      <w:r>
        <w:t>c</w:t>
      </w:r>
      <w:r w:rsidRPr="00BE3BAF">
        <w:t xml:space="preserve">ivil </w:t>
      </w:r>
      <w:r>
        <w:t>s</w:t>
      </w:r>
      <w:r w:rsidRPr="00BE3BAF">
        <w:t xml:space="preserve">ervice composed of </w:t>
      </w:r>
      <w:r>
        <w:t xml:space="preserve">a </w:t>
      </w:r>
      <w:r w:rsidRPr="00BE3BAF">
        <w:t xml:space="preserve">professional </w:t>
      </w:r>
      <w:r>
        <w:t>cadre</w:t>
      </w:r>
      <w:r w:rsidRPr="00BE3BAF">
        <w:t xml:space="preserve"> that is able to </w:t>
      </w:r>
      <w:r>
        <w:t>develop and implement evidence-based and gender-sensitive policies and deliver high-quality public services to the population</w:t>
      </w:r>
      <w:r w:rsidRPr="00BE3BAF">
        <w:t xml:space="preserve">. </w:t>
      </w:r>
    </w:p>
    <w:p w14:paraId="5EE1F6B8" w14:textId="77777777" w:rsidR="003A13CD" w:rsidRDefault="003A13CD" w:rsidP="003A13CD">
      <w:pPr>
        <w:spacing w:after="120"/>
        <w:ind w:left="1440"/>
        <w:jc w:val="both"/>
        <w:rPr>
          <w:bCs/>
        </w:rPr>
      </w:pPr>
      <w:r>
        <w:t xml:space="preserve">11. </w:t>
      </w:r>
      <w:r w:rsidRPr="0023588D">
        <w:t xml:space="preserve">To increase efficiency, transparency and data availability in the public sector, the Government has spearheaded an </w:t>
      </w:r>
      <w:r>
        <w:t>‘</w:t>
      </w:r>
      <w:r w:rsidRPr="0023588D">
        <w:t>e-governance</w:t>
      </w:r>
      <w:r>
        <w:t>’</w:t>
      </w:r>
      <w:r w:rsidRPr="0023588D">
        <w:t xml:space="preserve"> program</w:t>
      </w:r>
      <w:r>
        <w:t>me</w:t>
      </w:r>
      <w:r w:rsidRPr="0023588D">
        <w:t xml:space="preserve"> that promotes </w:t>
      </w:r>
      <w:r w:rsidRPr="0023588D">
        <w:rPr>
          <w:bCs/>
        </w:rPr>
        <w:t>a wide</w:t>
      </w:r>
      <w:r>
        <w:rPr>
          <w:bCs/>
        </w:rPr>
        <w:t>r</w:t>
      </w:r>
      <w:r w:rsidRPr="0023588D">
        <w:rPr>
          <w:bCs/>
        </w:rPr>
        <w:t xml:space="preserve"> use of ICT tools </w:t>
      </w:r>
      <w:r>
        <w:rPr>
          <w:bCs/>
        </w:rPr>
        <w:t>for development, introduced merit-based recruitment into the civil service and established ASAN Centres</w:t>
      </w:r>
      <w:r>
        <w:rPr>
          <w:rStyle w:val="FootnoteReference"/>
          <w:bCs/>
        </w:rPr>
        <w:footnoteReference w:id="9"/>
      </w:r>
      <w:r>
        <w:rPr>
          <w:bCs/>
        </w:rPr>
        <w:t xml:space="preserve"> that turned into a successful model for public service delivery</w:t>
      </w:r>
      <w:r w:rsidRPr="0023588D">
        <w:rPr>
          <w:bCs/>
        </w:rPr>
        <w:t xml:space="preserve">. Azerbaijan </w:t>
      </w:r>
      <w:r>
        <w:rPr>
          <w:bCs/>
        </w:rPr>
        <w:t>scores well</w:t>
      </w:r>
      <w:r w:rsidRPr="0023588D">
        <w:rPr>
          <w:bCs/>
        </w:rPr>
        <w:t xml:space="preserve"> on international ratings for </w:t>
      </w:r>
      <w:r>
        <w:rPr>
          <w:bCs/>
        </w:rPr>
        <w:t xml:space="preserve">an </w:t>
      </w:r>
      <w:r w:rsidRPr="0023588D">
        <w:rPr>
          <w:bCs/>
        </w:rPr>
        <w:t>enabling environment</w:t>
      </w:r>
      <w:r>
        <w:rPr>
          <w:bCs/>
        </w:rPr>
        <w:t xml:space="preserve"> for ICT </w:t>
      </w:r>
      <w:r w:rsidRPr="0023588D">
        <w:rPr>
          <w:bCs/>
        </w:rPr>
        <w:t xml:space="preserve">but has not yet </w:t>
      </w:r>
      <w:r>
        <w:rPr>
          <w:bCs/>
        </w:rPr>
        <w:t>fully harnessed the potential</w:t>
      </w:r>
      <w:r w:rsidRPr="0023588D">
        <w:rPr>
          <w:bCs/>
        </w:rPr>
        <w:t xml:space="preserve"> of modern technologies for public policy. Along with </w:t>
      </w:r>
      <w:r>
        <w:rPr>
          <w:bCs/>
        </w:rPr>
        <w:t xml:space="preserve">increasing </w:t>
      </w:r>
      <w:r w:rsidRPr="0023588D">
        <w:rPr>
          <w:bCs/>
        </w:rPr>
        <w:t xml:space="preserve">administrative efficiency within ministries, </w:t>
      </w:r>
      <w:r>
        <w:rPr>
          <w:bCs/>
        </w:rPr>
        <w:t xml:space="preserve">there is a need to expand the use of ICT for government-to-population services, improved data management and monitoring and evaluation systems for evidence-based public policies and measures. </w:t>
      </w:r>
    </w:p>
    <w:p w14:paraId="0E1176AD" w14:textId="77777777" w:rsidR="00DC7543" w:rsidRDefault="00DC7543">
      <w:pPr>
        <w:suppressAutoHyphens w:val="0"/>
        <w:spacing w:line="240" w:lineRule="auto"/>
        <w:rPr>
          <w:b/>
        </w:rPr>
      </w:pPr>
      <w:r>
        <w:rPr>
          <w:b/>
        </w:rPr>
        <w:br w:type="page"/>
      </w:r>
    </w:p>
    <w:p w14:paraId="1DC2CB22" w14:textId="5477AC15" w:rsidR="003A13CD" w:rsidRPr="001F7853" w:rsidRDefault="003A13CD" w:rsidP="003A13CD">
      <w:pPr>
        <w:spacing w:after="120"/>
        <w:ind w:left="1440"/>
        <w:jc w:val="both"/>
        <w:rPr>
          <w:b/>
        </w:rPr>
      </w:pPr>
      <w:r w:rsidRPr="001F7853">
        <w:rPr>
          <w:b/>
        </w:rPr>
        <w:lastRenderedPageBreak/>
        <w:t xml:space="preserve">Environmental </w:t>
      </w:r>
      <w:r>
        <w:rPr>
          <w:b/>
        </w:rPr>
        <w:t xml:space="preserve">degradation and </w:t>
      </w:r>
      <w:r w:rsidRPr="001F7853">
        <w:rPr>
          <w:b/>
        </w:rPr>
        <w:t xml:space="preserve">vulnerability to natural </w:t>
      </w:r>
      <w:r>
        <w:rPr>
          <w:b/>
        </w:rPr>
        <w:t>hazards</w:t>
      </w:r>
    </w:p>
    <w:p w14:paraId="54F7AC78" w14:textId="77777777" w:rsidR="003A13CD" w:rsidRDefault="003A13CD" w:rsidP="003A13CD">
      <w:pPr>
        <w:pStyle w:val="NormalWeb"/>
        <w:spacing w:before="0" w:beforeAutospacing="0" w:after="120" w:afterAutospacing="0"/>
        <w:ind w:left="1440"/>
        <w:jc w:val="both"/>
        <w:textAlignment w:val="baseline"/>
        <w:rPr>
          <w:rFonts w:eastAsia="Calibri"/>
          <w:sz w:val="20"/>
          <w:szCs w:val="20"/>
        </w:rPr>
      </w:pPr>
      <w:r>
        <w:rPr>
          <w:sz w:val="20"/>
          <w:szCs w:val="20"/>
        </w:rPr>
        <w:t>12. A</w:t>
      </w:r>
      <w:r w:rsidRPr="00B15CA6">
        <w:rPr>
          <w:sz w:val="20"/>
          <w:szCs w:val="20"/>
        </w:rPr>
        <w:t xml:space="preserve"> third critical barrier to inclusive and s</w:t>
      </w:r>
      <w:r>
        <w:rPr>
          <w:sz w:val="20"/>
          <w:szCs w:val="20"/>
        </w:rPr>
        <w:t xml:space="preserve">ustainable growth in line with </w:t>
      </w:r>
      <w:r w:rsidRPr="00B15CA6">
        <w:rPr>
          <w:sz w:val="20"/>
          <w:szCs w:val="20"/>
        </w:rPr>
        <w:t xml:space="preserve">Vision 2020 is </w:t>
      </w:r>
      <w:r w:rsidRPr="00B15CA6">
        <w:rPr>
          <w:rFonts w:eastAsia="Calibri"/>
          <w:sz w:val="20"/>
          <w:szCs w:val="20"/>
        </w:rPr>
        <w:t>Azerbaijan’s increasing exposure and vulnerability to environmental degradation</w:t>
      </w:r>
      <w:r>
        <w:rPr>
          <w:rFonts w:eastAsia="Calibri"/>
          <w:sz w:val="20"/>
          <w:szCs w:val="20"/>
        </w:rPr>
        <w:t xml:space="preserve"> and natural hazards, exacerbated by climate change. </w:t>
      </w:r>
    </w:p>
    <w:p w14:paraId="3CA05E9F" w14:textId="77777777" w:rsidR="003A13CD" w:rsidRDefault="003A13CD" w:rsidP="003A13CD">
      <w:pPr>
        <w:pStyle w:val="Standard"/>
        <w:spacing w:after="120"/>
        <w:ind w:left="1440"/>
        <w:jc w:val="both"/>
      </w:pPr>
      <w:r>
        <w:t xml:space="preserve">13. </w:t>
      </w:r>
      <w:r w:rsidRPr="00B15CA6">
        <w:t xml:space="preserve">Azerbaijan </w:t>
      </w:r>
      <w:r>
        <w:t xml:space="preserve">has joined </w:t>
      </w:r>
      <w:r w:rsidRPr="00B15CA6">
        <w:t xml:space="preserve">key </w:t>
      </w:r>
      <w:r>
        <w:t xml:space="preserve">multilateral environmental conventions </w:t>
      </w:r>
      <w:r w:rsidRPr="00B15CA6">
        <w:t>and enacted important national environmental laws and policies. The country has made progress in protecting its biodiversity resources throug</w:t>
      </w:r>
      <w:r>
        <w:t>h doubling the size of p</w:t>
      </w:r>
      <w:r w:rsidRPr="00B15CA6">
        <w:t xml:space="preserve">rotected </w:t>
      </w:r>
      <w:r>
        <w:t>a</w:t>
      </w:r>
      <w:r w:rsidRPr="00B15CA6">
        <w:t xml:space="preserve">reas as a proportion to the total area of the country, </w:t>
      </w:r>
      <w:r w:rsidRPr="000A6595">
        <w:t>from 5</w:t>
      </w:r>
      <w:r>
        <w:t xml:space="preserve"> per cent</w:t>
      </w:r>
      <w:r w:rsidRPr="000A6595">
        <w:t xml:space="preserve"> in 2000 to 10.3</w:t>
      </w:r>
      <w:r>
        <w:t xml:space="preserve"> per cent</w:t>
      </w:r>
      <w:r w:rsidRPr="000A6595">
        <w:t xml:space="preserve"> in 2014</w:t>
      </w:r>
      <w:r>
        <w:rPr>
          <w:rStyle w:val="FootnoteReference"/>
        </w:rPr>
        <w:footnoteReference w:id="10"/>
      </w:r>
      <w:r w:rsidRPr="000A6595">
        <w:t xml:space="preserve">, and </w:t>
      </w:r>
      <w:r>
        <w:t>has undertaken m</w:t>
      </w:r>
      <w:r w:rsidRPr="00B15CA6">
        <w:t xml:space="preserve">assive reforestation </w:t>
      </w:r>
      <w:r>
        <w:t>measures.</w:t>
      </w:r>
      <w:r w:rsidRPr="00B15CA6">
        <w:t xml:space="preserve"> </w:t>
      </w:r>
    </w:p>
    <w:p w14:paraId="6F5ACA3B" w14:textId="129DC89F" w:rsidR="003A13CD" w:rsidRPr="00E36F8C" w:rsidRDefault="003A13CD" w:rsidP="003A13CD">
      <w:pPr>
        <w:pStyle w:val="Standard"/>
        <w:spacing w:after="120"/>
        <w:ind w:left="1440"/>
        <w:jc w:val="both"/>
      </w:pPr>
      <w:r>
        <w:t xml:space="preserve">14. </w:t>
      </w:r>
      <w:r w:rsidRPr="00B15CA6">
        <w:t>Still, Azerbaijan continues to face serious environmen</w:t>
      </w:r>
      <w:r>
        <w:t>tal challenges. Some 43 per cent of its</w:t>
      </w:r>
      <w:r w:rsidRPr="00B15CA6">
        <w:t xml:space="preserve"> territory is affected by </w:t>
      </w:r>
      <w:r>
        <w:t xml:space="preserve">land </w:t>
      </w:r>
      <w:r w:rsidRPr="00B15CA6">
        <w:t>erosion and 20</w:t>
      </w:r>
      <w:r>
        <w:t xml:space="preserve"> per cent</w:t>
      </w:r>
      <w:r w:rsidRPr="00B15CA6">
        <w:t xml:space="preserve"> by salinization</w:t>
      </w:r>
      <w:r>
        <w:t>,</w:t>
      </w:r>
      <w:r>
        <w:rPr>
          <w:rStyle w:val="FootnoteReference"/>
        </w:rPr>
        <w:footnoteReference w:id="11"/>
      </w:r>
      <w:r w:rsidRPr="00B15CA6">
        <w:t xml:space="preserve"> reduc</w:t>
      </w:r>
      <w:r>
        <w:t>ing</w:t>
      </w:r>
      <w:r w:rsidRPr="00B15CA6">
        <w:t xml:space="preserve"> </w:t>
      </w:r>
      <w:r>
        <w:t xml:space="preserve">land </w:t>
      </w:r>
      <w:r w:rsidRPr="00B15CA6">
        <w:t>productivity</w:t>
      </w:r>
      <w:r>
        <w:t xml:space="preserve"> and negatively affecting the livelihoods of </w:t>
      </w:r>
      <w:r w:rsidR="00B63504">
        <w:t>37</w:t>
      </w:r>
      <w:r>
        <w:t xml:space="preserve"> per cent of the workforce employed in agriculture</w:t>
      </w:r>
      <w:r w:rsidRPr="00B15CA6">
        <w:t>.</w:t>
      </w:r>
      <w:r>
        <w:t xml:space="preserve"> </w:t>
      </w:r>
      <w:r w:rsidR="006D149C">
        <w:rPr>
          <w:bCs/>
          <w:szCs w:val="22"/>
        </w:rPr>
        <w:t>Gaps in</w:t>
      </w:r>
      <w:r w:rsidR="006D149C" w:rsidRPr="00F038AB">
        <w:rPr>
          <w:bCs/>
          <w:szCs w:val="22"/>
        </w:rPr>
        <w:t xml:space="preserve"> </w:t>
      </w:r>
      <w:r w:rsidRPr="00F038AB">
        <w:rPr>
          <w:bCs/>
          <w:szCs w:val="22"/>
        </w:rPr>
        <w:t xml:space="preserve">legal and institutional framework and </w:t>
      </w:r>
      <w:r>
        <w:rPr>
          <w:bCs/>
          <w:noProof/>
          <w:szCs w:val="22"/>
        </w:rPr>
        <w:t>limited</w:t>
      </w:r>
      <w:r w:rsidRPr="00F038AB">
        <w:rPr>
          <w:bCs/>
          <w:noProof/>
          <w:szCs w:val="22"/>
        </w:rPr>
        <w:t xml:space="preserve"> experience in developing and implementing sustainable land management practices </w:t>
      </w:r>
      <w:r w:rsidRPr="00F038AB">
        <w:rPr>
          <w:bCs/>
          <w:szCs w:val="22"/>
        </w:rPr>
        <w:t>a</w:t>
      </w:r>
      <w:r w:rsidRPr="003500D3">
        <w:rPr>
          <w:bCs/>
          <w:szCs w:val="22"/>
        </w:rPr>
        <w:t xml:space="preserve">re among the key root causes </w:t>
      </w:r>
      <w:r>
        <w:rPr>
          <w:bCs/>
          <w:szCs w:val="22"/>
        </w:rPr>
        <w:t>of</w:t>
      </w:r>
      <w:r w:rsidRPr="00F038AB">
        <w:rPr>
          <w:bCs/>
          <w:szCs w:val="22"/>
        </w:rPr>
        <w:t xml:space="preserve"> land degradation</w:t>
      </w:r>
      <w:r>
        <w:rPr>
          <w:bCs/>
          <w:szCs w:val="22"/>
        </w:rPr>
        <w:t>.</w:t>
      </w:r>
      <w:r w:rsidRPr="00F038AB">
        <w:rPr>
          <w:bCs/>
          <w:szCs w:val="22"/>
        </w:rPr>
        <w:t xml:space="preserve"> </w:t>
      </w:r>
      <w:r w:rsidRPr="00B15CA6">
        <w:rPr>
          <w:rFonts w:eastAsia="Calibri"/>
        </w:rPr>
        <w:t xml:space="preserve">Additionally, </w:t>
      </w:r>
      <w:r>
        <w:rPr>
          <w:rFonts w:eastAsia="Calibri"/>
        </w:rPr>
        <w:t xml:space="preserve">there are limited alternative income-generating opportunities, leading to unsustainable and sometimes illegal practices. Hence, addressing the root causes of environmental degradation requires a holistic strategy combining capacity-building for sustainable resources management with creation of alternative livelihoods for local communities. </w:t>
      </w:r>
      <w:r w:rsidRPr="00BC26CC">
        <w:rPr>
          <w:rFonts w:eastAsia="Calibri"/>
        </w:rPr>
        <w:t xml:space="preserve">Azerbaijan is </w:t>
      </w:r>
      <w:r>
        <w:rPr>
          <w:rFonts w:eastAsia="Calibri"/>
        </w:rPr>
        <w:t xml:space="preserve">also </w:t>
      </w:r>
      <w:r w:rsidRPr="00BC26CC">
        <w:rPr>
          <w:rFonts w:eastAsia="Calibri"/>
        </w:rPr>
        <w:t>highly vulnerable to climate change, particularly</w:t>
      </w:r>
      <w:r w:rsidRPr="00EE067E">
        <w:rPr>
          <w:rFonts w:eastAsia="Calibri"/>
        </w:rPr>
        <w:t xml:space="preserve"> given </w:t>
      </w:r>
      <w:r>
        <w:rPr>
          <w:rFonts w:eastAsia="Calibri"/>
        </w:rPr>
        <w:t xml:space="preserve">its </w:t>
      </w:r>
      <w:r w:rsidRPr="00EE067E">
        <w:rPr>
          <w:rFonts w:eastAsia="Calibri"/>
        </w:rPr>
        <w:t xml:space="preserve">scarcity of </w:t>
      </w:r>
      <w:r>
        <w:rPr>
          <w:rFonts w:eastAsia="Calibri"/>
        </w:rPr>
        <w:t>fresh</w:t>
      </w:r>
      <w:r w:rsidRPr="00EE067E">
        <w:rPr>
          <w:rFonts w:eastAsia="Calibri"/>
        </w:rPr>
        <w:t>water resources</w:t>
      </w:r>
      <w:r>
        <w:rPr>
          <w:rFonts w:eastAsia="Calibri"/>
        </w:rPr>
        <w:t>, mountainous topography</w:t>
      </w:r>
      <w:r w:rsidRPr="00EE067E">
        <w:rPr>
          <w:rFonts w:eastAsia="Calibri"/>
        </w:rPr>
        <w:t xml:space="preserve"> and location on the Caspian Sea</w:t>
      </w:r>
      <w:r>
        <w:rPr>
          <w:rFonts w:eastAsia="Calibri"/>
        </w:rPr>
        <w:t>,</w:t>
      </w:r>
      <w:r>
        <w:rPr>
          <w:rStyle w:val="FootnoteReference"/>
          <w:rFonts w:eastAsia="Calibri"/>
        </w:rPr>
        <w:footnoteReference w:id="12"/>
      </w:r>
      <w:r>
        <w:rPr>
          <w:rFonts w:eastAsia="Calibri"/>
        </w:rPr>
        <w:t xml:space="preserve"> and needs to strengthen the  coping mechanisms and adaptive capacities of communities, with due consideration to gender-specific needs. </w:t>
      </w:r>
    </w:p>
    <w:p w14:paraId="090D3CC9" w14:textId="684F5F38" w:rsidR="003A13CD" w:rsidRPr="00E36F8C" w:rsidRDefault="003A13CD" w:rsidP="003A13CD">
      <w:pPr>
        <w:pStyle w:val="Standard"/>
        <w:spacing w:after="120"/>
        <w:ind w:left="1440"/>
        <w:jc w:val="both"/>
      </w:pPr>
      <w:r>
        <w:t xml:space="preserve">15. </w:t>
      </w:r>
      <w:r w:rsidRPr="00E36F8C">
        <w:t xml:space="preserve">Azerbaijan is not </w:t>
      </w:r>
      <w:r>
        <w:t>a major</w:t>
      </w:r>
      <w:r w:rsidRPr="00E36F8C">
        <w:t xml:space="preserve"> </w:t>
      </w:r>
      <w:r>
        <w:t>greenhouse gas</w:t>
      </w:r>
      <w:r w:rsidRPr="00E36F8C">
        <w:t xml:space="preserve"> </w:t>
      </w:r>
      <w:r>
        <w:t xml:space="preserve">(GHG) </w:t>
      </w:r>
      <w:r w:rsidRPr="00E36F8C">
        <w:t>contributor</w:t>
      </w:r>
      <w:r>
        <w:t xml:space="preserve">; it </w:t>
      </w:r>
      <w:r w:rsidRPr="00E36F8C">
        <w:t xml:space="preserve">emits the same amount of </w:t>
      </w:r>
      <w:r>
        <w:t>carbon dioxide</w:t>
      </w:r>
      <w:r w:rsidRPr="00E36F8C">
        <w:t xml:space="preserve"> per capita as </w:t>
      </w:r>
      <w:r>
        <w:t xml:space="preserve">the </w:t>
      </w:r>
      <w:r w:rsidRPr="00E36F8C">
        <w:t xml:space="preserve">average </w:t>
      </w:r>
      <w:r>
        <w:t xml:space="preserve">for upper-middle-income countries </w:t>
      </w:r>
      <w:r w:rsidRPr="00E36F8C">
        <w:t xml:space="preserve">and half </w:t>
      </w:r>
      <w:r>
        <w:t>the amount emitted by</w:t>
      </w:r>
      <w:r w:rsidRPr="00E36F8C">
        <w:t xml:space="preserve"> high-income economies</w:t>
      </w:r>
      <w:r>
        <w:t>.</w:t>
      </w:r>
      <w:r>
        <w:rPr>
          <w:rStyle w:val="FootnoteReference"/>
        </w:rPr>
        <w:footnoteReference w:id="13"/>
      </w:r>
      <w:r w:rsidRPr="00E36F8C">
        <w:t xml:space="preserve"> </w:t>
      </w:r>
      <w:r>
        <w:t>However, considering the reliance of</w:t>
      </w:r>
      <w:r w:rsidRPr="00E36F8C">
        <w:t xml:space="preserve"> Azerbaijan’s economy on hydrocarbon production, the </w:t>
      </w:r>
      <w:r>
        <w:t>G</w:t>
      </w:r>
      <w:r w:rsidRPr="00E36F8C">
        <w:t xml:space="preserve">overnment should define new pathways </w:t>
      </w:r>
      <w:r>
        <w:t xml:space="preserve">to reduce the carbon footprint of economic development, especially in the energy sector, which is responsible for </w:t>
      </w:r>
      <w:r w:rsidR="00F82627">
        <w:t>75.9</w:t>
      </w:r>
      <w:r>
        <w:t xml:space="preserve"> per cent of GHG emissions. </w:t>
      </w:r>
    </w:p>
    <w:p w14:paraId="5BE1AE87" w14:textId="77777777" w:rsidR="003A13CD" w:rsidRPr="00CB0940" w:rsidRDefault="003A13CD" w:rsidP="003A13CD">
      <w:pPr>
        <w:spacing w:after="120"/>
        <w:ind w:left="1440"/>
        <w:jc w:val="both"/>
        <w:rPr>
          <w:b/>
        </w:rPr>
      </w:pPr>
      <w:r w:rsidRPr="00CB0940">
        <w:rPr>
          <w:b/>
        </w:rPr>
        <w:t>UNDP results, lessons learn</w:t>
      </w:r>
      <w:r>
        <w:rPr>
          <w:b/>
        </w:rPr>
        <w:t>ed</w:t>
      </w:r>
      <w:r w:rsidRPr="00CB0940">
        <w:rPr>
          <w:b/>
        </w:rPr>
        <w:t xml:space="preserve"> and opportunities </w:t>
      </w:r>
    </w:p>
    <w:p w14:paraId="7BF16421" w14:textId="05F017F3" w:rsidR="003A13CD" w:rsidRPr="00036D30" w:rsidRDefault="003A13CD" w:rsidP="003A13CD">
      <w:pPr>
        <w:spacing w:after="120"/>
        <w:ind w:left="1440"/>
        <w:jc w:val="both"/>
      </w:pPr>
      <w:r>
        <w:t>16. Under the motto of</w:t>
      </w:r>
      <w:r w:rsidRPr="00EE067E">
        <w:t xml:space="preserve"> </w:t>
      </w:r>
      <w:r>
        <w:t>‘</w:t>
      </w:r>
      <w:r w:rsidRPr="00EE067E">
        <w:t>converting black gold to human gold</w:t>
      </w:r>
      <w:r>
        <w:t>’, introduced by</w:t>
      </w:r>
      <w:r w:rsidRPr="00EE067E">
        <w:t xml:space="preserve"> </w:t>
      </w:r>
      <w:r>
        <w:t>a UNDP-supported publication in 2007,</w:t>
      </w:r>
      <w:r>
        <w:rPr>
          <w:rStyle w:val="FootnoteReference"/>
        </w:rPr>
        <w:footnoteReference w:id="14"/>
      </w:r>
      <w:r>
        <w:t xml:space="preserve"> the Government began to invest oil revenues in human capital to achieve sustainable economic development. This was demonstrated by the President’s approval of the establishment of a state fund to support </w:t>
      </w:r>
      <w:r w:rsidRPr="00EE067E">
        <w:t>youth education abroad using oil revenue</w:t>
      </w:r>
      <w:r>
        <w:t>s.</w:t>
      </w:r>
      <w:r>
        <w:rPr>
          <w:rStyle w:val="FootnoteReference"/>
        </w:rPr>
        <w:footnoteReference w:id="15"/>
      </w:r>
      <w:r>
        <w:t xml:space="preserve"> The motto continues to be relevant. UNDP has further contributed to economic diversification by </w:t>
      </w:r>
      <w:r w:rsidRPr="00F877DD">
        <w:t>professionaliz</w:t>
      </w:r>
      <w:r>
        <w:t xml:space="preserve">ing the </w:t>
      </w:r>
      <w:r w:rsidRPr="00F877DD">
        <w:t>labo</w:t>
      </w:r>
      <w:r>
        <w:t>u</w:t>
      </w:r>
      <w:r w:rsidRPr="00F877DD">
        <w:t xml:space="preserve">r force for </w:t>
      </w:r>
      <w:r>
        <w:t xml:space="preserve">the </w:t>
      </w:r>
      <w:r w:rsidRPr="00F877DD">
        <w:t xml:space="preserve">tourism </w:t>
      </w:r>
      <w:r>
        <w:t xml:space="preserve">industry, introducing new models and tools to reduce youth and women’s unemployment, and initiating business start-up </w:t>
      </w:r>
      <w:r w:rsidRPr="00C768BB">
        <w:t>programmes</w:t>
      </w:r>
      <w:r>
        <w:t xml:space="preserve"> for disabled women and mine victims. This follows the recommendation of the independent evaluation that</w:t>
      </w:r>
      <w:r w:rsidRPr="00036D30">
        <w:t xml:space="preserve"> </w:t>
      </w:r>
      <w:r>
        <w:t xml:space="preserve">the new </w:t>
      </w:r>
      <w:r w:rsidRPr="00036D30">
        <w:t xml:space="preserve">UNDP </w:t>
      </w:r>
      <w:r>
        <w:t>c</w:t>
      </w:r>
      <w:r w:rsidRPr="00036D30">
        <w:t xml:space="preserve">ountry </w:t>
      </w:r>
      <w:r>
        <w:t>p</w:t>
      </w:r>
      <w:r w:rsidRPr="00036D30">
        <w:t>rogramme should continue supporting government efforts to address regional disparities in work opportunities</w:t>
      </w:r>
      <w:r w:rsidRPr="00036D30">
        <w:rPr>
          <w:rStyle w:val="FootnoteReference"/>
        </w:rPr>
        <w:footnoteReference w:id="16"/>
      </w:r>
      <w:r w:rsidRPr="00036D30">
        <w:t xml:space="preserve"> </w:t>
      </w:r>
      <w:r w:rsidR="00D94016">
        <w:t>and t</w:t>
      </w:r>
      <w:r w:rsidR="00C0184D">
        <w:t>o provide support for increasing women’s rate of employment and business activity in rural areas</w:t>
      </w:r>
      <w:r w:rsidR="00D94016">
        <w:t>.</w:t>
      </w:r>
      <w:r w:rsidR="00AE4035">
        <w:t xml:space="preserve"> UNDP will also assist the </w:t>
      </w:r>
      <w:r w:rsidR="00FA5B15">
        <w:t>G</w:t>
      </w:r>
      <w:r w:rsidR="00AE4035">
        <w:t>overnment in its work to prevent gender-based violence.</w:t>
      </w:r>
    </w:p>
    <w:p w14:paraId="769B4630" w14:textId="77777777" w:rsidR="003A13CD" w:rsidRPr="00BD1F10" w:rsidRDefault="003A13CD" w:rsidP="003A13CD">
      <w:pPr>
        <w:spacing w:after="120"/>
        <w:ind w:left="1440"/>
        <w:jc w:val="both"/>
        <w:rPr>
          <w:b/>
        </w:rPr>
      </w:pPr>
      <w:r>
        <w:t xml:space="preserve">17. UNDP has a clear comparative advantage vis-à-vis other international partners as a thought leader for two subsequent national ICT strategies that resulted in transformation of the public </w:t>
      </w:r>
      <w:r>
        <w:lastRenderedPageBreak/>
        <w:t>sector through massive computerization and transition to electronic services</w:t>
      </w:r>
      <w:r w:rsidRPr="00BD1F10">
        <w:t>.</w:t>
      </w:r>
      <w:r>
        <w:t xml:space="preserve"> UNDP</w:t>
      </w:r>
      <w:r w:rsidRPr="00BD1F10">
        <w:t xml:space="preserve"> </w:t>
      </w:r>
      <w:r>
        <w:t xml:space="preserve">has also played an important role in establishing a </w:t>
      </w:r>
      <w:r w:rsidRPr="00BD1F10">
        <w:t xml:space="preserve">transparent </w:t>
      </w:r>
      <w:r>
        <w:t xml:space="preserve">and merit-based </w:t>
      </w:r>
      <w:r w:rsidRPr="00BD1F10">
        <w:t>civil service</w:t>
      </w:r>
      <w:r>
        <w:t xml:space="preserve"> and has pioneered a ‘single window’ principle for integrated border management. This long-term partnership was supported by the Government of Azerbaijan through </w:t>
      </w:r>
      <w:r w:rsidRPr="00BD1F10">
        <w:t>substantial</w:t>
      </w:r>
      <w:r w:rsidRPr="00F50F62">
        <w:t xml:space="preserve"> amount</w:t>
      </w:r>
      <w:r>
        <w:t>s of</w:t>
      </w:r>
      <w:r w:rsidRPr="00F50F62">
        <w:t xml:space="preserve"> cost-sharing </w:t>
      </w:r>
      <w:r>
        <w:t>for programmes implemented by UNDP</w:t>
      </w:r>
      <w:r w:rsidRPr="00F50F62">
        <w:t>.</w:t>
      </w:r>
      <w:r>
        <w:t xml:space="preserve"> An evaluation of the UNDP good governance programme advised UNDP </w:t>
      </w:r>
      <w:r w:rsidRPr="00BD1F10">
        <w:t xml:space="preserve">to replicate its experience accumulated in deploying large-scale </w:t>
      </w:r>
      <w:r>
        <w:t xml:space="preserve">information technology </w:t>
      </w:r>
      <w:r w:rsidRPr="00BD1F10">
        <w:t>systems by targeting sectors vital for the well-being of people</w:t>
      </w:r>
      <w:r>
        <w:t xml:space="preserve"> and</w:t>
      </w:r>
      <w:r w:rsidRPr="00BD1F10">
        <w:t xml:space="preserve"> </w:t>
      </w:r>
      <w:r>
        <w:t xml:space="preserve">assist </w:t>
      </w:r>
      <w:r w:rsidRPr="00BD1F10">
        <w:t>in devising and piloting sector-specific e-</w:t>
      </w:r>
      <w:r>
        <w:t>g</w:t>
      </w:r>
      <w:r w:rsidRPr="00BD1F10">
        <w:t>overnance strategies</w:t>
      </w:r>
      <w:r>
        <w:t>.</w:t>
      </w:r>
      <w:r w:rsidRPr="00BD1F10">
        <w:rPr>
          <w:rStyle w:val="FootnoteReference"/>
        </w:rPr>
        <w:footnoteReference w:id="17"/>
      </w:r>
      <w:r>
        <w:t xml:space="preserve">  </w:t>
      </w:r>
    </w:p>
    <w:p w14:paraId="3DE0978C" w14:textId="701473AA" w:rsidR="003A13CD" w:rsidRDefault="003A13CD" w:rsidP="003A13CD">
      <w:pPr>
        <w:spacing w:after="120"/>
        <w:ind w:left="1440"/>
        <w:jc w:val="both"/>
      </w:pPr>
      <w:r>
        <w:t xml:space="preserve">18. Over the previous programme cycle, UNDP has developed a sizable environmental portfolio in Azerbaijan, as evidenced by the strong partnerships with the European Union (EU), Government of Norway, the Special Climate Change Fund and Global Environment Facility (GEF). UNDP </w:t>
      </w:r>
      <w:r w:rsidR="00A2006B">
        <w:t xml:space="preserve">helped </w:t>
      </w:r>
      <w:r>
        <w:t>the State Agency on Alternative and Renewable Energy Sources</w:t>
      </w:r>
      <w:r w:rsidR="00A2006B">
        <w:t xml:space="preserve"> to implement pilot projects on renewable energy sources, develop </w:t>
      </w:r>
      <w:r w:rsidR="00F82627">
        <w:t xml:space="preserve">favourable </w:t>
      </w:r>
      <w:r w:rsidR="00A2006B">
        <w:t xml:space="preserve">tariff policy </w:t>
      </w:r>
      <w:r w:rsidR="00F82627">
        <w:t xml:space="preserve">and </w:t>
      </w:r>
      <w:r w:rsidR="00A2006B">
        <w:t>analyse the legal and regulatory basis</w:t>
      </w:r>
      <w:r>
        <w:t>. The comparative advantage of UNDP in this area lies in its ability to embrace a wide range of environmental concerns and offer integrated solutions to land degradation, deforestation, biodiversity loss and vulnerability to climate change. These concerns also need to be tackled in the light of economic diversification, resilience and sustainable development.</w:t>
      </w:r>
    </w:p>
    <w:p w14:paraId="6C22B64A" w14:textId="77777777" w:rsidR="003A13CD" w:rsidRDefault="003A13CD" w:rsidP="003A13CD">
      <w:pPr>
        <w:spacing w:after="120"/>
        <w:ind w:left="1440"/>
        <w:jc w:val="both"/>
        <w:rPr>
          <w:rFonts w:cstheme="minorHAnsi"/>
          <w:bCs/>
        </w:rPr>
      </w:pPr>
      <w:r>
        <w:t xml:space="preserve">19. During the recent years, </w:t>
      </w:r>
      <w:r w:rsidRPr="00B6483F">
        <w:t>Azerbaijan</w:t>
      </w:r>
      <w:r>
        <w:t xml:space="preserve"> has demonstrated </w:t>
      </w:r>
      <w:r w:rsidRPr="00B6483F">
        <w:t xml:space="preserve">readiness </w:t>
      </w:r>
      <w:r w:rsidRPr="00B6483F">
        <w:rPr>
          <w:rFonts w:eastAsia="MS Mincho"/>
          <w:color w:val="333333"/>
        </w:rPr>
        <w:t xml:space="preserve">to </w:t>
      </w:r>
      <w:r>
        <w:rPr>
          <w:rFonts w:eastAsia="MS Mincho"/>
          <w:color w:val="333333"/>
        </w:rPr>
        <w:t xml:space="preserve">engage </w:t>
      </w:r>
      <w:r w:rsidRPr="00B6483F">
        <w:rPr>
          <w:rFonts w:eastAsia="MS Mincho"/>
          <w:color w:val="333333"/>
        </w:rPr>
        <w:t>in South-South</w:t>
      </w:r>
      <w:r>
        <w:rPr>
          <w:rFonts w:eastAsia="MS Mincho"/>
          <w:color w:val="333333"/>
        </w:rPr>
        <w:t xml:space="preserve"> and triangular cooperation as means to share with developing countries the wealth of experience, technical know-how and expertise accumulated during the transitional years. UNDP has been instrumental in opening up new avenues for cooperation in this context, including by facilitating knowledge transfers on e-governance with Afghanistan and </w:t>
      </w:r>
      <w:r>
        <w:rPr>
          <w:rFonts w:cstheme="minorHAnsi"/>
          <w:bCs/>
        </w:rPr>
        <w:t xml:space="preserve">on public service delivery with Turkmenistan. UNDP will seek to expand the South-South dimension of its programme over the next cycle. </w:t>
      </w:r>
    </w:p>
    <w:p w14:paraId="0AB82C52" w14:textId="77777777" w:rsidR="003A13CD" w:rsidRPr="00780C1B" w:rsidRDefault="003A13CD" w:rsidP="003A13CD">
      <w:pPr>
        <w:ind w:left="1440"/>
        <w:jc w:val="both"/>
        <w:rPr>
          <w:sz w:val="22"/>
          <w:szCs w:val="22"/>
        </w:rPr>
      </w:pPr>
      <w:r>
        <w:t xml:space="preserve">20. A main challenge and lesson learned from the previous country programme, as identified by outcome evaluations, was the </w:t>
      </w:r>
      <w:r w:rsidRPr="00E86440">
        <w:t>discrepancy between the available funds and related interventions and overly ambitious outcomes set within the country programme document</w:t>
      </w:r>
      <w:r>
        <w:t>.</w:t>
      </w:r>
      <w:r w:rsidRPr="00E86440">
        <w:rPr>
          <w:rStyle w:val="FootnoteReference"/>
        </w:rPr>
        <w:footnoteReference w:id="18"/>
      </w:r>
      <w:r>
        <w:rPr>
          <w:b/>
          <w:i/>
          <w:sz w:val="22"/>
          <w:szCs w:val="22"/>
        </w:rPr>
        <w:t xml:space="preserve"> </w:t>
      </w:r>
      <w:r>
        <w:rPr>
          <w:sz w:val="22"/>
          <w:szCs w:val="22"/>
        </w:rPr>
        <w:t xml:space="preserve">Hence, </w:t>
      </w:r>
      <w:r>
        <w:t xml:space="preserve">the new programme will focus on fewer development areas within the overall government efforts articulated in Vision 2020. It will be closely aligned with the priorities of the UNDP Strategic Plan, 2014-2017 by targeting specific population groups and geographic areas, and build on areas of the UNDP comparative advantage. </w:t>
      </w:r>
    </w:p>
    <w:p w14:paraId="56890DF2" w14:textId="77777777" w:rsidR="003A13CD" w:rsidRDefault="003A13CD" w:rsidP="003A13CD">
      <w:pPr>
        <w:autoSpaceDE w:val="0"/>
        <w:autoSpaceDN w:val="0"/>
        <w:adjustRightInd w:val="0"/>
        <w:jc w:val="both"/>
        <w:rPr>
          <w:rFonts w:eastAsia="Calibri"/>
        </w:rPr>
      </w:pPr>
    </w:p>
    <w:p w14:paraId="62E8D3AE" w14:textId="77777777" w:rsidR="003A13CD" w:rsidRPr="003C26C1" w:rsidRDefault="003A13CD" w:rsidP="003A13CD">
      <w:pPr>
        <w:pStyle w:val="Heading2"/>
        <w:ind w:left="1267" w:right="1267" w:hanging="367"/>
        <w:jc w:val="both"/>
        <w:rPr>
          <w:rFonts w:ascii="Times New Roman" w:hAnsi="Times New Roman"/>
          <w:color w:val="000000"/>
          <w:spacing w:val="-3"/>
          <w:sz w:val="20"/>
        </w:rPr>
      </w:pPr>
      <w:r>
        <w:rPr>
          <w:rFonts w:ascii="Times New Roman" w:hAnsi="Times New Roman"/>
          <w:bCs/>
          <w:color w:val="000000"/>
          <w:sz w:val="24"/>
          <w:szCs w:val="24"/>
        </w:rPr>
        <w:t>II.</w:t>
      </w:r>
      <w:r>
        <w:rPr>
          <w:rFonts w:ascii="Times New Roman" w:hAnsi="Times New Roman"/>
          <w:bCs/>
          <w:color w:val="000000"/>
          <w:sz w:val="24"/>
          <w:szCs w:val="24"/>
        </w:rPr>
        <w:tab/>
        <w:t>Programme p</w:t>
      </w:r>
      <w:r w:rsidRPr="003C26C1">
        <w:rPr>
          <w:rFonts w:ascii="Times New Roman" w:hAnsi="Times New Roman"/>
          <w:bCs/>
          <w:color w:val="000000"/>
          <w:sz w:val="24"/>
          <w:szCs w:val="24"/>
        </w:rPr>
        <w:t xml:space="preserve">riorities and </w:t>
      </w:r>
      <w:r>
        <w:rPr>
          <w:rFonts w:ascii="Times New Roman" w:hAnsi="Times New Roman"/>
          <w:bCs/>
          <w:color w:val="000000"/>
          <w:sz w:val="24"/>
          <w:szCs w:val="24"/>
        </w:rPr>
        <w:t>p</w:t>
      </w:r>
      <w:r w:rsidRPr="003C26C1">
        <w:rPr>
          <w:rFonts w:ascii="Times New Roman" w:hAnsi="Times New Roman"/>
          <w:bCs/>
          <w:color w:val="000000"/>
          <w:sz w:val="24"/>
          <w:szCs w:val="24"/>
        </w:rPr>
        <w:t xml:space="preserve">artnerships </w:t>
      </w:r>
    </w:p>
    <w:p w14:paraId="190DA117" w14:textId="77777777" w:rsidR="003A13CD" w:rsidRPr="00572178" w:rsidRDefault="003A13CD" w:rsidP="003A13CD">
      <w:pPr>
        <w:rPr>
          <w:sz w:val="16"/>
          <w:szCs w:val="16"/>
        </w:rPr>
      </w:pPr>
    </w:p>
    <w:p w14:paraId="3AE9B1E4" w14:textId="77777777" w:rsidR="003A13CD" w:rsidRPr="00BA7095" w:rsidRDefault="003A13CD" w:rsidP="003A13CD">
      <w:pPr>
        <w:pStyle w:val="SingleTxt"/>
        <w:spacing w:line="240" w:lineRule="auto"/>
        <w:ind w:left="1440" w:right="4"/>
      </w:pPr>
      <w:r>
        <w:t xml:space="preserve">21. </w:t>
      </w:r>
      <w:r w:rsidRPr="00BA7095">
        <w:t>The new UNDP country programme is based on the new United Nations Azerbaijan Partnership Framework</w:t>
      </w:r>
      <w:r>
        <w:t xml:space="preserve"> (UNAPF). It contributes to </w:t>
      </w:r>
      <w:r w:rsidRPr="00BA7095">
        <w:t>three out of five UNAPF outcomes</w:t>
      </w:r>
      <w:r>
        <w:t xml:space="preserve"> and is aligned with the UNDP Strategic Plan</w:t>
      </w:r>
      <w:r w:rsidRPr="00BA7095">
        <w:t>. The UNAPF is aligned with Azerbaijan’s</w:t>
      </w:r>
      <w:r>
        <w:t xml:space="preserve"> national development strategy,</w:t>
      </w:r>
      <w:r w:rsidRPr="00BA7095">
        <w:t xml:space="preserve"> </w:t>
      </w:r>
      <w:r w:rsidRPr="00A21C29">
        <w:t>Vision 2020</w:t>
      </w:r>
      <w:r>
        <w:t>,</w:t>
      </w:r>
      <w:r w:rsidRPr="00BA7095">
        <w:t xml:space="preserve"> and </w:t>
      </w:r>
      <w:r>
        <w:t xml:space="preserve">is the </w:t>
      </w:r>
      <w:r w:rsidRPr="00BA7095">
        <w:t>result</w:t>
      </w:r>
      <w:r>
        <w:t xml:space="preserve"> of</w:t>
      </w:r>
      <w:r w:rsidRPr="00BA7095">
        <w:t xml:space="preserve"> extensive broad-based consultations with the Government of Azerbaijan, international partners, </w:t>
      </w:r>
      <w:r>
        <w:t xml:space="preserve">the </w:t>
      </w:r>
      <w:r w:rsidRPr="00BA7095">
        <w:t>U</w:t>
      </w:r>
      <w:r>
        <w:t xml:space="preserve">nited </w:t>
      </w:r>
      <w:r w:rsidRPr="00BA7095">
        <w:t>N</w:t>
      </w:r>
      <w:r>
        <w:t>ations</w:t>
      </w:r>
      <w:r w:rsidRPr="00BA7095">
        <w:t xml:space="preserve"> Youth Advisory Council and civil society at large.</w:t>
      </w:r>
      <w:r>
        <w:t xml:space="preserve"> The new country programme will continue to benefit from government cost-sharing contributions, thereby ensuring strong national ownership of programme priorities and a continuing spirit of partnership. </w:t>
      </w:r>
    </w:p>
    <w:p w14:paraId="325A5D0F" w14:textId="77777777" w:rsidR="003A13CD" w:rsidRDefault="003A13CD" w:rsidP="003A13CD">
      <w:pPr>
        <w:pStyle w:val="SingleTxt"/>
        <w:spacing w:line="240" w:lineRule="auto"/>
        <w:ind w:left="1440" w:right="4"/>
      </w:pPr>
      <w:r w:rsidRPr="00572178">
        <w:t>22.</w:t>
      </w:r>
      <w:r>
        <w:rPr>
          <w:b/>
        </w:rPr>
        <w:t xml:space="preserve"> </w:t>
      </w:r>
      <w:r>
        <w:t xml:space="preserve">The country programme will contribute directly or indirectly to outcomes 1, 3, 6 and 7 of the UNDP Strategic Plan. </w:t>
      </w:r>
      <w:r w:rsidRPr="00BA7095">
        <w:t xml:space="preserve">The new country programme is centred on continued UNDP support to </w:t>
      </w:r>
      <w:r w:rsidRPr="00BA7095">
        <w:lastRenderedPageBreak/>
        <w:t>capacity development in order to achieve long-term and sustainable improvements in three areas</w:t>
      </w:r>
      <w:r>
        <w:t xml:space="preserve"> as outlined below.</w:t>
      </w:r>
    </w:p>
    <w:p w14:paraId="4FB0CB23" w14:textId="77777777" w:rsidR="003A13CD" w:rsidRPr="00BA7095" w:rsidRDefault="003A13CD" w:rsidP="003A13CD">
      <w:pPr>
        <w:pStyle w:val="SingleTxt"/>
        <w:spacing w:line="240" w:lineRule="auto"/>
        <w:ind w:left="1440" w:right="4"/>
      </w:pPr>
      <w:r w:rsidRPr="00CE724C">
        <w:rPr>
          <w:b/>
          <w:lang w:val="en-US"/>
        </w:rPr>
        <w:t>Human capital development and inclusiveness</w:t>
      </w:r>
    </w:p>
    <w:p w14:paraId="4C6DCA84" w14:textId="2D8F6142" w:rsidR="003A13CD" w:rsidRDefault="003A13CD" w:rsidP="003A13CD">
      <w:pPr>
        <w:pStyle w:val="Reporttext"/>
        <w:spacing w:before="0"/>
        <w:ind w:left="1440" w:right="4"/>
        <w:jc w:val="both"/>
      </w:pPr>
      <w:r w:rsidRPr="00572178">
        <w:rPr>
          <w:rFonts w:ascii="Times New Roman" w:hAnsi="Times New Roman"/>
        </w:rPr>
        <w:t>23.</w:t>
      </w:r>
      <w:r w:rsidRPr="00CC08DA">
        <w:rPr>
          <w:b/>
          <w:i/>
        </w:rPr>
        <w:t xml:space="preserve"> </w:t>
      </w:r>
      <w:r w:rsidRPr="00185688">
        <w:rPr>
          <w:rFonts w:ascii="Times New Roman" w:hAnsi="Times New Roman"/>
        </w:rPr>
        <w:t>UNDP will focus on developing human capital as a necessary prerequisite for a diversified, competitive and knowledge-based economy.</w:t>
      </w:r>
      <w:r w:rsidRPr="00BA7095">
        <w:rPr>
          <w:rFonts w:ascii="Times New Roman" w:hAnsi="Times New Roman"/>
        </w:rPr>
        <w:t xml:space="preserve"> UNDP will ensure that </w:t>
      </w:r>
      <w:r>
        <w:rPr>
          <w:rFonts w:ascii="Times New Roman" w:hAnsi="Times New Roman"/>
        </w:rPr>
        <w:t xml:space="preserve">the </w:t>
      </w:r>
      <w:r w:rsidRPr="00BA7095">
        <w:rPr>
          <w:rFonts w:ascii="Times New Roman" w:hAnsi="Times New Roman"/>
        </w:rPr>
        <w:t xml:space="preserve">most vulnerable sections of the workforce, including young people, women and persons with disabilities, have access to skills and resources </w:t>
      </w:r>
      <w:r>
        <w:rPr>
          <w:rFonts w:ascii="Times New Roman" w:hAnsi="Times New Roman"/>
        </w:rPr>
        <w:t xml:space="preserve">that </w:t>
      </w:r>
      <w:r w:rsidRPr="00BA7095">
        <w:rPr>
          <w:rFonts w:ascii="Times New Roman" w:hAnsi="Times New Roman"/>
        </w:rPr>
        <w:t>match labour market demand</w:t>
      </w:r>
      <w:r>
        <w:rPr>
          <w:rFonts w:ascii="Times New Roman" w:hAnsi="Times New Roman"/>
        </w:rPr>
        <w:t xml:space="preserve">. To this end, UNDP will support national institutions in designing and rolling out new vocational education programmes and </w:t>
      </w:r>
      <w:r w:rsidRPr="00BA7095">
        <w:rPr>
          <w:rFonts w:ascii="Times New Roman" w:hAnsi="Times New Roman"/>
        </w:rPr>
        <w:t>start-up businesses in the non-oil sectors</w:t>
      </w:r>
      <w:r>
        <w:rPr>
          <w:rFonts w:ascii="Times New Roman" w:hAnsi="Times New Roman"/>
        </w:rPr>
        <w:t>, e.g., ICT</w:t>
      </w:r>
      <w:r w:rsidRPr="00BA7095">
        <w:rPr>
          <w:rFonts w:ascii="Times New Roman" w:hAnsi="Times New Roman"/>
        </w:rPr>
        <w:t xml:space="preserve">. UNDP will </w:t>
      </w:r>
      <w:r>
        <w:rPr>
          <w:rFonts w:ascii="Times New Roman" w:hAnsi="Times New Roman"/>
        </w:rPr>
        <w:t xml:space="preserve">build on existing </w:t>
      </w:r>
      <w:r w:rsidRPr="00BA7095">
        <w:rPr>
          <w:rFonts w:ascii="Times New Roman" w:hAnsi="Times New Roman"/>
        </w:rPr>
        <w:t>partners</w:t>
      </w:r>
      <w:r>
        <w:rPr>
          <w:rFonts w:ascii="Times New Roman" w:hAnsi="Times New Roman"/>
        </w:rPr>
        <w:t>hips with national institutions to</w:t>
      </w:r>
      <w:r w:rsidRPr="00BA7095">
        <w:rPr>
          <w:rFonts w:ascii="Times New Roman" w:hAnsi="Times New Roman"/>
        </w:rPr>
        <w:t xml:space="preserve"> help them develop and scale</w:t>
      </w:r>
      <w:r>
        <w:rPr>
          <w:rFonts w:ascii="Times New Roman" w:hAnsi="Times New Roman"/>
        </w:rPr>
        <w:t xml:space="preserve"> </w:t>
      </w:r>
      <w:r w:rsidRPr="00BA7095">
        <w:rPr>
          <w:rFonts w:ascii="Times New Roman" w:hAnsi="Times New Roman"/>
        </w:rPr>
        <w:t xml:space="preserve">up innovative models, approaches and tools to enable a transformational shift towards more inclusive and productive employment. Experiences </w:t>
      </w:r>
      <w:r>
        <w:rPr>
          <w:rFonts w:ascii="Times New Roman" w:hAnsi="Times New Roman"/>
        </w:rPr>
        <w:t xml:space="preserve">gained </w:t>
      </w:r>
      <w:r w:rsidRPr="00BA7095">
        <w:rPr>
          <w:rFonts w:ascii="Times New Roman" w:hAnsi="Times New Roman"/>
        </w:rPr>
        <w:t xml:space="preserve">from implementation of these interventions are expected to bring important institutional knowledge, lessons learned and models which may be replicated </w:t>
      </w:r>
      <w:r>
        <w:rPr>
          <w:rFonts w:ascii="Times New Roman" w:hAnsi="Times New Roman"/>
        </w:rPr>
        <w:t xml:space="preserve">to cover more people </w:t>
      </w:r>
      <w:r w:rsidRPr="00BA7095">
        <w:rPr>
          <w:rFonts w:ascii="Times New Roman" w:hAnsi="Times New Roman"/>
        </w:rPr>
        <w:t xml:space="preserve">in other </w:t>
      </w:r>
      <w:r>
        <w:rPr>
          <w:rFonts w:ascii="Times New Roman" w:hAnsi="Times New Roman"/>
        </w:rPr>
        <w:t xml:space="preserve">parts of </w:t>
      </w:r>
      <w:r w:rsidRPr="00BA7095">
        <w:rPr>
          <w:rFonts w:ascii="Times New Roman" w:hAnsi="Times New Roman"/>
        </w:rPr>
        <w:t>the country.</w:t>
      </w:r>
      <w:r>
        <w:rPr>
          <w:rFonts w:ascii="Times New Roman" w:hAnsi="Times New Roman"/>
        </w:rPr>
        <w:t xml:space="preserve"> </w:t>
      </w:r>
    </w:p>
    <w:p w14:paraId="2AFF0AC3" w14:textId="77777777" w:rsidR="003A13CD" w:rsidRPr="00986121" w:rsidRDefault="003A13CD" w:rsidP="003A13CD">
      <w:pPr>
        <w:pStyle w:val="Reporttext"/>
        <w:spacing w:before="0"/>
        <w:ind w:left="1440" w:right="4"/>
        <w:jc w:val="both"/>
        <w:rPr>
          <w:sz w:val="12"/>
          <w:szCs w:val="12"/>
        </w:rPr>
      </w:pPr>
    </w:p>
    <w:p w14:paraId="154CA865" w14:textId="77777777" w:rsidR="003A13CD" w:rsidRDefault="003A13CD" w:rsidP="003A13CD">
      <w:pPr>
        <w:pStyle w:val="Reporttext"/>
        <w:spacing w:before="0" w:after="120"/>
        <w:ind w:left="1440" w:right="4"/>
        <w:jc w:val="both"/>
        <w:rPr>
          <w:rFonts w:ascii="Times New Roman" w:hAnsi="Times New Roman"/>
        </w:rPr>
      </w:pPr>
      <w:r w:rsidRPr="00CC08DA">
        <w:rPr>
          <w:rFonts w:ascii="Times New Roman" w:hAnsi="Times New Roman"/>
        </w:rPr>
        <w:t>2</w:t>
      </w:r>
      <w:r>
        <w:rPr>
          <w:rFonts w:ascii="Times New Roman" w:hAnsi="Times New Roman"/>
        </w:rPr>
        <w:t>4</w:t>
      </w:r>
      <w:r w:rsidRPr="00CC08DA">
        <w:rPr>
          <w:rFonts w:ascii="Times New Roman" w:hAnsi="Times New Roman"/>
        </w:rPr>
        <w:t xml:space="preserve">. UNDP will target economically disadvantaged geographic areas and seek to remove obstacles to equitable regional development. </w:t>
      </w:r>
      <w:r>
        <w:rPr>
          <w:rFonts w:ascii="Times New Roman" w:hAnsi="Times New Roman"/>
        </w:rPr>
        <w:t>UNDP will work with the Ministry of Communications and High Technologies</w:t>
      </w:r>
      <w:r w:rsidRPr="00CC08DA">
        <w:rPr>
          <w:rFonts w:ascii="Times New Roman" w:hAnsi="Times New Roman"/>
        </w:rPr>
        <w:t xml:space="preserve"> to upgrade and exten</w:t>
      </w:r>
      <w:r>
        <w:rPr>
          <w:rFonts w:ascii="Times New Roman" w:hAnsi="Times New Roman"/>
        </w:rPr>
        <w:t>d</w:t>
      </w:r>
      <w:r w:rsidRPr="00CC08DA">
        <w:rPr>
          <w:rFonts w:ascii="Times New Roman" w:hAnsi="Times New Roman"/>
        </w:rPr>
        <w:t xml:space="preserve"> </w:t>
      </w:r>
      <w:r>
        <w:rPr>
          <w:rFonts w:ascii="Times New Roman" w:hAnsi="Times New Roman"/>
        </w:rPr>
        <w:t xml:space="preserve">the </w:t>
      </w:r>
      <w:r w:rsidRPr="00CC08DA">
        <w:rPr>
          <w:rFonts w:ascii="Times New Roman" w:hAnsi="Times New Roman"/>
        </w:rPr>
        <w:t>ICT infrastructure into rural areas and assist people in using these opportunities as a source of new jobs. UNDP will also support mine removal in affected territories</w:t>
      </w:r>
      <w:r>
        <w:rPr>
          <w:rFonts w:ascii="Times New Roman" w:hAnsi="Times New Roman"/>
        </w:rPr>
        <w:t>, building</w:t>
      </w:r>
      <w:r w:rsidRPr="00CC08DA">
        <w:rPr>
          <w:rFonts w:ascii="Times New Roman" w:hAnsi="Times New Roman"/>
        </w:rPr>
        <w:t xml:space="preserve"> on the long-standing relations with the Azerbaijan National Agency for Mine</w:t>
      </w:r>
      <w:r>
        <w:rPr>
          <w:rFonts w:ascii="Times New Roman" w:hAnsi="Times New Roman"/>
        </w:rPr>
        <w:t xml:space="preserve"> Action. </w:t>
      </w:r>
      <w:r w:rsidRPr="00BA7095">
        <w:rPr>
          <w:rFonts w:ascii="Times New Roman" w:hAnsi="Times New Roman"/>
        </w:rPr>
        <w:t xml:space="preserve"> </w:t>
      </w:r>
    </w:p>
    <w:p w14:paraId="38E4DE18" w14:textId="77777777" w:rsidR="003A13CD" w:rsidRDefault="003A13CD" w:rsidP="003A13CD">
      <w:pPr>
        <w:spacing w:after="120"/>
        <w:ind w:left="1440"/>
        <w:jc w:val="both"/>
      </w:pPr>
      <w:r>
        <w:t xml:space="preserve">25. The </w:t>
      </w:r>
      <w:r w:rsidRPr="00BA7095">
        <w:t xml:space="preserve">UNDP contribution under this programme component is fully aligned with </w:t>
      </w:r>
      <w:r>
        <w:t>o</w:t>
      </w:r>
      <w:r w:rsidRPr="00BA7095">
        <w:t xml:space="preserve">utcome 1 </w:t>
      </w:r>
      <w:r>
        <w:t xml:space="preserve">of the Strategic Plan </w:t>
      </w:r>
      <w:r w:rsidRPr="00BA7095">
        <w:t xml:space="preserve">as it supports policies, systems and institutions at the national and subnational levels to generate and strengthen employment and livelihoods, and is also linked to </w:t>
      </w:r>
      <w:r>
        <w:t>o</w:t>
      </w:r>
      <w:r w:rsidRPr="00BA7095">
        <w:t>utcome 6 as it promotes post-conflict recovery and reintegration of mine</w:t>
      </w:r>
      <w:r>
        <w:t xml:space="preserve"> </w:t>
      </w:r>
      <w:r w:rsidRPr="00BA7095">
        <w:t xml:space="preserve">victims into economic life. </w:t>
      </w:r>
      <w:r>
        <w:t>This component also supports fulfilment of Azerbaijan’s obligations to ensure economic rights under the Convention on the Elimination of all Forms of Discrimination Against Women and the Convention on the Rights of Persons with Disabilities. UNDP will work closely with the United Nations country team and other international partners to provide support to the Government in fulfilling its international commitments.</w:t>
      </w:r>
    </w:p>
    <w:p w14:paraId="3F29096C" w14:textId="77777777" w:rsidR="003A13CD" w:rsidRPr="009F40F6" w:rsidRDefault="003A13CD" w:rsidP="003A13CD">
      <w:pPr>
        <w:spacing w:after="120"/>
        <w:ind w:left="1440"/>
        <w:jc w:val="both"/>
      </w:pPr>
      <w:r w:rsidRPr="009F40F6">
        <w:rPr>
          <w:b/>
        </w:rPr>
        <w:t xml:space="preserve">Enhanced </w:t>
      </w:r>
      <w:r>
        <w:rPr>
          <w:b/>
        </w:rPr>
        <w:t>i</w:t>
      </w:r>
      <w:r w:rsidRPr="009F40F6">
        <w:rPr>
          <w:b/>
        </w:rPr>
        <w:t xml:space="preserve">nstitutional </w:t>
      </w:r>
      <w:r>
        <w:rPr>
          <w:b/>
        </w:rPr>
        <w:t>c</w:t>
      </w:r>
      <w:r w:rsidRPr="009F40F6">
        <w:rPr>
          <w:b/>
        </w:rPr>
        <w:t xml:space="preserve">apacity for </w:t>
      </w:r>
      <w:r>
        <w:rPr>
          <w:b/>
        </w:rPr>
        <w:t>e</w:t>
      </w:r>
      <w:r w:rsidRPr="009F40F6">
        <w:rPr>
          <w:b/>
        </w:rPr>
        <w:t xml:space="preserve">quitable </w:t>
      </w:r>
      <w:r>
        <w:rPr>
          <w:b/>
        </w:rPr>
        <w:t>d</w:t>
      </w:r>
      <w:r w:rsidRPr="009F40F6">
        <w:rPr>
          <w:b/>
        </w:rPr>
        <w:t xml:space="preserve">evelopment </w:t>
      </w:r>
      <w:r>
        <w:rPr>
          <w:b/>
        </w:rPr>
        <w:t>p</w:t>
      </w:r>
      <w:r w:rsidRPr="009F40F6">
        <w:rPr>
          <w:b/>
        </w:rPr>
        <w:t>olicy</w:t>
      </w:r>
    </w:p>
    <w:p w14:paraId="245B51BF" w14:textId="684AC6FB" w:rsidR="003A13CD" w:rsidRPr="00861B2E" w:rsidRDefault="003A13CD" w:rsidP="003A13CD">
      <w:pPr>
        <w:pStyle w:val="Reporttext"/>
        <w:spacing w:before="0" w:after="120"/>
        <w:ind w:left="1440" w:right="4"/>
        <w:jc w:val="both"/>
        <w:rPr>
          <w:rFonts w:ascii="Times New Roman" w:hAnsi="Times New Roman"/>
          <w:color w:val="252525"/>
          <w:shd w:val="clear" w:color="auto" w:fill="FFFFFF"/>
        </w:rPr>
      </w:pPr>
      <w:r w:rsidRPr="00572178">
        <w:rPr>
          <w:rFonts w:ascii="Times New Roman" w:hAnsi="Times New Roman"/>
        </w:rPr>
        <w:t xml:space="preserve">26. </w:t>
      </w:r>
      <w:r w:rsidRPr="00861B2E">
        <w:rPr>
          <w:rFonts w:ascii="Times New Roman" w:hAnsi="Times New Roman"/>
          <w:color w:val="000000"/>
        </w:rPr>
        <w:t>UNDP will support institutional capacity strengthening across government agencies and departments to effectively develop and implement gender-sensitive and evidence-based policies. To this end, UNDP will employ a mix of strategies combining capacity</w:t>
      </w:r>
      <w:r>
        <w:rPr>
          <w:rFonts w:ascii="Times New Roman" w:hAnsi="Times New Roman"/>
          <w:color w:val="000000"/>
        </w:rPr>
        <w:t>-</w:t>
      </w:r>
      <w:r w:rsidRPr="00861B2E">
        <w:rPr>
          <w:rFonts w:ascii="Times New Roman" w:hAnsi="Times New Roman"/>
          <w:color w:val="000000"/>
        </w:rPr>
        <w:t xml:space="preserve">building measures across the entire public administration system with sector-specific interventions. Support will be directed at the establishment of a strong education base to provide civil servants with </w:t>
      </w:r>
      <w:r>
        <w:rPr>
          <w:rFonts w:ascii="Times New Roman" w:hAnsi="Times New Roman"/>
          <w:color w:val="000000"/>
        </w:rPr>
        <w:t xml:space="preserve">the </w:t>
      </w:r>
      <w:r w:rsidRPr="00861B2E">
        <w:rPr>
          <w:rFonts w:ascii="Times New Roman" w:hAnsi="Times New Roman"/>
          <w:color w:val="252525"/>
          <w:shd w:val="clear" w:color="auto" w:fill="FFFFFF"/>
        </w:rPr>
        <w:t xml:space="preserve">necessary knowledge and expertise to </w:t>
      </w:r>
      <w:r>
        <w:rPr>
          <w:rFonts w:ascii="Times New Roman" w:hAnsi="Times New Roman"/>
          <w:color w:val="252525"/>
          <w:shd w:val="clear" w:color="auto" w:fill="FFFFFF"/>
        </w:rPr>
        <w:t>address</w:t>
      </w:r>
      <w:r w:rsidRPr="00861B2E">
        <w:rPr>
          <w:rFonts w:ascii="Times New Roman" w:hAnsi="Times New Roman"/>
          <w:color w:val="252525"/>
          <w:shd w:val="clear" w:color="auto" w:fill="FFFFFF"/>
        </w:rPr>
        <w:t xml:space="preserve"> development challenges in all stages of policymaking. Central to this work will be cooperation with U</w:t>
      </w:r>
      <w:r>
        <w:rPr>
          <w:rFonts w:ascii="Times New Roman" w:hAnsi="Times New Roman"/>
          <w:color w:val="252525"/>
          <w:shd w:val="clear" w:color="auto" w:fill="FFFFFF"/>
        </w:rPr>
        <w:t xml:space="preserve">nited </w:t>
      </w:r>
      <w:r w:rsidRPr="00861B2E">
        <w:rPr>
          <w:rFonts w:ascii="Times New Roman" w:hAnsi="Times New Roman"/>
          <w:color w:val="252525"/>
          <w:shd w:val="clear" w:color="auto" w:fill="FFFFFF"/>
        </w:rPr>
        <w:t>N</w:t>
      </w:r>
      <w:r>
        <w:rPr>
          <w:rFonts w:ascii="Times New Roman" w:hAnsi="Times New Roman"/>
          <w:color w:val="252525"/>
          <w:shd w:val="clear" w:color="auto" w:fill="FFFFFF"/>
        </w:rPr>
        <w:t>ations</w:t>
      </w:r>
      <w:r w:rsidRPr="00861B2E">
        <w:rPr>
          <w:rFonts w:ascii="Times New Roman" w:hAnsi="Times New Roman"/>
          <w:color w:val="252525"/>
          <w:shd w:val="clear" w:color="auto" w:fill="FFFFFF"/>
        </w:rPr>
        <w:t xml:space="preserve"> </w:t>
      </w:r>
      <w:r>
        <w:rPr>
          <w:rFonts w:ascii="Times New Roman" w:hAnsi="Times New Roman"/>
          <w:color w:val="252525"/>
          <w:shd w:val="clear" w:color="auto" w:fill="FFFFFF"/>
        </w:rPr>
        <w:t>a</w:t>
      </w:r>
      <w:r w:rsidRPr="00861B2E">
        <w:rPr>
          <w:rFonts w:ascii="Times New Roman" w:hAnsi="Times New Roman"/>
          <w:color w:val="252525"/>
          <w:shd w:val="clear" w:color="auto" w:fill="FFFFFF"/>
        </w:rPr>
        <w:t xml:space="preserve">gencies, </w:t>
      </w:r>
      <w:r>
        <w:rPr>
          <w:rFonts w:ascii="Times New Roman" w:hAnsi="Times New Roman"/>
          <w:color w:val="252525"/>
          <w:shd w:val="clear" w:color="auto" w:fill="FFFFFF"/>
        </w:rPr>
        <w:t xml:space="preserve">the </w:t>
      </w:r>
      <w:r w:rsidRPr="00861B2E">
        <w:rPr>
          <w:rFonts w:ascii="Times New Roman" w:hAnsi="Times New Roman"/>
          <w:color w:val="252525"/>
          <w:shd w:val="clear" w:color="auto" w:fill="FFFFFF"/>
        </w:rPr>
        <w:t xml:space="preserve">Civil Service Commission and State Committee for Family, Women and Children’s Affairs, </w:t>
      </w:r>
      <w:r>
        <w:rPr>
          <w:rFonts w:ascii="Times New Roman" w:hAnsi="Times New Roman"/>
          <w:color w:val="252525"/>
          <w:shd w:val="clear" w:color="auto" w:fill="FFFFFF"/>
        </w:rPr>
        <w:t>as well as the EU</w:t>
      </w:r>
      <w:r w:rsidRPr="00861B2E">
        <w:rPr>
          <w:rFonts w:ascii="Times New Roman" w:hAnsi="Times New Roman"/>
          <w:color w:val="252525"/>
          <w:shd w:val="clear" w:color="auto" w:fill="FFFFFF"/>
        </w:rPr>
        <w:t xml:space="preserve"> and </w:t>
      </w:r>
      <w:r>
        <w:rPr>
          <w:rFonts w:ascii="Times New Roman" w:hAnsi="Times New Roman"/>
          <w:color w:val="252525"/>
          <w:shd w:val="clear" w:color="auto" w:fill="FFFFFF"/>
        </w:rPr>
        <w:t>German Agency for International Cooperation (</w:t>
      </w:r>
      <w:r w:rsidRPr="00861B2E">
        <w:rPr>
          <w:rFonts w:ascii="Times New Roman" w:hAnsi="Times New Roman"/>
          <w:color w:val="252525"/>
          <w:shd w:val="clear" w:color="auto" w:fill="FFFFFF"/>
        </w:rPr>
        <w:t>GIZ</w:t>
      </w:r>
      <w:r>
        <w:rPr>
          <w:rFonts w:ascii="Times New Roman" w:hAnsi="Times New Roman"/>
          <w:color w:val="252525"/>
          <w:shd w:val="clear" w:color="auto" w:fill="FFFFFF"/>
        </w:rPr>
        <w:t>)</w:t>
      </w:r>
      <w:r w:rsidRPr="00861B2E">
        <w:rPr>
          <w:rFonts w:ascii="Times New Roman" w:hAnsi="Times New Roman"/>
          <w:color w:val="252525"/>
          <w:shd w:val="clear" w:color="auto" w:fill="FFFFFF"/>
        </w:rPr>
        <w:t xml:space="preserve">. </w:t>
      </w:r>
    </w:p>
    <w:p w14:paraId="5E5BDA3C" w14:textId="1DB3AB1D" w:rsidR="003A13CD" w:rsidRPr="00861B2E" w:rsidRDefault="003A13CD" w:rsidP="003A13CD">
      <w:pPr>
        <w:pStyle w:val="CommentText"/>
        <w:spacing w:after="120"/>
        <w:ind w:left="1440"/>
        <w:jc w:val="both"/>
      </w:pPr>
      <w:r>
        <w:t xml:space="preserve">27. </w:t>
      </w:r>
      <w:r w:rsidRPr="00861B2E">
        <w:t>UNDP will build on its existing partnership with the Ministry of Labo</w:t>
      </w:r>
      <w:r>
        <w:t>u</w:t>
      </w:r>
      <w:r w:rsidRPr="00861B2E">
        <w:t xml:space="preserve">r and Social Protection </w:t>
      </w:r>
      <w:r>
        <w:t xml:space="preserve">of Population </w:t>
      </w:r>
      <w:r w:rsidRPr="00861B2E">
        <w:t xml:space="preserve">to support a new </w:t>
      </w:r>
      <w:r>
        <w:t>s</w:t>
      </w:r>
      <w:r w:rsidRPr="00861B2E">
        <w:t xml:space="preserve">tate </w:t>
      </w:r>
      <w:r>
        <w:t>p</w:t>
      </w:r>
      <w:r w:rsidRPr="00861B2E">
        <w:t>rogram</w:t>
      </w:r>
      <w:r>
        <w:t>me</w:t>
      </w:r>
      <w:r w:rsidRPr="00861B2E">
        <w:t xml:space="preserve"> on </w:t>
      </w:r>
      <w:r>
        <w:t>e</w:t>
      </w:r>
      <w:r w:rsidRPr="00861B2E">
        <w:t>mployment through</w:t>
      </w:r>
      <w:r w:rsidRPr="00F93437">
        <w:t xml:space="preserve"> </w:t>
      </w:r>
      <w:r>
        <w:t>establishment of a single management information system to improve the provision of services to the population as a whole</w:t>
      </w:r>
      <w:r w:rsidR="00060460">
        <w:t xml:space="preserve">. </w:t>
      </w:r>
      <w:r>
        <w:rPr>
          <w:color w:val="252525"/>
          <w:shd w:val="clear" w:color="auto" w:fill="FFFFFF"/>
        </w:rPr>
        <w:t xml:space="preserve">The system will contribute to greater transparency and efficiency of social assistance programmes and reduce opportunities for corruption. UNDP will also support </w:t>
      </w:r>
      <w:r w:rsidRPr="00861B2E">
        <w:t>the</w:t>
      </w:r>
      <w:r w:rsidRPr="00861B2E">
        <w:rPr>
          <w:color w:val="252525"/>
          <w:shd w:val="clear" w:color="auto" w:fill="FFFFFF"/>
        </w:rPr>
        <w:t xml:space="preserve"> enhancement of implementation capacities for labo</w:t>
      </w:r>
      <w:r>
        <w:rPr>
          <w:color w:val="252525"/>
          <w:shd w:val="clear" w:color="auto" w:fill="FFFFFF"/>
        </w:rPr>
        <w:t>u</w:t>
      </w:r>
      <w:r w:rsidRPr="00861B2E">
        <w:rPr>
          <w:color w:val="252525"/>
          <w:shd w:val="clear" w:color="auto" w:fill="FFFFFF"/>
        </w:rPr>
        <w:t>r and social protection policies</w:t>
      </w:r>
      <w:r>
        <w:rPr>
          <w:color w:val="252525"/>
          <w:shd w:val="clear" w:color="auto" w:fill="FFFFFF"/>
        </w:rPr>
        <w:t xml:space="preserve">. </w:t>
      </w:r>
      <w:r w:rsidRPr="00861B2E">
        <w:rPr>
          <w:color w:val="252525"/>
          <w:shd w:val="clear" w:color="auto" w:fill="FFFFFF"/>
        </w:rPr>
        <w:t xml:space="preserve"> </w:t>
      </w:r>
    </w:p>
    <w:p w14:paraId="04D02570" w14:textId="10B84A42" w:rsidR="003A13CD" w:rsidRDefault="003A13CD" w:rsidP="003A13CD">
      <w:pPr>
        <w:pStyle w:val="Reporttext"/>
        <w:spacing w:before="0" w:after="120"/>
        <w:ind w:left="1440" w:right="4"/>
        <w:jc w:val="both"/>
        <w:rPr>
          <w:rFonts w:ascii="Times New Roman" w:hAnsi="Times New Roman"/>
          <w:color w:val="252525"/>
          <w:shd w:val="clear" w:color="auto" w:fill="FFFFFF"/>
        </w:rPr>
      </w:pPr>
      <w:r>
        <w:rPr>
          <w:rFonts w:ascii="Times New Roman" w:hAnsi="Times New Roman"/>
          <w:color w:val="252525"/>
          <w:shd w:val="clear" w:color="auto" w:fill="FFFFFF"/>
        </w:rPr>
        <w:t>28. UNDP will continue its work to increase the efficiency of t</w:t>
      </w:r>
      <w:r w:rsidRPr="00861B2E">
        <w:rPr>
          <w:rFonts w:ascii="Times New Roman" w:hAnsi="Times New Roman"/>
          <w:color w:val="252525"/>
          <w:shd w:val="clear" w:color="auto" w:fill="FFFFFF"/>
        </w:rPr>
        <w:t>he border and customs services</w:t>
      </w:r>
      <w:r>
        <w:rPr>
          <w:rFonts w:ascii="Times New Roman" w:hAnsi="Times New Roman"/>
          <w:color w:val="252525"/>
          <w:shd w:val="clear" w:color="auto" w:fill="FFFFFF"/>
        </w:rPr>
        <w:t xml:space="preserve"> through the institutionalization of</w:t>
      </w:r>
      <w:r w:rsidRPr="00861B2E">
        <w:rPr>
          <w:rFonts w:ascii="Times New Roman" w:hAnsi="Times New Roman"/>
          <w:color w:val="252525"/>
          <w:shd w:val="clear" w:color="auto" w:fill="FFFFFF"/>
        </w:rPr>
        <w:t xml:space="preserve"> the integrated border management strategy</w:t>
      </w:r>
      <w:r>
        <w:rPr>
          <w:rFonts w:ascii="Times New Roman" w:hAnsi="Times New Roman"/>
          <w:color w:val="252525"/>
          <w:shd w:val="clear" w:color="auto" w:fill="FFFFFF"/>
        </w:rPr>
        <w:t xml:space="preserve">, in particular with Georgia. </w:t>
      </w:r>
      <w:r w:rsidRPr="00861B2E">
        <w:rPr>
          <w:rFonts w:ascii="Times New Roman" w:hAnsi="Times New Roman"/>
          <w:color w:val="252525"/>
          <w:shd w:val="clear" w:color="auto" w:fill="FFFFFF"/>
        </w:rPr>
        <w:t xml:space="preserve">UNDP work under this component is aligned with the </w:t>
      </w:r>
      <w:r>
        <w:rPr>
          <w:rFonts w:ascii="Times New Roman" w:hAnsi="Times New Roman"/>
          <w:color w:val="252525"/>
          <w:shd w:val="clear" w:color="auto" w:fill="FFFFFF"/>
        </w:rPr>
        <w:t>Strategic Plan</w:t>
      </w:r>
      <w:r w:rsidRPr="00861B2E">
        <w:rPr>
          <w:rFonts w:ascii="Times New Roman" w:hAnsi="Times New Roman"/>
          <w:color w:val="252525"/>
          <w:shd w:val="clear" w:color="auto" w:fill="FFFFFF"/>
        </w:rPr>
        <w:t xml:space="preserve"> </w:t>
      </w:r>
      <w:r>
        <w:rPr>
          <w:rFonts w:ascii="Times New Roman" w:hAnsi="Times New Roman"/>
          <w:color w:val="252525"/>
          <w:shd w:val="clear" w:color="auto" w:fill="FFFFFF"/>
        </w:rPr>
        <w:t>o</w:t>
      </w:r>
      <w:r w:rsidRPr="00861B2E">
        <w:rPr>
          <w:rFonts w:ascii="Times New Roman" w:hAnsi="Times New Roman"/>
          <w:color w:val="252525"/>
          <w:shd w:val="clear" w:color="auto" w:fill="FFFFFF"/>
        </w:rPr>
        <w:t xml:space="preserve">utcome 3 as it seeks to strengthen the core government functions related to policymaking and service provision. </w:t>
      </w:r>
    </w:p>
    <w:p w14:paraId="6AD02786" w14:textId="77777777" w:rsidR="00013FC8" w:rsidRDefault="00013FC8">
      <w:pPr>
        <w:suppressAutoHyphens w:val="0"/>
        <w:spacing w:line="240" w:lineRule="auto"/>
        <w:rPr>
          <w:b/>
          <w:color w:val="252525"/>
          <w:spacing w:val="0"/>
          <w:w w:val="100"/>
          <w:kern w:val="0"/>
          <w:shd w:val="clear" w:color="auto" w:fill="FFFFFF"/>
          <w:lang w:val="en-US"/>
        </w:rPr>
      </w:pPr>
      <w:r>
        <w:rPr>
          <w:b/>
          <w:color w:val="252525"/>
          <w:shd w:val="clear" w:color="auto" w:fill="FFFFFF"/>
        </w:rPr>
        <w:br w:type="page"/>
      </w:r>
    </w:p>
    <w:p w14:paraId="4038F3E8" w14:textId="1ECE48EB" w:rsidR="003A13CD" w:rsidRDefault="003A13CD" w:rsidP="003A13CD">
      <w:pPr>
        <w:pStyle w:val="Reporttext"/>
        <w:spacing w:before="0" w:after="120"/>
        <w:ind w:left="1440" w:right="4"/>
        <w:jc w:val="both"/>
        <w:rPr>
          <w:rFonts w:ascii="Times New Roman" w:hAnsi="Times New Roman"/>
          <w:color w:val="252525"/>
          <w:shd w:val="clear" w:color="auto" w:fill="FFFFFF"/>
        </w:rPr>
      </w:pPr>
      <w:r w:rsidRPr="001A48A2">
        <w:rPr>
          <w:rFonts w:ascii="Times New Roman" w:hAnsi="Times New Roman"/>
          <w:b/>
          <w:color w:val="252525"/>
          <w:shd w:val="clear" w:color="auto" w:fill="FFFFFF"/>
        </w:rPr>
        <w:lastRenderedPageBreak/>
        <w:t xml:space="preserve">Improving </w:t>
      </w:r>
      <w:r>
        <w:rPr>
          <w:rFonts w:ascii="Times New Roman" w:hAnsi="Times New Roman"/>
          <w:b/>
          <w:color w:val="252525"/>
          <w:shd w:val="clear" w:color="auto" w:fill="FFFFFF"/>
        </w:rPr>
        <w:t>e</w:t>
      </w:r>
      <w:r w:rsidRPr="001A48A2">
        <w:rPr>
          <w:rFonts w:ascii="Times New Roman" w:hAnsi="Times New Roman"/>
          <w:b/>
          <w:color w:val="252525"/>
          <w:shd w:val="clear" w:color="auto" w:fill="FFFFFF"/>
        </w:rPr>
        <w:t>nvironment</w:t>
      </w:r>
      <w:r>
        <w:rPr>
          <w:rFonts w:ascii="Times New Roman" w:hAnsi="Times New Roman"/>
          <w:b/>
          <w:color w:val="252525"/>
          <w:shd w:val="clear" w:color="auto" w:fill="FFFFFF"/>
        </w:rPr>
        <w:t>al</w:t>
      </w:r>
      <w:r w:rsidRPr="001A48A2">
        <w:rPr>
          <w:rFonts w:ascii="Times New Roman" w:hAnsi="Times New Roman"/>
          <w:b/>
          <w:color w:val="252525"/>
          <w:shd w:val="clear" w:color="auto" w:fill="FFFFFF"/>
        </w:rPr>
        <w:t xml:space="preserve"> </w:t>
      </w:r>
      <w:r>
        <w:rPr>
          <w:rFonts w:ascii="Times New Roman" w:hAnsi="Times New Roman"/>
          <w:b/>
          <w:color w:val="252525"/>
          <w:shd w:val="clear" w:color="auto" w:fill="FFFFFF"/>
        </w:rPr>
        <w:t>m</w:t>
      </w:r>
      <w:r w:rsidRPr="001A48A2">
        <w:rPr>
          <w:rFonts w:ascii="Times New Roman" w:hAnsi="Times New Roman"/>
          <w:b/>
          <w:color w:val="252525"/>
          <w:shd w:val="clear" w:color="auto" w:fill="FFFFFF"/>
        </w:rPr>
        <w:t xml:space="preserve">anagement and </w:t>
      </w:r>
      <w:r>
        <w:rPr>
          <w:rFonts w:ascii="Times New Roman" w:hAnsi="Times New Roman"/>
          <w:b/>
          <w:color w:val="252525"/>
          <w:shd w:val="clear" w:color="auto" w:fill="FFFFFF"/>
        </w:rPr>
        <w:t>r</w:t>
      </w:r>
      <w:r w:rsidRPr="001A48A2">
        <w:rPr>
          <w:rFonts w:ascii="Times New Roman" w:hAnsi="Times New Roman"/>
          <w:b/>
          <w:color w:val="252525"/>
          <w:shd w:val="clear" w:color="auto" w:fill="FFFFFF"/>
        </w:rPr>
        <w:t xml:space="preserve">esilience to </w:t>
      </w:r>
      <w:r>
        <w:rPr>
          <w:rFonts w:ascii="Times New Roman" w:hAnsi="Times New Roman"/>
          <w:b/>
          <w:color w:val="252525"/>
          <w:shd w:val="clear" w:color="auto" w:fill="FFFFFF"/>
        </w:rPr>
        <w:t>c</w:t>
      </w:r>
      <w:r w:rsidRPr="001A48A2">
        <w:rPr>
          <w:rFonts w:ascii="Times New Roman" w:hAnsi="Times New Roman"/>
          <w:b/>
          <w:color w:val="252525"/>
          <w:shd w:val="clear" w:color="auto" w:fill="FFFFFF"/>
        </w:rPr>
        <w:t>limate-</w:t>
      </w:r>
      <w:r>
        <w:rPr>
          <w:rFonts w:ascii="Times New Roman" w:hAnsi="Times New Roman"/>
          <w:b/>
          <w:color w:val="252525"/>
          <w:shd w:val="clear" w:color="auto" w:fill="FFFFFF"/>
        </w:rPr>
        <w:t>i</w:t>
      </w:r>
      <w:r w:rsidRPr="001A48A2">
        <w:rPr>
          <w:rFonts w:ascii="Times New Roman" w:hAnsi="Times New Roman"/>
          <w:b/>
          <w:color w:val="252525"/>
          <w:shd w:val="clear" w:color="auto" w:fill="FFFFFF"/>
        </w:rPr>
        <w:t xml:space="preserve">nduced </w:t>
      </w:r>
      <w:r>
        <w:rPr>
          <w:rFonts w:ascii="Times New Roman" w:hAnsi="Times New Roman"/>
          <w:b/>
          <w:color w:val="252525"/>
          <w:shd w:val="clear" w:color="auto" w:fill="FFFFFF"/>
        </w:rPr>
        <w:t>h</w:t>
      </w:r>
      <w:r w:rsidRPr="001A48A2">
        <w:rPr>
          <w:rFonts w:ascii="Times New Roman" w:hAnsi="Times New Roman"/>
          <w:b/>
          <w:color w:val="252525"/>
          <w:shd w:val="clear" w:color="auto" w:fill="FFFFFF"/>
        </w:rPr>
        <w:t>azards</w:t>
      </w:r>
    </w:p>
    <w:p w14:paraId="63F1EA4A" w14:textId="77777777" w:rsidR="003A13CD" w:rsidRPr="00FF7F2F" w:rsidRDefault="003A13CD" w:rsidP="003A13CD">
      <w:pPr>
        <w:pStyle w:val="NoSpacing"/>
        <w:spacing w:after="120"/>
        <w:ind w:left="1440"/>
        <w:jc w:val="both"/>
      </w:pPr>
      <w:r w:rsidRPr="00572178">
        <w:t>29.</w:t>
      </w:r>
      <w:r w:rsidRPr="00FF7F2F">
        <w:rPr>
          <w:b/>
          <w:i/>
        </w:rPr>
        <w:t xml:space="preserve"> </w:t>
      </w:r>
      <w:r w:rsidRPr="00FF7F2F">
        <w:t xml:space="preserve">UNDP will focus on </w:t>
      </w:r>
      <w:r>
        <w:t xml:space="preserve">designing and implementing integrated approaches to management of natural resources that constitute a source of livelihood for local communities. To this end, UNDP will empower local communities to participate in decision-making related to pasture and forest management through the establishment of associations of pasture users and farmers; improve the livelihoods of communities engaged in pastoralism by supporting pasture restoration measures; and provide alternative income-generation opportunities (e.g., tree nursery, beekeeping). Farmers’ livelihoods will be further strengthened though provision of opportunities for initiating/expanding agro-businesses using local crop varieties. The scalability of the pilots will be ensured through changes in the legal and policy frameworks. </w:t>
      </w:r>
    </w:p>
    <w:p w14:paraId="52B5FF02" w14:textId="09058DD6" w:rsidR="003A13CD" w:rsidRPr="00FF7F2F" w:rsidRDefault="003A13CD" w:rsidP="003A13CD">
      <w:pPr>
        <w:pStyle w:val="Reporttext"/>
        <w:spacing w:before="0" w:after="120"/>
        <w:ind w:left="1440" w:right="4"/>
        <w:jc w:val="both"/>
        <w:rPr>
          <w:rFonts w:ascii="Times New Roman" w:hAnsi="Times New Roman"/>
        </w:rPr>
      </w:pPr>
      <w:r>
        <w:rPr>
          <w:rFonts w:ascii="Times New Roman" w:hAnsi="Times New Roman"/>
        </w:rPr>
        <w:t xml:space="preserve">30. </w:t>
      </w:r>
      <w:r w:rsidRPr="00FF7F2F">
        <w:rPr>
          <w:rFonts w:ascii="Times New Roman" w:hAnsi="Times New Roman"/>
        </w:rPr>
        <w:t xml:space="preserve">UNDP will target the vulnerable mountainous </w:t>
      </w:r>
      <w:r w:rsidR="00436F8A">
        <w:rPr>
          <w:rFonts w:ascii="Times New Roman" w:hAnsi="Times New Roman"/>
        </w:rPr>
        <w:t>villages</w:t>
      </w:r>
      <w:r w:rsidRPr="00FF7F2F">
        <w:rPr>
          <w:rFonts w:ascii="Times New Roman" w:hAnsi="Times New Roman"/>
        </w:rPr>
        <w:t xml:space="preserve">, rural communities living in arid and semi-arid landscapes and communities along the Caspian Sea coast that are most severely affected by the negative consequences of land degradation, deforestation and </w:t>
      </w:r>
      <w:r>
        <w:rPr>
          <w:rFonts w:ascii="Times New Roman" w:hAnsi="Times New Roman"/>
        </w:rPr>
        <w:t xml:space="preserve">biodiversity loss. </w:t>
      </w:r>
    </w:p>
    <w:p w14:paraId="2B04DFAC" w14:textId="60B1D2AF" w:rsidR="003A13CD" w:rsidRPr="00FF7F2F" w:rsidRDefault="003A13CD" w:rsidP="003A13CD">
      <w:pPr>
        <w:pStyle w:val="NoSpacing"/>
        <w:spacing w:after="120"/>
        <w:ind w:left="1440"/>
        <w:jc w:val="both"/>
      </w:pPr>
      <w:r>
        <w:t>31</w:t>
      </w:r>
      <w:r w:rsidRPr="00FF7F2F">
        <w:t xml:space="preserve">. </w:t>
      </w:r>
      <w:r>
        <w:t>UNDP will support climate-resilient and</w:t>
      </w:r>
      <w:r w:rsidRPr="00BA7095">
        <w:t xml:space="preserve"> low-emission development by promoting </w:t>
      </w:r>
      <w:r>
        <w:t xml:space="preserve">adaptation and </w:t>
      </w:r>
      <w:r w:rsidRPr="00BA7095">
        <w:t>mitigation measures</w:t>
      </w:r>
      <w:r>
        <w:t>. Specifically, UNDP will strengthen community resilience to climate-induced floods through establishment of an early warning system and implementation of a gender-sensitive disaster preparedness programme addressing specific vulnerabilities of men and women. UNDP will also support the design and implementation of mitigation actions</w:t>
      </w:r>
      <w:r w:rsidRPr="00BA7095">
        <w:t xml:space="preserve"> in the </w:t>
      </w:r>
      <w:r>
        <w:t>energy sector including a green buildings programme and energy efficient transportation</w:t>
      </w:r>
      <w:r w:rsidRPr="00FF7F2F">
        <w:t>. UNDP will</w:t>
      </w:r>
      <w:r>
        <w:t xml:space="preserve"> </w:t>
      </w:r>
      <w:r w:rsidRPr="00FF7F2F">
        <w:t xml:space="preserve">advocate for and support the strengthening of </w:t>
      </w:r>
      <w:r>
        <w:t>monitoring and evaluation</w:t>
      </w:r>
      <w:r w:rsidRPr="00FF7F2F">
        <w:t xml:space="preserve"> capacities and frameworks, especially for carbon monitoring. UNDP will support Azerbaijan in addressing data gaps, developing methodologies for carbon monitoring, establishing carbon flow protocols and preparing evidence-based reports to the </w:t>
      </w:r>
      <w:r w:rsidRPr="003B6DBF">
        <w:t>United Nations Framework Convention on Climate Change </w:t>
      </w:r>
      <w:r>
        <w:t>secretariat</w:t>
      </w:r>
      <w:r w:rsidRPr="00FF7F2F">
        <w:t xml:space="preserve">. </w:t>
      </w:r>
      <w:r w:rsidR="00F664D7">
        <w:t xml:space="preserve">UNDP will also support </w:t>
      </w:r>
      <w:r w:rsidR="00D30E61">
        <w:t xml:space="preserve">the </w:t>
      </w:r>
      <w:r w:rsidR="00F664D7">
        <w:t>development of a strategic plan on efficient use of energy resources, end-user energy efficiency an</w:t>
      </w:r>
      <w:r w:rsidR="00D94016">
        <w:t>d use of alternative energy sources</w:t>
      </w:r>
      <w:r w:rsidR="00F664D7">
        <w:t xml:space="preserve"> for the </w:t>
      </w:r>
      <w:r w:rsidR="00E53E18">
        <w:t xml:space="preserve">next </w:t>
      </w:r>
      <w:r w:rsidR="00F664D7">
        <w:t>15-20 years and identification of the related results and indicators.</w:t>
      </w:r>
    </w:p>
    <w:p w14:paraId="75058B32" w14:textId="77777777" w:rsidR="003A13CD" w:rsidRPr="00FF7F2F" w:rsidRDefault="003A13CD" w:rsidP="003A13CD">
      <w:pPr>
        <w:pStyle w:val="Reporttext"/>
        <w:tabs>
          <w:tab w:val="left" w:pos="9356"/>
        </w:tabs>
        <w:spacing w:before="0" w:after="120"/>
        <w:ind w:left="1440" w:right="4"/>
        <w:jc w:val="both"/>
        <w:rPr>
          <w:rFonts w:ascii="Times New Roman" w:hAnsi="Times New Roman"/>
        </w:rPr>
      </w:pPr>
      <w:r>
        <w:rPr>
          <w:rFonts w:ascii="Times New Roman" w:hAnsi="Times New Roman"/>
        </w:rPr>
        <w:t>32</w:t>
      </w:r>
      <w:r w:rsidRPr="00FF7F2F">
        <w:rPr>
          <w:rFonts w:ascii="Times New Roman" w:hAnsi="Times New Roman"/>
        </w:rPr>
        <w:t xml:space="preserve">. Critical to the achievement of the objectives under this component will be multiple partnerships including with Ministry of Ecology and Natural Resources, Ministry of Agriculture, Ministry of Transport, </w:t>
      </w:r>
      <w:r>
        <w:rPr>
          <w:rFonts w:ascii="Times New Roman" w:hAnsi="Times New Roman"/>
        </w:rPr>
        <w:t>Baku International Sea Trade Port</w:t>
      </w:r>
      <w:r w:rsidRPr="00FF7F2F">
        <w:rPr>
          <w:rFonts w:ascii="Times New Roman" w:hAnsi="Times New Roman"/>
        </w:rPr>
        <w:t>,</w:t>
      </w:r>
      <w:r>
        <w:rPr>
          <w:rFonts w:ascii="Times New Roman" w:hAnsi="Times New Roman"/>
        </w:rPr>
        <w:t xml:space="preserve"> State Maritime Administration,</w:t>
      </w:r>
      <w:r w:rsidRPr="00FF7F2F">
        <w:rPr>
          <w:rFonts w:ascii="Times New Roman" w:hAnsi="Times New Roman"/>
        </w:rPr>
        <w:t xml:space="preserve"> State Oil Company of Azerbaijan, local authorities and community-based organizations. </w:t>
      </w:r>
    </w:p>
    <w:p w14:paraId="70B9E277" w14:textId="77777777" w:rsidR="003A13CD" w:rsidRPr="00FF7F2F" w:rsidRDefault="003A13CD" w:rsidP="003A13CD">
      <w:pPr>
        <w:pStyle w:val="Reporttext"/>
        <w:spacing w:before="0" w:after="120"/>
        <w:ind w:left="1440" w:right="4"/>
        <w:jc w:val="both"/>
        <w:rPr>
          <w:rFonts w:ascii="Times New Roman" w:hAnsi="Times New Roman"/>
        </w:rPr>
      </w:pPr>
      <w:r>
        <w:rPr>
          <w:rFonts w:ascii="Times New Roman" w:hAnsi="Times New Roman"/>
        </w:rPr>
        <w:t>33</w:t>
      </w:r>
      <w:r w:rsidRPr="00FF7F2F">
        <w:rPr>
          <w:rFonts w:ascii="Times New Roman" w:hAnsi="Times New Roman"/>
        </w:rPr>
        <w:t xml:space="preserve">. </w:t>
      </w:r>
      <w:r>
        <w:rPr>
          <w:rFonts w:ascii="Times New Roman" w:hAnsi="Times New Roman"/>
        </w:rPr>
        <w:t xml:space="preserve">The </w:t>
      </w:r>
      <w:r w:rsidRPr="00FF7F2F">
        <w:rPr>
          <w:rFonts w:ascii="Times New Roman" w:hAnsi="Times New Roman"/>
        </w:rPr>
        <w:t xml:space="preserve">UNDP contribution under this programme component is fully aligned with </w:t>
      </w:r>
      <w:r>
        <w:rPr>
          <w:rFonts w:ascii="Times New Roman" w:hAnsi="Times New Roman"/>
        </w:rPr>
        <w:t>Strategic Plan</w:t>
      </w:r>
      <w:r w:rsidRPr="00FF7F2F">
        <w:rPr>
          <w:rFonts w:ascii="Times New Roman" w:hAnsi="Times New Roman"/>
        </w:rPr>
        <w:t xml:space="preserve"> </w:t>
      </w:r>
      <w:r>
        <w:rPr>
          <w:rFonts w:ascii="Times New Roman" w:hAnsi="Times New Roman"/>
        </w:rPr>
        <w:t>o</w:t>
      </w:r>
      <w:r w:rsidRPr="00FF7F2F">
        <w:rPr>
          <w:rFonts w:ascii="Times New Roman" w:hAnsi="Times New Roman"/>
        </w:rPr>
        <w:t xml:space="preserve">utcome 1 as it supports development of solutions for innovative management of natural resources and enables scaling-up </w:t>
      </w:r>
      <w:r>
        <w:rPr>
          <w:rFonts w:ascii="Times New Roman" w:hAnsi="Times New Roman"/>
        </w:rPr>
        <w:t xml:space="preserve">of </w:t>
      </w:r>
      <w:r w:rsidRPr="00FF7F2F">
        <w:rPr>
          <w:rFonts w:ascii="Times New Roman" w:hAnsi="Times New Roman"/>
        </w:rPr>
        <w:t xml:space="preserve">actions on climate change mitigation and adaptation, and also relates to </w:t>
      </w:r>
      <w:r>
        <w:rPr>
          <w:rFonts w:ascii="Times New Roman" w:hAnsi="Times New Roman"/>
        </w:rPr>
        <w:t>o</w:t>
      </w:r>
      <w:r w:rsidRPr="00FF7F2F">
        <w:rPr>
          <w:rFonts w:ascii="Times New Roman" w:hAnsi="Times New Roman"/>
        </w:rPr>
        <w:t xml:space="preserve">utcome 5 as regards the dimension on preparedness for climate-induced natural hazards.   </w:t>
      </w:r>
    </w:p>
    <w:p w14:paraId="2631DF40" w14:textId="77777777" w:rsidR="003A13CD" w:rsidRPr="00642BE1" w:rsidRDefault="003A13CD" w:rsidP="003A13CD">
      <w:pPr>
        <w:pStyle w:val="Reporttext"/>
        <w:spacing w:before="0"/>
        <w:ind w:left="1440" w:right="4"/>
        <w:jc w:val="both"/>
        <w:rPr>
          <w:rFonts w:ascii="Times New Roman" w:hAnsi="Times New Roman"/>
          <w:color w:val="252525"/>
          <w:shd w:val="clear" w:color="auto" w:fill="FFFFFF"/>
        </w:rPr>
      </w:pPr>
      <w:r>
        <w:rPr>
          <w:rFonts w:ascii="Times New Roman" w:hAnsi="Times New Roman"/>
        </w:rPr>
        <w:t>34. Under each Strategic Plan outcome area, UNDP will continue its advocacy for Azerbaijan to play a more active role in development cooperation. UNDP plans to undertake an analysis of Azerbaijan’s past experiences with South-South and triangular cooperation to assess the country’s capacity and potential to contribute to development cooperation, identify and document specific areas of excellence,</w:t>
      </w:r>
      <w:r w:rsidRPr="00C33A22">
        <w:rPr>
          <w:rFonts w:ascii="Times New Roman" w:hAnsi="Times New Roman"/>
        </w:rPr>
        <w:t xml:space="preserve"> </w:t>
      </w:r>
      <w:r>
        <w:rPr>
          <w:rFonts w:ascii="Times New Roman" w:hAnsi="Times New Roman"/>
        </w:rPr>
        <w:t xml:space="preserve">and propose new business models for knowledge sharing through this cooperation. Entry points may include demining and youth policies (under outcome 1); e-governance and the ASAN model for public service delivery (under outcome 2); and land management and low-emission development (under outcome 3). To help Azerbaijan enhance its capacities as an emerging donor, UNDP will advocate for and support the establishment of effective mechanisms to manage development aid, e.g., trust fund. The new country programme will treat South-South and triangular cooperation as a cross-cutting issue aligned with Strategic Plan outcome 7. </w:t>
      </w:r>
    </w:p>
    <w:p w14:paraId="624E6301" w14:textId="77777777" w:rsidR="003A13CD" w:rsidRPr="0001615F" w:rsidRDefault="003A13CD" w:rsidP="003A13CD">
      <w:pPr>
        <w:ind w:left="1627" w:right="1267"/>
        <w:jc w:val="both"/>
        <w:rPr>
          <w:color w:val="000000"/>
          <w:sz w:val="18"/>
          <w:szCs w:val="18"/>
        </w:rPr>
      </w:pPr>
    </w:p>
    <w:p w14:paraId="74390583" w14:textId="77777777" w:rsidR="003A13CD" w:rsidRPr="003C26C1" w:rsidRDefault="003A13CD" w:rsidP="003A13CD">
      <w:pPr>
        <w:pStyle w:val="Heading1"/>
        <w:tabs>
          <w:tab w:val="left" w:pos="1440"/>
        </w:tabs>
        <w:spacing w:after="120"/>
        <w:ind w:left="1267" w:right="1267" w:hanging="277"/>
        <w:jc w:val="both"/>
        <w:rPr>
          <w:rFonts w:ascii="Times New Roman" w:hAnsi="Times New Roman"/>
          <w:color w:val="000000"/>
          <w:sz w:val="20"/>
        </w:rPr>
      </w:pPr>
      <w:r w:rsidRPr="003C26C1">
        <w:rPr>
          <w:rFonts w:ascii="Times New Roman" w:hAnsi="Times New Roman"/>
          <w:color w:val="000000"/>
          <w:sz w:val="24"/>
          <w:szCs w:val="24"/>
        </w:rPr>
        <w:t>III.</w:t>
      </w:r>
      <w:r>
        <w:rPr>
          <w:rFonts w:ascii="Times New Roman" w:hAnsi="Times New Roman"/>
          <w:color w:val="000000"/>
          <w:sz w:val="24"/>
          <w:szCs w:val="24"/>
        </w:rPr>
        <w:tab/>
      </w:r>
      <w:r w:rsidRPr="003C26C1">
        <w:rPr>
          <w:rFonts w:ascii="Times New Roman" w:hAnsi="Times New Roman"/>
          <w:color w:val="000000"/>
          <w:sz w:val="24"/>
          <w:szCs w:val="24"/>
        </w:rPr>
        <w:t>Progra</w:t>
      </w:r>
      <w:r>
        <w:rPr>
          <w:rFonts w:ascii="Times New Roman" w:hAnsi="Times New Roman"/>
          <w:color w:val="000000"/>
          <w:sz w:val="24"/>
          <w:szCs w:val="24"/>
        </w:rPr>
        <w:t>m</w:t>
      </w:r>
      <w:r w:rsidRPr="003C26C1">
        <w:rPr>
          <w:rFonts w:ascii="Times New Roman" w:hAnsi="Times New Roman"/>
          <w:color w:val="000000"/>
          <w:sz w:val="24"/>
          <w:szCs w:val="24"/>
        </w:rPr>
        <w:t>m</w:t>
      </w:r>
      <w:r>
        <w:rPr>
          <w:rFonts w:ascii="Times New Roman" w:hAnsi="Times New Roman"/>
          <w:color w:val="000000"/>
          <w:sz w:val="24"/>
          <w:szCs w:val="24"/>
        </w:rPr>
        <w:t>e</w:t>
      </w:r>
      <w:r w:rsidRPr="003C26C1">
        <w:rPr>
          <w:rFonts w:ascii="Times New Roman" w:hAnsi="Times New Roman"/>
          <w:color w:val="000000"/>
          <w:sz w:val="24"/>
          <w:szCs w:val="24"/>
        </w:rPr>
        <w:t xml:space="preserve"> and </w:t>
      </w:r>
      <w:r>
        <w:rPr>
          <w:rFonts w:ascii="Times New Roman" w:hAnsi="Times New Roman"/>
          <w:color w:val="000000"/>
          <w:sz w:val="24"/>
          <w:szCs w:val="24"/>
        </w:rPr>
        <w:t>r</w:t>
      </w:r>
      <w:r w:rsidRPr="003C26C1">
        <w:rPr>
          <w:rFonts w:ascii="Times New Roman" w:hAnsi="Times New Roman"/>
          <w:color w:val="000000"/>
          <w:sz w:val="24"/>
          <w:szCs w:val="24"/>
        </w:rPr>
        <w:t xml:space="preserve">isk </w:t>
      </w:r>
      <w:r>
        <w:rPr>
          <w:rFonts w:ascii="Times New Roman" w:hAnsi="Times New Roman"/>
          <w:color w:val="000000"/>
          <w:sz w:val="24"/>
          <w:szCs w:val="24"/>
        </w:rPr>
        <w:t>ma</w:t>
      </w:r>
      <w:r w:rsidRPr="003C26C1">
        <w:rPr>
          <w:rFonts w:ascii="Times New Roman" w:hAnsi="Times New Roman"/>
          <w:color w:val="000000"/>
          <w:sz w:val="24"/>
          <w:szCs w:val="24"/>
        </w:rPr>
        <w:t xml:space="preserve">nagement </w:t>
      </w:r>
    </w:p>
    <w:p w14:paraId="4A955EDC" w14:textId="77777777" w:rsidR="003A13CD" w:rsidRPr="00BC26CC" w:rsidRDefault="003A13CD" w:rsidP="003A13CD">
      <w:pPr>
        <w:pStyle w:val="ListParagraph"/>
        <w:spacing w:after="120" w:line="226" w:lineRule="exact"/>
        <w:ind w:left="1440" w:right="4"/>
        <w:jc w:val="both"/>
      </w:pPr>
      <w:r>
        <w:rPr>
          <w:color w:val="000000"/>
        </w:rPr>
        <w:t xml:space="preserve">35. </w:t>
      </w:r>
      <w:r w:rsidRPr="003C26C1">
        <w:rPr>
          <w:color w:val="000000"/>
        </w:rPr>
        <w:t>This country program</w:t>
      </w:r>
      <w:r>
        <w:rPr>
          <w:color w:val="000000"/>
        </w:rPr>
        <w:t>me</w:t>
      </w:r>
      <w:r w:rsidRPr="003C26C1">
        <w:rPr>
          <w:color w:val="000000"/>
        </w:rPr>
        <w:t xml:space="preserve"> document outlines </w:t>
      </w:r>
      <w:r>
        <w:rPr>
          <w:color w:val="000000"/>
        </w:rPr>
        <w:t xml:space="preserve">the </w:t>
      </w:r>
      <w:r w:rsidRPr="003C26C1">
        <w:rPr>
          <w:color w:val="000000"/>
        </w:rPr>
        <w:t>UNDP contributions to national results and serves as the primary unit of accountability to the Executive Board for results alignment and resources assigned to the program</w:t>
      </w:r>
      <w:r>
        <w:rPr>
          <w:color w:val="000000"/>
        </w:rPr>
        <w:t>me</w:t>
      </w:r>
      <w:r w:rsidRPr="003C26C1">
        <w:rPr>
          <w:color w:val="000000"/>
        </w:rPr>
        <w:t xml:space="preserve"> at country level. Accountabilities of managers at the </w:t>
      </w:r>
      <w:r w:rsidRPr="00BC26CC">
        <w:t xml:space="preserve">country, regional and headquarter </w:t>
      </w:r>
      <w:r w:rsidRPr="00BC26CC">
        <w:lastRenderedPageBreak/>
        <w:t>levels with respect to country program</w:t>
      </w:r>
      <w:r>
        <w:t>me</w:t>
      </w:r>
      <w:r w:rsidRPr="00BC26CC">
        <w:t xml:space="preserve">s is prescribed in the organization’s </w:t>
      </w:r>
      <w:r w:rsidRPr="00FB0AD1">
        <w:t>programme and operations policies and procedures</w:t>
      </w:r>
      <w:r w:rsidRPr="00BC26CC">
        <w:t xml:space="preserve"> and the </w:t>
      </w:r>
      <w:r w:rsidRPr="00FB0AD1">
        <w:t>internal controls framework</w:t>
      </w:r>
      <w:r w:rsidRPr="00BC26CC">
        <w:t>.</w:t>
      </w:r>
    </w:p>
    <w:p w14:paraId="5F6509E4" w14:textId="77777777" w:rsidR="003A13CD" w:rsidRDefault="003A13CD" w:rsidP="003A13CD">
      <w:pPr>
        <w:pStyle w:val="ListParagraph"/>
        <w:spacing w:after="120" w:line="226" w:lineRule="exact"/>
        <w:ind w:left="1440" w:right="4"/>
        <w:jc w:val="both"/>
        <w:rPr>
          <w:color w:val="000000"/>
        </w:rPr>
      </w:pPr>
      <w:r>
        <w:rPr>
          <w:color w:val="000000"/>
        </w:rPr>
        <w:t xml:space="preserve">36. The UNDP government coordinating authority will be the Cabinet of Ministers. </w:t>
      </w:r>
      <w:r>
        <w:t>To further strengthen national ownership, the goal of mobilizing substantial government cost-sharing will be maintained and national implementation will remain the preferred modality for the new programme,</w:t>
      </w:r>
      <w:r w:rsidRPr="00EF09F4">
        <w:rPr>
          <w:rStyle w:val="yiv4336471751"/>
          <w:color w:val="000000"/>
        </w:rPr>
        <w:t xml:space="preserve"> </w:t>
      </w:r>
      <w:r>
        <w:rPr>
          <w:rStyle w:val="yiv4336471751"/>
          <w:color w:val="000000"/>
        </w:rPr>
        <w:t xml:space="preserve">to be replaced if needed by direct execution for part or all of a programme to enable response to any </w:t>
      </w:r>
      <w:r w:rsidRPr="002C0385">
        <w:rPr>
          <w:rStyle w:val="yiv4336471751"/>
          <w:color w:val="000000"/>
        </w:rPr>
        <w:t>force majeure</w:t>
      </w:r>
      <w:r>
        <w:rPr>
          <w:rStyle w:val="yiv4336471751"/>
          <w:color w:val="000000"/>
        </w:rPr>
        <w:t>.</w:t>
      </w:r>
      <w:r>
        <w:t xml:space="preserve"> At their request, </w:t>
      </w:r>
      <w:r>
        <w:rPr>
          <w:color w:val="000000"/>
        </w:rPr>
        <w:t xml:space="preserve">UNDP will continue to provide support services to government agencies implementing the projects. UNDP will also establish steering committees for each project that include representatives of government and international partners, thus ensuring mutual accountability. </w:t>
      </w:r>
    </w:p>
    <w:p w14:paraId="42396637" w14:textId="351F05A3" w:rsidR="003A13CD" w:rsidRDefault="003A13CD" w:rsidP="003A13CD">
      <w:pPr>
        <w:pStyle w:val="ListParagraph"/>
        <w:spacing w:line="226" w:lineRule="exact"/>
        <w:ind w:left="1440"/>
        <w:jc w:val="both"/>
        <w:rPr>
          <w:color w:val="000000"/>
        </w:rPr>
      </w:pPr>
      <w:r>
        <w:rPr>
          <w:color w:val="000000"/>
        </w:rPr>
        <w:t xml:space="preserve">37. The principal assumption for successful country programme implementation is continued commitment of state actors to the goals and targets proclaimed in Vision 2020 and openness to the public reform process. A key risk for the UNDP programme includes financial volatility in Azerbaijan. The national currency was devalued in February 2015 following falling oil prices and further volatility is expected. </w:t>
      </w:r>
      <w:r w:rsidRPr="00C3368A">
        <w:rPr>
          <w:rStyle w:val="Emphasis"/>
        </w:rPr>
        <w:t>Other</w:t>
      </w:r>
      <w:r>
        <w:rPr>
          <w:color w:val="000000"/>
        </w:rPr>
        <w:t xml:space="preserve"> factors include decreasing regular resources for programme and management purposes and continued decline of traditional inflows of official development assistance, given the country’s upper middle-income status. UNDP will seek to mitigate these risks by monitoring the fiscal situation, implementing the office sustainability plan and increasing resource mobilization efforts with the Government of Azerbaijan, vertical funds, EU, World Bank and emerging funds such as the Green Climate Fund. Subject to availability of additional funding and partnerships, UNDP will seek to be more ambitious in delivering additional gender results and promoting sustainable livelihoods and green jobs.</w:t>
      </w:r>
      <w:r>
        <w:rPr>
          <w:color w:val="000000"/>
          <w:lang w:val="en-GB"/>
        </w:rPr>
        <w:t xml:space="preserve"> Communication of development results will be strengthened to facilitate mobilization of other (non-core) resources. Sustainability plans and the coping strategy for the office will be monitored regularly to mitigate the consequences in the unlikely case of the resource mobilization targets not being achieved. </w:t>
      </w:r>
    </w:p>
    <w:p w14:paraId="2F132585" w14:textId="77777777" w:rsidR="003A13CD" w:rsidRPr="003C26C1" w:rsidRDefault="003A13CD" w:rsidP="003A13CD">
      <w:pPr>
        <w:pStyle w:val="ListParagraph"/>
        <w:ind w:left="1440" w:right="1210"/>
        <w:jc w:val="both"/>
        <w:rPr>
          <w:color w:val="000000"/>
        </w:rPr>
      </w:pPr>
      <w:r w:rsidRPr="008C01FB">
        <w:rPr>
          <w:color w:val="000000"/>
          <w:lang w:val="en-GB"/>
        </w:rPr>
        <w:tab/>
      </w:r>
    </w:p>
    <w:p w14:paraId="0C933B7B" w14:textId="77777777" w:rsidR="003A13CD" w:rsidRPr="003C26C1" w:rsidRDefault="003A13CD" w:rsidP="003A13CD">
      <w:pPr>
        <w:pStyle w:val="Heading1"/>
        <w:tabs>
          <w:tab w:val="left" w:pos="1800"/>
        </w:tabs>
        <w:ind w:left="1267" w:right="1267" w:hanging="277"/>
        <w:jc w:val="both"/>
        <w:rPr>
          <w:rFonts w:ascii="Times New Roman" w:hAnsi="Times New Roman"/>
          <w:color w:val="000000"/>
          <w:sz w:val="24"/>
          <w:szCs w:val="24"/>
        </w:rPr>
      </w:pPr>
      <w:r w:rsidRPr="003C26C1">
        <w:rPr>
          <w:rFonts w:ascii="Times New Roman" w:hAnsi="Times New Roman"/>
          <w:color w:val="000000"/>
          <w:sz w:val="24"/>
          <w:szCs w:val="24"/>
        </w:rPr>
        <w:t xml:space="preserve">IV. Monitoring and </w:t>
      </w:r>
      <w:r>
        <w:rPr>
          <w:rFonts w:ascii="Times New Roman" w:hAnsi="Times New Roman"/>
          <w:color w:val="000000"/>
          <w:sz w:val="24"/>
          <w:szCs w:val="24"/>
        </w:rPr>
        <w:t>e</w:t>
      </w:r>
      <w:r w:rsidRPr="003C26C1">
        <w:rPr>
          <w:rFonts w:ascii="Times New Roman" w:hAnsi="Times New Roman"/>
          <w:color w:val="000000"/>
          <w:sz w:val="24"/>
          <w:szCs w:val="24"/>
        </w:rPr>
        <w:t>valuation</w:t>
      </w:r>
    </w:p>
    <w:p w14:paraId="075DA133" w14:textId="77777777" w:rsidR="003A13CD" w:rsidRPr="00572178" w:rsidRDefault="003A13CD" w:rsidP="003A13CD">
      <w:pPr>
        <w:pStyle w:val="Heading1"/>
        <w:tabs>
          <w:tab w:val="left" w:pos="1800"/>
        </w:tabs>
        <w:ind w:left="1267" w:right="1267"/>
        <w:jc w:val="both"/>
        <w:rPr>
          <w:rFonts w:ascii="Times New Roman" w:hAnsi="Times New Roman"/>
          <w:b w:val="0"/>
          <w:color w:val="000000"/>
          <w:sz w:val="16"/>
          <w:szCs w:val="16"/>
        </w:rPr>
      </w:pPr>
    </w:p>
    <w:p w14:paraId="2DFDC7E4" w14:textId="77777777" w:rsidR="003A13CD" w:rsidRDefault="003A13CD" w:rsidP="003A13CD">
      <w:pPr>
        <w:pStyle w:val="SingleTxt"/>
        <w:spacing w:line="226" w:lineRule="exact"/>
        <w:ind w:left="1440" w:right="0"/>
      </w:pPr>
      <w:r>
        <w:t xml:space="preserve">38. As stated above, the new country programme is aligned with the UNAPF, UNDP Strategic Plan and Azerbaijan Vision 2020 and will make extensive use of the monitoring and evaluation mechanisms embedded in these documents for assessing the progress towards achievement of the stated outcomes. </w:t>
      </w:r>
    </w:p>
    <w:p w14:paraId="7BEA4FAA" w14:textId="77777777" w:rsidR="003A13CD" w:rsidRDefault="003A13CD" w:rsidP="003A13CD">
      <w:pPr>
        <w:pStyle w:val="SingleTxt"/>
        <w:spacing w:line="226" w:lineRule="exact"/>
        <w:ind w:left="1440" w:right="0"/>
      </w:pPr>
      <w:r>
        <w:t xml:space="preserve">39. Given that UNDP country office does not have a dedicated focal point for monitoring and evaluation, it will rely on the support of the </w:t>
      </w:r>
      <w:r w:rsidRPr="00926CBB">
        <w:rPr>
          <w:lang w:val="en-US"/>
        </w:rPr>
        <w:t>monitoring and evaluation</w:t>
      </w:r>
      <w:r>
        <w:t xml:space="preserve"> group established as part of UNAPF process to support design of the results and resources framework, and will continue to help in monitoring progress towards the UNAPF and country programme outcomes. </w:t>
      </w:r>
    </w:p>
    <w:p w14:paraId="66FF24CA" w14:textId="77777777" w:rsidR="003A13CD" w:rsidRPr="00C5517D" w:rsidRDefault="003A13CD" w:rsidP="003A13CD">
      <w:pPr>
        <w:pStyle w:val="SingleTxt"/>
        <w:spacing w:line="226" w:lineRule="exact"/>
        <w:ind w:left="1440" w:right="0"/>
        <w:rPr>
          <w:spacing w:val="2"/>
        </w:rPr>
      </w:pPr>
      <w:r w:rsidRPr="00C5517D">
        <w:rPr>
          <w:spacing w:val="2"/>
        </w:rPr>
        <w:t>40. To the extent possible, the UNDP country programme framework will be monitored using existing national performance monitoring tools and evidence-based data available from national sources, complemented by international sources when required.</w:t>
      </w:r>
    </w:p>
    <w:p w14:paraId="65335949" w14:textId="77777777" w:rsidR="003A13CD" w:rsidRDefault="003A13CD" w:rsidP="003A13CD">
      <w:pPr>
        <w:pStyle w:val="SingleTxt"/>
        <w:spacing w:line="226" w:lineRule="exact"/>
        <w:ind w:left="1440" w:right="0"/>
      </w:pPr>
      <w:r>
        <w:t xml:space="preserve">41. UNDP Azerbaijan will conduct monitoring and evaluation at two levels. At the output level, UNDP will engage different tools to track progress towards project objectives and to assess to what extent these objectives contribute to the development of national capacities. </w:t>
      </w:r>
    </w:p>
    <w:p w14:paraId="7DF521AE" w14:textId="77777777" w:rsidR="003A13CD" w:rsidRDefault="003A13CD" w:rsidP="003A13CD">
      <w:pPr>
        <w:pStyle w:val="SingleTxt"/>
        <w:spacing w:line="226" w:lineRule="exact"/>
        <w:ind w:left="1440" w:right="0"/>
      </w:pPr>
      <w:r>
        <w:t>42. At the programme level, UNDP will conduct at least one evaluation per outcome to ensure their effective contribution to national development objectives and the post-2015 agenda. The findings of UNDP outcome evaluations will inform the UNAPF annual reviews and evaluation.</w:t>
      </w:r>
    </w:p>
    <w:p w14:paraId="4019FA16" w14:textId="77777777" w:rsidR="00797A72" w:rsidRDefault="00797A72" w:rsidP="00797A72">
      <w:pPr>
        <w:pStyle w:val="SingleTxt"/>
        <w:rPr>
          <w:lang w:val="es-ES"/>
        </w:rPr>
      </w:pPr>
    </w:p>
    <w:p w14:paraId="3F9BEACB" w14:textId="77777777" w:rsidR="00250693" w:rsidRDefault="00250693" w:rsidP="00797A72">
      <w:pPr>
        <w:pStyle w:val="SingleTxt"/>
        <w:rPr>
          <w:lang w:val="es-ES"/>
        </w:rPr>
        <w:sectPr w:rsidR="00250693" w:rsidSect="0019448E">
          <w:endnotePr>
            <w:numFmt w:val="decimal"/>
          </w:endnotePr>
          <w:type w:val="continuous"/>
          <w:pgSz w:w="12240" w:h="15840" w:code="1"/>
          <w:pgMar w:top="1742" w:right="1200" w:bottom="1898" w:left="1200" w:header="576" w:footer="1030" w:gutter="0"/>
          <w:pgNumType w:start="1"/>
          <w:cols w:space="720"/>
          <w:noEndnote/>
          <w:docGrid w:linePitch="278"/>
        </w:sectPr>
      </w:pPr>
    </w:p>
    <w:p w14:paraId="5B8B4E8D" w14:textId="77777777" w:rsidR="00161F08" w:rsidRPr="00832F7F" w:rsidRDefault="00161F08" w:rsidP="00161F08">
      <w:pPr>
        <w:pStyle w:val="Heading4"/>
        <w:spacing w:after="120"/>
        <w:rPr>
          <w:rFonts w:ascii="Times New Roman" w:hAnsi="Times New Roman"/>
          <w:bCs w:val="0"/>
          <w:i w:val="0"/>
          <w:color w:val="000000"/>
          <w:sz w:val="24"/>
          <w:szCs w:val="24"/>
        </w:rPr>
      </w:pPr>
      <w:r w:rsidRPr="00832F7F">
        <w:rPr>
          <w:rFonts w:ascii="Times New Roman" w:hAnsi="Times New Roman"/>
          <w:i w:val="0"/>
          <w:color w:val="000000"/>
          <w:sz w:val="24"/>
          <w:szCs w:val="24"/>
        </w:rPr>
        <w:lastRenderedPageBreak/>
        <w:t xml:space="preserve">Annex. </w:t>
      </w:r>
      <w:r w:rsidRPr="00832F7F">
        <w:rPr>
          <w:rFonts w:ascii="Times New Roman" w:hAnsi="Times New Roman"/>
          <w:i w:val="0"/>
          <w:color w:val="auto"/>
          <w:sz w:val="24"/>
          <w:szCs w:val="24"/>
        </w:rPr>
        <w:t>Results and resources framework for the Republic of Azerbaijan (2016-2020)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674"/>
        <w:gridCol w:w="2871"/>
        <w:gridCol w:w="2662"/>
        <w:gridCol w:w="1645"/>
        <w:gridCol w:w="2335"/>
      </w:tblGrid>
      <w:tr w:rsidR="00161F08" w:rsidRPr="003C26C1" w14:paraId="7087F77A" w14:textId="77777777" w:rsidTr="00161F08">
        <w:tc>
          <w:tcPr>
            <w:tcW w:w="5000" w:type="pct"/>
            <w:gridSpan w:val="5"/>
            <w:shd w:val="clear" w:color="auto" w:fill="auto"/>
            <w:tcMar>
              <w:top w:w="72" w:type="dxa"/>
              <w:left w:w="144" w:type="dxa"/>
              <w:bottom w:w="72" w:type="dxa"/>
              <w:right w:w="144" w:type="dxa"/>
            </w:tcMar>
          </w:tcPr>
          <w:p w14:paraId="0A516B24" w14:textId="77777777" w:rsidR="00161F08" w:rsidRDefault="00161F08" w:rsidP="006D149C">
            <w:pPr>
              <w:pStyle w:val="Standard"/>
              <w:jc w:val="both"/>
            </w:pPr>
            <w:r>
              <w:rPr>
                <w:b/>
                <w:bCs/>
                <w:color w:val="000000"/>
                <w:sz w:val="16"/>
                <w:szCs w:val="16"/>
                <w:lang w:val="en-GB"/>
              </w:rPr>
              <w:t xml:space="preserve">NATIONAL PRIORITY OR GOAL: </w:t>
            </w:r>
            <w:r>
              <w:rPr>
                <w:b/>
                <w:sz w:val="16"/>
                <w:szCs w:val="16"/>
                <w:lang w:val="en-CA"/>
              </w:rPr>
              <w:t>Boosting economic development and generating decent work</w:t>
            </w:r>
            <w:r>
              <w:rPr>
                <w:sz w:val="16"/>
                <w:szCs w:val="16"/>
                <w:lang w:val="en-CA"/>
              </w:rPr>
              <w:t xml:space="preserve"> </w:t>
            </w:r>
          </w:p>
        </w:tc>
      </w:tr>
      <w:tr w:rsidR="00161F08" w:rsidRPr="003C26C1" w14:paraId="1D05578E" w14:textId="77777777" w:rsidTr="00161F08">
        <w:tc>
          <w:tcPr>
            <w:tcW w:w="5000" w:type="pct"/>
            <w:gridSpan w:val="5"/>
            <w:shd w:val="clear" w:color="auto" w:fill="auto"/>
            <w:tcMar>
              <w:top w:w="72" w:type="dxa"/>
              <w:left w:w="144" w:type="dxa"/>
              <w:bottom w:w="72" w:type="dxa"/>
              <w:right w:w="144" w:type="dxa"/>
            </w:tcMar>
          </w:tcPr>
          <w:p w14:paraId="2B2DF464" w14:textId="193666DB" w:rsidR="00161F08" w:rsidRDefault="00161F08" w:rsidP="00060460">
            <w:pPr>
              <w:pStyle w:val="Standard"/>
              <w:jc w:val="both"/>
            </w:pPr>
            <w:r>
              <w:rPr>
                <w:b/>
                <w:bCs/>
                <w:color w:val="000000"/>
                <w:sz w:val="16"/>
                <w:szCs w:val="16"/>
                <w:lang w:val="en-GB"/>
              </w:rPr>
              <w:t>UNAPF OUTCOME 1:</w:t>
            </w:r>
            <w:r>
              <w:rPr>
                <w:color w:val="000000"/>
                <w:sz w:val="16"/>
                <w:szCs w:val="16"/>
                <w:lang w:val="en-GB"/>
              </w:rPr>
              <w:t xml:space="preserve">  </w:t>
            </w:r>
            <w:r>
              <w:rPr>
                <w:b/>
                <w:sz w:val="16"/>
                <w:szCs w:val="16"/>
                <w:lang w:val="en-CA"/>
              </w:rPr>
              <w:t xml:space="preserve">By 2020, the Azerbaijan economy is more diversified and generates enhanced sustainable growth and decent work, particularly for youth, women, persons with disabilities and other vulnerable groups  </w:t>
            </w:r>
          </w:p>
        </w:tc>
      </w:tr>
      <w:tr w:rsidR="00161F08" w:rsidRPr="003C26C1" w14:paraId="24551E27" w14:textId="77777777" w:rsidTr="00161F08">
        <w:tc>
          <w:tcPr>
            <w:tcW w:w="5000" w:type="pct"/>
            <w:gridSpan w:val="5"/>
            <w:shd w:val="clear" w:color="auto" w:fill="auto"/>
            <w:tcMar>
              <w:top w:w="72" w:type="dxa"/>
              <w:left w:w="144" w:type="dxa"/>
              <w:bottom w:w="72" w:type="dxa"/>
              <w:right w:w="144" w:type="dxa"/>
            </w:tcMar>
          </w:tcPr>
          <w:p w14:paraId="70FC910A" w14:textId="77777777" w:rsidR="00161F08" w:rsidRDefault="00161F08" w:rsidP="006D149C">
            <w:pPr>
              <w:pStyle w:val="Standard"/>
              <w:jc w:val="both"/>
            </w:pPr>
            <w:r>
              <w:rPr>
                <w:b/>
                <w:bCs/>
                <w:color w:val="000000"/>
                <w:sz w:val="16"/>
                <w:szCs w:val="16"/>
                <w:lang w:val="en-GB"/>
              </w:rPr>
              <w:t>RELATED STRATEGIC PLAN OUTCOME 1: Growth and development are inclusive and sustainable, incorporating productive capacities  that create employment and livelihoods for the poor and excluded</w:t>
            </w:r>
          </w:p>
        </w:tc>
      </w:tr>
      <w:tr w:rsidR="00161F08" w:rsidRPr="003C26C1" w14:paraId="647FF0F1" w14:textId="77777777" w:rsidTr="00161F08">
        <w:tc>
          <w:tcPr>
            <w:tcW w:w="1097" w:type="pct"/>
            <w:shd w:val="clear" w:color="auto" w:fill="auto"/>
            <w:tcMar>
              <w:top w:w="72" w:type="dxa"/>
              <w:left w:w="144" w:type="dxa"/>
              <w:bottom w:w="72" w:type="dxa"/>
              <w:right w:w="144" w:type="dxa"/>
            </w:tcMar>
            <w:vAlign w:val="center"/>
          </w:tcPr>
          <w:p w14:paraId="707278D6" w14:textId="77777777" w:rsidR="00161F08" w:rsidRPr="003C26C1" w:rsidRDefault="00161F08" w:rsidP="00832F7F">
            <w:pPr>
              <w:spacing w:line="200" w:lineRule="exact"/>
              <w:jc w:val="center"/>
              <w:rPr>
                <w:color w:val="000000"/>
                <w:sz w:val="16"/>
                <w:szCs w:val="16"/>
              </w:rPr>
            </w:pPr>
            <w:r w:rsidRPr="003C26C1">
              <w:rPr>
                <w:b/>
                <w:bCs/>
                <w:color w:val="000000"/>
                <w:sz w:val="16"/>
                <w:szCs w:val="16"/>
              </w:rPr>
              <w:t>UN</w:t>
            </w:r>
            <w:r>
              <w:rPr>
                <w:b/>
                <w:bCs/>
                <w:color w:val="000000"/>
                <w:sz w:val="16"/>
                <w:szCs w:val="16"/>
              </w:rPr>
              <w:t>APF</w:t>
            </w:r>
            <w:r w:rsidRPr="003C26C1">
              <w:rPr>
                <w:b/>
                <w:bCs/>
                <w:color w:val="000000"/>
                <w:sz w:val="16"/>
                <w:szCs w:val="16"/>
              </w:rPr>
              <w:t xml:space="preserve"> OUTCOME INDICATOR(S), BASELINES, TARGET(S)</w:t>
            </w:r>
          </w:p>
        </w:tc>
        <w:tc>
          <w:tcPr>
            <w:tcW w:w="1178" w:type="pct"/>
            <w:shd w:val="clear" w:color="auto" w:fill="auto"/>
            <w:vAlign w:val="center"/>
          </w:tcPr>
          <w:p w14:paraId="72928C32" w14:textId="77777777" w:rsidR="00161F08" w:rsidRPr="003C26C1" w:rsidRDefault="00161F08" w:rsidP="00832F7F">
            <w:pPr>
              <w:spacing w:line="200" w:lineRule="exact"/>
              <w:jc w:val="center"/>
              <w:rPr>
                <w:b/>
                <w:color w:val="000000"/>
                <w:sz w:val="16"/>
                <w:szCs w:val="16"/>
              </w:rPr>
            </w:pPr>
            <w:r w:rsidRPr="003C26C1">
              <w:rPr>
                <w:b/>
                <w:color w:val="000000"/>
                <w:sz w:val="16"/>
                <w:szCs w:val="16"/>
              </w:rPr>
              <w:t>DATA SOURCE AND FREQUENCY OF DATA COLLECTION, AND RESPONSIBILITIES</w:t>
            </w:r>
          </w:p>
        </w:tc>
        <w:tc>
          <w:tcPr>
            <w:tcW w:w="1092" w:type="pct"/>
            <w:shd w:val="clear" w:color="auto" w:fill="auto"/>
            <w:tcMar>
              <w:top w:w="72" w:type="dxa"/>
              <w:left w:w="144" w:type="dxa"/>
              <w:bottom w:w="72" w:type="dxa"/>
              <w:right w:w="144" w:type="dxa"/>
            </w:tcMar>
            <w:vAlign w:val="center"/>
          </w:tcPr>
          <w:p w14:paraId="7B194E13" w14:textId="77777777" w:rsidR="00161F08" w:rsidRPr="003C26C1" w:rsidRDefault="00161F08" w:rsidP="00832F7F">
            <w:pPr>
              <w:spacing w:line="200" w:lineRule="exact"/>
              <w:jc w:val="center"/>
              <w:rPr>
                <w:color w:val="000000"/>
                <w:sz w:val="16"/>
                <w:szCs w:val="16"/>
              </w:rPr>
            </w:pPr>
            <w:r w:rsidRPr="003C26C1">
              <w:rPr>
                <w:b/>
                <w:bCs/>
                <w:color w:val="000000"/>
                <w:sz w:val="16"/>
                <w:szCs w:val="16"/>
              </w:rPr>
              <w:t xml:space="preserve">INDICATIVE COUNTRY PROGRAMME OUTPUTS </w:t>
            </w:r>
            <w:r w:rsidRPr="003C26C1">
              <w:rPr>
                <w:b/>
                <w:bCs/>
                <w:i/>
                <w:color w:val="000000"/>
                <w:sz w:val="16"/>
                <w:szCs w:val="16"/>
              </w:rPr>
              <w:t>(including indicators, baselines targets)</w:t>
            </w:r>
          </w:p>
        </w:tc>
        <w:tc>
          <w:tcPr>
            <w:tcW w:w="675" w:type="pct"/>
            <w:shd w:val="clear" w:color="auto" w:fill="auto"/>
            <w:vAlign w:val="center"/>
          </w:tcPr>
          <w:p w14:paraId="14D52F1C" w14:textId="77777777" w:rsidR="00161F08" w:rsidRPr="003C26C1" w:rsidRDefault="00161F08" w:rsidP="00832F7F">
            <w:pPr>
              <w:spacing w:line="200" w:lineRule="exact"/>
              <w:jc w:val="center"/>
              <w:rPr>
                <w:b/>
                <w:bCs/>
                <w:color w:val="000000"/>
                <w:sz w:val="16"/>
                <w:szCs w:val="16"/>
              </w:rPr>
            </w:pPr>
            <w:r w:rsidRPr="003C26C1">
              <w:rPr>
                <w:b/>
                <w:bCs/>
                <w:color w:val="000000"/>
                <w:sz w:val="16"/>
                <w:szCs w:val="16"/>
              </w:rPr>
              <w:t>MAJOR PARTNERS / PARTNERSHIPS</w:t>
            </w:r>
          </w:p>
          <w:p w14:paraId="517CF08E" w14:textId="77777777" w:rsidR="00161F08" w:rsidRPr="003C26C1" w:rsidRDefault="00161F08" w:rsidP="00832F7F">
            <w:pPr>
              <w:spacing w:line="200" w:lineRule="exact"/>
              <w:jc w:val="center"/>
              <w:rPr>
                <w:b/>
                <w:bCs/>
                <w:color w:val="000000"/>
                <w:sz w:val="16"/>
                <w:szCs w:val="16"/>
              </w:rPr>
            </w:pPr>
            <w:r w:rsidRPr="003C26C1">
              <w:rPr>
                <w:b/>
                <w:bCs/>
                <w:color w:val="000000"/>
                <w:sz w:val="16"/>
                <w:szCs w:val="16"/>
              </w:rPr>
              <w:t>FRAMEWORKS</w:t>
            </w:r>
          </w:p>
        </w:tc>
        <w:tc>
          <w:tcPr>
            <w:tcW w:w="958" w:type="pct"/>
            <w:shd w:val="clear" w:color="auto" w:fill="auto"/>
            <w:tcMar>
              <w:top w:w="15" w:type="dxa"/>
              <w:left w:w="108" w:type="dxa"/>
              <w:bottom w:w="0" w:type="dxa"/>
              <w:right w:w="108" w:type="dxa"/>
            </w:tcMar>
            <w:vAlign w:val="center"/>
          </w:tcPr>
          <w:p w14:paraId="412557F2" w14:textId="77777777" w:rsidR="00161F08" w:rsidRPr="003C26C1" w:rsidRDefault="00161F08" w:rsidP="00832F7F">
            <w:pPr>
              <w:spacing w:line="200" w:lineRule="exact"/>
              <w:jc w:val="center"/>
              <w:rPr>
                <w:b/>
                <w:bCs/>
                <w:color w:val="000000"/>
                <w:sz w:val="16"/>
                <w:szCs w:val="16"/>
              </w:rPr>
            </w:pPr>
            <w:r w:rsidRPr="003C26C1">
              <w:rPr>
                <w:b/>
                <w:bCs/>
                <w:color w:val="000000"/>
                <w:sz w:val="16"/>
                <w:szCs w:val="16"/>
              </w:rPr>
              <w:t>INDICATIVE RESOURCES BY OUTCOME ($)</w:t>
            </w:r>
          </w:p>
          <w:p w14:paraId="50ABA904" w14:textId="77777777" w:rsidR="00161F08" w:rsidRPr="003C26C1" w:rsidRDefault="00161F08" w:rsidP="00832F7F">
            <w:pPr>
              <w:spacing w:line="200" w:lineRule="exact"/>
              <w:jc w:val="center"/>
              <w:rPr>
                <w:i/>
                <w:color w:val="0000FF"/>
                <w:sz w:val="16"/>
                <w:szCs w:val="16"/>
              </w:rPr>
            </w:pPr>
            <w:r w:rsidRPr="005F05B4">
              <w:rPr>
                <w:bCs/>
                <w:i/>
                <w:sz w:val="16"/>
                <w:szCs w:val="16"/>
              </w:rPr>
              <w:t>[to be reviewed further in light of the integrated budget]</w:t>
            </w:r>
          </w:p>
        </w:tc>
      </w:tr>
      <w:tr w:rsidR="00161F08" w:rsidRPr="003C26C1" w14:paraId="7C5EC049" w14:textId="77777777" w:rsidTr="00161F08">
        <w:tc>
          <w:tcPr>
            <w:tcW w:w="1097" w:type="pct"/>
            <w:vMerge w:val="restart"/>
            <w:tcMar>
              <w:top w:w="72" w:type="dxa"/>
              <w:left w:w="144" w:type="dxa"/>
              <w:bottom w:w="72" w:type="dxa"/>
              <w:right w:w="144" w:type="dxa"/>
            </w:tcMar>
          </w:tcPr>
          <w:p w14:paraId="1B4B3C5F" w14:textId="2997E1F0" w:rsidR="00161F08" w:rsidRDefault="00161F08" w:rsidP="006D149C">
            <w:pPr>
              <w:pStyle w:val="ListParagraph"/>
              <w:tabs>
                <w:tab w:val="left" w:pos="277"/>
              </w:tabs>
              <w:ind w:left="0"/>
              <w:jc w:val="both"/>
              <w:rPr>
                <w:kern w:val="3"/>
              </w:rPr>
            </w:pPr>
            <w:r>
              <w:rPr>
                <w:b/>
                <w:sz w:val="16"/>
                <w:szCs w:val="16"/>
                <w:lang w:val="en-CA"/>
              </w:rPr>
              <w:t>1. Indicator:</w:t>
            </w:r>
            <w:r>
              <w:rPr>
                <w:sz w:val="16"/>
                <w:szCs w:val="16"/>
                <w:lang w:val="en-CA"/>
              </w:rPr>
              <w:t xml:space="preserve"> GDP </w:t>
            </w:r>
            <w:r w:rsidR="00F83265">
              <w:rPr>
                <w:sz w:val="16"/>
                <w:szCs w:val="16"/>
                <w:lang w:val="en-CA"/>
              </w:rPr>
              <w:t xml:space="preserve">annual average </w:t>
            </w:r>
            <w:r>
              <w:rPr>
                <w:sz w:val="16"/>
                <w:szCs w:val="16"/>
                <w:lang w:val="en-CA"/>
              </w:rPr>
              <w:t>growth rate in non-oil sector</w:t>
            </w:r>
          </w:p>
          <w:p w14:paraId="3057D4CA" w14:textId="050EF6C6" w:rsidR="00161F08" w:rsidRDefault="00161F08" w:rsidP="006D149C">
            <w:pPr>
              <w:pStyle w:val="Standard"/>
              <w:jc w:val="both"/>
            </w:pPr>
            <w:r>
              <w:rPr>
                <w:b/>
                <w:sz w:val="16"/>
                <w:szCs w:val="16"/>
                <w:lang w:val="en-CA"/>
              </w:rPr>
              <w:t>Baseline:</w:t>
            </w:r>
            <w:r w:rsidR="00832F7F">
              <w:rPr>
                <w:sz w:val="16"/>
                <w:szCs w:val="16"/>
                <w:lang w:val="en-CA"/>
              </w:rPr>
              <w:t xml:space="preserve"> </w:t>
            </w:r>
            <w:r w:rsidR="00F83265">
              <w:rPr>
                <w:sz w:val="16"/>
                <w:szCs w:val="16"/>
                <w:lang w:val="en-CA"/>
              </w:rPr>
              <w:t>7$</w:t>
            </w:r>
            <w:r>
              <w:rPr>
                <w:sz w:val="16"/>
                <w:szCs w:val="16"/>
                <w:lang w:val="en-CA"/>
              </w:rPr>
              <w:t xml:space="preserve">   </w:t>
            </w:r>
          </w:p>
          <w:p w14:paraId="348B1FC7" w14:textId="2A1DC2F4" w:rsidR="00161F08" w:rsidRDefault="00161F08" w:rsidP="006D149C">
            <w:pPr>
              <w:pStyle w:val="Standard"/>
              <w:jc w:val="both"/>
            </w:pPr>
            <w:r>
              <w:rPr>
                <w:b/>
                <w:sz w:val="16"/>
                <w:szCs w:val="16"/>
                <w:lang w:val="en-CA"/>
              </w:rPr>
              <w:t>Target:</w:t>
            </w:r>
            <w:r>
              <w:rPr>
                <w:sz w:val="16"/>
                <w:szCs w:val="16"/>
                <w:lang w:val="en-CA"/>
              </w:rPr>
              <w:t xml:space="preserve"> 7%</w:t>
            </w:r>
            <w:r w:rsidR="00883577">
              <w:rPr>
                <w:rStyle w:val="FootnoteReference"/>
                <w:sz w:val="16"/>
                <w:szCs w:val="16"/>
                <w:lang w:val="en-CA"/>
              </w:rPr>
              <w:footnoteReference w:id="19"/>
            </w:r>
          </w:p>
          <w:p w14:paraId="584ED954" w14:textId="77777777" w:rsidR="00161F08" w:rsidRDefault="00161F08" w:rsidP="00F06F38">
            <w:pPr>
              <w:pStyle w:val="Standard"/>
              <w:rPr>
                <w:sz w:val="16"/>
                <w:szCs w:val="16"/>
                <w:lang w:val="en-CA"/>
              </w:rPr>
            </w:pPr>
          </w:p>
          <w:p w14:paraId="63F442A8" w14:textId="77777777" w:rsidR="00161F08" w:rsidRDefault="00161F08" w:rsidP="00174769">
            <w:pPr>
              <w:pStyle w:val="Standard"/>
              <w:jc w:val="both"/>
            </w:pPr>
            <w:r>
              <w:rPr>
                <w:b/>
                <w:sz w:val="16"/>
                <w:szCs w:val="16"/>
                <w:lang w:val="en-CA"/>
              </w:rPr>
              <w:t>2. Indicator:</w:t>
            </w:r>
            <w:r>
              <w:rPr>
                <w:sz w:val="16"/>
                <w:szCs w:val="16"/>
                <w:lang w:val="en-CA"/>
              </w:rPr>
              <w:t xml:space="preserve"> Global Competitiveness Index</w:t>
            </w:r>
          </w:p>
          <w:p w14:paraId="2CAE0A63" w14:textId="77777777" w:rsidR="00161F08" w:rsidRDefault="00161F08" w:rsidP="006D149C">
            <w:pPr>
              <w:pStyle w:val="Standard"/>
              <w:jc w:val="both"/>
            </w:pPr>
            <w:r>
              <w:rPr>
                <w:b/>
                <w:sz w:val="16"/>
                <w:szCs w:val="16"/>
                <w:lang w:val="en-CA"/>
              </w:rPr>
              <w:t>Baseline:</w:t>
            </w:r>
            <w:r>
              <w:rPr>
                <w:sz w:val="16"/>
                <w:szCs w:val="16"/>
                <w:lang w:val="en-CA"/>
              </w:rPr>
              <w:t xml:space="preserve"> 4.51</w:t>
            </w:r>
            <w:r>
              <w:rPr>
                <w:sz w:val="16"/>
                <w:szCs w:val="16"/>
                <w:lang w:val="en-CA"/>
              </w:rPr>
              <w:tab/>
            </w:r>
          </w:p>
          <w:p w14:paraId="2BD14C43" w14:textId="77777777" w:rsidR="00161F08" w:rsidRDefault="00161F08" w:rsidP="006D149C">
            <w:pPr>
              <w:pStyle w:val="Standard"/>
              <w:jc w:val="both"/>
            </w:pPr>
            <w:r>
              <w:rPr>
                <w:b/>
                <w:sz w:val="16"/>
                <w:szCs w:val="16"/>
                <w:lang w:val="en-CA"/>
              </w:rPr>
              <w:t>Target:</w:t>
            </w:r>
            <w:r>
              <w:rPr>
                <w:sz w:val="16"/>
                <w:szCs w:val="16"/>
                <w:lang w:val="en-CA"/>
              </w:rPr>
              <w:t xml:space="preserve"> 5</w:t>
            </w:r>
          </w:p>
          <w:p w14:paraId="17676715" w14:textId="77777777" w:rsidR="00161F08" w:rsidRDefault="00161F08" w:rsidP="006D149C">
            <w:pPr>
              <w:pStyle w:val="Standard"/>
              <w:jc w:val="both"/>
              <w:rPr>
                <w:sz w:val="16"/>
                <w:szCs w:val="16"/>
              </w:rPr>
            </w:pPr>
          </w:p>
          <w:p w14:paraId="74EA41B4" w14:textId="77777777" w:rsidR="00161F08" w:rsidRDefault="00161F08" w:rsidP="006D149C">
            <w:pPr>
              <w:pStyle w:val="Standard"/>
              <w:jc w:val="both"/>
            </w:pPr>
            <w:r>
              <w:rPr>
                <w:b/>
                <w:sz w:val="16"/>
                <w:szCs w:val="16"/>
                <w:lang w:val="en-CA"/>
              </w:rPr>
              <w:t>3. Indicator:</w:t>
            </w:r>
            <w:r>
              <w:rPr>
                <w:sz w:val="16"/>
                <w:szCs w:val="16"/>
                <w:lang w:val="en-CA"/>
              </w:rPr>
              <w:t xml:space="preserve"> Unemployment rate disaggregated by sex and age</w:t>
            </w:r>
          </w:p>
          <w:p w14:paraId="59E7959E" w14:textId="52CCC6E2" w:rsidR="00161F08" w:rsidRDefault="00161F08" w:rsidP="006D149C">
            <w:pPr>
              <w:pStyle w:val="Standard"/>
              <w:jc w:val="both"/>
            </w:pPr>
            <w:r>
              <w:rPr>
                <w:b/>
                <w:sz w:val="16"/>
                <w:szCs w:val="16"/>
                <w:lang w:val="en-CA"/>
              </w:rPr>
              <w:t>Baseline (</w:t>
            </w:r>
            <w:r w:rsidR="0067025A">
              <w:rPr>
                <w:b/>
                <w:sz w:val="16"/>
                <w:szCs w:val="16"/>
                <w:lang w:val="en-CA"/>
              </w:rPr>
              <w:t>2014</w:t>
            </w:r>
            <w:r>
              <w:rPr>
                <w:b/>
                <w:sz w:val="16"/>
                <w:szCs w:val="16"/>
                <w:lang w:val="en-CA"/>
              </w:rPr>
              <w:t>):</w:t>
            </w:r>
          </w:p>
          <w:p w14:paraId="2463B8B9" w14:textId="14F6A771" w:rsidR="00161F08" w:rsidRDefault="00161F08" w:rsidP="006D149C">
            <w:pPr>
              <w:pStyle w:val="Standard"/>
              <w:jc w:val="both"/>
            </w:pPr>
            <w:r>
              <w:rPr>
                <w:sz w:val="16"/>
                <w:szCs w:val="16"/>
                <w:lang w:val="en-CA"/>
              </w:rPr>
              <w:t xml:space="preserve">Population: </w:t>
            </w:r>
            <w:r w:rsidR="0067025A">
              <w:rPr>
                <w:sz w:val="16"/>
                <w:szCs w:val="16"/>
                <w:lang w:val="en-CA"/>
              </w:rPr>
              <w:t xml:space="preserve">4.9% </w:t>
            </w:r>
          </w:p>
          <w:p w14:paraId="20B26162" w14:textId="77777777" w:rsidR="00161F08" w:rsidRDefault="00161F08" w:rsidP="006D149C">
            <w:pPr>
              <w:pStyle w:val="Standard"/>
              <w:jc w:val="both"/>
            </w:pPr>
            <w:r>
              <w:rPr>
                <w:sz w:val="16"/>
                <w:szCs w:val="16"/>
                <w:lang w:val="en-CA"/>
              </w:rPr>
              <w:t>Males: 4.0%</w:t>
            </w:r>
          </w:p>
          <w:p w14:paraId="764EADB6" w14:textId="55825DA3" w:rsidR="00161F08" w:rsidRDefault="00161F08" w:rsidP="006D149C">
            <w:pPr>
              <w:pStyle w:val="Standard"/>
              <w:jc w:val="both"/>
            </w:pPr>
            <w:r>
              <w:rPr>
                <w:sz w:val="16"/>
                <w:szCs w:val="16"/>
                <w:lang w:val="en-CA"/>
              </w:rPr>
              <w:t xml:space="preserve">Females: </w:t>
            </w:r>
            <w:r w:rsidR="0067025A">
              <w:rPr>
                <w:sz w:val="16"/>
                <w:szCs w:val="16"/>
                <w:lang w:val="en-CA"/>
              </w:rPr>
              <w:t xml:space="preserve">5.8% </w:t>
            </w:r>
          </w:p>
          <w:p w14:paraId="436B1966" w14:textId="054F09EA" w:rsidR="00161F08" w:rsidRDefault="00161F08" w:rsidP="006D149C">
            <w:pPr>
              <w:pStyle w:val="Standard"/>
              <w:jc w:val="both"/>
            </w:pPr>
            <w:r>
              <w:rPr>
                <w:sz w:val="16"/>
                <w:szCs w:val="16"/>
                <w:lang w:val="en-CA"/>
              </w:rPr>
              <w:t xml:space="preserve">Youth (15-29): </w:t>
            </w:r>
            <w:r w:rsidR="0067025A">
              <w:rPr>
                <w:sz w:val="16"/>
                <w:szCs w:val="16"/>
                <w:lang w:val="en-CA"/>
              </w:rPr>
              <w:t xml:space="preserve">9.7 </w:t>
            </w:r>
            <w:r>
              <w:rPr>
                <w:sz w:val="16"/>
                <w:szCs w:val="16"/>
                <w:lang w:val="en-CA"/>
              </w:rPr>
              <w:t>%</w:t>
            </w:r>
          </w:p>
          <w:p w14:paraId="7EBA48AD" w14:textId="77777777" w:rsidR="00161F08" w:rsidRDefault="00161F08" w:rsidP="006D149C">
            <w:pPr>
              <w:pStyle w:val="Standard"/>
              <w:jc w:val="both"/>
            </w:pPr>
            <w:r>
              <w:rPr>
                <w:b/>
                <w:sz w:val="16"/>
                <w:szCs w:val="16"/>
                <w:lang w:val="en-CA"/>
              </w:rPr>
              <w:t>Target:</w:t>
            </w:r>
          </w:p>
          <w:p w14:paraId="4B8300E5" w14:textId="443C055D" w:rsidR="00161F08" w:rsidRDefault="00161F08" w:rsidP="006D149C">
            <w:pPr>
              <w:pStyle w:val="Standard"/>
              <w:jc w:val="both"/>
            </w:pPr>
            <w:r>
              <w:rPr>
                <w:sz w:val="16"/>
                <w:szCs w:val="16"/>
                <w:lang w:val="en-CA"/>
              </w:rPr>
              <w:t>Population:  4.</w:t>
            </w:r>
            <w:r w:rsidR="00394D0D">
              <w:rPr>
                <w:sz w:val="16"/>
                <w:szCs w:val="16"/>
                <w:lang w:val="en-CA"/>
              </w:rPr>
              <w:t>9</w:t>
            </w:r>
            <w:r>
              <w:rPr>
                <w:sz w:val="16"/>
                <w:szCs w:val="16"/>
                <w:lang w:val="en-CA"/>
              </w:rPr>
              <w:t>%</w:t>
            </w:r>
          </w:p>
          <w:p w14:paraId="7BC62854" w14:textId="4DA692D5" w:rsidR="00161F08" w:rsidRDefault="00161F08" w:rsidP="006D149C">
            <w:pPr>
              <w:pStyle w:val="Standard"/>
              <w:jc w:val="both"/>
            </w:pPr>
            <w:r>
              <w:rPr>
                <w:sz w:val="16"/>
                <w:szCs w:val="16"/>
                <w:lang w:val="en-CA"/>
              </w:rPr>
              <w:t xml:space="preserve">Males:          </w:t>
            </w:r>
            <w:r w:rsidR="00394D0D">
              <w:rPr>
                <w:sz w:val="16"/>
                <w:szCs w:val="16"/>
                <w:lang w:val="en-CA"/>
              </w:rPr>
              <w:t>4</w:t>
            </w:r>
            <w:r>
              <w:rPr>
                <w:sz w:val="16"/>
                <w:szCs w:val="16"/>
                <w:lang w:val="en-CA"/>
              </w:rPr>
              <w:t>%</w:t>
            </w:r>
          </w:p>
          <w:p w14:paraId="7C06283B" w14:textId="0A5BCB40" w:rsidR="00161F08" w:rsidRDefault="00161F08" w:rsidP="006D149C">
            <w:pPr>
              <w:pStyle w:val="Standard"/>
              <w:jc w:val="both"/>
            </w:pPr>
            <w:r>
              <w:rPr>
                <w:sz w:val="16"/>
                <w:szCs w:val="16"/>
                <w:lang w:val="en-CA"/>
              </w:rPr>
              <w:t>Females:      5.</w:t>
            </w:r>
            <w:r w:rsidR="00616994">
              <w:rPr>
                <w:sz w:val="16"/>
                <w:szCs w:val="16"/>
                <w:lang w:val="en-CA"/>
              </w:rPr>
              <w:t>7</w:t>
            </w:r>
            <w:r>
              <w:rPr>
                <w:sz w:val="16"/>
                <w:szCs w:val="16"/>
                <w:lang w:val="en-CA"/>
              </w:rPr>
              <w:t>%</w:t>
            </w:r>
          </w:p>
          <w:p w14:paraId="13425A3E" w14:textId="7E910FDE" w:rsidR="00161F08" w:rsidRPr="00BF300B" w:rsidRDefault="00161F08" w:rsidP="00616994">
            <w:pPr>
              <w:pStyle w:val="Standard"/>
              <w:jc w:val="both"/>
            </w:pPr>
            <w:r>
              <w:rPr>
                <w:sz w:val="16"/>
                <w:szCs w:val="16"/>
                <w:lang w:val="en-CA"/>
              </w:rPr>
              <w:t>Youth (15-29):</w:t>
            </w:r>
            <w:r>
              <w:rPr>
                <w:sz w:val="16"/>
                <w:szCs w:val="16"/>
                <w:lang w:val="en-CA"/>
              </w:rPr>
              <w:tab/>
              <w:t xml:space="preserve"> </w:t>
            </w:r>
            <w:r w:rsidR="00616994">
              <w:rPr>
                <w:sz w:val="16"/>
                <w:szCs w:val="16"/>
                <w:lang w:val="en-CA"/>
              </w:rPr>
              <w:t>9.5</w:t>
            </w:r>
            <w:r>
              <w:rPr>
                <w:sz w:val="16"/>
                <w:szCs w:val="16"/>
                <w:lang w:val="en-CA"/>
              </w:rPr>
              <w:t>%</w:t>
            </w:r>
          </w:p>
        </w:tc>
        <w:tc>
          <w:tcPr>
            <w:tcW w:w="1178" w:type="pct"/>
            <w:vMerge w:val="restart"/>
          </w:tcPr>
          <w:p w14:paraId="738CCB45" w14:textId="77777777" w:rsidR="00161F08" w:rsidRDefault="00161F08" w:rsidP="006D149C">
            <w:pPr>
              <w:pStyle w:val="Standard"/>
              <w:jc w:val="both"/>
            </w:pPr>
            <w:r>
              <w:rPr>
                <w:bCs/>
                <w:color w:val="000000"/>
                <w:sz w:val="16"/>
                <w:szCs w:val="16"/>
                <w:lang w:val="en-GB"/>
              </w:rPr>
              <w:t>State Statistics Committee</w:t>
            </w:r>
          </w:p>
          <w:p w14:paraId="7B5F1298" w14:textId="77777777" w:rsidR="00161F08" w:rsidRDefault="00161F08" w:rsidP="006D149C">
            <w:pPr>
              <w:pStyle w:val="Standard"/>
              <w:jc w:val="both"/>
              <w:rPr>
                <w:bCs/>
                <w:color w:val="000000"/>
                <w:sz w:val="16"/>
                <w:szCs w:val="16"/>
                <w:lang w:val="en-GB"/>
              </w:rPr>
            </w:pPr>
          </w:p>
          <w:p w14:paraId="09594D3B" w14:textId="77777777" w:rsidR="00161F08" w:rsidRDefault="00161F08" w:rsidP="006D149C">
            <w:pPr>
              <w:pStyle w:val="Standard"/>
              <w:jc w:val="both"/>
            </w:pPr>
            <w:r>
              <w:rPr>
                <w:bCs/>
                <w:color w:val="000000"/>
                <w:sz w:val="16"/>
                <w:szCs w:val="16"/>
                <w:lang w:val="en-GB"/>
              </w:rPr>
              <w:t>Ministry of Economy and Industry</w:t>
            </w:r>
          </w:p>
          <w:p w14:paraId="41F47539" w14:textId="77777777" w:rsidR="00161F08" w:rsidRDefault="00161F08" w:rsidP="006D149C">
            <w:pPr>
              <w:pStyle w:val="Standard"/>
              <w:jc w:val="both"/>
              <w:rPr>
                <w:bCs/>
                <w:color w:val="000000"/>
                <w:sz w:val="16"/>
                <w:szCs w:val="16"/>
                <w:lang w:val="en-GB"/>
              </w:rPr>
            </w:pPr>
          </w:p>
          <w:p w14:paraId="5A41ECAA" w14:textId="77777777" w:rsidR="00161F08" w:rsidRDefault="00161F08" w:rsidP="006D149C">
            <w:pPr>
              <w:pStyle w:val="Standard"/>
              <w:jc w:val="both"/>
            </w:pPr>
            <w:r>
              <w:rPr>
                <w:bCs/>
                <w:color w:val="000000"/>
                <w:sz w:val="16"/>
                <w:szCs w:val="16"/>
                <w:lang w:val="en-GB"/>
              </w:rPr>
              <w:t>Ministry of Labour and Social Protection of Population</w:t>
            </w:r>
          </w:p>
          <w:p w14:paraId="2E21113F" w14:textId="77777777" w:rsidR="00161F08" w:rsidRDefault="00161F08" w:rsidP="006D149C">
            <w:pPr>
              <w:pStyle w:val="Standard"/>
              <w:jc w:val="both"/>
              <w:rPr>
                <w:bCs/>
                <w:color w:val="000000"/>
                <w:sz w:val="16"/>
                <w:szCs w:val="16"/>
                <w:lang w:val="en-GB"/>
              </w:rPr>
            </w:pPr>
          </w:p>
          <w:p w14:paraId="459F6F69" w14:textId="77777777" w:rsidR="00161F08" w:rsidRDefault="00161F08" w:rsidP="006D149C">
            <w:pPr>
              <w:pStyle w:val="Standard"/>
              <w:jc w:val="both"/>
              <w:rPr>
                <w:bCs/>
                <w:color w:val="000000"/>
                <w:sz w:val="16"/>
                <w:szCs w:val="16"/>
                <w:lang w:val="en-GB"/>
              </w:rPr>
            </w:pPr>
            <w:r>
              <w:rPr>
                <w:bCs/>
                <w:color w:val="000000"/>
                <w:sz w:val="16"/>
                <w:szCs w:val="16"/>
                <w:lang w:val="en-GB"/>
              </w:rPr>
              <w:t>Global Competitiveness Report by World Economic Forum</w:t>
            </w:r>
          </w:p>
          <w:p w14:paraId="1081DA9A" w14:textId="77777777" w:rsidR="00161F08" w:rsidRDefault="00161F08" w:rsidP="006D149C">
            <w:pPr>
              <w:pStyle w:val="Standard"/>
              <w:jc w:val="both"/>
              <w:rPr>
                <w:bCs/>
                <w:color w:val="000000"/>
                <w:sz w:val="16"/>
                <w:szCs w:val="16"/>
                <w:lang w:val="en-GB"/>
              </w:rPr>
            </w:pPr>
          </w:p>
          <w:p w14:paraId="60ABF60C" w14:textId="77777777" w:rsidR="00161F08" w:rsidRDefault="00161F08" w:rsidP="006D149C">
            <w:pPr>
              <w:pStyle w:val="Standard"/>
              <w:jc w:val="both"/>
            </w:pPr>
            <w:r>
              <w:rPr>
                <w:bCs/>
                <w:color w:val="000000"/>
                <w:sz w:val="16"/>
                <w:szCs w:val="16"/>
                <w:lang w:val="en-GB"/>
              </w:rPr>
              <w:t>Evaluation and monitoring reports</w:t>
            </w:r>
          </w:p>
          <w:p w14:paraId="400B1BBA" w14:textId="77777777" w:rsidR="00161F08" w:rsidRPr="00BF300B" w:rsidRDefault="00161F08" w:rsidP="006D149C">
            <w:pPr>
              <w:rPr>
                <w:b/>
                <w:bCs/>
                <w:i/>
                <w:color w:val="000000"/>
                <w:sz w:val="16"/>
                <w:szCs w:val="16"/>
              </w:rPr>
            </w:pPr>
          </w:p>
        </w:tc>
        <w:tc>
          <w:tcPr>
            <w:tcW w:w="1092" w:type="pct"/>
            <w:vMerge w:val="restart"/>
            <w:tcMar>
              <w:top w:w="72" w:type="dxa"/>
              <w:left w:w="144" w:type="dxa"/>
              <w:bottom w:w="72" w:type="dxa"/>
              <w:right w:w="144" w:type="dxa"/>
            </w:tcMar>
          </w:tcPr>
          <w:p w14:paraId="05338198" w14:textId="77777777" w:rsidR="00161F08" w:rsidRDefault="00161F08" w:rsidP="006D149C">
            <w:pPr>
              <w:pStyle w:val="Standard"/>
              <w:jc w:val="both"/>
              <w:rPr>
                <w:b/>
                <w:sz w:val="16"/>
                <w:szCs w:val="16"/>
              </w:rPr>
            </w:pPr>
            <w:r>
              <w:rPr>
                <w:b/>
                <w:sz w:val="16"/>
                <w:szCs w:val="16"/>
              </w:rPr>
              <w:t xml:space="preserve">1.1. Training capacities of the state institutions are strengthened to prepare qualified workforce for the non-oil sectors of economy </w:t>
            </w:r>
          </w:p>
          <w:p w14:paraId="23FF6196" w14:textId="77777777" w:rsidR="00161F08" w:rsidRDefault="00161F08" w:rsidP="006D149C">
            <w:pPr>
              <w:pStyle w:val="Standard"/>
              <w:ind w:left="360"/>
              <w:jc w:val="both"/>
              <w:rPr>
                <w:b/>
                <w:sz w:val="16"/>
                <w:szCs w:val="16"/>
              </w:rPr>
            </w:pPr>
          </w:p>
          <w:p w14:paraId="174F8845" w14:textId="77777777" w:rsidR="00161F08" w:rsidRDefault="00161F08" w:rsidP="006D149C">
            <w:pPr>
              <w:pStyle w:val="Standard"/>
              <w:jc w:val="both"/>
            </w:pPr>
            <w:r>
              <w:rPr>
                <w:b/>
                <w:iCs/>
                <w:color w:val="000000"/>
                <w:sz w:val="16"/>
                <w:szCs w:val="16"/>
                <w:lang w:val="en-GB"/>
              </w:rPr>
              <w:t xml:space="preserve">Indicator 1.1.1: </w:t>
            </w:r>
            <w:r>
              <w:rPr>
                <w:iCs/>
                <w:color w:val="000000"/>
                <w:sz w:val="16"/>
                <w:szCs w:val="16"/>
                <w:lang w:val="en-GB"/>
              </w:rPr>
              <w:t>Number of new training modules developed</w:t>
            </w:r>
          </w:p>
          <w:p w14:paraId="612B6B33" w14:textId="77777777" w:rsidR="00161F08" w:rsidRDefault="00161F08" w:rsidP="006D149C">
            <w:pPr>
              <w:pStyle w:val="Standard"/>
              <w:jc w:val="both"/>
            </w:pPr>
            <w:r>
              <w:rPr>
                <w:b/>
                <w:iCs/>
                <w:color w:val="000000"/>
                <w:sz w:val="16"/>
                <w:szCs w:val="16"/>
                <w:lang w:val="en-GB"/>
              </w:rPr>
              <w:t xml:space="preserve">Baseline: </w:t>
            </w:r>
            <w:r>
              <w:rPr>
                <w:iCs/>
                <w:color w:val="000000"/>
                <w:sz w:val="16"/>
                <w:szCs w:val="16"/>
                <w:lang w:val="en-GB"/>
              </w:rPr>
              <w:t>0</w:t>
            </w:r>
          </w:p>
          <w:p w14:paraId="59BC5CD7" w14:textId="77777777" w:rsidR="00161F08" w:rsidRDefault="00161F08" w:rsidP="006D149C">
            <w:pPr>
              <w:pStyle w:val="Standard"/>
              <w:jc w:val="both"/>
            </w:pPr>
            <w:r>
              <w:rPr>
                <w:b/>
                <w:iCs/>
                <w:color w:val="000000"/>
                <w:sz w:val="16"/>
                <w:szCs w:val="16"/>
                <w:lang w:val="en-GB"/>
              </w:rPr>
              <w:t>Target:</w:t>
            </w:r>
            <w:r>
              <w:rPr>
                <w:iCs/>
                <w:color w:val="000000"/>
                <w:sz w:val="16"/>
                <w:szCs w:val="16"/>
                <w:lang w:val="en-GB"/>
              </w:rPr>
              <w:t xml:space="preserve"> 5</w:t>
            </w:r>
          </w:p>
          <w:p w14:paraId="2A4291BA" w14:textId="77777777" w:rsidR="00161F08" w:rsidRDefault="00161F08" w:rsidP="006D149C">
            <w:pPr>
              <w:pStyle w:val="Standard"/>
              <w:jc w:val="both"/>
              <w:rPr>
                <w:b/>
                <w:iCs/>
                <w:color w:val="000000"/>
                <w:sz w:val="16"/>
                <w:szCs w:val="16"/>
                <w:lang w:val="en-GB"/>
              </w:rPr>
            </w:pPr>
          </w:p>
          <w:p w14:paraId="56DD5C71" w14:textId="77777777" w:rsidR="00161F08" w:rsidRDefault="00161F08" w:rsidP="006D149C">
            <w:pPr>
              <w:pStyle w:val="Standard"/>
              <w:jc w:val="both"/>
            </w:pPr>
            <w:r>
              <w:rPr>
                <w:b/>
                <w:iCs/>
                <w:color w:val="000000"/>
                <w:sz w:val="16"/>
                <w:szCs w:val="16"/>
                <w:lang w:val="en-GB"/>
              </w:rPr>
              <w:t>Indicator 1.1.2</w:t>
            </w:r>
          </w:p>
          <w:p w14:paraId="05304D05" w14:textId="05EA8A52" w:rsidR="00161F08" w:rsidRDefault="00161F08" w:rsidP="006D149C">
            <w:pPr>
              <w:pStyle w:val="Standard"/>
              <w:jc w:val="both"/>
            </w:pPr>
            <w:r>
              <w:rPr>
                <w:iCs/>
                <w:color w:val="000000"/>
                <w:sz w:val="16"/>
                <w:szCs w:val="16"/>
                <w:lang w:val="en-GB"/>
              </w:rPr>
              <w:t>Number of people (youth, women</w:t>
            </w:r>
            <w:r w:rsidR="0067025A">
              <w:rPr>
                <w:iCs/>
                <w:color w:val="000000"/>
                <w:sz w:val="16"/>
                <w:szCs w:val="16"/>
                <w:lang w:val="en-GB"/>
              </w:rPr>
              <w:t>, people with disabilities</w:t>
            </w:r>
            <w:r>
              <w:rPr>
                <w:iCs/>
                <w:color w:val="000000"/>
                <w:sz w:val="16"/>
                <w:szCs w:val="16"/>
                <w:lang w:val="en-GB"/>
              </w:rPr>
              <w:t>) benefiting from training programmes</w:t>
            </w:r>
          </w:p>
          <w:p w14:paraId="290776DC" w14:textId="77777777" w:rsidR="00161F08" w:rsidRDefault="00161F08" w:rsidP="006D149C">
            <w:pPr>
              <w:pStyle w:val="Standard"/>
              <w:jc w:val="both"/>
            </w:pPr>
            <w:r>
              <w:rPr>
                <w:b/>
                <w:iCs/>
                <w:color w:val="000000"/>
                <w:sz w:val="16"/>
                <w:szCs w:val="16"/>
                <w:lang w:val="en-GB"/>
              </w:rPr>
              <w:t>Baseline:</w:t>
            </w:r>
            <w:r>
              <w:rPr>
                <w:iCs/>
                <w:color w:val="000000"/>
                <w:sz w:val="16"/>
                <w:szCs w:val="16"/>
                <w:lang w:val="en-GB"/>
              </w:rPr>
              <w:t xml:space="preserve"> 0</w:t>
            </w:r>
          </w:p>
          <w:p w14:paraId="1E6798AF" w14:textId="77777777" w:rsidR="00161F08" w:rsidRDefault="00161F08" w:rsidP="006D149C">
            <w:pPr>
              <w:pStyle w:val="Standard"/>
              <w:jc w:val="both"/>
            </w:pPr>
            <w:r>
              <w:rPr>
                <w:b/>
                <w:iCs/>
                <w:color w:val="000000"/>
                <w:sz w:val="16"/>
                <w:szCs w:val="16"/>
                <w:lang w:val="en-GB"/>
              </w:rPr>
              <w:t>Target:</w:t>
            </w:r>
            <w:r>
              <w:rPr>
                <w:iCs/>
                <w:color w:val="000000"/>
                <w:sz w:val="16"/>
                <w:szCs w:val="16"/>
                <w:lang w:val="en-GB"/>
              </w:rPr>
              <w:t xml:space="preserve"> 250, with 40/60 sex ratio; with at least 80% under the age of 30, and at least 5% persons with disabilities </w:t>
            </w:r>
          </w:p>
          <w:p w14:paraId="07594559" w14:textId="77777777" w:rsidR="00161F08" w:rsidRDefault="00161F08" w:rsidP="006D149C">
            <w:pPr>
              <w:pStyle w:val="ListParagraph"/>
              <w:ind w:left="360"/>
              <w:jc w:val="both"/>
              <w:rPr>
                <w:b/>
                <w:sz w:val="16"/>
                <w:szCs w:val="16"/>
              </w:rPr>
            </w:pPr>
          </w:p>
          <w:p w14:paraId="06C61DA9" w14:textId="77777777" w:rsidR="00161F08" w:rsidRDefault="00161F08" w:rsidP="006D149C">
            <w:pPr>
              <w:pStyle w:val="Standard"/>
              <w:jc w:val="both"/>
            </w:pPr>
            <w:r>
              <w:rPr>
                <w:b/>
                <w:sz w:val="16"/>
                <w:szCs w:val="16"/>
                <w:lang w:val="en-GB"/>
              </w:rPr>
              <w:t>1.2 Managerial capacities of state agencies supporting small and medium-sized businesses are improved</w:t>
            </w:r>
          </w:p>
          <w:p w14:paraId="796C83F4" w14:textId="77777777" w:rsidR="00161F08" w:rsidRDefault="00161F08" w:rsidP="006D149C">
            <w:pPr>
              <w:pStyle w:val="ListParagraph"/>
              <w:ind w:left="0"/>
              <w:jc w:val="both"/>
              <w:rPr>
                <w:b/>
                <w:sz w:val="16"/>
                <w:szCs w:val="16"/>
                <w:lang w:val="en-GB"/>
              </w:rPr>
            </w:pPr>
          </w:p>
          <w:p w14:paraId="530F243F" w14:textId="77777777" w:rsidR="00161F08" w:rsidRDefault="00161F08" w:rsidP="006D149C">
            <w:pPr>
              <w:pStyle w:val="Standard"/>
              <w:jc w:val="both"/>
            </w:pPr>
            <w:r>
              <w:rPr>
                <w:b/>
                <w:sz w:val="16"/>
                <w:szCs w:val="16"/>
                <w:lang w:val="en-GB"/>
              </w:rPr>
              <w:t xml:space="preserve">Indicator 1.2.1: </w:t>
            </w:r>
            <w:r>
              <w:rPr>
                <w:sz w:val="16"/>
                <w:szCs w:val="16"/>
              </w:rPr>
              <w:t>Number of young people supported in business start-ups, disaggregated by sex</w:t>
            </w:r>
          </w:p>
          <w:p w14:paraId="06EE616D" w14:textId="77777777" w:rsidR="00161F08" w:rsidRDefault="00161F08" w:rsidP="006D149C">
            <w:pPr>
              <w:pStyle w:val="Standard"/>
              <w:jc w:val="both"/>
            </w:pPr>
            <w:r>
              <w:rPr>
                <w:b/>
                <w:iCs/>
                <w:color w:val="000000"/>
                <w:sz w:val="16"/>
                <w:szCs w:val="16"/>
                <w:lang w:val="en-GB"/>
              </w:rPr>
              <w:t>Baseline:</w:t>
            </w:r>
            <w:r>
              <w:rPr>
                <w:iCs/>
                <w:color w:val="000000"/>
                <w:sz w:val="16"/>
                <w:szCs w:val="16"/>
                <w:lang w:val="en-GB"/>
              </w:rPr>
              <w:t xml:space="preserve"> 25 (of which 12% are young women)</w:t>
            </w:r>
          </w:p>
          <w:p w14:paraId="021C5297" w14:textId="77777777" w:rsidR="00161F08" w:rsidRDefault="00161F08" w:rsidP="006D149C">
            <w:pPr>
              <w:pStyle w:val="Standard"/>
              <w:jc w:val="both"/>
            </w:pPr>
            <w:r>
              <w:rPr>
                <w:b/>
                <w:iCs/>
                <w:sz w:val="16"/>
                <w:szCs w:val="16"/>
                <w:lang w:val="en-GB"/>
              </w:rPr>
              <w:t xml:space="preserve">Target: </w:t>
            </w:r>
            <w:r>
              <w:rPr>
                <w:iCs/>
                <w:sz w:val="16"/>
                <w:szCs w:val="16"/>
                <w:lang w:val="en-GB"/>
              </w:rPr>
              <w:t xml:space="preserve">40 </w:t>
            </w:r>
            <w:r>
              <w:rPr>
                <w:iCs/>
                <w:color w:val="000000"/>
                <w:sz w:val="16"/>
                <w:szCs w:val="16"/>
                <w:lang w:val="en-GB"/>
              </w:rPr>
              <w:t>with at least 25% women</w:t>
            </w:r>
          </w:p>
          <w:p w14:paraId="139922FB" w14:textId="77777777" w:rsidR="00161F08" w:rsidRDefault="00161F08" w:rsidP="006D149C">
            <w:pPr>
              <w:pStyle w:val="Standard"/>
              <w:jc w:val="both"/>
              <w:rPr>
                <w:b/>
                <w:sz w:val="16"/>
                <w:szCs w:val="16"/>
                <w:lang w:val="en-GB"/>
              </w:rPr>
            </w:pPr>
          </w:p>
          <w:p w14:paraId="74DFAC88" w14:textId="77777777" w:rsidR="00161F08" w:rsidRDefault="00161F08" w:rsidP="006D149C">
            <w:pPr>
              <w:pStyle w:val="Standard"/>
              <w:jc w:val="both"/>
            </w:pPr>
            <w:r>
              <w:rPr>
                <w:b/>
                <w:sz w:val="16"/>
                <w:szCs w:val="16"/>
                <w:lang w:val="en-GB"/>
              </w:rPr>
              <w:lastRenderedPageBreak/>
              <w:t>1.3 ICT infrastructure is further enhanced and expanded to remote and economically disadvantaged areas</w:t>
            </w:r>
          </w:p>
          <w:p w14:paraId="43EADAD6" w14:textId="77777777" w:rsidR="00161F08" w:rsidRDefault="00161F08" w:rsidP="006D149C">
            <w:pPr>
              <w:pStyle w:val="ListParagraph"/>
              <w:ind w:left="0"/>
              <w:jc w:val="both"/>
              <w:rPr>
                <w:b/>
                <w:sz w:val="16"/>
                <w:szCs w:val="16"/>
              </w:rPr>
            </w:pPr>
          </w:p>
          <w:p w14:paraId="23DA2048" w14:textId="77777777" w:rsidR="00E70080" w:rsidRDefault="00E70080" w:rsidP="006D149C">
            <w:pPr>
              <w:pStyle w:val="Standard"/>
              <w:jc w:val="both"/>
              <w:rPr>
                <w:b/>
                <w:sz w:val="16"/>
                <w:szCs w:val="16"/>
              </w:rPr>
            </w:pPr>
          </w:p>
          <w:p w14:paraId="02152A26" w14:textId="77777777" w:rsidR="00161F08" w:rsidRDefault="00161F08" w:rsidP="006D149C">
            <w:pPr>
              <w:pStyle w:val="Standard"/>
              <w:jc w:val="both"/>
            </w:pPr>
            <w:r>
              <w:rPr>
                <w:b/>
                <w:sz w:val="16"/>
                <w:szCs w:val="16"/>
              </w:rPr>
              <w:t>Indicator 1.3.1:</w:t>
            </w:r>
            <w:r>
              <w:rPr>
                <w:sz w:val="16"/>
                <w:szCs w:val="16"/>
              </w:rPr>
              <w:t xml:space="preserve"> Number of people with access to  upgraded broadband internet</w:t>
            </w:r>
          </w:p>
          <w:p w14:paraId="00FEABEE" w14:textId="77777777" w:rsidR="00161F08" w:rsidRDefault="00161F08" w:rsidP="006D149C">
            <w:pPr>
              <w:pStyle w:val="Standard"/>
              <w:jc w:val="both"/>
            </w:pPr>
            <w:r>
              <w:rPr>
                <w:b/>
                <w:sz w:val="16"/>
                <w:szCs w:val="16"/>
              </w:rPr>
              <w:t xml:space="preserve">Baseline: </w:t>
            </w:r>
            <w:r w:rsidRPr="007F5F9A">
              <w:rPr>
                <w:sz w:val="16"/>
                <w:szCs w:val="16"/>
              </w:rPr>
              <w:t>0</w:t>
            </w:r>
          </w:p>
          <w:p w14:paraId="45167ED0" w14:textId="77777777" w:rsidR="00161F08" w:rsidRDefault="00161F08" w:rsidP="006D149C">
            <w:pPr>
              <w:pStyle w:val="Standard"/>
              <w:jc w:val="both"/>
            </w:pPr>
            <w:r>
              <w:rPr>
                <w:b/>
                <w:sz w:val="16"/>
                <w:szCs w:val="16"/>
              </w:rPr>
              <w:t xml:space="preserve">Target: </w:t>
            </w:r>
            <w:r>
              <w:rPr>
                <w:sz w:val="16"/>
                <w:szCs w:val="16"/>
              </w:rPr>
              <w:t xml:space="preserve">6,180,000 </w:t>
            </w:r>
          </w:p>
          <w:p w14:paraId="0B0BC8A0" w14:textId="77777777" w:rsidR="00161F08" w:rsidRDefault="00161F08" w:rsidP="006D149C">
            <w:pPr>
              <w:pStyle w:val="Standard"/>
              <w:jc w:val="both"/>
              <w:rPr>
                <w:b/>
                <w:iCs/>
                <w:color w:val="000000"/>
                <w:sz w:val="16"/>
                <w:szCs w:val="16"/>
              </w:rPr>
            </w:pPr>
          </w:p>
          <w:p w14:paraId="5E1C6B67" w14:textId="77777777" w:rsidR="00161F08" w:rsidRDefault="00161F08" w:rsidP="006D149C">
            <w:pPr>
              <w:pStyle w:val="Standard"/>
              <w:jc w:val="both"/>
            </w:pPr>
            <w:r>
              <w:rPr>
                <w:b/>
                <w:iCs/>
                <w:color w:val="000000"/>
                <w:sz w:val="16"/>
                <w:szCs w:val="16"/>
              </w:rPr>
              <w:t>1.4 Mine clearance and mine victim assistance programme are maintained to enhance economic activity on the conflict-affected territories of Azerbaijan</w:t>
            </w:r>
          </w:p>
          <w:p w14:paraId="035140FD" w14:textId="77777777" w:rsidR="00161F08" w:rsidRDefault="00161F08" w:rsidP="006D149C">
            <w:pPr>
              <w:pStyle w:val="Standard"/>
              <w:jc w:val="both"/>
              <w:rPr>
                <w:iCs/>
                <w:color w:val="000000"/>
                <w:sz w:val="16"/>
                <w:szCs w:val="16"/>
                <w:lang w:val="en-GB"/>
              </w:rPr>
            </w:pPr>
          </w:p>
          <w:p w14:paraId="5F36D2F8" w14:textId="77777777" w:rsidR="00161F08" w:rsidRPr="00036D30" w:rsidRDefault="00161F08" w:rsidP="006D149C">
            <w:pPr>
              <w:pStyle w:val="Standard"/>
              <w:jc w:val="both"/>
              <w:rPr>
                <w:sz w:val="16"/>
                <w:szCs w:val="16"/>
              </w:rPr>
            </w:pPr>
            <w:r>
              <w:rPr>
                <w:b/>
                <w:sz w:val="16"/>
                <w:szCs w:val="16"/>
              </w:rPr>
              <w:t xml:space="preserve">Indicator 1.4.1: </w:t>
            </w:r>
            <w:r w:rsidRPr="00036D30">
              <w:rPr>
                <w:sz w:val="16"/>
                <w:szCs w:val="16"/>
              </w:rPr>
              <w:t>Number of mine victims with improved livelihoods</w:t>
            </w:r>
          </w:p>
          <w:p w14:paraId="5548629D" w14:textId="77777777" w:rsidR="00161F08" w:rsidRDefault="00161F08" w:rsidP="006D149C">
            <w:pPr>
              <w:pStyle w:val="Standard"/>
              <w:jc w:val="both"/>
              <w:rPr>
                <w:b/>
                <w:sz w:val="16"/>
                <w:szCs w:val="16"/>
              </w:rPr>
            </w:pPr>
            <w:r>
              <w:rPr>
                <w:b/>
                <w:sz w:val="16"/>
                <w:szCs w:val="16"/>
              </w:rPr>
              <w:t xml:space="preserve">Baseline: </w:t>
            </w:r>
            <w:r w:rsidRPr="007F5F9A">
              <w:rPr>
                <w:sz w:val="16"/>
                <w:szCs w:val="16"/>
              </w:rPr>
              <w:t>0</w:t>
            </w:r>
          </w:p>
          <w:p w14:paraId="54FC0ECE" w14:textId="77777777" w:rsidR="00161F08" w:rsidRPr="003C26C1" w:rsidRDefault="00161F08" w:rsidP="006D149C">
            <w:pPr>
              <w:pStyle w:val="ListParagraph"/>
              <w:ind w:left="0"/>
              <w:rPr>
                <w:b/>
                <w:bCs/>
                <w:color w:val="000000"/>
                <w:sz w:val="16"/>
                <w:szCs w:val="16"/>
                <w:lang w:val="en-GB"/>
              </w:rPr>
            </w:pPr>
            <w:r>
              <w:rPr>
                <w:b/>
                <w:sz w:val="16"/>
                <w:szCs w:val="16"/>
              </w:rPr>
              <w:t xml:space="preserve">Target: </w:t>
            </w:r>
            <w:r w:rsidRPr="007F5F9A">
              <w:rPr>
                <w:sz w:val="16"/>
                <w:szCs w:val="16"/>
              </w:rPr>
              <w:t>100</w:t>
            </w:r>
          </w:p>
        </w:tc>
        <w:tc>
          <w:tcPr>
            <w:tcW w:w="675" w:type="pct"/>
            <w:vMerge w:val="restart"/>
          </w:tcPr>
          <w:p w14:paraId="64D0D2A5" w14:textId="77777777" w:rsidR="00161F08" w:rsidRDefault="00161F08" w:rsidP="006D149C">
            <w:pPr>
              <w:pStyle w:val="Standard"/>
            </w:pPr>
            <w:r>
              <w:rPr>
                <w:iCs/>
                <w:color w:val="000000"/>
                <w:sz w:val="16"/>
                <w:szCs w:val="16"/>
                <w:lang w:val="en-GB"/>
              </w:rPr>
              <w:lastRenderedPageBreak/>
              <w:t>Ministry of Labour and Social Protection of Population</w:t>
            </w:r>
          </w:p>
          <w:p w14:paraId="3A2DEDAA" w14:textId="77777777" w:rsidR="00161F08" w:rsidRDefault="00161F08" w:rsidP="006D149C">
            <w:pPr>
              <w:pStyle w:val="Standard"/>
              <w:rPr>
                <w:iCs/>
                <w:color w:val="000000"/>
                <w:sz w:val="16"/>
                <w:szCs w:val="16"/>
                <w:lang w:val="en-GB"/>
              </w:rPr>
            </w:pPr>
          </w:p>
          <w:p w14:paraId="131C07BB" w14:textId="77777777" w:rsidR="00161F08" w:rsidRDefault="00F664D7" w:rsidP="006D149C">
            <w:pPr>
              <w:pStyle w:val="Standard"/>
              <w:rPr>
                <w:iCs/>
                <w:color w:val="000000"/>
                <w:sz w:val="16"/>
                <w:szCs w:val="16"/>
                <w:lang w:val="en-GB"/>
              </w:rPr>
            </w:pPr>
            <w:r>
              <w:rPr>
                <w:iCs/>
                <w:color w:val="000000"/>
                <w:sz w:val="16"/>
                <w:szCs w:val="16"/>
                <w:lang w:val="en-GB"/>
              </w:rPr>
              <w:t>Ministry of Education</w:t>
            </w:r>
          </w:p>
          <w:p w14:paraId="214693F6" w14:textId="77777777" w:rsidR="00F664D7" w:rsidRDefault="00F664D7" w:rsidP="006D149C">
            <w:pPr>
              <w:pStyle w:val="Standard"/>
              <w:rPr>
                <w:iCs/>
                <w:color w:val="000000"/>
                <w:sz w:val="16"/>
                <w:szCs w:val="16"/>
                <w:lang w:val="en-GB"/>
              </w:rPr>
            </w:pPr>
          </w:p>
          <w:p w14:paraId="35613B7E" w14:textId="77777777" w:rsidR="00161F08" w:rsidRDefault="00161F08" w:rsidP="006D149C">
            <w:pPr>
              <w:pStyle w:val="Standard"/>
            </w:pPr>
            <w:r>
              <w:rPr>
                <w:iCs/>
                <w:color w:val="000000"/>
                <w:sz w:val="16"/>
                <w:szCs w:val="16"/>
                <w:lang w:val="en-GB"/>
              </w:rPr>
              <w:t>Ministry of Culture and Tourism</w:t>
            </w:r>
          </w:p>
          <w:p w14:paraId="6E343134" w14:textId="77777777" w:rsidR="00161F08" w:rsidRDefault="00161F08" w:rsidP="006D149C">
            <w:pPr>
              <w:pStyle w:val="Standard"/>
              <w:rPr>
                <w:iCs/>
                <w:color w:val="000000"/>
                <w:sz w:val="16"/>
                <w:szCs w:val="16"/>
                <w:lang w:val="en-GB"/>
              </w:rPr>
            </w:pPr>
          </w:p>
          <w:p w14:paraId="63508F53" w14:textId="77777777" w:rsidR="00161F08" w:rsidRDefault="00161F08" w:rsidP="006D149C">
            <w:pPr>
              <w:pStyle w:val="Standard"/>
            </w:pPr>
            <w:r>
              <w:rPr>
                <w:iCs/>
                <w:color w:val="000000"/>
                <w:sz w:val="16"/>
                <w:szCs w:val="16"/>
                <w:lang w:val="en-GB"/>
              </w:rPr>
              <w:t>Ministry of Youth and Sports</w:t>
            </w:r>
          </w:p>
          <w:p w14:paraId="249751AC" w14:textId="77777777" w:rsidR="00161F08" w:rsidRDefault="00161F08" w:rsidP="006D149C">
            <w:pPr>
              <w:pStyle w:val="Standard"/>
              <w:rPr>
                <w:iCs/>
                <w:color w:val="000000"/>
                <w:sz w:val="16"/>
                <w:szCs w:val="16"/>
                <w:lang w:val="en-GB"/>
              </w:rPr>
            </w:pPr>
          </w:p>
          <w:p w14:paraId="5C250A40" w14:textId="77777777" w:rsidR="00161F08" w:rsidRDefault="00161F08" w:rsidP="006D149C">
            <w:pPr>
              <w:pStyle w:val="Standard"/>
              <w:rPr>
                <w:iCs/>
                <w:color w:val="000000"/>
                <w:sz w:val="16"/>
                <w:szCs w:val="16"/>
                <w:lang w:val="en-GB"/>
              </w:rPr>
            </w:pPr>
            <w:r>
              <w:rPr>
                <w:iCs/>
                <w:color w:val="000000"/>
                <w:sz w:val="16"/>
                <w:szCs w:val="16"/>
                <w:lang w:val="en-GB"/>
              </w:rPr>
              <w:t>Ministry of Communication and High Technologies</w:t>
            </w:r>
          </w:p>
          <w:p w14:paraId="45919242" w14:textId="77777777" w:rsidR="00077A15" w:rsidRDefault="00077A15" w:rsidP="006D149C">
            <w:pPr>
              <w:pStyle w:val="Standard"/>
              <w:rPr>
                <w:iCs/>
                <w:color w:val="000000"/>
                <w:sz w:val="16"/>
                <w:szCs w:val="16"/>
                <w:lang w:val="en-GB"/>
              </w:rPr>
            </w:pPr>
          </w:p>
          <w:p w14:paraId="7CA4D60C" w14:textId="5CEC5432" w:rsidR="00077A15" w:rsidRDefault="00077A15" w:rsidP="006D149C">
            <w:pPr>
              <w:pStyle w:val="Standard"/>
            </w:pPr>
            <w:r>
              <w:rPr>
                <w:iCs/>
                <w:color w:val="000000"/>
                <w:sz w:val="16"/>
                <w:szCs w:val="16"/>
                <w:lang w:val="en-GB"/>
              </w:rPr>
              <w:t>Ministry of Agriculture</w:t>
            </w:r>
            <w:r>
              <w:rPr>
                <w:iCs/>
                <w:color w:val="000000"/>
                <w:sz w:val="16"/>
                <w:szCs w:val="16"/>
                <w:lang w:val="en-GB"/>
              </w:rPr>
              <w:br/>
            </w:r>
          </w:p>
          <w:p w14:paraId="14072021" w14:textId="77777777" w:rsidR="00161F08" w:rsidRDefault="00161F08" w:rsidP="006D149C">
            <w:pPr>
              <w:pStyle w:val="Standard"/>
              <w:rPr>
                <w:iCs/>
                <w:color w:val="000000"/>
                <w:sz w:val="16"/>
                <w:szCs w:val="16"/>
                <w:lang w:val="en-GB"/>
              </w:rPr>
            </w:pPr>
          </w:p>
          <w:p w14:paraId="70685486" w14:textId="77777777" w:rsidR="00161F08" w:rsidRDefault="00161F08" w:rsidP="006D149C">
            <w:pPr>
              <w:pStyle w:val="Standard"/>
              <w:rPr>
                <w:iCs/>
                <w:color w:val="000000"/>
                <w:sz w:val="16"/>
                <w:szCs w:val="16"/>
                <w:lang w:val="en-GB"/>
              </w:rPr>
            </w:pPr>
            <w:r>
              <w:rPr>
                <w:iCs/>
                <w:color w:val="000000"/>
                <w:sz w:val="16"/>
                <w:szCs w:val="16"/>
                <w:lang w:val="en-GB"/>
              </w:rPr>
              <w:t>ICT Fund</w:t>
            </w:r>
          </w:p>
          <w:p w14:paraId="6D7F7DE8" w14:textId="77777777" w:rsidR="00161F08" w:rsidRDefault="00161F08" w:rsidP="006D149C">
            <w:pPr>
              <w:pStyle w:val="Standard"/>
              <w:rPr>
                <w:iCs/>
                <w:color w:val="000000"/>
                <w:sz w:val="16"/>
                <w:szCs w:val="16"/>
                <w:lang w:val="en-GB"/>
              </w:rPr>
            </w:pPr>
          </w:p>
          <w:p w14:paraId="4F0E1668" w14:textId="77777777" w:rsidR="00161F08" w:rsidRDefault="00161F08" w:rsidP="006D149C">
            <w:pPr>
              <w:pStyle w:val="Standard"/>
            </w:pPr>
            <w:r>
              <w:rPr>
                <w:iCs/>
                <w:color w:val="000000"/>
                <w:sz w:val="16"/>
                <w:szCs w:val="16"/>
                <w:lang w:val="en-GB"/>
              </w:rPr>
              <w:t>Azerbaijan National Agency for Mine Action</w:t>
            </w:r>
          </w:p>
          <w:p w14:paraId="6A7E67A0" w14:textId="77777777" w:rsidR="00161F08" w:rsidRDefault="00161F08" w:rsidP="006D149C">
            <w:pPr>
              <w:pStyle w:val="Standard"/>
              <w:rPr>
                <w:iCs/>
                <w:color w:val="000000"/>
                <w:sz w:val="16"/>
                <w:szCs w:val="16"/>
                <w:lang w:val="en-GB"/>
              </w:rPr>
            </w:pPr>
          </w:p>
          <w:p w14:paraId="0E5A48C8" w14:textId="77777777" w:rsidR="00161F08" w:rsidRDefault="00161F08" w:rsidP="006D149C">
            <w:pPr>
              <w:pStyle w:val="Standard"/>
            </w:pPr>
            <w:r>
              <w:rPr>
                <w:iCs/>
                <w:color w:val="000000"/>
                <w:sz w:val="16"/>
                <w:szCs w:val="16"/>
                <w:lang w:val="en-GB"/>
              </w:rPr>
              <w:t>Youth and women's associations</w:t>
            </w:r>
          </w:p>
          <w:p w14:paraId="38A6EA76" w14:textId="77777777" w:rsidR="00161F08" w:rsidRDefault="00161F08" w:rsidP="006D149C">
            <w:pPr>
              <w:pStyle w:val="Standard"/>
              <w:rPr>
                <w:iCs/>
                <w:color w:val="000000"/>
                <w:sz w:val="16"/>
                <w:szCs w:val="16"/>
                <w:lang w:val="en-GB"/>
              </w:rPr>
            </w:pPr>
          </w:p>
          <w:p w14:paraId="767D877B" w14:textId="77777777" w:rsidR="00161F08" w:rsidRDefault="00161F08" w:rsidP="006D149C">
            <w:pPr>
              <w:pStyle w:val="Standard"/>
            </w:pPr>
            <w:r>
              <w:rPr>
                <w:iCs/>
                <w:color w:val="000000"/>
                <w:sz w:val="16"/>
                <w:szCs w:val="16"/>
                <w:lang w:val="en-GB"/>
              </w:rPr>
              <w:t>European Union</w:t>
            </w:r>
          </w:p>
          <w:p w14:paraId="48C378FD" w14:textId="77777777" w:rsidR="00161F08" w:rsidRPr="00BF300B" w:rsidRDefault="00161F08" w:rsidP="006D149C">
            <w:pPr>
              <w:rPr>
                <w:i/>
                <w:iCs/>
                <w:color w:val="000000"/>
                <w:sz w:val="16"/>
                <w:szCs w:val="16"/>
              </w:rPr>
            </w:pPr>
          </w:p>
        </w:tc>
        <w:tc>
          <w:tcPr>
            <w:tcW w:w="958" w:type="pct"/>
            <w:tcMar>
              <w:top w:w="15" w:type="dxa"/>
              <w:left w:w="108" w:type="dxa"/>
              <w:bottom w:w="0" w:type="dxa"/>
              <w:right w:w="108" w:type="dxa"/>
            </w:tcMar>
          </w:tcPr>
          <w:p w14:paraId="0E054CC4" w14:textId="77777777" w:rsidR="00161F08" w:rsidRPr="003C26C1" w:rsidRDefault="00161F08" w:rsidP="006D149C">
            <w:pPr>
              <w:rPr>
                <w:b/>
                <w:color w:val="000000"/>
                <w:sz w:val="16"/>
                <w:szCs w:val="16"/>
              </w:rPr>
            </w:pPr>
            <w:r w:rsidRPr="003C26C1">
              <w:rPr>
                <w:b/>
                <w:color w:val="000000"/>
                <w:sz w:val="16"/>
                <w:szCs w:val="16"/>
              </w:rPr>
              <w:t>Regular</w:t>
            </w:r>
            <w:r>
              <w:rPr>
                <w:b/>
                <w:color w:val="000000"/>
                <w:sz w:val="16"/>
                <w:szCs w:val="16"/>
              </w:rPr>
              <w:t>: 810,000</w:t>
            </w:r>
          </w:p>
        </w:tc>
      </w:tr>
      <w:tr w:rsidR="00161F08" w:rsidRPr="003C26C1" w14:paraId="2DD32280" w14:textId="77777777" w:rsidTr="00161F08">
        <w:tc>
          <w:tcPr>
            <w:tcW w:w="1097" w:type="pct"/>
            <w:vMerge/>
            <w:tcMar>
              <w:top w:w="72" w:type="dxa"/>
              <w:left w:w="144" w:type="dxa"/>
              <w:bottom w:w="72" w:type="dxa"/>
              <w:right w:w="144" w:type="dxa"/>
            </w:tcMar>
          </w:tcPr>
          <w:p w14:paraId="5A039C7D" w14:textId="2BA700B0" w:rsidR="00161F08" w:rsidRPr="003C26C1" w:rsidRDefault="00161F08" w:rsidP="006D149C">
            <w:pPr>
              <w:rPr>
                <w:i/>
                <w:iCs/>
                <w:color w:val="000000"/>
                <w:sz w:val="16"/>
                <w:szCs w:val="16"/>
              </w:rPr>
            </w:pPr>
          </w:p>
        </w:tc>
        <w:tc>
          <w:tcPr>
            <w:tcW w:w="1178" w:type="pct"/>
            <w:vMerge/>
          </w:tcPr>
          <w:p w14:paraId="57975DDF" w14:textId="77777777" w:rsidR="00161F08" w:rsidRPr="003C26C1" w:rsidRDefault="00161F08" w:rsidP="006D149C">
            <w:pPr>
              <w:rPr>
                <w:i/>
                <w:iCs/>
                <w:color w:val="000000"/>
                <w:sz w:val="16"/>
                <w:szCs w:val="16"/>
              </w:rPr>
            </w:pPr>
          </w:p>
        </w:tc>
        <w:tc>
          <w:tcPr>
            <w:tcW w:w="1092" w:type="pct"/>
            <w:vMerge/>
            <w:tcMar>
              <w:top w:w="72" w:type="dxa"/>
              <w:left w:w="144" w:type="dxa"/>
              <w:bottom w:w="72" w:type="dxa"/>
              <w:right w:w="144" w:type="dxa"/>
            </w:tcMar>
          </w:tcPr>
          <w:p w14:paraId="64F91484" w14:textId="77777777" w:rsidR="00161F08" w:rsidRPr="003C26C1" w:rsidRDefault="00161F08" w:rsidP="006D149C">
            <w:pPr>
              <w:rPr>
                <w:i/>
                <w:iCs/>
                <w:color w:val="000000"/>
                <w:sz w:val="16"/>
                <w:szCs w:val="16"/>
              </w:rPr>
            </w:pPr>
          </w:p>
        </w:tc>
        <w:tc>
          <w:tcPr>
            <w:tcW w:w="675" w:type="pct"/>
            <w:vMerge/>
          </w:tcPr>
          <w:p w14:paraId="42950A5B" w14:textId="77777777" w:rsidR="00161F08" w:rsidRPr="003C26C1" w:rsidRDefault="00161F08" w:rsidP="006D149C">
            <w:pPr>
              <w:rPr>
                <w:i/>
                <w:iCs/>
                <w:color w:val="000000"/>
                <w:sz w:val="16"/>
                <w:szCs w:val="16"/>
              </w:rPr>
            </w:pPr>
          </w:p>
        </w:tc>
        <w:tc>
          <w:tcPr>
            <w:tcW w:w="958" w:type="pct"/>
            <w:tcMar>
              <w:top w:w="15" w:type="dxa"/>
              <w:left w:w="108" w:type="dxa"/>
              <w:bottom w:w="0" w:type="dxa"/>
              <w:right w:w="108" w:type="dxa"/>
            </w:tcMar>
          </w:tcPr>
          <w:p w14:paraId="6ABB2F4E" w14:textId="77777777" w:rsidR="00161F08" w:rsidRDefault="00161F08" w:rsidP="006D149C">
            <w:pPr>
              <w:rPr>
                <w:b/>
                <w:color w:val="000000"/>
                <w:sz w:val="16"/>
                <w:szCs w:val="16"/>
              </w:rPr>
            </w:pPr>
            <w:r w:rsidRPr="003C26C1">
              <w:rPr>
                <w:b/>
                <w:color w:val="000000"/>
                <w:sz w:val="16"/>
                <w:szCs w:val="16"/>
              </w:rPr>
              <w:t>Other</w:t>
            </w:r>
            <w:r>
              <w:rPr>
                <w:b/>
                <w:color w:val="000000"/>
                <w:sz w:val="16"/>
                <w:szCs w:val="16"/>
              </w:rPr>
              <w:t xml:space="preserve">: 17,700,000 </w:t>
            </w:r>
          </w:p>
          <w:p w14:paraId="2A663384" w14:textId="695B6CDC" w:rsidR="00161F08" w:rsidRPr="003C26C1" w:rsidRDefault="00161F08" w:rsidP="006D149C">
            <w:pPr>
              <w:rPr>
                <w:b/>
                <w:color w:val="000000"/>
                <w:sz w:val="16"/>
                <w:szCs w:val="16"/>
              </w:rPr>
            </w:pPr>
          </w:p>
        </w:tc>
      </w:tr>
      <w:tr w:rsidR="00161F08" w:rsidRPr="003C26C1" w14:paraId="6D17B471" w14:textId="77777777" w:rsidTr="00161F08">
        <w:tc>
          <w:tcPr>
            <w:tcW w:w="5000" w:type="pct"/>
            <w:gridSpan w:val="5"/>
            <w:shd w:val="clear" w:color="auto" w:fill="auto"/>
            <w:tcMar>
              <w:top w:w="72" w:type="dxa"/>
              <w:left w:w="144" w:type="dxa"/>
              <w:bottom w:w="72" w:type="dxa"/>
              <w:right w:w="144" w:type="dxa"/>
            </w:tcMar>
          </w:tcPr>
          <w:p w14:paraId="17DF5049" w14:textId="77777777" w:rsidR="00161F08" w:rsidRDefault="00161F08" w:rsidP="00F25D2F">
            <w:pPr>
              <w:pStyle w:val="Standard"/>
              <w:spacing w:line="180" w:lineRule="exact"/>
              <w:jc w:val="both"/>
            </w:pPr>
            <w:r>
              <w:rPr>
                <w:b/>
                <w:bCs/>
                <w:color w:val="000000"/>
                <w:sz w:val="16"/>
                <w:szCs w:val="16"/>
                <w:lang w:val="en-GB"/>
              </w:rPr>
              <w:lastRenderedPageBreak/>
              <w:t xml:space="preserve">NATIONAL PRIORITY OR GOAL: </w:t>
            </w:r>
            <w:r>
              <w:rPr>
                <w:b/>
                <w:lang w:val="en-CA"/>
              </w:rPr>
              <w:t xml:space="preserve">Strengthening institutional capacities and effective public and social services  </w:t>
            </w:r>
          </w:p>
        </w:tc>
      </w:tr>
      <w:tr w:rsidR="00161F08" w:rsidRPr="003C26C1" w14:paraId="593B9E6E" w14:textId="77777777" w:rsidTr="00161F08">
        <w:tc>
          <w:tcPr>
            <w:tcW w:w="5000" w:type="pct"/>
            <w:gridSpan w:val="5"/>
            <w:shd w:val="clear" w:color="auto" w:fill="auto"/>
            <w:tcMar>
              <w:top w:w="72" w:type="dxa"/>
              <w:left w:w="144" w:type="dxa"/>
              <w:bottom w:w="72" w:type="dxa"/>
              <w:right w:w="144" w:type="dxa"/>
            </w:tcMar>
          </w:tcPr>
          <w:p w14:paraId="41724E88" w14:textId="03225B8A" w:rsidR="00161F08" w:rsidRDefault="00161F08" w:rsidP="00C0184D">
            <w:pPr>
              <w:pStyle w:val="Standard"/>
              <w:spacing w:line="180" w:lineRule="exact"/>
              <w:jc w:val="both"/>
            </w:pPr>
            <w:r>
              <w:rPr>
                <w:b/>
                <w:bCs/>
                <w:color w:val="000000"/>
                <w:sz w:val="16"/>
                <w:szCs w:val="16"/>
                <w:lang w:val="en-GB"/>
              </w:rPr>
              <w:t xml:space="preserve">UNAPF  OUTCOME #2: </w:t>
            </w:r>
            <w:r>
              <w:rPr>
                <w:b/>
                <w:bCs/>
                <w:lang w:val="en-CA"/>
              </w:rPr>
              <w:t>By 2020, Azerbaijan has enhanced institutional capacities for transparent, evidence-based and gender-sensitive policy formulation and implementation</w:t>
            </w:r>
          </w:p>
        </w:tc>
      </w:tr>
      <w:tr w:rsidR="00161F08" w:rsidRPr="003C26C1" w14:paraId="0D346D85" w14:textId="77777777" w:rsidTr="00161F08">
        <w:tc>
          <w:tcPr>
            <w:tcW w:w="5000" w:type="pct"/>
            <w:gridSpan w:val="5"/>
            <w:shd w:val="clear" w:color="auto" w:fill="auto"/>
            <w:tcMar>
              <w:top w:w="72" w:type="dxa"/>
              <w:left w:w="144" w:type="dxa"/>
              <w:bottom w:w="72" w:type="dxa"/>
              <w:right w:w="144" w:type="dxa"/>
            </w:tcMar>
          </w:tcPr>
          <w:p w14:paraId="5F39D8CC" w14:textId="77777777" w:rsidR="00161F08" w:rsidRDefault="00161F08" w:rsidP="00F25D2F">
            <w:pPr>
              <w:pStyle w:val="Standard"/>
              <w:spacing w:line="180" w:lineRule="exact"/>
              <w:jc w:val="both"/>
              <w:rPr>
                <w:b/>
                <w:bCs/>
                <w:color w:val="000000"/>
                <w:sz w:val="16"/>
                <w:szCs w:val="16"/>
                <w:lang w:val="en-GB"/>
              </w:rPr>
            </w:pPr>
            <w:r>
              <w:rPr>
                <w:b/>
                <w:bCs/>
                <w:color w:val="000000"/>
                <w:sz w:val="16"/>
                <w:szCs w:val="16"/>
                <w:lang w:val="en-GB"/>
              </w:rPr>
              <w:t>RELATED STRATEGIC PLAN OUTCOME 3:</w:t>
            </w:r>
          </w:p>
          <w:p w14:paraId="493EE718" w14:textId="77777777" w:rsidR="00161F08" w:rsidRPr="00D54A45" w:rsidRDefault="00161F08" w:rsidP="00F25D2F">
            <w:pPr>
              <w:pStyle w:val="Standard"/>
              <w:spacing w:line="180" w:lineRule="exact"/>
              <w:jc w:val="both"/>
              <w:rPr>
                <w:b/>
                <w:sz w:val="16"/>
                <w:szCs w:val="16"/>
              </w:rPr>
            </w:pPr>
            <w:r>
              <w:rPr>
                <w:b/>
                <w:sz w:val="16"/>
                <w:szCs w:val="16"/>
              </w:rPr>
              <w:t>Countries have strengthened institutions to progressively deliver universal access to basic services</w:t>
            </w:r>
          </w:p>
        </w:tc>
      </w:tr>
      <w:tr w:rsidR="00161F08" w:rsidRPr="003C26C1" w14:paraId="78E6FCDA" w14:textId="77777777" w:rsidTr="00161F08">
        <w:tc>
          <w:tcPr>
            <w:tcW w:w="1097" w:type="pct"/>
            <w:vMerge w:val="restart"/>
            <w:tcMar>
              <w:top w:w="72" w:type="dxa"/>
              <w:left w:w="144" w:type="dxa"/>
              <w:bottom w:w="72" w:type="dxa"/>
              <w:right w:w="144" w:type="dxa"/>
            </w:tcMar>
          </w:tcPr>
          <w:p w14:paraId="2F5A4D13" w14:textId="77777777" w:rsidR="00161F08" w:rsidRPr="003F31A9" w:rsidRDefault="00161F08" w:rsidP="006D149C">
            <w:pPr>
              <w:pStyle w:val="Standard"/>
              <w:jc w:val="both"/>
              <w:rPr>
                <w:sz w:val="16"/>
                <w:szCs w:val="16"/>
              </w:rPr>
            </w:pPr>
            <w:r w:rsidRPr="003F31A9">
              <w:rPr>
                <w:b/>
                <w:sz w:val="16"/>
                <w:szCs w:val="16"/>
              </w:rPr>
              <w:t>1.Indicator:</w:t>
            </w:r>
            <w:r w:rsidRPr="003F31A9">
              <w:rPr>
                <w:sz w:val="16"/>
                <w:szCs w:val="16"/>
              </w:rPr>
              <w:t xml:space="preserve"> </w:t>
            </w:r>
            <w:r w:rsidRPr="003F31A9">
              <w:rPr>
                <w:sz w:val="16"/>
                <w:szCs w:val="16"/>
                <w:lang w:val="en-CA"/>
              </w:rPr>
              <w:t>New sex-disaggregated indicators aimed at supporting the development of informed policies are incorporated into the national statistical databank</w:t>
            </w:r>
          </w:p>
          <w:p w14:paraId="364BAFDD" w14:textId="77777777" w:rsidR="00161F08" w:rsidRPr="003F31A9" w:rsidRDefault="00161F08" w:rsidP="006D149C">
            <w:pPr>
              <w:pStyle w:val="Standard"/>
              <w:jc w:val="both"/>
              <w:rPr>
                <w:sz w:val="16"/>
                <w:szCs w:val="16"/>
              </w:rPr>
            </w:pPr>
            <w:r w:rsidRPr="003F31A9">
              <w:rPr>
                <w:b/>
                <w:sz w:val="16"/>
                <w:szCs w:val="16"/>
                <w:lang w:val="en-CA"/>
              </w:rPr>
              <w:t>Baseline: 257 (2013)</w:t>
            </w:r>
          </w:p>
          <w:p w14:paraId="10A68296" w14:textId="77777777" w:rsidR="00161F08" w:rsidRPr="003F31A9" w:rsidRDefault="00161F08" w:rsidP="006D149C">
            <w:pPr>
              <w:pStyle w:val="Standard"/>
              <w:jc w:val="both"/>
              <w:rPr>
                <w:sz w:val="16"/>
                <w:szCs w:val="16"/>
              </w:rPr>
            </w:pPr>
            <w:r w:rsidRPr="003F31A9">
              <w:rPr>
                <w:b/>
                <w:sz w:val="16"/>
                <w:szCs w:val="16"/>
                <w:lang w:val="en-CA"/>
              </w:rPr>
              <w:t>Target: 280</w:t>
            </w:r>
          </w:p>
          <w:p w14:paraId="5EEC6B0A" w14:textId="77777777" w:rsidR="00161F08" w:rsidRPr="003F31A9" w:rsidRDefault="00161F08" w:rsidP="006D149C">
            <w:pPr>
              <w:pStyle w:val="Standard"/>
              <w:jc w:val="both"/>
              <w:rPr>
                <w:sz w:val="16"/>
                <w:szCs w:val="16"/>
                <w:lang w:val="en-CA"/>
              </w:rPr>
            </w:pPr>
          </w:p>
          <w:p w14:paraId="2ED34177" w14:textId="77777777" w:rsidR="00161F08" w:rsidRPr="003F31A9" w:rsidRDefault="00161F08" w:rsidP="006D149C">
            <w:pPr>
              <w:pStyle w:val="Standard"/>
              <w:jc w:val="both"/>
              <w:rPr>
                <w:sz w:val="16"/>
                <w:szCs w:val="16"/>
              </w:rPr>
            </w:pPr>
            <w:r w:rsidRPr="003F31A9">
              <w:rPr>
                <w:b/>
                <w:sz w:val="16"/>
                <w:szCs w:val="16"/>
                <w:lang w:val="en-CA"/>
              </w:rPr>
              <w:t xml:space="preserve">2. Indicator: </w:t>
            </w:r>
            <w:r w:rsidRPr="003F31A9">
              <w:rPr>
                <w:sz w:val="16"/>
                <w:szCs w:val="16"/>
                <w:lang w:val="en-CA"/>
              </w:rPr>
              <w:t>Human Development Index</w:t>
            </w:r>
          </w:p>
          <w:p w14:paraId="79833C1B" w14:textId="77777777" w:rsidR="00161F08" w:rsidRPr="003F31A9" w:rsidRDefault="00161F08" w:rsidP="006D149C">
            <w:pPr>
              <w:pStyle w:val="Standard"/>
              <w:jc w:val="both"/>
              <w:rPr>
                <w:sz w:val="16"/>
                <w:szCs w:val="16"/>
              </w:rPr>
            </w:pPr>
            <w:r w:rsidRPr="003F31A9">
              <w:rPr>
                <w:b/>
                <w:sz w:val="16"/>
                <w:szCs w:val="16"/>
                <w:lang w:val="en-CA"/>
              </w:rPr>
              <w:t>Baseline:</w:t>
            </w:r>
            <w:r w:rsidRPr="003F31A9">
              <w:rPr>
                <w:sz w:val="16"/>
                <w:szCs w:val="16"/>
                <w:lang w:val="en-CA"/>
              </w:rPr>
              <w:t xml:space="preserve"> 0.747 (2013)</w:t>
            </w:r>
          </w:p>
          <w:p w14:paraId="3AA5DBC2" w14:textId="736C11CE" w:rsidR="00161F08" w:rsidRPr="003F31A9" w:rsidRDefault="00161F08" w:rsidP="006D149C">
            <w:pPr>
              <w:pStyle w:val="Standard"/>
              <w:jc w:val="both"/>
              <w:rPr>
                <w:sz w:val="16"/>
                <w:szCs w:val="16"/>
              </w:rPr>
            </w:pPr>
            <w:r w:rsidRPr="003F31A9">
              <w:rPr>
                <w:b/>
                <w:sz w:val="16"/>
                <w:szCs w:val="16"/>
                <w:lang w:val="en-CA"/>
              </w:rPr>
              <w:t>Target:</w:t>
            </w:r>
            <w:r w:rsidRPr="003F31A9">
              <w:rPr>
                <w:sz w:val="16"/>
                <w:szCs w:val="16"/>
                <w:lang w:val="en-CA"/>
              </w:rPr>
              <w:t xml:space="preserve"> </w:t>
            </w:r>
            <w:r w:rsidR="00C0184D">
              <w:rPr>
                <w:sz w:val="16"/>
                <w:szCs w:val="16"/>
                <w:lang w:val="en-CA"/>
              </w:rPr>
              <w:t xml:space="preserve">0.750 </w:t>
            </w:r>
          </w:p>
          <w:p w14:paraId="07EC7660" w14:textId="77777777" w:rsidR="00161F08" w:rsidRPr="003F31A9" w:rsidRDefault="00161F08" w:rsidP="006D149C">
            <w:pPr>
              <w:pStyle w:val="Standard"/>
              <w:jc w:val="both"/>
              <w:rPr>
                <w:sz w:val="16"/>
                <w:szCs w:val="16"/>
                <w:lang w:val="en-CA"/>
              </w:rPr>
            </w:pPr>
          </w:p>
          <w:p w14:paraId="332B0C79" w14:textId="77777777" w:rsidR="00161F08" w:rsidRPr="003F31A9" w:rsidRDefault="00161F08" w:rsidP="006D149C">
            <w:pPr>
              <w:pStyle w:val="Standard"/>
              <w:jc w:val="both"/>
              <w:rPr>
                <w:sz w:val="16"/>
                <w:szCs w:val="16"/>
              </w:rPr>
            </w:pPr>
          </w:p>
          <w:p w14:paraId="158A5B2C" w14:textId="6B6B12E7" w:rsidR="00161F08" w:rsidRPr="003F31A9" w:rsidRDefault="002918E4" w:rsidP="006D149C">
            <w:pPr>
              <w:pStyle w:val="Standard"/>
              <w:jc w:val="both"/>
              <w:rPr>
                <w:sz w:val="16"/>
                <w:szCs w:val="16"/>
              </w:rPr>
            </w:pPr>
            <w:r>
              <w:rPr>
                <w:b/>
                <w:sz w:val="16"/>
                <w:szCs w:val="16"/>
                <w:lang w:val="en-CA"/>
              </w:rPr>
              <w:t>3</w:t>
            </w:r>
            <w:r w:rsidR="00161F08" w:rsidRPr="003F31A9">
              <w:rPr>
                <w:b/>
                <w:sz w:val="16"/>
                <w:szCs w:val="16"/>
                <w:lang w:val="en-CA"/>
              </w:rPr>
              <w:t xml:space="preserve">. Indicator: </w:t>
            </w:r>
            <w:r w:rsidR="00161F08" w:rsidRPr="003F31A9">
              <w:rPr>
                <w:sz w:val="16"/>
                <w:szCs w:val="16"/>
                <w:lang w:val="en-CA"/>
              </w:rPr>
              <w:t>Government effectiveness estimate</w:t>
            </w:r>
          </w:p>
          <w:p w14:paraId="77D858F5" w14:textId="77777777" w:rsidR="00161F08" w:rsidRPr="003F31A9" w:rsidRDefault="00161F08" w:rsidP="006D149C">
            <w:pPr>
              <w:pStyle w:val="Standard"/>
              <w:jc w:val="both"/>
              <w:rPr>
                <w:sz w:val="16"/>
                <w:szCs w:val="16"/>
              </w:rPr>
            </w:pPr>
            <w:r w:rsidRPr="003F31A9">
              <w:rPr>
                <w:b/>
                <w:sz w:val="16"/>
                <w:szCs w:val="16"/>
                <w:lang w:val="en-CA"/>
              </w:rPr>
              <w:t>Baseline:</w:t>
            </w:r>
            <w:r w:rsidRPr="003F31A9">
              <w:rPr>
                <w:sz w:val="16"/>
                <w:szCs w:val="16"/>
                <w:lang w:val="en-CA"/>
              </w:rPr>
              <w:t xml:space="preserve"> -0.78 (2012)</w:t>
            </w:r>
          </w:p>
          <w:p w14:paraId="41D9B520" w14:textId="77777777" w:rsidR="00161F08" w:rsidRPr="003F31A9" w:rsidRDefault="00161F08" w:rsidP="006D149C">
            <w:pPr>
              <w:pStyle w:val="Standard"/>
              <w:jc w:val="both"/>
              <w:rPr>
                <w:sz w:val="16"/>
                <w:szCs w:val="16"/>
                <w:lang w:val="en-CA"/>
              </w:rPr>
            </w:pPr>
            <w:r w:rsidRPr="003F31A9">
              <w:rPr>
                <w:b/>
                <w:sz w:val="16"/>
                <w:szCs w:val="16"/>
                <w:lang w:val="en-CA"/>
              </w:rPr>
              <w:t>Target:</w:t>
            </w:r>
            <w:r w:rsidRPr="003F31A9">
              <w:rPr>
                <w:sz w:val="16"/>
                <w:szCs w:val="16"/>
                <w:lang w:val="en-CA"/>
              </w:rPr>
              <w:t xml:space="preserve"> 0.5 (2020)</w:t>
            </w:r>
          </w:p>
          <w:p w14:paraId="58066BDC" w14:textId="77777777" w:rsidR="00161F08" w:rsidRPr="003F31A9" w:rsidRDefault="00161F08" w:rsidP="006D149C">
            <w:pPr>
              <w:pStyle w:val="Standard"/>
              <w:jc w:val="both"/>
              <w:rPr>
                <w:sz w:val="16"/>
                <w:szCs w:val="16"/>
                <w:lang w:val="en-CA"/>
              </w:rPr>
            </w:pPr>
          </w:p>
          <w:p w14:paraId="0964AB98" w14:textId="05C11E62" w:rsidR="00161F08" w:rsidRPr="003F31A9" w:rsidRDefault="002918E4" w:rsidP="006D149C">
            <w:pPr>
              <w:pStyle w:val="Standard"/>
              <w:jc w:val="both"/>
              <w:rPr>
                <w:sz w:val="16"/>
                <w:szCs w:val="16"/>
                <w:lang w:val="en-CA"/>
              </w:rPr>
            </w:pPr>
            <w:r>
              <w:rPr>
                <w:sz w:val="16"/>
                <w:szCs w:val="16"/>
                <w:lang w:val="en-CA"/>
              </w:rPr>
              <w:t>4</w:t>
            </w:r>
            <w:r w:rsidR="00161F08" w:rsidRPr="003F31A9">
              <w:rPr>
                <w:sz w:val="16"/>
                <w:szCs w:val="16"/>
                <w:lang w:val="en-CA"/>
              </w:rPr>
              <w:t xml:space="preserve">. </w:t>
            </w:r>
            <w:r w:rsidR="00161F08" w:rsidRPr="00435A15">
              <w:rPr>
                <w:b/>
                <w:sz w:val="16"/>
                <w:szCs w:val="16"/>
                <w:lang w:val="en-CA"/>
              </w:rPr>
              <w:t>Indicator:</w:t>
            </w:r>
            <w:r w:rsidR="00161F08" w:rsidRPr="003F31A9">
              <w:rPr>
                <w:sz w:val="16"/>
                <w:szCs w:val="16"/>
                <w:lang w:val="en-CA"/>
              </w:rPr>
              <w:t xml:space="preserve"> Extent to which the capacities of the security sector for oversight are improved.</w:t>
            </w:r>
          </w:p>
          <w:p w14:paraId="7617A36F" w14:textId="77777777" w:rsidR="00161F08" w:rsidRPr="003F31A9" w:rsidRDefault="00161F08" w:rsidP="006D149C">
            <w:pPr>
              <w:pStyle w:val="Standard"/>
              <w:jc w:val="both"/>
              <w:rPr>
                <w:sz w:val="16"/>
                <w:szCs w:val="16"/>
                <w:lang w:val="en-CA"/>
              </w:rPr>
            </w:pPr>
            <w:r w:rsidRPr="00435A15">
              <w:rPr>
                <w:b/>
                <w:sz w:val="16"/>
                <w:szCs w:val="16"/>
                <w:lang w:val="en-CA"/>
              </w:rPr>
              <w:lastRenderedPageBreak/>
              <w:t>Baseline</w:t>
            </w:r>
            <w:r w:rsidRPr="003F31A9">
              <w:rPr>
                <w:sz w:val="16"/>
                <w:szCs w:val="16"/>
                <w:lang w:val="en-CA"/>
              </w:rPr>
              <w:t>: 3 (2014)</w:t>
            </w:r>
          </w:p>
          <w:p w14:paraId="03E5C287" w14:textId="77777777" w:rsidR="00161F08" w:rsidRPr="003F31A9" w:rsidRDefault="00161F08" w:rsidP="006D149C">
            <w:pPr>
              <w:pStyle w:val="Standard"/>
              <w:jc w:val="both"/>
              <w:rPr>
                <w:sz w:val="16"/>
                <w:szCs w:val="16"/>
              </w:rPr>
            </w:pPr>
            <w:r w:rsidRPr="00435A15">
              <w:rPr>
                <w:b/>
                <w:sz w:val="16"/>
                <w:szCs w:val="16"/>
                <w:lang w:val="en-CA"/>
              </w:rPr>
              <w:t>Target:</w:t>
            </w:r>
            <w:r w:rsidRPr="003F31A9">
              <w:rPr>
                <w:sz w:val="16"/>
                <w:szCs w:val="16"/>
                <w:lang w:val="en-CA"/>
              </w:rPr>
              <w:t xml:space="preserve"> 4 (2020)</w:t>
            </w:r>
          </w:p>
          <w:p w14:paraId="2064696C" w14:textId="77777777" w:rsidR="00C057FC" w:rsidRDefault="00C057FC" w:rsidP="006D149C">
            <w:pPr>
              <w:pStyle w:val="Standard"/>
              <w:jc w:val="both"/>
              <w:rPr>
                <w:b/>
                <w:sz w:val="16"/>
                <w:szCs w:val="16"/>
                <w:lang w:val="en-CA"/>
              </w:rPr>
            </w:pPr>
          </w:p>
          <w:p w14:paraId="472D0670" w14:textId="77777777" w:rsidR="00161F08" w:rsidRPr="003F31A9" w:rsidRDefault="00161F08" w:rsidP="006D149C">
            <w:pPr>
              <w:pStyle w:val="Standard"/>
              <w:jc w:val="both"/>
              <w:rPr>
                <w:sz w:val="16"/>
                <w:szCs w:val="16"/>
              </w:rPr>
            </w:pPr>
            <w:r w:rsidRPr="003F31A9">
              <w:rPr>
                <w:b/>
                <w:sz w:val="16"/>
                <w:szCs w:val="16"/>
                <w:lang w:val="en-CA"/>
              </w:rPr>
              <w:t xml:space="preserve">5. Indicator: </w:t>
            </w:r>
            <w:r w:rsidRPr="003F31A9">
              <w:rPr>
                <w:sz w:val="16"/>
                <w:szCs w:val="16"/>
                <w:lang w:val="en-CA"/>
              </w:rPr>
              <w:t>Networked readiness index:</w:t>
            </w:r>
          </w:p>
          <w:p w14:paraId="255CC4FD" w14:textId="77777777" w:rsidR="00161F08" w:rsidRPr="003F31A9" w:rsidRDefault="00161F08" w:rsidP="006D149C">
            <w:pPr>
              <w:pStyle w:val="Standard"/>
              <w:jc w:val="both"/>
              <w:rPr>
                <w:sz w:val="16"/>
                <w:szCs w:val="16"/>
              </w:rPr>
            </w:pPr>
            <w:r w:rsidRPr="003F31A9">
              <w:rPr>
                <w:b/>
                <w:sz w:val="16"/>
                <w:szCs w:val="16"/>
                <w:lang w:val="en-CA"/>
              </w:rPr>
              <w:t>Baseline:</w:t>
            </w:r>
            <w:r w:rsidRPr="003F31A9">
              <w:rPr>
                <w:sz w:val="16"/>
                <w:szCs w:val="16"/>
                <w:lang w:val="en-CA"/>
              </w:rPr>
              <w:t xml:space="preserve"> 4.31 (2014)</w:t>
            </w:r>
          </w:p>
          <w:p w14:paraId="72FDF0A1" w14:textId="77777777" w:rsidR="00161F08" w:rsidRPr="006264EF" w:rsidRDefault="00161F08" w:rsidP="006D149C">
            <w:pPr>
              <w:rPr>
                <w:bCs/>
                <w:i/>
                <w:color w:val="000000"/>
                <w:sz w:val="16"/>
                <w:szCs w:val="16"/>
              </w:rPr>
            </w:pPr>
            <w:r w:rsidRPr="003F31A9">
              <w:rPr>
                <w:b/>
                <w:sz w:val="16"/>
                <w:szCs w:val="16"/>
                <w:lang w:val="en-CA"/>
              </w:rPr>
              <w:t>Target:</w:t>
            </w:r>
            <w:r w:rsidRPr="003F31A9">
              <w:rPr>
                <w:sz w:val="16"/>
                <w:szCs w:val="16"/>
                <w:lang w:val="en-CA"/>
              </w:rPr>
              <w:t xml:space="preserve"> 4.7</w:t>
            </w:r>
          </w:p>
        </w:tc>
        <w:tc>
          <w:tcPr>
            <w:tcW w:w="1178" w:type="pct"/>
            <w:vMerge w:val="restart"/>
          </w:tcPr>
          <w:p w14:paraId="13053EB6" w14:textId="77777777" w:rsidR="00161F08" w:rsidRDefault="00161F08" w:rsidP="006D149C">
            <w:pPr>
              <w:pStyle w:val="Standard"/>
              <w:jc w:val="both"/>
            </w:pPr>
            <w:r>
              <w:rPr>
                <w:bCs/>
                <w:color w:val="000000"/>
                <w:sz w:val="16"/>
                <w:szCs w:val="16"/>
                <w:lang w:val="en-GB"/>
              </w:rPr>
              <w:lastRenderedPageBreak/>
              <w:t>State Statistics Committee</w:t>
            </w:r>
          </w:p>
          <w:p w14:paraId="4B438716" w14:textId="77777777" w:rsidR="00161F08" w:rsidRDefault="00161F08" w:rsidP="006D149C">
            <w:pPr>
              <w:pStyle w:val="Standard"/>
              <w:jc w:val="both"/>
              <w:rPr>
                <w:bCs/>
                <w:color w:val="000000"/>
                <w:sz w:val="16"/>
                <w:szCs w:val="16"/>
                <w:lang w:val="en-GB"/>
              </w:rPr>
            </w:pPr>
          </w:p>
          <w:p w14:paraId="78A22EF4" w14:textId="77777777" w:rsidR="00161F08" w:rsidRDefault="00161F08" w:rsidP="006D149C">
            <w:pPr>
              <w:pStyle w:val="Standard"/>
              <w:jc w:val="both"/>
            </w:pPr>
            <w:r>
              <w:rPr>
                <w:bCs/>
                <w:color w:val="000000"/>
                <w:sz w:val="16"/>
                <w:szCs w:val="16"/>
                <w:lang w:val="en-GB"/>
              </w:rPr>
              <w:t>UNDP Human Development Reports</w:t>
            </w:r>
          </w:p>
          <w:p w14:paraId="00F0504A" w14:textId="77777777" w:rsidR="00161F08" w:rsidRDefault="00161F08" w:rsidP="006D149C">
            <w:pPr>
              <w:pStyle w:val="Standard"/>
              <w:jc w:val="both"/>
              <w:rPr>
                <w:bCs/>
                <w:color w:val="000000"/>
                <w:sz w:val="16"/>
                <w:szCs w:val="16"/>
                <w:lang w:val="en-GB"/>
              </w:rPr>
            </w:pPr>
          </w:p>
          <w:p w14:paraId="1E44CDEC" w14:textId="77777777" w:rsidR="00161F08" w:rsidRDefault="00161F08" w:rsidP="006D149C">
            <w:pPr>
              <w:pStyle w:val="Standard"/>
              <w:jc w:val="both"/>
            </w:pPr>
            <w:r>
              <w:rPr>
                <w:bCs/>
                <w:color w:val="000000"/>
                <w:sz w:val="16"/>
                <w:szCs w:val="16"/>
                <w:lang w:val="en-GB"/>
              </w:rPr>
              <w:t>World Bank Worldwide Governance Indicators</w:t>
            </w:r>
          </w:p>
          <w:p w14:paraId="509CA290" w14:textId="77777777" w:rsidR="00161F08" w:rsidRDefault="00161F08" w:rsidP="006D149C">
            <w:pPr>
              <w:pStyle w:val="Standard"/>
              <w:jc w:val="both"/>
              <w:rPr>
                <w:bCs/>
                <w:color w:val="000000"/>
                <w:sz w:val="16"/>
                <w:szCs w:val="16"/>
                <w:lang w:val="en-GB"/>
              </w:rPr>
            </w:pPr>
          </w:p>
          <w:p w14:paraId="24154CC3" w14:textId="77777777" w:rsidR="00161F08" w:rsidRDefault="00161F08" w:rsidP="006D149C">
            <w:pPr>
              <w:rPr>
                <w:b/>
                <w:bCs/>
                <w:i/>
                <w:color w:val="000000"/>
                <w:sz w:val="16"/>
                <w:szCs w:val="16"/>
              </w:rPr>
            </w:pPr>
            <w:r>
              <w:rPr>
                <w:bCs/>
                <w:color w:val="000000"/>
                <w:sz w:val="16"/>
                <w:szCs w:val="16"/>
              </w:rPr>
              <w:t>Global Information Technology Report by World Economic Forum</w:t>
            </w:r>
            <w:r w:rsidRPr="003C26C1">
              <w:rPr>
                <w:b/>
                <w:bCs/>
                <w:i/>
                <w:color w:val="000000"/>
                <w:sz w:val="16"/>
                <w:szCs w:val="16"/>
              </w:rPr>
              <w:t xml:space="preserve"> </w:t>
            </w:r>
          </w:p>
          <w:p w14:paraId="602E99EC" w14:textId="77777777" w:rsidR="00161F08" w:rsidRDefault="00161F08" w:rsidP="006D149C">
            <w:pPr>
              <w:rPr>
                <w:b/>
                <w:bCs/>
                <w:i/>
                <w:color w:val="000000"/>
                <w:sz w:val="16"/>
                <w:szCs w:val="16"/>
              </w:rPr>
            </w:pPr>
          </w:p>
          <w:p w14:paraId="76D3DEB4" w14:textId="77777777" w:rsidR="00161F08" w:rsidRDefault="00161F08" w:rsidP="006D149C">
            <w:pPr>
              <w:pStyle w:val="Standard"/>
              <w:jc w:val="both"/>
            </w:pPr>
            <w:r>
              <w:rPr>
                <w:bCs/>
                <w:color w:val="000000"/>
                <w:sz w:val="16"/>
                <w:szCs w:val="16"/>
                <w:lang w:val="en-GB"/>
              </w:rPr>
              <w:t>Evaluation and monitoring reports</w:t>
            </w:r>
          </w:p>
          <w:p w14:paraId="391395C7" w14:textId="77777777" w:rsidR="00161F08" w:rsidRPr="00185688" w:rsidRDefault="00161F08" w:rsidP="006D149C">
            <w:pPr>
              <w:rPr>
                <w:b/>
                <w:bCs/>
                <w:color w:val="000000"/>
                <w:sz w:val="16"/>
                <w:szCs w:val="16"/>
              </w:rPr>
            </w:pPr>
          </w:p>
        </w:tc>
        <w:tc>
          <w:tcPr>
            <w:tcW w:w="1092" w:type="pct"/>
            <w:vMerge w:val="restart"/>
            <w:tcMar>
              <w:top w:w="72" w:type="dxa"/>
              <w:left w:w="144" w:type="dxa"/>
              <w:bottom w:w="72" w:type="dxa"/>
              <w:right w:w="144" w:type="dxa"/>
            </w:tcMar>
          </w:tcPr>
          <w:p w14:paraId="3F65CCD5" w14:textId="77777777" w:rsidR="00161F08" w:rsidRDefault="00161F08" w:rsidP="006D149C">
            <w:pPr>
              <w:pStyle w:val="Standard"/>
              <w:jc w:val="both"/>
            </w:pPr>
            <w:r>
              <w:rPr>
                <w:b/>
                <w:bCs/>
                <w:color w:val="000000"/>
                <w:sz w:val="16"/>
                <w:szCs w:val="16"/>
                <w:lang w:val="en-GB"/>
              </w:rPr>
              <w:t>2.1 Institutional capacities are strengthened to train  civil servants in various dimensions of policy formulation, implementation and monitoring</w:t>
            </w:r>
          </w:p>
          <w:p w14:paraId="3F6FE38B" w14:textId="77777777" w:rsidR="00161F08" w:rsidRDefault="00161F08" w:rsidP="006D149C">
            <w:pPr>
              <w:pStyle w:val="Standard"/>
              <w:jc w:val="both"/>
              <w:rPr>
                <w:bCs/>
                <w:color w:val="000000"/>
                <w:sz w:val="16"/>
                <w:szCs w:val="16"/>
                <w:lang w:val="en-GB"/>
              </w:rPr>
            </w:pPr>
          </w:p>
          <w:p w14:paraId="42790F02" w14:textId="77777777" w:rsidR="00161F08" w:rsidRDefault="00161F08" w:rsidP="006D149C">
            <w:pPr>
              <w:pStyle w:val="Standard"/>
              <w:jc w:val="both"/>
            </w:pPr>
            <w:r>
              <w:rPr>
                <w:b/>
                <w:bCs/>
                <w:color w:val="000000"/>
                <w:sz w:val="16"/>
                <w:szCs w:val="16"/>
                <w:lang w:val="en-GB"/>
              </w:rPr>
              <w:t>Indicator 2.1.1</w:t>
            </w:r>
            <w:r>
              <w:rPr>
                <w:bCs/>
                <w:color w:val="000000"/>
                <w:sz w:val="16"/>
                <w:szCs w:val="16"/>
                <w:lang w:val="en-GB"/>
              </w:rPr>
              <w:t>: Existence of a dedicated training centre for civil servants</w:t>
            </w:r>
          </w:p>
          <w:p w14:paraId="39418C74" w14:textId="77777777" w:rsidR="00161F08" w:rsidRDefault="00161F08" w:rsidP="006D149C">
            <w:pPr>
              <w:pStyle w:val="Standard"/>
              <w:jc w:val="both"/>
            </w:pPr>
            <w:r>
              <w:rPr>
                <w:b/>
                <w:bCs/>
                <w:color w:val="000000"/>
                <w:sz w:val="16"/>
                <w:szCs w:val="16"/>
                <w:lang w:val="en-GB"/>
              </w:rPr>
              <w:t>Baseline:</w:t>
            </w:r>
            <w:r>
              <w:rPr>
                <w:bCs/>
                <w:color w:val="000000"/>
                <w:sz w:val="16"/>
                <w:szCs w:val="16"/>
                <w:lang w:val="en-GB"/>
              </w:rPr>
              <w:t xml:space="preserve"> None</w:t>
            </w:r>
          </w:p>
          <w:p w14:paraId="22B617FB" w14:textId="77777777" w:rsidR="00161F08" w:rsidRDefault="00161F08" w:rsidP="006D149C">
            <w:pPr>
              <w:pStyle w:val="Standard"/>
              <w:jc w:val="both"/>
              <w:rPr>
                <w:bCs/>
                <w:color w:val="000000"/>
                <w:sz w:val="16"/>
                <w:szCs w:val="16"/>
                <w:lang w:val="en-GB"/>
              </w:rPr>
            </w:pPr>
            <w:r>
              <w:rPr>
                <w:b/>
                <w:bCs/>
                <w:color w:val="000000"/>
                <w:sz w:val="16"/>
                <w:szCs w:val="16"/>
                <w:lang w:val="en-GB"/>
              </w:rPr>
              <w:t>Target:</w:t>
            </w:r>
            <w:r>
              <w:rPr>
                <w:bCs/>
                <w:color w:val="000000"/>
                <w:sz w:val="16"/>
                <w:szCs w:val="16"/>
                <w:lang w:val="en-GB"/>
              </w:rPr>
              <w:t xml:space="preserve"> Training Centre is fully operational</w:t>
            </w:r>
          </w:p>
          <w:p w14:paraId="3EC2C9DB" w14:textId="77777777" w:rsidR="00161F08" w:rsidRDefault="00161F08" w:rsidP="006D149C">
            <w:pPr>
              <w:pStyle w:val="Standard"/>
              <w:jc w:val="both"/>
            </w:pPr>
          </w:p>
          <w:p w14:paraId="51C6AFF3" w14:textId="77777777" w:rsidR="00161F08" w:rsidRPr="00D54A45" w:rsidRDefault="00161F08" w:rsidP="006D149C">
            <w:pPr>
              <w:pStyle w:val="Standard"/>
              <w:jc w:val="both"/>
            </w:pPr>
            <w:r>
              <w:rPr>
                <w:b/>
                <w:bCs/>
                <w:color w:val="000000"/>
                <w:sz w:val="16"/>
                <w:szCs w:val="16"/>
                <w:lang w:val="en-GB"/>
              </w:rPr>
              <w:t xml:space="preserve">2.2  Measures are implemented to strengthen national institutions and systems to </w:t>
            </w:r>
            <w:r>
              <w:rPr>
                <w:b/>
                <w:sz w:val="16"/>
                <w:szCs w:val="16"/>
              </w:rPr>
              <w:t>formulate, implement and monitor gender-sensitive programmes and policies</w:t>
            </w:r>
          </w:p>
          <w:p w14:paraId="4E58CB80" w14:textId="77777777" w:rsidR="00161F08" w:rsidRDefault="00161F08" w:rsidP="006D149C">
            <w:pPr>
              <w:pStyle w:val="Standard"/>
              <w:jc w:val="both"/>
              <w:rPr>
                <w:bCs/>
                <w:color w:val="000000"/>
                <w:sz w:val="16"/>
                <w:szCs w:val="16"/>
                <w:lang w:val="en-GB"/>
              </w:rPr>
            </w:pPr>
          </w:p>
          <w:p w14:paraId="3F83DF9E" w14:textId="77777777" w:rsidR="00161F08" w:rsidRDefault="00161F08" w:rsidP="006D149C">
            <w:pPr>
              <w:pStyle w:val="Standard"/>
              <w:jc w:val="both"/>
            </w:pPr>
            <w:r>
              <w:rPr>
                <w:b/>
                <w:sz w:val="16"/>
                <w:szCs w:val="16"/>
              </w:rPr>
              <w:t>Indicator 2.2.2:</w:t>
            </w:r>
            <w:r>
              <w:rPr>
                <w:sz w:val="16"/>
                <w:szCs w:val="16"/>
              </w:rPr>
              <w:t xml:space="preserve"> Number of new state programmes, strategies and </w:t>
            </w:r>
            <w:r>
              <w:rPr>
                <w:sz w:val="16"/>
                <w:szCs w:val="16"/>
              </w:rPr>
              <w:lastRenderedPageBreak/>
              <w:t>plans using sex-disaggregated indicators and gender-sensitive approaches</w:t>
            </w:r>
          </w:p>
          <w:p w14:paraId="41267C60" w14:textId="77777777" w:rsidR="00161F08" w:rsidRDefault="00161F08" w:rsidP="006D149C">
            <w:pPr>
              <w:pStyle w:val="Standard"/>
              <w:jc w:val="both"/>
            </w:pPr>
            <w:r>
              <w:rPr>
                <w:b/>
                <w:sz w:val="16"/>
                <w:szCs w:val="16"/>
              </w:rPr>
              <w:t>Baseline:</w:t>
            </w:r>
            <w:r>
              <w:rPr>
                <w:sz w:val="16"/>
                <w:szCs w:val="16"/>
              </w:rPr>
              <w:t xml:space="preserve"> 0</w:t>
            </w:r>
          </w:p>
          <w:p w14:paraId="7C7E4FC1" w14:textId="77777777" w:rsidR="00161F08" w:rsidRDefault="00161F08" w:rsidP="006D149C">
            <w:pPr>
              <w:pStyle w:val="Standard"/>
              <w:jc w:val="both"/>
            </w:pPr>
            <w:r>
              <w:rPr>
                <w:b/>
                <w:sz w:val="16"/>
                <w:szCs w:val="16"/>
              </w:rPr>
              <w:t>Target:</w:t>
            </w:r>
            <w:r>
              <w:rPr>
                <w:sz w:val="16"/>
                <w:szCs w:val="16"/>
              </w:rPr>
              <w:t xml:space="preserve"> 4</w:t>
            </w:r>
          </w:p>
          <w:p w14:paraId="14C69A00" w14:textId="77777777" w:rsidR="00161F08" w:rsidRPr="00574327" w:rsidRDefault="00161F08" w:rsidP="006D149C">
            <w:pPr>
              <w:pStyle w:val="Standard"/>
              <w:jc w:val="both"/>
              <w:rPr>
                <w:b/>
                <w:bCs/>
                <w:color w:val="000000"/>
                <w:sz w:val="16"/>
                <w:szCs w:val="16"/>
              </w:rPr>
            </w:pPr>
          </w:p>
          <w:p w14:paraId="220EA148" w14:textId="77777777" w:rsidR="00F25D2F" w:rsidRDefault="00F25D2F" w:rsidP="006D149C">
            <w:pPr>
              <w:pStyle w:val="Standard"/>
              <w:jc w:val="both"/>
              <w:rPr>
                <w:b/>
                <w:bCs/>
                <w:color w:val="000000"/>
                <w:sz w:val="16"/>
                <w:szCs w:val="16"/>
                <w:lang w:val="en-GB"/>
              </w:rPr>
            </w:pPr>
          </w:p>
          <w:p w14:paraId="264E123C" w14:textId="77777777" w:rsidR="00C057FC" w:rsidRDefault="00C057FC" w:rsidP="006D149C">
            <w:pPr>
              <w:pStyle w:val="Standard"/>
              <w:jc w:val="both"/>
              <w:rPr>
                <w:b/>
                <w:bCs/>
                <w:color w:val="000000"/>
                <w:sz w:val="16"/>
                <w:szCs w:val="16"/>
                <w:lang w:val="en-GB"/>
              </w:rPr>
            </w:pPr>
          </w:p>
          <w:p w14:paraId="1C1E61CA" w14:textId="77777777" w:rsidR="00161F08" w:rsidRDefault="00161F08" w:rsidP="006D149C">
            <w:pPr>
              <w:pStyle w:val="Standard"/>
              <w:jc w:val="both"/>
            </w:pPr>
            <w:r>
              <w:rPr>
                <w:b/>
                <w:bCs/>
                <w:color w:val="000000"/>
                <w:sz w:val="16"/>
                <w:szCs w:val="16"/>
                <w:lang w:val="en-GB"/>
              </w:rPr>
              <w:t>2.3 National capacities are built for greater effectiveness and improved data availability for the implementation of labour and social protection policies</w:t>
            </w:r>
          </w:p>
          <w:p w14:paraId="549A3BA1" w14:textId="77777777" w:rsidR="00161F08" w:rsidRDefault="00161F08" w:rsidP="006D149C">
            <w:pPr>
              <w:pStyle w:val="Standard"/>
              <w:jc w:val="both"/>
              <w:rPr>
                <w:bCs/>
                <w:color w:val="000000"/>
                <w:sz w:val="16"/>
                <w:szCs w:val="16"/>
                <w:lang w:val="en-GB"/>
              </w:rPr>
            </w:pPr>
          </w:p>
          <w:p w14:paraId="3BEE60A3" w14:textId="77777777" w:rsidR="00161F08" w:rsidRDefault="00161F08" w:rsidP="006D149C">
            <w:pPr>
              <w:pStyle w:val="Standard"/>
              <w:jc w:val="both"/>
            </w:pPr>
            <w:r>
              <w:rPr>
                <w:b/>
                <w:bCs/>
                <w:color w:val="000000"/>
                <w:sz w:val="16"/>
                <w:szCs w:val="16"/>
                <w:lang w:val="en-GB"/>
              </w:rPr>
              <w:t>Indicator 2.3.1:</w:t>
            </w:r>
            <w:r>
              <w:rPr>
                <w:bCs/>
                <w:color w:val="000000"/>
                <w:sz w:val="16"/>
                <w:szCs w:val="16"/>
                <w:lang w:val="en-GB"/>
              </w:rPr>
              <w:t xml:space="preserve"> Existence of a single management information system (MIS)</w:t>
            </w:r>
          </w:p>
          <w:p w14:paraId="42FE1C30" w14:textId="77777777" w:rsidR="00161F08" w:rsidRDefault="00161F08" w:rsidP="006D149C">
            <w:pPr>
              <w:pStyle w:val="Standard"/>
              <w:jc w:val="both"/>
            </w:pPr>
            <w:r>
              <w:rPr>
                <w:b/>
                <w:bCs/>
                <w:color w:val="000000"/>
                <w:sz w:val="16"/>
                <w:szCs w:val="16"/>
                <w:lang w:val="en-GB"/>
              </w:rPr>
              <w:t xml:space="preserve">Baseline: </w:t>
            </w:r>
            <w:r>
              <w:rPr>
                <w:bCs/>
                <w:sz w:val="16"/>
                <w:szCs w:val="16"/>
                <w:lang w:val="en-GB"/>
              </w:rPr>
              <w:t>None</w:t>
            </w:r>
          </w:p>
          <w:p w14:paraId="298C4883" w14:textId="77777777" w:rsidR="00161F08" w:rsidRDefault="00161F08" w:rsidP="006D149C">
            <w:pPr>
              <w:pStyle w:val="Standard"/>
              <w:jc w:val="both"/>
              <w:rPr>
                <w:bCs/>
                <w:color w:val="000000"/>
                <w:sz w:val="16"/>
                <w:szCs w:val="16"/>
                <w:lang w:val="en-GB"/>
              </w:rPr>
            </w:pPr>
            <w:r>
              <w:rPr>
                <w:b/>
                <w:bCs/>
                <w:color w:val="000000"/>
                <w:sz w:val="16"/>
                <w:szCs w:val="16"/>
                <w:lang w:val="en-GB"/>
              </w:rPr>
              <w:t>Target:</w:t>
            </w:r>
            <w:r>
              <w:rPr>
                <w:bCs/>
                <w:color w:val="000000"/>
                <w:sz w:val="16"/>
                <w:szCs w:val="16"/>
                <w:lang w:val="en-GB"/>
              </w:rPr>
              <w:t xml:space="preserve"> MIS is fully operational</w:t>
            </w:r>
          </w:p>
          <w:p w14:paraId="05C692B9" w14:textId="77777777" w:rsidR="00161F08" w:rsidRDefault="00161F08" w:rsidP="006D149C">
            <w:pPr>
              <w:pStyle w:val="Standard"/>
              <w:jc w:val="both"/>
              <w:rPr>
                <w:bCs/>
                <w:color w:val="000000"/>
                <w:sz w:val="16"/>
                <w:szCs w:val="16"/>
                <w:lang w:val="en-GB"/>
              </w:rPr>
            </w:pPr>
          </w:p>
          <w:p w14:paraId="2DF78179" w14:textId="77777777" w:rsidR="00161F08" w:rsidRDefault="00161F08" w:rsidP="006D149C">
            <w:pPr>
              <w:pStyle w:val="Standard"/>
              <w:jc w:val="both"/>
              <w:rPr>
                <w:bCs/>
                <w:color w:val="000000"/>
                <w:sz w:val="16"/>
                <w:szCs w:val="16"/>
                <w:lang w:val="en-GB"/>
              </w:rPr>
            </w:pPr>
            <w:r w:rsidRPr="00036D30">
              <w:rPr>
                <w:b/>
                <w:bCs/>
                <w:color w:val="000000"/>
                <w:sz w:val="16"/>
                <w:szCs w:val="16"/>
                <w:lang w:val="en-GB"/>
              </w:rPr>
              <w:t>Indicator 2.3.2:</w:t>
            </w:r>
            <w:r>
              <w:rPr>
                <w:bCs/>
                <w:color w:val="000000"/>
                <w:sz w:val="16"/>
                <w:szCs w:val="16"/>
                <w:lang w:val="en-GB"/>
              </w:rPr>
              <w:t xml:space="preserve"> New databases on vulnerable groups (persons with disabilities, unemployed) </w:t>
            </w:r>
          </w:p>
          <w:p w14:paraId="0B2ED6A0" w14:textId="77777777" w:rsidR="00161F08" w:rsidRDefault="00161F08" w:rsidP="006D149C">
            <w:pPr>
              <w:pStyle w:val="Standard"/>
              <w:jc w:val="both"/>
              <w:rPr>
                <w:bCs/>
                <w:color w:val="000000"/>
                <w:sz w:val="16"/>
                <w:szCs w:val="16"/>
                <w:lang w:val="en-GB"/>
              </w:rPr>
            </w:pPr>
            <w:r w:rsidRPr="007F5F9A">
              <w:rPr>
                <w:b/>
                <w:bCs/>
                <w:color w:val="000000"/>
                <w:sz w:val="16"/>
                <w:szCs w:val="16"/>
                <w:lang w:val="en-GB"/>
              </w:rPr>
              <w:t>Baseline:</w:t>
            </w:r>
            <w:r>
              <w:rPr>
                <w:bCs/>
                <w:color w:val="000000"/>
                <w:sz w:val="16"/>
                <w:szCs w:val="16"/>
                <w:lang w:val="en-GB"/>
              </w:rPr>
              <w:t xml:space="preserve"> Paper-based and scattered data available</w:t>
            </w:r>
          </w:p>
          <w:p w14:paraId="1EEC7F89" w14:textId="77777777" w:rsidR="00161F08" w:rsidRPr="007F5F9A" w:rsidRDefault="00161F08" w:rsidP="006D149C">
            <w:pPr>
              <w:pStyle w:val="Standard"/>
              <w:jc w:val="both"/>
              <w:rPr>
                <w:bCs/>
                <w:color w:val="000000"/>
                <w:sz w:val="16"/>
                <w:szCs w:val="16"/>
              </w:rPr>
            </w:pPr>
            <w:r w:rsidRPr="007F5F9A">
              <w:rPr>
                <w:b/>
                <w:bCs/>
                <w:color w:val="000000"/>
                <w:sz w:val="16"/>
                <w:szCs w:val="16"/>
                <w:lang w:val="en-GB"/>
              </w:rPr>
              <w:t>Target:</w:t>
            </w:r>
            <w:r>
              <w:rPr>
                <w:b/>
                <w:bCs/>
                <w:color w:val="000000"/>
                <w:sz w:val="16"/>
                <w:szCs w:val="16"/>
                <w:lang w:val="en-GB"/>
              </w:rPr>
              <w:t xml:space="preserve"> </w:t>
            </w:r>
            <w:r>
              <w:rPr>
                <w:bCs/>
                <w:color w:val="000000"/>
                <w:sz w:val="16"/>
                <w:szCs w:val="16"/>
                <w:lang w:val="en-GB"/>
              </w:rPr>
              <w:t>Databases are computerised and data exchanges enabled</w:t>
            </w:r>
          </w:p>
          <w:p w14:paraId="71E56237" w14:textId="77777777" w:rsidR="00161F08" w:rsidRDefault="00161F08" w:rsidP="006D149C">
            <w:pPr>
              <w:pStyle w:val="Standard"/>
              <w:jc w:val="both"/>
              <w:rPr>
                <w:sz w:val="16"/>
                <w:szCs w:val="16"/>
              </w:rPr>
            </w:pPr>
          </w:p>
          <w:p w14:paraId="07F5C1B5" w14:textId="77777777" w:rsidR="00161F08" w:rsidRDefault="00161F08" w:rsidP="006D149C">
            <w:pPr>
              <w:pStyle w:val="Standard"/>
              <w:jc w:val="both"/>
            </w:pPr>
            <w:r>
              <w:rPr>
                <w:b/>
                <w:sz w:val="16"/>
                <w:szCs w:val="16"/>
              </w:rPr>
              <w:t>2.4 Institutional capacities for implementation of the integrated border management policies are in place</w:t>
            </w:r>
          </w:p>
          <w:p w14:paraId="7A14FB9E" w14:textId="77777777" w:rsidR="00161F08" w:rsidRDefault="00161F08" w:rsidP="006D149C">
            <w:pPr>
              <w:pStyle w:val="Standard"/>
              <w:jc w:val="both"/>
              <w:rPr>
                <w:sz w:val="16"/>
                <w:szCs w:val="16"/>
              </w:rPr>
            </w:pPr>
          </w:p>
          <w:p w14:paraId="1205C573" w14:textId="77777777" w:rsidR="00161F08" w:rsidRDefault="00161F08" w:rsidP="006D149C">
            <w:pPr>
              <w:pStyle w:val="Standard"/>
              <w:jc w:val="both"/>
            </w:pPr>
            <w:r>
              <w:rPr>
                <w:b/>
                <w:sz w:val="16"/>
                <w:szCs w:val="16"/>
              </w:rPr>
              <w:t xml:space="preserve">Indicator 2.4.1: </w:t>
            </w:r>
            <w:r>
              <w:rPr>
                <w:sz w:val="16"/>
                <w:szCs w:val="16"/>
              </w:rPr>
              <w:t>Integrated border management strategy in place</w:t>
            </w:r>
          </w:p>
          <w:p w14:paraId="027499BC" w14:textId="77777777" w:rsidR="00161F08" w:rsidRDefault="00161F08" w:rsidP="006D149C">
            <w:pPr>
              <w:pStyle w:val="Standard"/>
              <w:jc w:val="both"/>
            </w:pPr>
            <w:r>
              <w:rPr>
                <w:b/>
                <w:sz w:val="16"/>
                <w:szCs w:val="16"/>
              </w:rPr>
              <w:t xml:space="preserve">Baseline: </w:t>
            </w:r>
            <w:r>
              <w:rPr>
                <w:sz w:val="16"/>
                <w:szCs w:val="16"/>
              </w:rPr>
              <w:t>None</w:t>
            </w:r>
          </w:p>
          <w:p w14:paraId="4E3A6350" w14:textId="77777777" w:rsidR="00161F08" w:rsidRDefault="00161F08" w:rsidP="006D149C">
            <w:pPr>
              <w:pStyle w:val="Standard"/>
              <w:jc w:val="both"/>
              <w:rPr>
                <w:sz w:val="16"/>
                <w:szCs w:val="16"/>
              </w:rPr>
            </w:pPr>
            <w:r>
              <w:rPr>
                <w:b/>
                <w:sz w:val="16"/>
                <w:szCs w:val="16"/>
              </w:rPr>
              <w:t xml:space="preserve">Target: </w:t>
            </w:r>
            <w:r>
              <w:rPr>
                <w:sz w:val="16"/>
                <w:szCs w:val="16"/>
              </w:rPr>
              <w:t>Strategy exists</w:t>
            </w:r>
          </w:p>
          <w:p w14:paraId="3100DFBD" w14:textId="77777777" w:rsidR="00161F08" w:rsidRDefault="00161F08" w:rsidP="006D149C">
            <w:pPr>
              <w:pStyle w:val="Standard"/>
              <w:jc w:val="both"/>
              <w:rPr>
                <w:sz w:val="16"/>
                <w:szCs w:val="16"/>
              </w:rPr>
            </w:pPr>
          </w:p>
          <w:p w14:paraId="099420D1" w14:textId="77777777" w:rsidR="00161F08" w:rsidRDefault="00161F08" w:rsidP="006D149C">
            <w:pPr>
              <w:pStyle w:val="Standard"/>
              <w:jc w:val="both"/>
              <w:rPr>
                <w:sz w:val="16"/>
                <w:szCs w:val="16"/>
              </w:rPr>
            </w:pPr>
            <w:r w:rsidRPr="00435A15">
              <w:rPr>
                <w:b/>
                <w:sz w:val="16"/>
                <w:szCs w:val="16"/>
              </w:rPr>
              <w:t>Indicator 2.4.2:</w:t>
            </w:r>
            <w:r>
              <w:rPr>
                <w:sz w:val="16"/>
                <w:szCs w:val="16"/>
              </w:rPr>
              <w:t xml:space="preserve"> Extent to which capacities of laboratory testing compliance of food products with safety standards are improved</w:t>
            </w:r>
          </w:p>
          <w:p w14:paraId="12BBAC86" w14:textId="77777777" w:rsidR="00161F08" w:rsidRDefault="00161F08" w:rsidP="006D149C">
            <w:pPr>
              <w:pStyle w:val="Standard"/>
              <w:jc w:val="both"/>
              <w:rPr>
                <w:sz w:val="16"/>
                <w:szCs w:val="16"/>
              </w:rPr>
            </w:pPr>
            <w:r w:rsidRPr="00435A15">
              <w:rPr>
                <w:b/>
                <w:sz w:val="16"/>
                <w:szCs w:val="16"/>
              </w:rPr>
              <w:t>Baseline:</w:t>
            </w:r>
            <w:r>
              <w:rPr>
                <w:sz w:val="16"/>
                <w:szCs w:val="16"/>
              </w:rPr>
              <w:t xml:space="preserve"> 3</w:t>
            </w:r>
          </w:p>
          <w:p w14:paraId="44D645CE" w14:textId="77777777" w:rsidR="00161F08" w:rsidRDefault="00161F08" w:rsidP="006D149C">
            <w:pPr>
              <w:pStyle w:val="Standard"/>
              <w:jc w:val="both"/>
              <w:rPr>
                <w:sz w:val="16"/>
                <w:szCs w:val="16"/>
              </w:rPr>
            </w:pPr>
            <w:r w:rsidRPr="00435A15">
              <w:rPr>
                <w:b/>
                <w:sz w:val="16"/>
                <w:szCs w:val="16"/>
              </w:rPr>
              <w:t>Target:</w:t>
            </w:r>
            <w:r>
              <w:rPr>
                <w:sz w:val="16"/>
                <w:szCs w:val="16"/>
              </w:rPr>
              <w:t xml:space="preserve"> 4 </w:t>
            </w:r>
          </w:p>
          <w:p w14:paraId="6B40C15B" w14:textId="77777777" w:rsidR="00161F08" w:rsidRDefault="00161F08" w:rsidP="006D149C">
            <w:pPr>
              <w:pStyle w:val="ListParagraph"/>
              <w:rPr>
                <w:lang w:val="en-GB"/>
              </w:rPr>
            </w:pPr>
          </w:p>
          <w:p w14:paraId="2E46B1E0" w14:textId="77777777" w:rsidR="00161F08" w:rsidRDefault="00161F08" w:rsidP="00F25D2F">
            <w:pPr>
              <w:spacing w:line="240" w:lineRule="auto"/>
              <w:rPr>
                <w:b/>
                <w:bCs/>
                <w:color w:val="000000"/>
                <w:sz w:val="16"/>
                <w:szCs w:val="16"/>
              </w:rPr>
            </w:pPr>
            <w:r>
              <w:rPr>
                <w:b/>
                <w:bCs/>
                <w:color w:val="000000"/>
                <w:sz w:val="16"/>
                <w:szCs w:val="16"/>
              </w:rPr>
              <w:t xml:space="preserve">2.5 Azerbaijan’s institutions are enabled to provide knowledge services to other developing countries </w:t>
            </w:r>
          </w:p>
          <w:p w14:paraId="6922B4EA" w14:textId="77777777" w:rsidR="00161F08" w:rsidRDefault="00161F08" w:rsidP="006D149C">
            <w:pPr>
              <w:rPr>
                <w:b/>
                <w:bCs/>
                <w:color w:val="000000"/>
                <w:sz w:val="16"/>
                <w:szCs w:val="16"/>
              </w:rPr>
            </w:pPr>
          </w:p>
          <w:p w14:paraId="73836D57" w14:textId="77777777" w:rsidR="00161F08" w:rsidRDefault="00161F08" w:rsidP="00F25D2F">
            <w:pPr>
              <w:spacing w:line="240" w:lineRule="auto"/>
              <w:rPr>
                <w:b/>
                <w:bCs/>
                <w:color w:val="000000"/>
                <w:sz w:val="16"/>
                <w:szCs w:val="16"/>
              </w:rPr>
            </w:pPr>
            <w:r>
              <w:rPr>
                <w:b/>
                <w:bCs/>
                <w:color w:val="000000"/>
                <w:sz w:val="16"/>
                <w:szCs w:val="16"/>
              </w:rPr>
              <w:lastRenderedPageBreak/>
              <w:t>Indicator 2.5.1 Number of countries that benefited from the knowledge services</w:t>
            </w:r>
          </w:p>
          <w:p w14:paraId="140697DF" w14:textId="77777777" w:rsidR="00161F08" w:rsidRDefault="00161F08" w:rsidP="00F25D2F">
            <w:pPr>
              <w:spacing w:line="240" w:lineRule="auto"/>
              <w:rPr>
                <w:b/>
                <w:bCs/>
                <w:color w:val="000000"/>
                <w:sz w:val="16"/>
                <w:szCs w:val="16"/>
              </w:rPr>
            </w:pPr>
            <w:r>
              <w:rPr>
                <w:b/>
                <w:bCs/>
                <w:color w:val="000000"/>
                <w:sz w:val="16"/>
                <w:szCs w:val="16"/>
              </w:rPr>
              <w:t>Baseline: 2</w:t>
            </w:r>
          </w:p>
          <w:p w14:paraId="5BFD03D4" w14:textId="77777777" w:rsidR="00161F08" w:rsidRPr="00026D74" w:rsidRDefault="00161F08" w:rsidP="00F25D2F">
            <w:pPr>
              <w:spacing w:line="240" w:lineRule="auto"/>
              <w:rPr>
                <w:b/>
                <w:bCs/>
                <w:color w:val="000000"/>
                <w:sz w:val="16"/>
                <w:szCs w:val="16"/>
              </w:rPr>
            </w:pPr>
            <w:r>
              <w:rPr>
                <w:b/>
                <w:bCs/>
                <w:color w:val="000000"/>
                <w:sz w:val="16"/>
                <w:szCs w:val="16"/>
              </w:rPr>
              <w:t>Target: 5</w:t>
            </w:r>
          </w:p>
        </w:tc>
        <w:tc>
          <w:tcPr>
            <w:tcW w:w="675" w:type="pct"/>
            <w:vMerge w:val="restart"/>
          </w:tcPr>
          <w:p w14:paraId="1488B03D" w14:textId="77777777" w:rsidR="00161F08" w:rsidRDefault="00161F08" w:rsidP="00832F7F">
            <w:pPr>
              <w:pStyle w:val="Standard"/>
              <w:jc w:val="both"/>
            </w:pPr>
            <w:r>
              <w:rPr>
                <w:iCs/>
                <w:color w:val="000000"/>
                <w:sz w:val="16"/>
                <w:szCs w:val="16"/>
                <w:lang w:val="en-GB"/>
              </w:rPr>
              <w:lastRenderedPageBreak/>
              <w:t>Civil Service Commission under the President of the Republic of Azerbaijan</w:t>
            </w:r>
          </w:p>
          <w:p w14:paraId="5ADDCDEE" w14:textId="77777777" w:rsidR="00161F08" w:rsidRDefault="00161F08" w:rsidP="006D149C">
            <w:pPr>
              <w:pStyle w:val="Standard"/>
              <w:jc w:val="both"/>
              <w:rPr>
                <w:iCs/>
                <w:color w:val="000000"/>
                <w:sz w:val="16"/>
                <w:szCs w:val="16"/>
                <w:lang w:val="en-GB"/>
              </w:rPr>
            </w:pPr>
          </w:p>
          <w:p w14:paraId="0A31FF07" w14:textId="77777777" w:rsidR="00161F08" w:rsidRDefault="00161F08" w:rsidP="006D149C">
            <w:pPr>
              <w:pStyle w:val="Standard"/>
              <w:jc w:val="both"/>
            </w:pPr>
            <w:r>
              <w:rPr>
                <w:iCs/>
                <w:color w:val="000000"/>
                <w:sz w:val="16"/>
                <w:szCs w:val="16"/>
                <w:lang w:val="en-GB"/>
              </w:rPr>
              <w:t>Ministry of Labour and Social Protection of Population</w:t>
            </w:r>
          </w:p>
          <w:p w14:paraId="3B1161AC" w14:textId="77777777" w:rsidR="00161F08" w:rsidRDefault="00161F08" w:rsidP="006D149C">
            <w:pPr>
              <w:pStyle w:val="Standard"/>
              <w:jc w:val="both"/>
              <w:rPr>
                <w:iCs/>
                <w:color w:val="000000"/>
                <w:sz w:val="16"/>
                <w:szCs w:val="16"/>
                <w:lang w:val="en-GB"/>
              </w:rPr>
            </w:pPr>
          </w:p>
          <w:p w14:paraId="24DCCAD1" w14:textId="77777777" w:rsidR="00161F08" w:rsidRDefault="00161F08" w:rsidP="006D149C">
            <w:pPr>
              <w:pStyle w:val="Standard"/>
              <w:jc w:val="both"/>
            </w:pPr>
            <w:r>
              <w:rPr>
                <w:iCs/>
                <w:color w:val="000000"/>
                <w:sz w:val="16"/>
                <w:szCs w:val="16"/>
                <w:lang w:val="en-GB"/>
              </w:rPr>
              <w:t>State Committee for Family, Women and Children’s Affairs</w:t>
            </w:r>
          </w:p>
          <w:p w14:paraId="455D8AC5" w14:textId="77777777" w:rsidR="00161F08" w:rsidRDefault="00161F08" w:rsidP="006D149C">
            <w:pPr>
              <w:pStyle w:val="Standard"/>
              <w:jc w:val="both"/>
              <w:rPr>
                <w:iCs/>
                <w:color w:val="000000"/>
                <w:sz w:val="16"/>
                <w:szCs w:val="16"/>
                <w:lang w:val="en-GB"/>
              </w:rPr>
            </w:pPr>
          </w:p>
          <w:p w14:paraId="30A16F0D" w14:textId="77777777" w:rsidR="00161F08" w:rsidRDefault="00161F08" w:rsidP="00C057FC">
            <w:pPr>
              <w:pStyle w:val="Standard"/>
              <w:jc w:val="both"/>
            </w:pPr>
            <w:r>
              <w:rPr>
                <w:iCs/>
                <w:color w:val="000000"/>
                <w:sz w:val="16"/>
                <w:szCs w:val="16"/>
                <w:lang w:val="en-GB"/>
              </w:rPr>
              <w:t>State Customs Committee</w:t>
            </w:r>
          </w:p>
          <w:p w14:paraId="3C2E0423" w14:textId="77777777" w:rsidR="00161F08" w:rsidRDefault="00161F08" w:rsidP="006D149C">
            <w:pPr>
              <w:pStyle w:val="Standard"/>
              <w:jc w:val="both"/>
              <w:rPr>
                <w:iCs/>
                <w:color w:val="000000"/>
                <w:sz w:val="16"/>
                <w:szCs w:val="16"/>
                <w:lang w:val="en-GB"/>
              </w:rPr>
            </w:pPr>
          </w:p>
          <w:p w14:paraId="4C619851" w14:textId="77777777" w:rsidR="00161F08" w:rsidRDefault="00161F08" w:rsidP="006D149C">
            <w:pPr>
              <w:pStyle w:val="Standard"/>
              <w:jc w:val="both"/>
            </w:pPr>
            <w:r>
              <w:rPr>
                <w:iCs/>
                <w:color w:val="000000"/>
                <w:sz w:val="16"/>
                <w:szCs w:val="16"/>
                <w:lang w:val="en-GB"/>
              </w:rPr>
              <w:t>State Border Service</w:t>
            </w:r>
          </w:p>
          <w:p w14:paraId="571D40F4" w14:textId="77777777" w:rsidR="00161F08" w:rsidRDefault="00161F08" w:rsidP="006D149C">
            <w:pPr>
              <w:pStyle w:val="Standard"/>
              <w:jc w:val="both"/>
              <w:rPr>
                <w:iCs/>
                <w:color w:val="000000"/>
                <w:sz w:val="16"/>
                <w:szCs w:val="16"/>
                <w:lang w:val="en-GB"/>
              </w:rPr>
            </w:pPr>
          </w:p>
          <w:p w14:paraId="1851AF34" w14:textId="77777777" w:rsidR="00161F08" w:rsidRDefault="00161F08" w:rsidP="006D149C">
            <w:pPr>
              <w:pStyle w:val="Standard"/>
              <w:jc w:val="both"/>
            </w:pPr>
            <w:r>
              <w:rPr>
                <w:iCs/>
                <w:color w:val="000000"/>
                <w:sz w:val="16"/>
                <w:szCs w:val="16"/>
                <w:lang w:val="en-GB"/>
              </w:rPr>
              <w:t>UNFPA</w:t>
            </w:r>
          </w:p>
          <w:p w14:paraId="10BB1A36" w14:textId="77777777" w:rsidR="00161F08" w:rsidRDefault="00161F08" w:rsidP="006D149C">
            <w:pPr>
              <w:pStyle w:val="Standard"/>
              <w:jc w:val="both"/>
              <w:rPr>
                <w:iCs/>
                <w:color w:val="000000"/>
                <w:sz w:val="16"/>
                <w:szCs w:val="16"/>
                <w:lang w:val="en-GB"/>
              </w:rPr>
            </w:pPr>
          </w:p>
          <w:p w14:paraId="74E9458F" w14:textId="77777777" w:rsidR="00161F08" w:rsidRDefault="00161F08" w:rsidP="006D149C">
            <w:pPr>
              <w:pStyle w:val="Standard"/>
              <w:jc w:val="both"/>
              <w:rPr>
                <w:iCs/>
                <w:color w:val="000000"/>
                <w:sz w:val="16"/>
                <w:szCs w:val="16"/>
                <w:lang w:val="en-GB"/>
              </w:rPr>
            </w:pPr>
            <w:r>
              <w:rPr>
                <w:iCs/>
                <w:color w:val="000000"/>
                <w:sz w:val="16"/>
                <w:szCs w:val="16"/>
                <w:lang w:val="en-GB"/>
              </w:rPr>
              <w:t>European Union</w:t>
            </w:r>
          </w:p>
          <w:p w14:paraId="341E64C7" w14:textId="77777777" w:rsidR="00161F08" w:rsidRDefault="00161F08" w:rsidP="006D149C">
            <w:pPr>
              <w:pStyle w:val="Standard"/>
              <w:jc w:val="both"/>
              <w:rPr>
                <w:iCs/>
                <w:color w:val="000000"/>
                <w:sz w:val="16"/>
                <w:szCs w:val="16"/>
                <w:lang w:val="en-GB"/>
              </w:rPr>
            </w:pPr>
          </w:p>
          <w:p w14:paraId="0D0CFA71" w14:textId="77777777" w:rsidR="00161F08" w:rsidRDefault="00161F08" w:rsidP="006D149C">
            <w:pPr>
              <w:pStyle w:val="Standard"/>
              <w:jc w:val="both"/>
            </w:pPr>
            <w:r>
              <w:rPr>
                <w:iCs/>
                <w:color w:val="000000"/>
                <w:sz w:val="16"/>
                <w:szCs w:val="16"/>
                <w:lang w:val="en-GB"/>
              </w:rPr>
              <w:lastRenderedPageBreak/>
              <w:t>GIZ</w:t>
            </w:r>
          </w:p>
          <w:p w14:paraId="45F073DA" w14:textId="77777777" w:rsidR="00161F08" w:rsidRPr="003C26C1" w:rsidRDefault="00161F08" w:rsidP="006D149C">
            <w:pPr>
              <w:rPr>
                <w:i/>
                <w:iCs/>
                <w:color w:val="000000"/>
                <w:sz w:val="16"/>
                <w:szCs w:val="16"/>
              </w:rPr>
            </w:pPr>
          </w:p>
        </w:tc>
        <w:tc>
          <w:tcPr>
            <w:tcW w:w="958" w:type="pct"/>
            <w:tcMar>
              <w:top w:w="15" w:type="dxa"/>
              <w:left w:w="108" w:type="dxa"/>
              <w:bottom w:w="0" w:type="dxa"/>
              <w:right w:w="108" w:type="dxa"/>
            </w:tcMar>
          </w:tcPr>
          <w:p w14:paraId="349951E1" w14:textId="77777777" w:rsidR="00161F08" w:rsidRPr="003C26C1" w:rsidRDefault="00161F08" w:rsidP="006D149C">
            <w:pPr>
              <w:rPr>
                <w:b/>
                <w:color w:val="000000"/>
                <w:sz w:val="16"/>
                <w:szCs w:val="16"/>
              </w:rPr>
            </w:pPr>
            <w:r w:rsidRPr="003C26C1">
              <w:rPr>
                <w:b/>
                <w:color w:val="000000"/>
                <w:sz w:val="16"/>
                <w:szCs w:val="16"/>
              </w:rPr>
              <w:lastRenderedPageBreak/>
              <w:t>Regular</w:t>
            </w:r>
            <w:r>
              <w:rPr>
                <w:b/>
                <w:color w:val="000000"/>
                <w:sz w:val="16"/>
                <w:szCs w:val="16"/>
              </w:rPr>
              <w:t>: 906,000</w:t>
            </w:r>
          </w:p>
        </w:tc>
      </w:tr>
      <w:tr w:rsidR="00161F08" w:rsidRPr="003C26C1" w14:paraId="164DDA4F" w14:textId="77777777" w:rsidTr="00161F08">
        <w:tc>
          <w:tcPr>
            <w:tcW w:w="1097" w:type="pct"/>
            <w:vMerge/>
            <w:tcMar>
              <w:top w:w="72" w:type="dxa"/>
              <w:left w:w="144" w:type="dxa"/>
              <w:bottom w:w="72" w:type="dxa"/>
              <w:right w:w="144" w:type="dxa"/>
            </w:tcMar>
          </w:tcPr>
          <w:p w14:paraId="507F2869" w14:textId="77777777" w:rsidR="00161F08" w:rsidRPr="003C26C1" w:rsidRDefault="00161F08" w:rsidP="006D149C">
            <w:pPr>
              <w:rPr>
                <w:i/>
                <w:iCs/>
                <w:color w:val="000000"/>
                <w:sz w:val="16"/>
                <w:szCs w:val="16"/>
              </w:rPr>
            </w:pPr>
          </w:p>
        </w:tc>
        <w:tc>
          <w:tcPr>
            <w:tcW w:w="1178" w:type="pct"/>
            <w:vMerge/>
          </w:tcPr>
          <w:p w14:paraId="393E2FAB" w14:textId="77777777" w:rsidR="00161F08" w:rsidRPr="003C26C1" w:rsidRDefault="00161F08" w:rsidP="006D149C">
            <w:pPr>
              <w:rPr>
                <w:i/>
                <w:iCs/>
                <w:color w:val="000000"/>
                <w:sz w:val="16"/>
                <w:szCs w:val="16"/>
              </w:rPr>
            </w:pPr>
          </w:p>
        </w:tc>
        <w:tc>
          <w:tcPr>
            <w:tcW w:w="1092" w:type="pct"/>
            <w:vMerge/>
            <w:tcMar>
              <w:top w:w="72" w:type="dxa"/>
              <w:left w:w="144" w:type="dxa"/>
              <w:bottom w:w="72" w:type="dxa"/>
              <w:right w:w="144" w:type="dxa"/>
            </w:tcMar>
          </w:tcPr>
          <w:p w14:paraId="21B77FB3" w14:textId="77777777" w:rsidR="00161F08" w:rsidRPr="003C26C1" w:rsidRDefault="00161F08" w:rsidP="006D149C">
            <w:pPr>
              <w:rPr>
                <w:i/>
                <w:iCs/>
                <w:color w:val="000000"/>
                <w:sz w:val="16"/>
                <w:szCs w:val="16"/>
              </w:rPr>
            </w:pPr>
          </w:p>
        </w:tc>
        <w:tc>
          <w:tcPr>
            <w:tcW w:w="675" w:type="pct"/>
            <w:vMerge/>
          </w:tcPr>
          <w:p w14:paraId="17AAC1EF" w14:textId="77777777" w:rsidR="00161F08" w:rsidRPr="003C26C1" w:rsidRDefault="00161F08" w:rsidP="006D149C">
            <w:pPr>
              <w:rPr>
                <w:i/>
                <w:iCs/>
                <w:color w:val="000000"/>
                <w:sz w:val="16"/>
                <w:szCs w:val="16"/>
              </w:rPr>
            </w:pPr>
          </w:p>
        </w:tc>
        <w:tc>
          <w:tcPr>
            <w:tcW w:w="958" w:type="pct"/>
            <w:tcMar>
              <w:top w:w="15" w:type="dxa"/>
              <w:left w:w="108" w:type="dxa"/>
              <w:bottom w:w="0" w:type="dxa"/>
              <w:right w:w="108" w:type="dxa"/>
            </w:tcMar>
          </w:tcPr>
          <w:p w14:paraId="0CDEA161" w14:textId="77777777" w:rsidR="00161F08" w:rsidRDefault="00161F08" w:rsidP="006D149C">
            <w:pPr>
              <w:rPr>
                <w:b/>
                <w:i/>
                <w:color w:val="000000"/>
                <w:sz w:val="16"/>
                <w:szCs w:val="16"/>
              </w:rPr>
            </w:pPr>
            <w:r w:rsidRPr="003C26C1">
              <w:rPr>
                <w:b/>
                <w:color w:val="000000"/>
                <w:sz w:val="16"/>
                <w:szCs w:val="16"/>
              </w:rPr>
              <w:t>Other</w:t>
            </w:r>
            <w:r>
              <w:rPr>
                <w:b/>
                <w:color w:val="000000"/>
                <w:sz w:val="16"/>
                <w:szCs w:val="16"/>
              </w:rPr>
              <w:t xml:space="preserve">: 18,000,000 </w:t>
            </w:r>
          </w:p>
          <w:p w14:paraId="15707539" w14:textId="7F7E0A4B" w:rsidR="00161F08" w:rsidRPr="00770D83" w:rsidRDefault="00161F08" w:rsidP="006D149C">
            <w:pPr>
              <w:rPr>
                <w:b/>
                <w:color w:val="000000"/>
                <w:sz w:val="16"/>
                <w:szCs w:val="16"/>
              </w:rPr>
            </w:pPr>
          </w:p>
        </w:tc>
      </w:tr>
      <w:tr w:rsidR="00161F08" w:rsidRPr="003C26C1" w14:paraId="3DA81832" w14:textId="77777777" w:rsidTr="00161F08">
        <w:tc>
          <w:tcPr>
            <w:tcW w:w="5000" w:type="pct"/>
            <w:gridSpan w:val="5"/>
            <w:shd w:val="clear" w:color="auto" w:fill="auto"/>
            <w:tcMar>
              <w:top w:w="72" w:type="dxa"/>
              <w:left w:w="144" w:type="dxa"/>
              <w:bottom w:w="72" w:type="dxa"/>
              <w:right w:w="144" w:type="dxa"/>
            </w:tcMar>
          </w:tcPr>
          <w:p w14:paraId="43BCD0EE" w14:textId="77777777" w:rsidR="00161F08" w:rsidRDefault="00161F08" w:rsidP="00F25D2F">
            <w:pPr>
              <w:pStyle w:val="Standard"/>
              <w:keepNext/>
              <w:keepLines/>
              <w:spacing w:line="180" w:lineRule="exact"/>
              <w:jc w:val="both"/>
            </w:pPr>
            <w:r>
              <w:rPr>
                <w:b/>
                <w:bCs/>
                <w:color w:val="000000"/>
                <w:sz w:val="16"/>
                <w:szCs w:val="16"/>
                <w:lang w:val="en-GB"/>
              </w:rPr>
              <w:lastRenderedPageBreak/>
              <w:t xml:space="preserve">NATIONAL PRIORITY OR GOAL: </w:t>
            </w:r>
            <w:r>
              <w:rPr>
                <w:b/>
                <w:sz w:val="16"/>
                <w:szCs w:val="16"/>
                <w:lang w:val="en-CA"/>
              </w:rPr>
              <w:t>Improving environment management and resilience to natural and human-induced hazards</w:t>
            </w:r>
          </w:p>
        </w:tc>
      </w:tr>
      <w:tr w:rsidR="00161F08" w:rsidRPr="003C26C1" w14:paraId="6289D8A5" w14:textId="77777777" w:rsidTr="00161F08">
        <w:tc>
          <w:tcPr>
            <w:tcW w:w="5000" w:type="pct"/>
            <w:gridSpan w:val="5"/>
            <w:shd w:val="clear" w:color="auto" w:fill="auto"/>
            <w:tcMar>
              <w:top w:w="72" w:type="dxa"/>
              <w:left w:w="144" w:type="dxa"/>
              <w:bottom w:w="72" w:type="dxa"/>
              <w:right w:w="144" w:type="dxa"/>
            </w:tcMar>
          </w:tcPr>
          <w:p w14:paraId="74B518EB" w14:textId="77777777" w:rsidR="00161F08" w:rsidRDefault="00161F08" w:rsidP="00F25D2F">
            <w:pPr>
              <w:pStyle w:val="Standard"/>
              <w:keepNext/>
              <w:keepLines/>
              <w:spacing w:line="180" w:lineRule="exact"/>
              <w:jc w:val="both"/>
            </w:pPr>
            <w:r>
              <w:rPr>
                <w:b/>
                <w:bCs/>
                <w:color w:val="000000"/>
                <w:sz w:val="16"/>
                <w:szCs w:val="16"/>
                <w:lang w:val="en-GB"/>
              </w:rPr>
              <w:t>UNAPF  OUTCOME #3:</w:t>
            </w:r>
            <w:r>
              <w:rPr>
                <w:color w:val="000000"/>
                <w:sz w:val="16"/>
                <w:szCs w:val="16"/>
                <w:lang w:val="en-GB"/>
              </w:rPr>
              <w:t xml:space="preserve"> </w:t>
            </w:r>
            <w:r>
              <w:rPr>
                <w:sz w:val="16"/>
                <w:szCs w:val="16"/>
              </w:rPr>
              <w:t>By 2020, sustainable development policies and legislation are in place, better implemented and coordinated in compliance with multilateral environmental agreements, recognize social and health linkages and address issues of environment and natural resources, energy efficiency and renewable energy, climate change and resilience to natural and human-induced hazards</w:t>
            </w:r>
          </w:p>
        </w:tc>
      </w:tr>
      <w:tr w:rsidR="00161F08" w:rsidRPr="003C26C1" w14:paraId="57867B9E" w14:textId="77777777" w:rsidTr="00161F08">
        <w:tc>
          <w:tcPr>
            <w:tcW w:w="5000" w:type="pct"/>
            <w:gridSpan w:val="5"/>
            <w:shd w:val="clear" w:color="auto" w:fill="auto"/>
            <w:tcMar>
              <w:top w:w="72" w:type="dxa"/>
              <w:left w:w="144" w:type="dxa"/>
              <w:bottom w:w="72" w:type="dxa"/>
              <w:right w:w="144" w:type="dxa"/>
            </w:tcMar>
          </w:tcPr>
          <w:p w14:paraId="5D4913B9" w14:textId="77777777" w:rsidR="00161F08" w:rsidRDefault="00161F08" w:rsidP="00F25D2F">
            <w:pPr>
              <w:pStyle w:val="Standard"/>
              <w:keepNext/>
              <w:keepLines/>
              <w:spacing w:line="180" w:lineRule="exact"/>
              <w:jc w:val="both"/>
            </w:pPr>
            <w:r>
              <w:rPr>
                <w:b/>
                <w:bCs/>
                <w:color w:val="000000"/>
                <w:sz w:val="16"/>
                <w:szCs w:val="16"/>
                <w:lang w:val="en-GB"/>
              </w:rPr>
              <w:t>RELATED STRATEGIC PLAN OUTCOME 1: Growth and development are inclusive and sustainable, incorporating productive capacities that create employment and livelihoods for the poor and excluded</w:t>
            </w:r>
          </w:p>
        </w:tc>
      </w:tr>
      <w:tr w:rsidR="00161F08" w:rsidRPr="003C26C1" w14:paraId="41870C08" w14:textId="77777777" w:rsidTr="00161F08">
        <w:tc>
          <w:tcPr>
            <w:tcW w:w="1097" w:type="pct"/>
            <w:vMerge w:val="restart"/>
            <w:tcMar>
              <w:top w:w="72" w:type="dxa"/>
              <w:left w:w="144" w:type="dxa"/>
              <w:bottom w:w="72" w:type="dxa"/>
              <w:right w:w="144" w:type="dxa"/>
            </w:tcMar>
          </w:tcPr>
          <w:p w14:paraId="22EA713F" w14:textId="77777777" w:rsidR="00161F08" w:rsidRDefault="00161F08" w:rsidP="00161F08">
            <w:pPr>
              <w:pStyle w:val="Standard"/>
              <w:spacing w:line="180" w:lineRule="exact"/>
              <w:jc w:val="both"/>
              <w:rPr>
                <w:sz w:val="16"/>
                <w:szCs w:val="16"/>
                <w:lang w:val="en-CA"/>
              </w:rPr>
            </w:pPr>
          </w:p>
          <w:p w14:paraId="17073F27" w14:textId="610795BD" w:rsidR="00161F08" w:rsidRDefault="00DD6EA5" w:rsidP="00161F08">
            <w:pPr>
              <w:pStyle w:val="Standard"/>
              <w:spacing w:line="180" w:lineRule="exact"/>
              <w:jc w:val="both"/>
            </w:pPr>
            <w:r>
              <w:rPr>
                <w:b/>
                <w:sz w:val="16"/>
                <w:szCs w:val="16"/>
                <w:lang w:val="en-CA"/>
              </w:rPr>
              <w:t>1</w:t>
            </w:r>
            <w:r w:rsidR="00161F08">
              <w:rPr>
                <w:b/>
                <w:sz w:val="16"/>
                <w:szCs w:val="16"/>
                <w:lang w:val="en-CA"/>
              </w:rPr>
              <w:t>. Indicator:</w:t>
            </w:r>
            <w:r w:rsidR="00161F08">
              <w:rPr>
                <w:sz w:val="16"/>
                <w:szCs w:val="16"/>
                <w:lang w:val="en-CA"/>
              </w:rPr>
              <w:t xml:space="preserve"> GHG emissions per GDP (Tons CO2 equivalent/Million US$ GDP)</w:t>
            </w:r>
          </w:p>
          <w:p w14:paraId="0C0E76AA" w14:textId="0A35A64B" w:rsidR="00161F08" w:rsidRDefault="00161F08" w:rsidP="00161F08">
            <w:pPr>
              <w:pStyle w:val="Standard"/>
              <w:spacing w:line="180" w:lineRule="exact"/>
              <w:jc w:val="both"/>
            </w:pPr>
            <w:r>
              <w:rPr>
                <w:b/>
                <w:sz w:val="16"/>
                <w:szCs w:val="16"/>
                <w:lang w:val="en-CA"/>
              </w:rPr>
              <w:t>Baseline:</w:t>
            </w:r>
            <w:r w:rsidR="00F82627">
              <w:rPr>
                <w:b/>
                <w:sz w:val="16"/>
                <w:szCs w:val="16"/>
                <w:lang w:val="en-CA"/>
              </w:rPr>
              <w:t xml:space="preserve"> 911</w:t>
            </w:r>
            <w:r w:rsidR="00E53E18">
              <w:rPr>
                <w:b/>
                <w:sz w:val="16"/>
                <w:szCs w:val="16"/>
                <w:lang w:val="en-CA"/>
              </w:rPr>
              <w:t xml:space="preserve"> </w:t>
            </w:r>
            <w:r w:rsidR="00F82627">
              <w:rPr>
                <w:b/>
                <w:sz w:val="16"/>
                <w:szCs w:val="16"/>
                <w:lang w:val="en-CA"/>
              </w:rPr>
              <w:t>(2010)</w:t>
            </w:r>
            <w:r>
              <w:rPr>
                <w:b/>
                <w:sz w:val="16"/>
                <w:szCs w:val="16"/>
                <w:lang w:val="en-CA"/>
              </w:rPr>
              <w:tab/>
            </w:r>
          </w:p>
          <w:p w14:paraId="21EB13C7" w14:textId="77777777" w:rsidR="00161F08" w:rsidRDefault="00161F08" w:rsidP="00161F08">
            <w:pPr>
              <w:pStyle w:val="Standard"/>
              <w:tabs>
                <w:tab w:val="center" w:pos="1568"/>
              </w:tabs>
              <w:spacing w:line="180" w:lineRule="exact"/>
              <w:jc w:val="both"/>
            </w:pPr>
            <w:r>
              <w:rPr>
                <w:b/>
                <w:sz w:val="16"/>
                <w:szCs w:val="16"/>
                <w:lang w:val="en-CA"/>
              </w:rPr>
              <w:t xml:space="preserve">Target: </w:t>
            </w:r>
            <w:r>
              <w:rPr>
                <w:sz w:val="16"/>
                <w:szCs w:val="16"/>
                <w:lang w:val="en-CA"/>
              </w:rPr>
              <w:t>360</w:t>
            </w:r>
            <w:r>
              <w:rPr>
                <w:sz w:val="16"/>
                <w:szCs w:val="16"/>
                <w:lang w:val="en-CA"/>
              </w:rPr>
              <w:tab/>
            </w:r>
          </w:p>
          <w:p w14:paraId="52627FBA" w14:textId="77777777" w:rsidR="00161F08" w:rsidRDefault="00161F08" w:rsidP="00161F08">
            <w:pPr>
              <w:pStyle w:val="Standard"/>
              <w:spacing w:line="180" w:lineRule="exact"/>
              <w:jc w:val="both"/>
              <w:rPr>
                <w:sz w:val="16"/>
                <w:szCs w:val="16"/>
                <w:lang w:val="en-CA"/>
              </w:rPr>
            </w:pPr>
          </w:p>
          <w:p w14:paraId="27CAD285" w14:textId="47394A69" w:rsidR="00161F08" w:rsidRDefault="00DD6EA5" w:rsidP="00161F08">
            <w:pPr>
              <w:pStyle w:val="Standard"/>
              <w:spacing w:line="180" w:lineRule="exact"/>
              <w:jc w:val="both"/>
            </w:pPr>
            <w:r>
              <w:rPr>
                <w:b/>
                <w:sz w:val="16"/>
                <w:szCs w:val="16"/>
              </w:rPr>
              <w:t>2</w:t>
            </w:r>
            <w:r w:rsidR="00161F08">
              <w:rPr>
                <w:b/>
                <w:sz w:val="16"/>
                <w:szCs w:val="16"/>
              </w:rPr>
              <w:t>. Indicator:</w:t>
            </w:r>
            <w:r w:rsidR="00161F08">
              <w:rPr>
                <w:sz w:val="16"/>
                <w:szCs w:val="16"/>
              </w:rPr>
              <w:t xml:space="preserve"> Number of hectares of land managed under an in situ conservation regime</w:t>
            </w:r>
          </w:p>
          <w:p w14:paraId="2AFB0AE4" w14:textId="426A4AD2" w:rsidR="00161F08" w:rsidRDefault="00161F08" w:rsidP="00161F08">
            <w:pPr>
              <w:pStyle w:val="Standard"/>
              <w:spacing w:line="180" w:lineRule="exact"/>
              <w:jc w:val="both"/>
            </w:pPr>
            <w:r>
              <w:rPr>
                <w:b/>
                <w:sz w:val="16"/>
                <w:szCs w:val="16"/>
              </w:rPr>
              <w:t xml:space="preserve">Baseline: </w:t>
            </w:r>
            <w:r>
              <w:rPr>
                <w:sz w:val="16"/>
                <w:szCs w:val="16"/>
              </w:rPr>
              <w:t>617,630</w:t>
            </w:r>
            <w:r w:rsidR="00AE0079">
              <w:rPr>
                <w:sz w:val="16"/>
                <w:szCs w:val="16"/>
              </w:rPr>
              <w:t xml:space="preserve"> (2010)</w:t>
            </w:r>
          </w:p>
          <w:p w14:paraId="7BDD86BF" w14:textId="77777777" w:rsidR="00161F08" w:rsidRDefault="00161F08" w:rsidP="00161F08">
            <w:pPr>
              <w:pStyle w:val="Standard"/>
              <w:spacing w:line="180" w:lineRule="exact"/>
              <w:jc w:val="both"/>
            </w:pPr>
            <w:r>
              <w:rPr>
                <w:b/>
                <w:sz w:val="16"/>
                <w:szCs w:val="16"/>
              </w:rPr>
              <w:t xml:space="preserve">Target: </w:t>
            </w:r>
            <w:r>
              <w:rPr>
                <w:sz w:val="16"/>
                <w:szCs w:val="16"/>
              </w:rPr>
              <w:t>950,000</w:t>
            </w:r>
          </w:p>
          <w:p w14:paraId="7C8736E2" w14:textId="77777777" w:rsidR="00161F08" w:rsidRDefault="00161F08" w:rsidP="00161F08">
            <w:pPr>
              <w:pStyle w:val="Standard"/>
              <w:spacing w:line="180" w:lineRule="exact"/>
              <w:jc w:val="both"/>
              <w:rPr>
                <w:sz w:val="16"/>
                <w:szCs w:val="16"/>
              </w:rPr>
            </w:pPr>
          </w:p>
          <w:p w14:paraId="6A5172B6" w14:textId="7BE87CB3" w:rsidR="00161F08" w:rsidRDefault="00DD6EA5" w:rsidP="00161F08">
            <w:pPr>
              <w:pStyle w:val="Standard"/>
              <w:spacing w:line="180" w:lineRule="exact"/>
              <w:jc w:val="both"/>
            </w:pPr>
            <w:r>
              <w:rPr>
                <w:b/>
                <w:sz w:val="16"/>
                <w:szCs w:val="16"/>
              </w:rPr>
              <w:t>3</w:t>
            </w:r>
            <w:r w:rsidR="00161F08">
              <w:rPr>
                <w:b/>
                <w:sz w:val="16"/>
                <w:szCs w:val="16"/>
              </w:rPr>
              <w:t>. Indicator:</w:t>
            </w:r>
            <w:r w:rsidR="00161F08">
              <w:rPr>
                <w:sz w:val="16"/>
                <w:szCs w:val="16"/>
              </w:rPr>
              <w:t xml:space="preserve"> Number of hectares of land managed under a sustainable use regime</w:t>
            </w:r>
          </w:p>
          <w:p w14:paraId="51AA9EA3" w14:textId="0A2B83C1" w:rsidR="00161F08" w:rsidRDefault="00161F08" w:rsidP="00161F08">
            <w:pPr>
              <w:pStyle w:val="Standard"/>
              <w:spacing w:line="180" w:lineRule="exact"/>
              <w:jc w:val="both"/>
            </w:pPr>
            <w:r>
              <w:rPr>
                <w:b/>
                <w:sz w:val="16"/>
                <w:szCs w:val="16"/>
              </w:rPr>
              <w:t xml:space="preserve">Baseline: </w:t>
            </w:r>
            <w:r>
              <w:rPr>
                <w:sz w:val="16"/>
                <w:szCs w:val="16"/>
              </w:rPr>
              <w:t>21,959</w:t>
            </w:r>
            <w:r w:rsidR="00AE0079">
              <w:rPr>
                <w:sz w:val="16"/>
                <w:szCs w:val="16"/>
              </w:rPr>
              <w:t xml:space="preserve"> (2011)</w:t>
            </w:r>
          </w:p>
          <w:p w14:paraId="1994A9FC" w14:textId="77777777" w:rsidR="00161F08" w:rsidRDefault="00161F08" w:rsidP="00161F08">
            <w:pPr>
              <w:pStyle w:val="Standard"/>
              <w:spacing w:line="180" w:lineRule="exact"/>
              <w:jc w:val="both"/>
            </w:pPr>
            <w:r>
              <w:rPr>
                <w:b/>
                <w:sz w:val="16"/>
                <w:szCs w:val="16"/>
              </w:rPr>
              <w:t>Target:</w:t>
            </w:r>
            <w:r>
              <w:rPr>
                <w:sz w:val="16"/>
                <w:szCs w:val="16"/>
              </w:rPr>
              <w:t xml:space="preserve"> 35,000</w:t>
            </w:r>
          </w:p>
          <w:p w14:paraId="7749E90F" w14:textId="77777777" w:rsidR="00161F08" w:rsidRPr="003C26C1" w:rsidRDefault="00161F08" w:rsidP="00161F08">
            <w:pPr>
              <w:spacing w:line="180" w:lineRule="exact"/>
              <w:ind w:left="360"/>
              <w:rPr>
                <w:bCs/>
                <w:i/>
                <w:color w:val="000000"/>
                <w:sz w:val="16"/>
                <w:szCs w:val="16"/>
              </w:rPr>
            </w:pPr>
          </w:p>
        </w:tc>
        <w:tc>
          <w:tcPr>
            <w:tcW w:w="1178" w:type="pct"/>
            <w:vMerge w:val="restart"/>
          </w:tcPr>
          <w:p w14:paraId="4098B48F" w14:textId="462429AE" w:rsidR="00161F08" w:rsidRDefault="00AE0079" w:rsidP="00161F08">
            <w:pPr>
              <w:pStyle w:val="Standard"/>
              <w:spacing w:line="180" w:lineRule="exact"/>
              <w:jc w:val="both"/>
              <w:rPr>
                <w:sz w:val="16"/>
                <w:szCs w:val="16"/>
                <w:lang w:val="en-CA"/>
              </w:rPr>
            </w:pPr>
            <w:r>
              <w:rPr>
                <w:sz w:val="16"/>
                <w:szCs w:val="16"/>
                <w:lang w:val="en-CA"/>
              </w:rPr>
              <w:t>Ministry of Ecology and Natural Resources</w:t>
            </w:r>
          </w:p>
          <w:p w14:paraId="4413C973" w14:textId="77777777" w:rsidR="00AE0079" w:rsidRDefault="00AE0079" w:rsidP="00161F08">
            <w:pPr>
              <w:pStyle w:val="Standard"/>
              <w:spacing w:line="180" w:lineRule="exact"/>
              <w:jc w:val="both"/>
              <w:rPr>
                <w:sz w:val="16"/>
                <w:szCs w:val="16"/>
                <w:lang w:val="en-CA"/>
              </w:rPr>
            </w:pPr>
          </w:p>
          <w:p w14:paraId="3D53BB00" w14:textId="77777777" w:rsidR="00161F08" w:rsidRDefault="00161F08" w:rsidP="00161F08">
            <w:pPr>
              <w:pStyle w:val="Standard"/>
              <w:spacing w:line="180" w:lineRule="exact"/>
              <w:jc w:val="both"/>
            </w:pPr>
            <w:r>
              <w:rPr>
                <w:sz w:val="16"/>
                <w:szCs w:val="16"/>
              </w:rPr>
              <w:t>World Database on Protected Areas</w:t>
            </w:r>
          </w:p>
          <w:p w14:paraId="5039BBCD" w14:textId="77777777" w:rsidR="00161F08" w:rsidRDefault="00161F08" w:rsidP="00161F08">
            <w:pPr>
              <w:pStyle w:val="Standard"/>
              <w:spacing w:line="180" w:lineRule="exact"/>
              <w:jc w:val="both"/>
              <w:rPr>
                <w:sz w:val="16"/>
                <w:szCs w:val="16"/>
                <w:lang w:val="en-CA"/>
              </w:rPr>
            </w:pPr>
          </w:p>
          <w:p w14:paraId="51E68847" w14:textId="77777777" w:rsidR="00161F08" w:rsidRDefault="00161F08" w:rsidP="00161F08">
            <w:pPr>
              <w:pStyle w:val="Standard"/>
              <w:spacing w:line="180" w:lineRule="exact"/>
              <w:jc w:val="both"/>
              <w:rPr>
                <w:sz w:val="16"/>
                <w:szCs w:val="16"/>
              </w:rPr>
            </w:pPr>
            <w:r>
              <w:rPr>
                <w:sz w:val="16"/>
                <w:szCs w:val="16"/>
              </w:rPr>
              <w:t>Organic World Net</w:t>
            </w:r>
          </w:p>
          <w:p w14:paraId="1406FFB6" w14:textId="77777777" w:rsidR="00161F08" w:rsidRDefault="00161F08" w:rsidP="00161F08">
            <w:pPr>
              <w:pStyle w:val="Standard"/>
              <w:spacing w:line="180" w:lineRule="exact"/>
              <w:jc w:val="both"/>
              <w:rPr>
                <w:sz w:val="16"/>
                <w:szCs w:val="16"/>
              </w:rPr>
            </w:pPr>
          </w:p>
          <w:p w14:paraId="6B8C9C84" w14:textId="77777777" w:rsidR="00161F08" w:rsidRDefault="00161F08" w:rsidP="00161F08">
            <w:pPr>
              <w:pStyle w:val="Standard"/>
              <w:spacing w:line="180" w:lineRule="exact"/>
              <w:jc w:val="both"/>
            </w:pPr>
            <w:r>
              <w:rPr>
                <w:bCs/>
                <w:color w:val="000000"/>
                <w:sz w:val="16"/>
                <w:szCs w:val="16"/>
                <w:lang w:val="en-GB"/>
              </w:rPr>
              <w:t>Evaluation and mo</w:t>
            </w:r>
            <w:bookmarkStart w:id="0" w:name="_GoBack"/>
            <w:r>
              <w:rPr>
                <w:bCs/>
                <w:color w:val="000000"/>
                <w:sz w:val="16"/>
                <w:szCs w:val="16"/>
                <w:lang w:val="en-GB"/>
              </w:rPr>
              <w:t>n</w:t>
            </w:r>
            <w:bookmarkEnd w:id="0"/>
            <w:r>
              <w:rPr>
                <w:bCs/>
                <w:color w:val="000000"/>
                <w:sz w:val="16"/>
                <w:szCs w:val="16"/>
                <w:lang w:val="en-GB"/>
              </w:rPr>
              <w:t>itoring reports</w:t>
            </w:r>
          </w:p>
          <w:p w14:paraId="0C5D6506" w14:textId="77777777" w:rsidR="00161F08" w:rsidRDefault="00161F08" w:rsidP="00161F08">
            <w:pPr>
              <w:pStyle w:val="Standard"/>
              <w:spacing w:line="180" w:lineRule="exact"/>
              <w:jc w:val="both"/>
            </w:pPr>
          </w:p>
          <w:p w14:paraId="75F94E66" w14:textId="77777777" w:rsidR="00161F08" w:rsidRPr="003C26C1" w:rsidRDefault="00161F08" w:rsidP="00161F08">
            <w:pPr>
              <w:spacing w:line="180" w:lineRule="exact"/>
              <w:rPr>
                <w:b/>
                <w:bCs/>
                <w:i/>
                <w:color w:val="000000"/>
                <w:sz w:val="16"/>
                <w:szCs w:val="16"/>
              </w:rPr>
            </w:pPr>
          </w:p>
        </w:tc>
        <w:tc>
          <w:tcPr>
            <w:tcW w:w="1092" w:type="pct"/>
            <w:vMerge w:val="restart"/>
            <w:tcMar>
              <w:top w:w="72" w:type="dxa"/>
              <w:left w:w="144" w:type="dxa"/>
              <w:bottom w:w="72" w:type="dxa"/>
              <w:right w:w="144" w:type="dxa"/>
            </w:tcMar>
          </w:tcPr>
          <w:p w14:paraId="78419A3C" w14:textId="77777777" w:rsidR="00161F08" w:rsidRPr="00161F08" w:rsidRDefault="00161F08" w:rsidP="00161F08">
            <w:pPr>
              <w:pStyle w:val="Standard"/>
              <w:spacing w:line="180" w:lineRule="exact"/>
              <w:jc w:val="both"/>
              <w:rPr>
                <w:b/>
                <w:spacing w:val="-2"/>
                <w:sz w:val="16"/>
                <w:szCs w:val="16"/>
              </w:rPr>
            </w:pPr>
            <w:r w:rsidRPr="00161F08">
              <w:rPr>
                <w:b/>
                <w:spacing w:val="-2"/>
                <w:sz w:val="16"/>
                <w:szCs w:val="16"/>
              </w:rPr>
              <w:t>3.1 Institutions and mechanisms are strengthened for better monitoring, analysis and reporting on GHGs emissions, carbon flows and carbon storage potential, including  reporting under major multilateral environmental agreements</w:t>
            </w:r>
          </w:p>
          <w:p w14:paraId="07C6E151" w14:textId="77777777" w:rsidR="00161F08" w:rsidRDefault="00161F08" w:rsidP="00F25D2F">
            <w:pPr>
              <w:pStyle w:val="Standard"/>
              <w:spacing w:line="160" w:lineRule="exact"/>
              <w:jc w:val="both"/>
              <w:rPr>
                <w:b/>
                <w:sz w:val="16"/>
                <w:szCs w:val="16"/>
              </w:rPr>
            </w:pPr>
          </w:p>
          <w:p w14:paraId="73BE9B18" w14:textId="77777777" w:rsidR="00161F08" w:rsidRDefault="00161F08" w:rsidP="00161F08">
            <w:pPr>
              <w:pStyle w:val="Standard"/>
              <w:spacing w:line="180" w:lineRule="exact"/>
              <w:jc w:val="both"/>
            </w:pPr>
            <w:r>
              <w:rPr>
                <w:b/>
                <w:sz w:val="16"/>
                <w:szCs w:val="16"/>
              </w:rPr>
              <w:t xml:space="preserve">Indicator 3.1.1: </w:t>
            </w:r>
            <w:r>
              <w:rPr>
                <w:sz w:val="16"/>
                <w:szCs w:val="16"/>
              </w:rPr>
              <w:t>Reporting complies with requirements of the conventions</w:t>
            </w:r>
          </w:p>
          <w:p w14:paraId="7250CA2C" w14:textId="77777777" w:rsidR="00161F08" w:rsidRDefault="00161F08" w:rsidP="00161F08">
            <w:pPr>
              <w:pStyle w:val="Standard"/>
              <w:spacing w:line="180" w:lineRule="exact"/>
              <w:jc w:val="both"/>
            </w:pPr>
            <w:r>
              <w:rPr>
                <w:b/>
                <w:sz w:val="16"/>
                <w:szCs w:val="16"/>
              </w:rPr>
              <w:t>Baseline:</w:t>
            </w:r>
            <w:r>
              <w:rPr>
                <w:sz w:val="16"/>
                <w:szCs w:val="16"/>
              </w:rPr>
              <w:t xml:space="preserve"> Partly complies</w:t>
            </w:r>
          </w:p>
          <w:p w14:paraId="2068EDE7" w14:textId="77777777" w:rsidR="00161F08" w:rsidRDefault="00161F08" w:rsidP="00161F08">
            <w:pPr>
              <w:pStyle w:val="Standard"/>
              <w:spacing w:line="180" w:lineRule="exact"/>
              <w:jc w:val="both"/>
              <w:rPr>
                <w:sz w:val="16"/>
                <w:szCs w:val="16"/>
              </w:rPr>
            </w:pPr>
            <w:r>
              <w:rPr>
                <w:b/>
                <w:sz w:val="16"/>
                <w:szCs w:val="16"/>
              </w:rPr>
              <w:t>Target:</w:t>
            </w:r>
            <w:r>
              <w:rPr>
                <w:sz w:val="16"/>
                <w:szCs w:val="16"/>
              </w:rPr>
              <w:t xml:space="preserve"> Fully complies</w:t>
            </w:r>
          </w:p>
          <w:p w14:paraId="747B6A64" w14:textId="77777777" w:rsidR="00161F08" w:rsidRDefault="00161F08" w:rsidP="00F25D2F">
            <w:pPr>
              <w:pStyle w:val="Standard"/>
              <w:spacing w:line="160" w:lineRule="exact"/>
              <w:jc w:val="both"/>
              <w:rPr>
                <w:sz w:val="16"/>
                <w:szCs w:val="16"/>
              </w:rPr>
            </w:pPr>
          </w:p>
          <w:p w14:paraId="3DAD765D" w14:textId="77777777" w:rsidR="00161F08" w:rsidRDefault="00161F08" w:rsidP="00161F08">
            <w:pPr>
              <w:pStyle w:val="Standard"/>
              <w:spacing w:line="180" w:lineRule="exact"/>
              <w:jc w:val="both"/>
            </w:pPr>
            <w:r>
              <w:rPr>
                <w:b/>
                <w:sz w:val="16"/>
                <w:szCs w:val="16"/>
              </w:rPr>
              <w:t>Indicator 3.1.2:</w:t>
            </w:r>
            <w:r>
              <w:rPr>
                <w:sz w:val="16"/>
                <w:szCs w:val="16"/>
              </w:rPr>
              <w:t xml:space="preserve"> Extent to which the capacities for carbon monitoring are improved </w:t>
            </w:r>
          </w:p>
          <w:p w14:paraId="42A2A753" w14:textId="77777777" w:rsidR="00161F08" w:rsidRDefault="00161F08" w:rsidP="00161F08">
            <w:pPr>
              <w:pStyle w:val="Standard"/>
              <w:spacing w:line="180" w:lineRule="exact"/>
              <w:jc w:val="both"/>
            </w:pPr>
            <w:r>
              <w:rPr>
                <w:b/>
                <w:sz w:val="16"/>
                <w:szCs w:val="16"/>
              </w:rPr>
              <w:t>Baseline:</w:t>
            </w:r>
            <w:r>
              <w:rPr>
                <w:sz w:val="16"/>
                <w:szCs w:val="16"/>
              </w:rPr>
              <w:t xml:space="preserve"> 1 </w:t>
            </w:r>
          </w:p>
          <w:p w14:paraId="74F9F750" w14:textId="77777777" w:rsidR="00161F08" w:rsidRDefault="00161F08" w:rsidP="00161F08">
            <w:pPr>
              <w:pStyle w:val="Standard"/>
              <w:spacing w:line="180" w:lineRule="exact"/>
              <w:jc w:val="both"/>
            </w:pPr>
            <w:r>
              <w:rPr>
                <w:b/>
                <w:sz w:val="16"/>
                <w:szCs w:val="16"/>
              </w:rPr>
              <w:t>Target:</w:t>
            </w:r>
            <w:r>
              <w:rPr>
                <w:sz w:val="16"/>
                <w:szCs w:val="16"/>
              </w:rPr>
              <w:t xml:space="preserve"> 3 </w:t>
            </w:r>
          </w:p>
          <w:p w14:paraId="3491A1F0" w14:textId="77777777" w:rsidR="00161F08" w:rsidRDefault="00161F08" w:rsidP="00F25D2F">
            <w:pPr>
              <w:pStyle w:val="Standard"/>
              <w:spacing w:line="160" w:lineRule="exact"/>
              <w:jc w:val="both"/>
              <w:rPr>
                <w:sz w:val="16"/>
                <w:szCs w:val="16"/>
              </w:rPr>
            </w:pPr>
          </w:p>
          <w:p w14:paraId="51FE40FD" w14:textId="77777777" w:rsidR="00161F08" w:rsidRPr="00161F08" w:rsidRDefault="00161F08" w:rsidP="00161F08">
            <w:pPr>
              <w:pStyle w:val="Standard"/>
              <w:spacing w:line="180" w:lineRule="exact"/>
              <w:jc w:val="both"/>
              <w:rPr>
                <w:b/>
                <w:spacing w:val="-2"/>
                <w:sz w:val="16"/>
                <w:szCs w:val="16"/>
              </w:rPr>
            </w:pPr>
            <w:r w:rsidRPr="00161F08">
              <w:rPr>
                <w:b/>
                <w:spacing w:val="-2"/>
                <w:sz w:val="16"/>
                <w:szCs w:val="16"/>
              </w:rPr>
              <w:t>3.2 National and subnational capacities are improved to ensure better planning, management and sustainability of the coastal and marine ecosystems of the Caspian Sea</w:t>
            </w:r>
          </w:p>
          <w:p w14:paraId="22100AB8" w14:textId="77777777" w:rsidR="00161F08" w:rsidRDefault="00161F08" w:rsidP="00F25D2F">
            <w:pPr>
              <w:pStyle w:val="Standard"/>
              <w:spacing w:line="140" w:lineRule="exact"/>
              <w:jc w:val="both"/>
              <w:rPr>
                <w:b/>
                <w:sz w:val="16"/>
                <w:szCs w:val="16"/>
              </w:rPr>
            </w:pPr>
          </w:p>
          <w:p w14:paraId="5C780265" w14:textId="77777777" w:rsidR="00161F08" w:rsidRDefault="00161F08" w:rsidP="00161F08">
            <w:pPr>
              <w:pStyle w:val="Standard"/>
              <w:spacing w:line="180" w:lineRule="exact"/>
              <w:jc w:val="both"/>
            </w:pPr>
            <w:r>
              <w:rPr>
                <w:b/>
                <w:sz w:val="16"/>
                <w:szCs w:val="16"/>
              </w:rPr>
              <w:t xml:space="preserve">Indicator 3.2.1: </w:t>
            </w:r>
            <w:r>
              <w:rPr>
                <w:sz w:val="16"/>
                <w:szCs w:val="16"/>
              </w:rPr>
              <w:t>Existence of an integrated management plan for  coastal/marine protected areas</w:t>
            </w:r>
          </w:p>
          <w:p w14:paraId="0300B676" w14:textId="77777777" w:rsidR="00161F08" w:rsidRDefault="00161F08" w:rsidP="00161F08">
            <w:pPr>
              <w:pStyle w:val="Standard"/>
              <w:spacing w:line="180" w:lineRule="exact"/>
              <w:jc w:val="both"/>
            </w:pPr>
            <w:r>
              <w:rPr>
                <w:b/>
                <w:sz w:val="16"/>
                <w:szCs w:val="16"/>
              </w:rPr>
              <w:t>Baseline:</w:t>
            </w:r>
            <w:r>
              <w:rPr>
                <w:sz w:val="16"/>
                <w:szCs w:val="16"/>
              </w:rPr>
              <w:t xml:space="preserve"> None</w:t>
            </w:r>
          </w:p>
          <w:p w14:paraId="4D647135" w14:textId="77777777" w:rsidR="00161F08" w:rsidRDefault="00161F08" w:rsidP="00161F08">
            <w:pPr>
              <w:pStyle w:val="Standard"/>
              <w:spacing w:line="180" w:lineRule="exact"/>
              <w:jc w:val="both"/>
            </w:pPr>
            <w:r>
              <w:rPr>
                <w:b/>
                <w:sz w:val="16"/>
                <w:szCs w:val="16"/>
              </w:rPr>
              <w:t>Target:</w:t>
            </w:r>
            <w:r>
              <w:rPr>
                <w:sz w:val="16"/>
                <w:szCs w:val="16"/>
              </w:rPr>
              <w:t xml:space="preserve"> At least one national park has an integrated management plan with community involvement</w:t>
            </w:r>
          </w:p>
          <w:p w14:paraId="2157DBC5" w14:textId="77777777" w:rsidR="00161F08" w:rsidRPr="003326D8" w:rsidRDefault="00161F08" w:rsidP="00F25D2F">
            <w:pPr>
              <w:pStyle w:val="Standard"/>
              <w:spacing w:line="140" w:lineRule="exact"/>
              <w:jc w:val="both"/>
              <w:rPr>
                <w:bCs/>
                <w:color w:val="000000"/>
                <w:sz w:val="16"/>
                <w:szCs w:val="16"/>
              </w:rPr>
            </w:pPr>
          </w:p>
          <w:p w14:paraId="4296D30F" w14:textId="77777777" w:rsidR="00161F08" w:rsidRPr="00161F08" w:rsidRDefault="00161F08" w:rsidP="00161F08">
            <w:pPr>
              <w:pStyle w:val="Standard"/>
              <w:spacing w:line="180" w:lineRule="exact"/>
              <w:jc w:val="both"/>
              <w:rPr>
                <w:spacing w:val="-2"/>
              </w:rPr>
            </w:pPr>
            <w:r w:rsidRPr="00161F08">
              <w:rPr>
                <w:b/>
                <w:spacing w:val="-2"/>
                <w:sz w:val="16"/>
                <w:szCs w:val="16"/>
              </w:rPr>
              <w:t xml:space="preserve">3.3 Agricultural policies are developed and institutions and local farmers are supported to conserve and sustainably use local crop </w:t>
            </w:r>
            <w:r w:rsidRPr="00161F08">
              <w:rPr>
                <w:b/>
                <w:spacing w:val="-2"/>
                <w:sz w:val="16"/>
                <w:szCs w:val="16"/>
              </w:rPr>
              <w:lastRenderedPageBreak/>
              <w:t>varieties important for biodiversity and sustainable land management</w:t>
            </w:r>
          </w:p>
          <w:p w14:paraId="2F2BACA9" w14:textId="77777777" w:rsidR="00161F08" w:rsidRPr="003326D8" w:rsidRDefault="00161F08" w:rsidP="00F25D2F">
            <w:pPr>
              <w:pStyle w:val="Standard"/>
              <w:spacing w:line="140" w:lineRule="exact"/>
              <w:jc w:val="both"/>
              <w:rPr>
                <w:sz w:val="16"/>
                <w:szCs w:val="16"/>
              </w:rPr>
            </w:pPr>
          </w:p>
          <w:p w14:paraId="398B8A70" w14:textId="77777777" w:rsidR="00161F08" w:rsidRDefault="00161F08" w:rsidP="00161F08">
            <w:pPr>
              <w:pStyle w:val="Standard"/>
              <w:spacing w:line="180" w:lineRule="exact"/>
              <w:jc w:val="both"/>
            </w:pPr>
            <w:r>
              <w:rPr>
                <w:b/>
                <w:sz w:val="16"/>
                <w:szCs w:val="16"/>
              </w:rPr>
              <w:t xml:space="preserve">Indicator 3.3.1: </w:t>
            </w:r>
            <w:r>
              <w:rPr>
                <w:sz w:val="16"/>
                <w:szCs w:val="16"/>
              </w:rPr>
              <w:t>Percentage of farmers using local crop varieties in the pilot regions</w:t>
            </w:r>
          </w:p>
          <w:p w14:paraId="394AC99F" w14:textId="77777777" w:rsidR="00161F08" w:rsidRDefault="00161F08" w:rsidP="00161F08">
            <w:pPr>
              <w:pStyle w:val="Standard"/>
              <w:spacing w:line="180" w:lineRule="exact"/>
              <w:jc w:val="both"/>
            </w:pPr>
            <w:r>
              <w:rPr>
                <w:b/>
                <w:sz w:val="16"/>
                <w:szCs w:val="16"/>
              </w:rPr>
              <w:t xml:space="preserve">Baseline: </w:t>
            </w:r>
            <w:r>
              <w:rPr>
                <w:sz w:val="16"/>
                <w:szCs w:val="16"/>
              </w:rPr>
              <w:t>0</w:t>
            </w:r>
          </w:p>
          <w:p w14:paraId="0525B7ED" w14:textId="77777777" w:rsidR="00161F08" w:rsidRDefault="00161F08" w:rsidP="00161F08">
            <w:pPr>
              <w:pStyle w:val="Standard"/>
              <w:spacing w:line="180" w:lineRule="exact"/>
              <w:jc w:val="both"/>
            </w:pPr>
            <w:r>
              <w:rPr>
                <w:b/>
                <w:sz w:val="16"/>
                <w:szCs w:val="16"/>
              </w:rPr>
              <w:t xml:space="preserve">Target: </w:t>
            </w:r>
            <w:r>
              <w:rPr>
                <w:sz w:val="16"/>
                <w:szCs w:val="16"/>
              </w:rPr>
              <w:t xml:space="preserve">15% in the pilot  regions </w:t>
            </w:r>
          </w:p>
          <w:p w14:paraId="130DA670" w14:textId="77777777" w:rsidR="00161F08" w:rsidRPr="00161F08" w:rsidRDefault="00161F08" w:rsidP="00161F08">
            <w:pPr>
              <w:pStyle w:val="Standard"/>
              <w:spacing w:line="180" w:lineRule="exact"/>
              <w:jc w:val="both"/>
              <w:rPr>
                <w:spacing w:val="-2"/>
              </w:rPr>
            </w:pPr>
            <w:r w:rsidRPr="00161F08">
              <w:rPr>
                <w:b/>
                <w:spacing w:val="-2"/>
                <w:sz w:val="16"/>
                <w:szCs w:val="16"/>
              </w:rPr>
              <w:t xml:space="preserve">3.4 Application of climate change mitigation measures and green practices is promoted to reduce GHGs emissions from the energy sector </w:t>
            </w:r>
          </w:p>
          <w:p w14:paraId="0DB6D807" w14:textId="77777777" w:rsidR="00161F08" w:rsidRDefault="00161F08" w:rsidP="00161F08">
            <w:pPr>
              <w:pStyle w:val="Standard"/>
              <w:spacing w:line="180" w:lineRule="exact"/>
              <w:jc w:val="both"/>
              <w:rPr>
                <w:b/>
                <w:sz w:val="16"/>
                <w:szCs w:val="16"/>
              </w:rPr>
            </w:pPr>
          </w:p>
          <w:p w14:paraId="3A8A4701" w14:textId="77777777" w:rsidR="00161F08" w:rsidRDefault="00161F08" w:rsidP="00161F08">
            <w:pPr>
              <w:pStyle w:val="Standard"/>
              <w:spacing w:line="180" w:lineRule="exact"/>
              <w:jc w:val="both"/>
            </w:pPr>
            <w:r>
              <w:rPr>
                <w:b/>
                <w:sz w:val="16"/>
                <w:szCs w:val="16"/>
              </w:rPr>
              <w:t>Indicator 3.4.1:</w:t>
            </w:r>
            <w:r>
              <w:rPr>
                <w:sz w:val="16"/>
                <w:szCs w:val="16"/>
              </w:rPr>
              <w:t xml:space="preserve"> Number of Nationally Appropriate Mitigation Measures implemented in the oil/gas industry</w:t>
            </w:r>
          </w:p>
          <w:p w14:paraId="65D2CF9F" w14:textId="77777777" w:rsidR="00161F08" w:rsidRDefault="00161F08" w:rsidP="00161F08">
            <w:pPr>
              <w:pStyle w:val="Standard"/>
              <w:spacing w:line="180" w:lineRule="exact"/>
              <w:jc w:val="both"/>
            </w:pPr>
            <w:r>
              <w:rPr>
                <w:b/>
                <w:sz w:val="16"/>
                <w:szCs w:val="16"/>
              </w:rPr>
              <w:t>Baseline:</w:t>
            </w:r>
            <w:r>
              <w:rPr>
                <w:bCs/>
                <w:sz w:val="16"/>
                <w:szCs w:val="16"/>
              </w:rPr>
              <w:t xml:space="preserve"> Zero</w:t>
            </w:r>
          </w:p>
          <w:p w14:paraId="6373F3EE" w14:textId="77777777" w:rsidR="00161F08" w:rsidRDefault="00161F08" w:rsidP="00161F08">
            <w:pPr>
              <w:pStyle w:val="Standard"/>
              <w:spacing w:line="180" w:lineRule="exact"/>
              <w:jc w:val="both"/>
            </w:pPr>
            <w:r>
              <w:rPr>
                <w:b/>
                <w:bCs/>
                <w:sz w:val="16"/>
                <w:szCs w:val="16"/>
              </w:rPr>
              <w:t>Target:</w:t>
            </w:r>
            <w:r>
              <w:rPr>
                <w:bCs/>
                <w:sz w:val="16"/>
                <w:szCs w:val="16"/>
              </w:rPr>
              <w:t xml:space="preserve"> 3</w:t>
            </w:r>
          </w:p>
          <w:p w14:paraId="7261E440" w14:textId="77777777" w:rsidR="00161F08" w:rsidRDefault="00161F08" w:rsidP="00161F08">
            <w:pPr>
              <w:pStyle w:val="Standard"/>
              <w:spacing w:line="180" w:lineRule="exact"/>
              <w:jc w:val="both"/>
              <w:rPr>
                <w:b/>
                <w:sz w:val="16"/>
                <w:szCs w:val="16"/>
              </w:rPr>
            </w:pPr>
          </w:p>
          <w:p w14:paraId="307E4F95" w14:textId="77777777" w:rsidR="00161F08" w:rsidRDefault="00161F08" w:rsidP="00161F08">
            <w:pPr>
              <w:pStyle w:val="Standard"/>
              <w:spacing w:line="180" w:lineRule="exact"/>
              <w:jc w:val="both"/>
            </w:pPr>
            <w:r>
              <w:rPr>
                <w:b/>
                <w:sz w:val="16"/>
                <w:szCs w:val="16"/>
              </w:rPr>
              <w:t xml:space="preserve">Indicator 3.4.2: </w:t>
            </w:r>
            <w:r>
              <w:rPr>
                <w:sz w:val="16"/>
                <w:szCs w:val="16"/>
              </w:rPr>
              <w:t>Number of innovative green practices resulting in reduction of the GHGs implemented in the transport sector</w:t>
            </w:r>
          </w:p>
          <w:p w14:paraId="78BFC2FE" w14:textId="77777777" w:rsidR="00161F08" w:rsidRDefault="00161F08" w:rsidP="00161F08">
            <w:pPr>
              <w:pStyle w:val="Standard"/>
              <w:spacing w:line="180" w:lineRule="exact"/>
              <w:jc w:val="both"/>
            </w:pPr>
            <w:r>
              <w:rPr>
                <w:b/>
                <w:sz w:val="16"/>
                <w:szCs w:val="16"/>
              </w:rPr>
              <w:t xml:space="preserve">Baseline: </w:t>
            </w:r>
            <w:r>
              <w:rPr>
                <w:sz w:val="16"/>
                <w:szCs w:val="16"/>
              </w:rPr>
              <w:t>0</w:t>
            </w:r>
          </w:p>
          <w:p w14:paraId="6FA88F7E" w14:textId="77777777" w:rsidR="00161F08" w:rsidRDefault="00161F08" w:rsidP="00161F08">
            <w:pPr>
              <w:pStyle w:val="Standard"/>
              <w:spacing w:line="180" w:lineRule="exact"/>
              <w:jc w:val="both"/>
            </w:pPr>
            <w:r>
              <w:rPr>
                <w:b/>
                <w:sz w:val="16"/>
                <w:szCs w:val="16"/>
              </w:rPr>
              <w:t xml:space="preserve">Target: </w:t>
            </w:r>
            <w:r>
              <w:rPr>
                <w:sz w:val="16"/>
                <w:szCs w:val="16"/>
              </w:rPr>
              <w:t>3</w:t>
            </w:r>
          </w:p>
          <w:p w14:paraId="3095D37A" w14:textId="77777777" w:rsidR="00161F08" w:rsidRDefault="00161F08" w:rsidP="00161F08">
            <w:pPr>
              <w:pStyle w:val="Standard"/>
              <w:spacing w:line="180" w:lineRule="exact"/>
              <w:jc w:val="both"/>
              <w:rPr>
                <w:b/>
                <w:sz w:val="16"/>
                <w:szCs w:val="16"/>
              </w:rPr>
            </w:pPr>
          </w:p>
          <w:p w14:paraId="7EDECF26" w14:textId="77777777" w:rsidR="00161F08" w:rsidRDefault="00D13518" w:rsidP="00161F08">
            <w:pPr>
              <w:pStyle w:val="Standard"/>
              <w:spacing w:line="180" w:lineRule="exact"/>
              <w:jc w:val="both"/>
              <w:rPr>
                <w:b/>
                <w:sz w:val="16"/>
                <w:szCs w:val="16"/>
              </w:rPr>
            </w:pPr>
            <w:r>
              <w:rPr>
                <w:noProof/>
              </w:rPr>
              <mc:AlternateContent>
                <mc:Choice Requires="wps">
                  <w:drawing>
                    <wp:anchor distT="0" distB="0" distL="114300" distR="114300" simplePos="0" relativeHeight="251659264" behindDoc="0" locked="0" layoutInCell="1" allowOverlap="1" wp14:anchorId="28E4D088" wp14:editId="6D20BD75">
                      <wp:simplePos x="0" y="0"/>
                      <wp:positionH relativeFrom="page">
                        <wp:posOffset>-3790686</wp:posOffset>
                      </wp:positionH>
                      <wp:positionV relativeFrom="page">
                        <wp:posOffset>2760345</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126F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98.5pt,217.35pt" to="-298.5pt,2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" strokecolor="black [3213]" strokeweight=".25pt">
                      <w10:wrap anchorx="page" anchory="page"/>
                    </v:line>
                  </w:pict>
                </mc:Fallback>
              </mc:AlternateContent>
            </w:r>
            <w:r w:rsidR="00161F08">
              <w:rPr>
                <w:b/>
                <w:sz w:val="16"/>
                <w:szCs w:val="16"/>
              </w:rPr>
              <w:t xml:space="preserve">3.5 Resilience of vulnerable mountainous communities of the Greater Caucasus is strengthened to cope with negative impacts of land degradation and climate-induced hazards </w:t>
            </w:r>
          </w:p>
          <w:p w14:paraId="44BDF138" w14:textId="77777777" w:rsidR="00161F08" w:rsidRDefault="00161F08" w:rsidP="00161F08">
            <w:pPr>
              <w:pStyle w:val="Standard"/>
              <w:spacing w:line="180" w:lineRule="exact"/>
              <w:jc w:val="both"/>
              <w:rPr>
                <w:b/>
                <w:sz w:val="16"/>
                <w:szCs w:val="16"/>
              </w:rPr>
            </w:pPr>
          </w:p>
          <w:p w14:paraId="45DBDA78" w14:textId="77777777" w:rsidR="00161F08" w:rsidRDefault="00161F08" w:rsidP="00161F08">
            <w:pPr>
              <w:pStyle w:val="Standard"/>
              <w:spacing w:line="180" w:lineRule="exact"/>
              <w:jc w:val="both"/>
            </w:pPr>
            <w:r>
              <w:rPr>
                <w:b/>
                <w:sz w:val="16"/>
                <w:szCs w:val="16"/>
              </w:rPr>
              <w:t xml:space="preserve">Indicator 3.5.1: Number of communities benefitting from an early </w:t>
            </w:r>
            <w:r>
              <w:rPr>
                <w:sz w:val="16"/>
                <w:szCs w:val="16"/>
              </w:rPr>
              <w:t xml:space="preserve">warning system </w:t>
            </w:r>
          </w:p>
          <w:p w14:paraId="1E59015E" w14:textId="77777777" w:rsidR="00161F08" w:rsidRDefault="00161F08" w:rsidP="00161F08">
            <w:pPr>
              <w:pStyle w:val="Standard"/>
              <w:spacing w:line="180" w:lineRule="exact"/>
              <w:jc w:val="both"/>
            </w:pPr>
            <w:r>
              <w:rPr>
                <w:b/>
                <w:sz w:val="16"/>
                <w:szCs w:val="16"/>
              </w:rPr>
              <w:t xml:space="preserve">Baseline: </w:t>
            </w:r>
            <w:r>
              <w:rPr>
                <w:sz w:val="16"/>
                <w:szCs w:val="16"/>
              </w:rPr>
              <w:t>None</w:t>
            </w:r>
          </w:p>
          <w:p w14:paraId="57962978" w14:textId="77777777" w:rsidR="00161F08" w:rsidRDefault="00161F08" w:rsidP="00161F08">
            <w:pPr>
              <w:pStyle w:val="Standard"/>
              <w:spacing w:line="180" w:lineRule="exact"/>
              <w:jc w:val="both"/>
            </w:pPr>
            <w:r>
              <w:rPr>
                <w:b/>
                <w:sz w:val="16"/>
                <w:szCs w:val="16"/>
              </w:rPr>
              <w:t xml:space="preserve">Target: 20 </w:t>
            </w:r>
          </w:p>
          <w:p w14:paraId="36C1D4E2" w14:textId="77777777" w:rsidR="00161F08" w:rsidRDefault="00161F08" w:rsidP="00161F08">
            <w:pPr>
              <w:pStyle w:val="Standard"/>
              <w:spacing w:line="180" w:lineRule="exact"/>
              <w:jc w:val="both"/>
              <w:rPr>
                <w:b/>
                <w:bCs/>
                <w:color w:val="000000"/>
                <w:sz w:val="16"/>
                <w:szCs w:val="16"/>
              </w:rPr>
            </w:pPr>
          </w:p>
          <w:p w14:paraId="4510B858" w14:textId="77777777" w:rsidR="00161F08" w:rsidRPr="00161F08" w:rsidRDefault="00161F08" w:rsidP="00161F08">
            <w:pPr>
              <w:pStyle w:val="Standard"/>
              <w:spacing w:line="180" w:lineRule="exact"/>
              <w:jc w:val="both"/>
              <w:rPr>
                <w:spacing w:val="-2"/>
              </w:rPr>
            </w:pPr>
            <w:r w:rsidRPr="00161F08">
              <w:rPr>
                <w:b/>
                <w:spacing w:val="-2"/>
                <w:sz w:val="16"/>
                <w:szCs w:val="16"/>
              </w:rPr>
              <w:t>Indicator 3.5.2:</w:t>
            </w:r>
            <w:r w:rsidRPr="00161F08">
              <w:rPr>
                <w:spacing w:val="-2"/>
                <w:sz w:val="16"/>
                <w:szCs w:val="16"/>
              </w:rPr>
              <w:t xml:space="preserve"> Number of farmers benefitting from sustainable livelihoods from improved pasture management </w:t>
            </w:r>
          </w:p>
          <w:p w14:paraId="2D7CE46F" w14:textId="77777777" w:rsidR="00161F08" w:rsidRDefault="00161F08" w:rsidP="00161F08">
            <w:pPr>
              <w:pStyle w:val="Standard"/>
              <w:spacing w:line="180" w:lineRule="exact"/>
              <w:jc w:val="both"/>
            </w:pPr>
            <w:r>
              <w:rPr>
                <w:b/>
                <w:sz w:val="16"/>
                <w:szCs w:val="16"/>
              </w:rPr>
              <w:t>Baseline:</w:t>
            </w:r>
            <w:r>
              <w:rPr>
                <w:sz w:val="16"/>
                <w:szCs w:val="16"/>
              </w:rPr>
              <w:t xml:space="preserve"> 0</w:t>
            </w:r>
          </w:p>
          <w:p w14:paraId="2B542F59" w14:textId="77777777" w:rsidR="00161F08" w:rsidRDefault="00161F08" w:rsidP="00161F08">
            <w:pPr>
              <w:pStyle w:val="Standard"/>
              <w:spacing w:line="180" w:lineRule="exact"/>
              <w:jc w:val="both"/>
            </w:pPr>
            <w:r>
              <w:rPr>
                <w:b/>
                <w:sz w:val="16"/>
                <w:szCs w:val="16"/>
              </w:rPr>
              <w:t>Target:</w:t>
            </w:r>
            <w:r>
              <w:rPr>
                <w:sz w:val="16"/>
                <w:szCs w:val="16"/>
              </w:rPr>
              <w:t xml:space="preserve"> 16 </w:t>
            </w:r>
          </w:p>
          <w:p w14:paraId="57A92593" w14:textId="77777777" w:rsidR="00161F08" w:rsidRDefault="00161F08" w:rsidP="00161F08">
            <w:pPr>
              <w:pStyle w:val="Standard"/>
              <w:spacing w:line="180" w:lineRule="exact"/>
              <w:jc w:val="both"/>
              <w:rPr>
                <w:sz w:val="16"/>
                <w:szCs w:val="16"/>
              </w:rPr>
            </w:pPr>
          </w:p>
          <w:p w14:paraId="0F1353BE" w14:textId="52A5F10F" w:rsidR="00161F08" w:rsidRDefault="00161F08" w:rsidP="00161F08">
            <w:pPr>
              <w:pStyle w:val="Standard"/>
              <w:spacing w:line="180" w:lineRule="exact"/>
              <w:jc w:val="both"/>
              <w:rPr>
                <w:sz w:val="16"/>
                <w:szCs w:val="16"/>
              </w:rPr>
            </w:pPr>
            <w:r w:rsidRPr="00435A15">
              <w:rPr>
                <w:b/>
                <w:sz w:val="16"/>
                <w:szCs w:val="16"/>
              </w:rPr>
              <w:t>Indicator 3.5.3</w:t>
            </w:r>
            <w:r w:rsidR="00015F22">
              <w:rPr>
                <w:sz w:val="16"/>
                <w:szCs w:val="16"/>
              </w:rPr>
              <w:t>:</w:t>
            </w:r>
            <w:r>
              <w:rPr>
                <w:sz w:val="16"/>
                <w:szCs w:val="16"/>
              </w:rPr>
              <w:t xml:space="preserve"> Extent to which participation of local communities in decision – making on land management issues has increased </w:t>
            </w:r>
          </w:p>
          <w:p w14:paraId="7380639B" w14:textId="77777777" w:rsidR="00161F08" w:rsidRDefault="00161F08" w:rsidP="00161F08">
            <w:pPr>
              <w:pStyle w:val="Standard"/>
              <w:spacing w:line="180" w:lineRule="exact"/>
              <w:jc w:val="both"/>
              <w:rPr>
                <w:sz w:val="16"/>
                <w:szCs w:val="16"/>
              </w:rPr>
            </w:pPr>
            <w:r w:rsidRPr="00435A15">
              <w:rPr>
                <w:b/>
                <w:sz w:val="16"/>
                <w:szCs w:val="16"/>
              </w:rPr>
              <w:t>Baseline:</w:t>
            </w:r>
            <w:r>
              <w:rPr>
                <w:sz w:val="16"/>
                <w:szCs w:val="16"/>
              </w:rPr>
              <w:t xml:space="preserve"> 0 </w:t>
            </w:r>
          </w:p>
          <w:p w14:paraId="1F7A2B5E" w14:textId="77777777" w:rsidR="00161F08" w:rsidRDefault="00161F08" w:rsidP="00161F08">
            <w:pPr>
              <w:pStyle w:val="Standard"/>
              <w:spacing w:line="180" w:lineRule="exact"/>
              <w:jc w:val="both"/>
              <w:rPr>
                <w:sz w:val="16"/>
                <w:szCs w:val="16"/>
              </w:rPr>
            </w:pPr>
            <w:r w:rsidRPr="00435A15">
              <w:rPr>
                <w:b/>
                <w:sz w:val="16"/>
                <w:szCs w:val="16"/>
              </w:rPr>
              <w:lastRenderedPageBreak/>
              <w:t>Target:</w:t>
            </w:r>
            <w:r>
              <w:rPr>
                <w:sz w:val="16"/>
                <w:szCs w:val="16"/>
              </w:rPr>
              <w:t xml:space="preserve"> 2 </w:t>
            </w:r>
          </w:p>
          <w:p w14:paraId="2CDE8AF1" w14:textId="77777777" w:rsidR="00161F08" w:rsidRDefault="00161F08" w:rsidP="00161F08">
            <w:pPr>
              <w:pStyle w:val="Standard"/>
              <w:spacing w:line="180" w:lineRule="exact"/>
              <w:jc w:val="both"/>
              <w:rPr>
                <w:sz w:val="16"/>
                <w:szCs w:val="16"/>
              </w:rPr>
            </w:pPr>
          </w:p>
          <w:p w14:paraId="70851890" w14:textId="431DBBCB" w:rsidR="00161F08" w:rsidRPr="00161F08" w:rsidRDefault="00161F08" w:rsidP="00161F08">
            <w:pPr>
              <w:pStyle w:val="Standard"/>
              <w:spacing w:line="180" w:lineRule="exact"/>
              <w:jc w:val="both"/>
              <w:rPr>
                <w:spacing w:val="-2"/>
                <w:sz w:val="16"/>
                <w:szCs w:val="16"/>
              </w:rPr>
            </w:pPr>
            <w:r w:rsidRPr="00435A15">
              <w:rPr>
                <w:b/>
                <w:spacing w:val="-2"/>
                <w:sz w:val="16"/>
                <w:szCs w:val="16"/>
              </w:rPr>
              <w:t>Indicator 3.5.4</w:t>
            </w:r>
            <w:r w:rsidR="00015F22">
              <w:rPr>
                <w:spacing w:val="-2"/>
                <w:sz w:val="16"/>
                <w:szCs w:val="16"/>
              </w:rPr>
              <w:t>:</w:t>
            </w:r>
            <w:r w:rsidRPr="00161F08">
              <w:rPr>
                <w:spacing w:val="-2"/>
                <w:sz w:val="16"/>
                <w:szCs w:val="16"/>
              </w:rPr>
              <w:t xml:space="preserve"> Number of people with strengthened livelihoods from NRM </w:t>
            </w:r>
          </w:p>
          <w:p w14:paraId="3D0C446C" w14:textId="77777777" w:rsidR="00161F08" w:rsidRDefault="00161F08" w:rsidP="00161F08">
            <w:pPr>
              <w:pStyle w:val="Standard"/>
              <w:spacing w:line="180" w:lineRule="exact"/>
              <w:jc w:val="both"/>
              <w:rPr>
                <w:sz w:val="16"/>
                <w:szCs w:val="16"/>
              </w:rPr>
            </w:pPr>
            <w:r w:rsidRPr="00435A15">
              <w:rPr>
                <w:b/>
                <w:sz w:val="16"/>
                <w:szCs w:val="16"/>
              </w:rPr>
              <w:t>Baseline:</w:t>
            </w:r>
            <w:r>
              <w:rPr>
                <w:sz w:val="16"/>
                <w:szCs w:val="16"/>
              </w:rPr>
              <w:t xml:space="preserve"> 0</w:t>
            </w:r>
          </w:p>
          <w:p w14:paraId="1AA9C3AB" w14:textId="77777777" w:rsidR="00161F08" w:rsidRPr="009D7F06" w:rsidRDefault="00161F08" w:rsidP="00161F08">
            <w:pPr>
              <w:pStyle w:val="Standard"/>
              <w:spacing w:line="180" w:lineRule="exact"/>
              <w:jc w:val="both"/>
            </w:pPr>
            <w:r w:rsidRPr="00435A15">
              <w:rPr>
                <w:b/>
                <w:sz w:val="16"/>
                <w:szCs w:val="16"/>
              </w:rPr>
              <w:t>Target:</w:t>
            </w:r>
            <w:r>
              <w:rPr>
                <w:sz w:val="16"/>
                <w:szCs w:val="16"/>
              </w:rPr>
              <w:t xml:space="preserve"> 20</w:t>
            </w:r>
          </w:p>
        </w:tc>
        <w:tc>
          <w:tcPr>
            <w:tcW w:w="675" w:type="pct"/>
            <w:vMerge w:val="restart"/>
          </w:tcPr>
          <w:p w14:paraId="7DC44831" w14:textId="77777777" w:rsidR="00161F08" w:rsidRDefault="00161F08" w:rsidP="00161F08">
            <w:pPr>
              <w:pStyle w:val="Standard"/>
              <w:spacing w:line="180" w:lineRule="exact"/>
              <w:jc w:val="both"/>
            </w:pPr>
            <w:r>
              <w:rPr>
                <w:iCs/>
                <w:color w:val="000000"/>
                <w:sz w:val="16"/>
                <w:szCs w:val="16"/>
                <w:lang w:val="en-GB"/>
              </w:rPr>
              <w:lastRenderedPageBreak/>
              <w:t>Ministry of Ecology and Natural Resources</w:t>
            </w:r>
          </w:p>
          <w:p w14:paraId="6E126E2B" w14:textId="77777777" w:rsidR="00161F08" w:rsidRDefault="00161F08" w:rsidP="00161F08">
            <w:pPr>
              <w:pStyle w:val="Standard"/>
              <w:spacing w:line="180" w:lineRule="exact"/>
              <w:jc w:val="both"/>
              <w:rPr>
                <w:iCs/>
                <w:color w:val="000000"/>
                <w:sz w:val="16"/>
                <w:szCs w:val="16"/>
                <w:lang w:val="en-GB"/>
              </w:rPr>
            </w:pPr>
          </w:p>
          <w:p w14:paraId="541956E4" w14:textId="77777777" w:rsidR="00161F08" w:rsidRDefault="00161F08" w:rsidP="00161F08">
            <w:pPr>
              <w:pStyle w:val="Standard"/>
              <w:spacing w:line="180" w:lineRule="exact"/>
              <w:jc w:val="both"/>
            </w:pPr>
            <w:r>
              <w:rPr>
                <w:iCs/>
                <w:color w:val="000000"/>
                <w:sz w:val="16"/>
                <w:szCs w:val="16"/>
                <w:lang w:val="en-GB"/>
              </w:rPr>
              <w:t>Ministry of Agriculture</w:t>
            </w:r>
          </w:p>
          <w:p w14:paraId="6B2738A0" w14:textId="77777777" w:rsidR="00161F08" w:rsidRDefault="00161F08" w:rsidP="00161F08">
            <w:pPr>
              <w:pStyle w:val="Standard"/>
              <w:spacing w:line="180" w:lineRule="exact"/>
              <w:jc w:val="both"/>
              <w:rPr>
                <w:iCs/>
                <w:color w:val="000000"/>
                <w:sz w:val="16"/>
                <w:szCs w:val="16"/>
                <w:lang w:val="en-GB"/>
              </w:rPr>
            </w:pPr>
          </w:p>
          <w:p w14:paraId="5AB43D1F" w14:textId="77777777" w:rsidR="00161F08" w:rsidRDefault="00161F08" w:rsidP="00161F08">
            <w:pPr>
              <w:pStyle w:val="Standard"/>
              <w:spacing w:line="180" w:lineRule="exact"/>
              <w:jc w:val="both"/>
              <w:rPr>
                <w:iCs/>
                <w:color w:val="000000"/>
                <w:sz w:val="16"/>
                <w:szCs w:val="16"/>
                <w:lang w:val="en-GB"/>
              </w:rPr>
            </w:pPr>
          </w:p>
          <w:p w14:paraId="4F99B6C9" w14:textId="77777777" w:rsidR="00161F08" w:rsidRDefault="00161F08" w:rsidP="00435A15">
            <w:pPr>
              <w:pStyle w:val="Standard"/>
              <w:spacing w:line="180" w:lineRule="exact"/>
            </w:pPr>
            <w:r>
              <w:rPr>
                <w:iCs/>
                <w:color w:val="000000"/>
                <w:sz w:val="16"/>
                <w:szCs w:val="16"/>
                <w:lang w:val="en-GB"/>
              </w:rPr>
              <w:t>Ministry of Emergency Situations</w:t>
            </w:r>
          </w:p>
          <w:p w14:paraId="570625C5" w14:textId="77777777" w:rsidR="00161F08" w:rsidRDefault="00161F08" w:rsidP="00161F08">
            <w:pPr>
              <w:pStyle w:val="Standard"/>
              <w:spacing w:line="180" w:lineRule="exact"/>
              <w:jc w:val="both"/>
              <w:rPr>
                <w:iCs/>
                <w:color w:val="000000"/>
                <w:sz w:val="16"/>
                <w:szCs w:val="16"/>
                <w:lang w:val="en-GB"/>
              </w:rPr>
            </w:pPr>
          </w:p>
          <w:p w14:paraId="21E3CDDC" w14:textId="77777777" w:rsidR="00161F08" w:rsidRDefault="00161F08" w:rsidP="00161F08">
            <w:pPr>
              <w:pStyle w:val="Standard"/>
              <w:spacing w:line="180" w:lineRule="exact"/>
              <w:jc w:val="both"/>
            </w:pPr>
            <w:r>
              <w:rPr>
                <w:iCs/>
                <w:color w:val="000000"/>
                <w:sz w:val="16"/>
                <w:szCs w:val="16"/>
                <w:lang w:val="en-GB"/>
              </w:rPr>
              <w:t>Ministry of Transport</w:t>
            </w:r>
          </w:p>
          <w:p w14:paraId="3B5D3BDA" w14:textId="77777777" w:rsidR="00161F08" w:rsidRDefault="00161F08" w:rsidP="00161F08">
            <w:pPr>
              <w:pStyle w:val="Standard"/>
              <w:spacing w:line="180" w:lineRule="exact"/>
              <w:jc w:val="both"/>
              <w:rPr>
                <w:iCs/>
                <w:color w:val="000000"/>
                <w:sz w:val="16"/>
                <w:szCs w:val="16"/>
                <w:lang w:val="en-GB"/>
              </w:rPr>
            </w:pPr>
          </w:p>
          <w:p w14:paraId="11C93213" w14:textId="77777777" w:rsidR="0067025A" w:rsidRDefault="0067025A" w:rsidP="00161F08">
            <w:pPr>
              <w:pStyle w:val="Standard"/>
              <w:spacing w:line="180" w:lineRule="exact"/>
              <w:jc w:val="both"/>
              <w:rPr>
                <w:iCs/>
                <w:color w:val="000000"/>
                <w:sz w:val="16"/>
                <w:szCs w:val="16"/>
                <w:lang w:val="en-GB"/>
              </w:rPr>
            </w:pPr>
          </w:p>
          <w:p w14:paraId="6E92C4E9" w14:textId="77777777" w:rsidR="0067025A" w:rsidRDefault="0067025A" w:rsidP="00161F08">
            <w:pPr>
              <w:pStyle w:val="Standard"/>
              <w:spacing w:line="180" w:lineRule="exact"/>
              <w:jc w:val="both"/>
              <w:rPr>
                <w:iCs/>
                <w:color w:val="000000"/>
                <w:sz w:val="16"/>
                <w:szCs w:val="16"/>
                <w:lang w:val="en-GB"/>
              </w:rPr>
            </w:pPr>
            <w:r>
              <w:rPr>
                <w:iCs/>
                <w:color w:val="000000"/>
                <w:sz w:val="16"/>
                <w:szCs w:val="16"/>
                <w:lang w:val="en-GB"/>
              </w:rPr>
              <w:t>Ministry of Energy</w:t>
            </w:r>
          </w:p>
          <w:p w14:paraId="5E621498" w14:textId="77777777" w:rsidR="00F82627" w:rsidRDefault="00F82627" w:rsidP="00161F08">
            <w:pPr>
              <w:pStyle w:val="Standard"/>
              <w:spacing w:line="180" w:lineRule="exact"/>
              <w:jc w:val="both"/>
              <w:rPr>
                <w:iCs/>
                <w:color w:val="000000"/>
                <w:sz w:val="16"/>
                <w:szCs w:val="16"/>
                <w:lang w:val="en-GB"/>
              </w:rPr>
            </w:pPr>
          </w:p>
          <w:p w14:paraId="29643236" w14:textId="5960DC40" w:rsidR="00F82627" w:rsidRDefault="00F82627" w:rsidP="00435A15">
            <w:pPr>
              <w:pStyle w:val="Standard"/>
              <w:spacing w:line="180" w:lineRule="exact"/>
              <w:rPr>
                <w:iCs/>
                <w:color w:val="000000"/>
                <w:sz w:val="16"/>
                <w:szCs w:val="16"/>
                <w:lang w:val="en-GB"/>
              </w:rPr>
            </w:pPr>
            <w:r>
              <w:rPr>
                <w:iCs/>
                <w:color w:val="000000"/>
                <w:sz w:val="16"/>
                <w:szCs w:val="16"/>
                <w:lang w:val="en-GB"/>
              </w:rPr>
              <w:t>Ministry of Economy and Industry</w:t>
            </w:r>
          </w:p>
          <w:p w14:paraId="73EE7C2E" w14:textId="77777777" w:rsidR="00F82627" w:rsidRDefault="00F82627" w:rsidP="00435A15">
            <w:pPr>
              <w:pStyle w:val="Standard"/>
              <w:spacing w:line="180" w:lineRule="exact"/>
              <w:rPr>
                <w:iCs/>
                <w:color w:val="000000"/>
                <w:sz w:val="16"/>
                <w:szCs w:val="16"/>
                <w:lang w:val="en-GB"/>
              </w:rPr>
            </w:pPr>
          </w:p>
          <w:p w14:paraId="73BCFE75" w14:textId="6B47E270" w:rsidR="00F82627" w:rsidRDefault="00F82627" w:rsidP="00435A15">
            <w:pPr>
              <w:pStyle w:val="Standard"/>
              <w:spacing w:line="180" w:lineRule="exact"/>
              <w:rPr>
                <w:iCs/>
                <w:color w:val="000000"/>
                <w:sz w:val="16"/>
                <w:szCs w:val="16"/>
                <w:lang w:val="en-GB"/>
              </w:rPr>
            </w:pPr>
            <w:r>
              <w:rPr>
                <w:iCs/>
                <w:color w:val="000000"/>
                <w:sz w:val="16"/>
                <w:szCs w:val="16"/>
                <w:lang w:val="en-GB"/>
              </w:rPr>
              <w:t>State Agency for Alternative and Renewable Energy Sources</w:t>
            </w:r>
          </w:p>
          <w:p w14:paraId="00669AD4" w14:textId="77777777" w:rsidR="0067025A" w:rsidRDefault="0067025A" w:rsidP="00435A15">
            <w:pPr>
              <w:pStyle w:val="Standard"/>
              <w:spacing w:line="180" w:lineRule="exact"/>
              <w:rPr>
                <w:iCs/>
                <w:color w:val="000000"/>
                <w:sz w:val="16"/>
                <w:szCs w:val="16"/>
                <w:lang w:val="en-GB"/>
              </w:rPr>
            </w:pPr>
          </w:p>
          <w:p w14:paraId="02CDE640" w14:textId="77777777" w:rsidR="00161F08" w:rsidRDefault="00161F08" w:rsidP="00435A15">
            <w:pPr>
              <w:pStyle w:val="Standard"/>
              <w:spacing w:line="180" w:lineRule="exact"/>
              <w:rPr>
                <w:iCs/>
                <w:color w:val="000000"/>
                <w:sz w:val="16"/>
                <w:szCs w:val="16"/>
                <w:lang w:val="en-GB"/>
              </w:rPr>
            </w:pPr>
            <w:r>
              <w:rPr>
                <w:iCs/>
                <w:color w:val="000000"/>
                <w:sz w:val="16"/>
                <w:szCs w:val="16"/>
                <w:lang w:val="en-GB"/>
              </w:rPr>
              <w:t xml:space="preserve">Baku International Sea Trade Port </w:t>
            </w:r>
          </w:p>
          <w:p w14:paraId="3006E6BD" w14:textId="77777777" w:rsidR="00161F08" w:rsidRDefault="00161F08" w:rsidP="00435A15">
            <w:pPr>
              <w:pStyle w:val="Standard"/>
              <w:spacing w:line="180" w:lineRule="exact"/>
              <w:rPr>
                <w:iCs/>
                <w:color w:val="000000"/>
                <w:sz w:val="16"/>
                <w:szCs w:val="16"/>
                <w:lang w:val="en-GB"/>
              </w:rPr>
            </w:pPr>
          </w:p>
          <w:p w14:paraId="13CEB110" w14:textId="77777777" w:rsidR="00161F08" w:rsidRDefault="00161F08" w:rsidP="00435A15">
            <w:pPr>
              <w:pStyle w:val="Standard"/>
              <w:spacing w:line="180" w:lineRule="exact"/>
            </w:pPr>
            <w:r>
              <w:rPr>
                <w:iCs/>
                <w:color w:val="000000"/>
                <w:sz w:val="16"/>
                <w:szCs w:val="16"/>
                <w:lang w:val="en-GB"/>
              </w:rPr>
              <w:t>State Maritime Administration</w:t>
            </w:r>
          </w:p>
          <w:p w14:paraId="7B6B7977" w14:textId="77777777" w:rsidR="00161F08" w:rsidRDefault="00161F08" w:rsidP="00435A15">
            <w:pPr>
              <w:pStyle w:val="Standard"/>
              <w:spacing w:line="180" w:lineRule="exact"/>
              <w:rPr>
                <w:iCs/>
                <w:color w:val="000000"/>
                <w:sz w:val="16"/>
                <w:szCs w:val="16"/>
                <w:lang w:val="en-GB"/>
              </w:rPr>
            </w:pPr>
          </w:p>
          <w:p w14:paraId="651FD572" w14:textId="77777777" w:rsidR="00161F08" w:rsidRDefault="00161F08" w:rsidP="00435A15">
            <w:pPr>
              <w:pStyle w:val="Standard"/>
              <w:spacing w:line="180" w:lineRule="exact"/>
            </w:pPr>
            <w:r>
              <w:rPr>
                <w:iCs/>
                <w:color w:val="000000"/>
                <w:sz w:val="16"/>
                <w:szCs w:val="16"/>
                <w:lang w:val="en-GB"/>
              </w:rPr>
              <w:t>State Oil Company of the Republic of Azerbaijan</w:t>
            </w:r>
          </w:p>
          <w:p w14:paraId="114C6323" w14:textId="77777777" w:rsidR="00161F08" w:rsidRDefault="00161F08" w:rsidP="00435A15">
            <w:pPr>
              <w:pStyle w:val="Standard"/>
              <w:spacing w:line="180" w:lineRule="exact"/>
              <w:rPr>
                <w:iCs/>
                <w:color w:val="000000"/>
                <w:sz w:val="16"/>
                <w:szCs w:val="16"/>
                <w:lang w:val="en-GB"/>
              </w:rPr>
            </w:pPr>
          </w:p>
          <w:p w14:paraId="3A83FEB2" w14:textId="77777777" w:rsidR="00161F08" w:rsidRDefault="00161F08" w:rsidP="00435A15">
            <w:pPr>
              <w:pStyle w:val="Standard"/>
              <w:spacing w:line="180" w:lineRule="exact"/>
            </w:pPr>
            <w:r>
              <w:rPr>
                <w:iCs/>
                <w:color w:val="000000"/>
                <w:sz w:val="16"/>
                <w:szCs w:val="16"/>
                <w:lang w:val="en-GB"/>
              </w:rPr>
              <w:t>GIZ</w:t>
            </w:r>
          </w:p>
          <w:p w14:paraId="74CEC95A" w14:textId="77777777" w:rsidR="00161F08" w:rsidRDefault="00161F08" w:rsidP="00435A15">
            <w:pPr>
              <w:pStyle w:val="Standard"/>
              <w:spacing w:line="180" w:lineRule="exact"/>
              <w:rPr>
                <w:iCs/>
                <w:color w:val="000000"/>
                <w:sz w:val="16"/>
                <w:szCs w:val="16"/>
                <w:lang w:val="en-GB"/>
              </w:rPr>
            </w:pPr>
          </w:p>
          <w:p w14:paraId="3C0F87F8" w14:textId="77777777" w:rsidR="00161F08" w:rsidRDefault="00161F08" w:rsidP="00435A15">
            <w:pPr>
              <w:pStyle w:val="Standard"/>
              <w:spacing w:line="180" w:lineRule="exact"/>
            </w:pPr>
            <w:r>
              <w:rPr>
                <w:iCs/>
                <w:color w:val="000000"/>
                <w:sz w:val="16"/>
                <w:szCs w:val="16"/>
                <w:lang w:val="en-GB"/>
              </w:rPr>
              <w:t>Global Environment Facility</w:t>
            </w:r>
          </w:p>
          <w:p w14:paraId="3ADFFBC0" w14:textId="77777777" w:rsidR="00161F08" w:rsidRDefault="00161F08" w:rsidP="00435A15">
            <w:pPr>
              <w:pStyle w:val="Standard"/>
              <w:spacing w:line="180" w:lineRule="exact"/>
              <w:rPr>
                <w:iCs/>
                <w:color w:val="000000"/>
                <w:sz w:val="16"/>
                <w:szCs w:val="16"/>
                <w:lang w:val="en-GB"/>
              </w:rPr>
            </w:pPr>
          </w:p>
          <w:p w14:paraId="3DC9D99B" w14:textId="77777777" w:rsidR="00161F08" w:rsidRDefault="00161F08" w:rsidP="00435A15">
            <w:pPr>
              <w:pStyle w:val="Standard"/>
              <w:spacing w:line="180" w:lineRule="exact"/>
            </w:pPr>
            <w:r>
              <w:rPr>
                <w:iCs/>
                <w:color w:val="000000"/>
                <w:sz w:val="16"/>
                <w:szCs w:val="16"/>
                <w:lang w:val="en-GB"/>
              </w:rPr>
              <w:t>Special Climate Change Fund</w:t>
            </w:r>
          </w:p>
          <w:p w14:paraId="03ADD585" w14:textId="77777777" w:rsidR="00161F08" w:rsidRDefault="00161F08" w:rsidP="00435A15">
            <w:pPr>
              <w:pStyle w:val="Standard"/>
              <w:spacing w:line="180" w:lineRule="exact"/>
              <w:rPr>
                <w:iCs/>
                <w:color w:val="000000"/>
                <w:sz w:val="16"/>
                <w:szCs w:val="16"/>
                <w:lang w:val="en-GB"/>
              </w:rPr>
            </w:pPr>
          </w:p>
          <w:p w14:paraId="020447A3" w14:textId="77777777" w:rsidR="00F82627" w:rsidRDefault="00F82627" w:rsidP="00435A15">
            <w:pPr>
              <w:pStyle w:val="Standard"/>
              <w:spacing w:line="180" w:lineRule="exact"/>
              <w:rPr>
                <w:iCs/>
                <w:color w:val="000000"/>
                <w:sz w:val="16"/>
                <w:szCs w:val="16"/>
                <w:lang w:val="en-GB"/>
              </w:rPr>
            </w:pPr>
            <w:r>
              <w:rPr>
                <w:iCs/>
                <w:color w:val="000000"/>
                <w:sz w:val="16"/>
                <w:szCs w:val="16"/>
                <w:lang w:val="en-GB"/>
              </w:rPr>
              <w:t>Green Climate Fund</w:t>
            </w:r>
          </w:p>
          <w:p w14:paraId="793CE911" w14:textId="77777777" w:rsidR="00F82627" w:rsidRDefault="00F82627" w:rsidP="00435A15">
            <w:pPr>
              <w:pStyle w:val="Standard"/>
              <w:spacing w:line="180" w:lineRule="exact"/>
              <w:rPr>
                <w:iCs/>
                <w:color w:val="000000"/>
                <w:sz w:val="16"/>
                <w:szCs w:val="16"/>
                <w:lang w:val="en-GB"/>
              </w:rPr>
            </w:pPr>
          </w:p>
          <w:p w14:paraId="3B19E4AD" w14:textId="6B669F41" w:rsidR="00F82627" w:rsidRDefault="00F82627" w:rsidP="00435A15">
            <w:pPr>
              <w:pStyle w:val="Standard"/>
              <w:spacing w:line="180" w:lineRule="exact"/>
              <w:rPr>
                <w:iCs/>
                <w:color w:val="000000"/>
                <w:sz w:val="16"/>
                <w:szCs w:val="16"/>
                <w:lang w:val="en-GB"/>
              </w:rPr>
            </w:pPr>
            <w:r>
              <w:rPr>
                <w:iCs/>
                <w:color w:val="000000"/>
                <w:sz w:val="16"/>
                <w:szCs w:val="16"/>
                <w:lang w:val="en-GB"/>
              </w:rPr>
              <w:t>Adaptation Fund</w:t>
            </w:r>
          </w:p>
          <w:p w14:paraId="5AF87BB8" w14:textId="77777777" w:rsidR="00F82627" w:rsidRDefault="00F82627" w:rsidP="00435A15">
            <w:pPr>
              <w:pStyle w:val="Standard"/>
              <w:spacing w:line="180" w:lineRule="exact"/>
              <w:rPr>
                <w:iCs/>
                <w:color w:val="000000"/>
                <w:sz w:val="16"/>
                <w:szCs w:val="16"/>
                <w:lang w:val="en-GB"/>
              </w:rPr>
            </w:pPr>
          </w:p>
          <w:p w14:paraId="3EE50A5C" w14:textId="77777777" w:rsidR="00161F08" w:rsidRDefault="00161F08" w:rsidP="00435A15">
            <w:pPr>
              <w:pStyle w:val="Standard"/>
              <w:spacing w:line="180" w:lineRule="exact"/>
            </w:pPr>
            <w:r>
              <w:rPr>
                <w:iCs/>
                <w:color w:val="000000"/>
                <w:sz w:val="16"/>
                <w:szCs w:val="16"/>
                <w:lang w:val="en-GB"/>
              </w:rPr>
              <w:t>Local executive authorities</w:t>
            </w:r>
          </w:p>
          <w:p w14:paraId="73CB4A5A" w14:textId="77777777" w:rsidR="00161F08" w:rsidRDefault="00161F08" w:rsidP="00435A15">
            <w:pPr>
              <w:pStyle w:val="Standard"/>
              <w:spacing w:line="180" w:lineRule="exact"/>
              <w:rPr>
                <w:iCs/>
                <w:color w:val="000000"/>
                <w:sz w:val="16"/>
                <w:szCs w:val="16"/>
                <w:lang w:val="en-GB"/>
              </w:rPr>
            </w:pPr>
          </w:p>
          <w:p w14:paraId="58F06437" w14:textId="77777777" w:rsidR="00161F08" w:rsidRDefault="00161F08" w:rsidP="00435A15">
            <w:pPr>
              <w:pStyle w:val="Standard"/>
              <w:spacing w:line="180" w:lineRule="exact"/>
            </w:pPr>
            <w:r>
              <w:rPr>
                <w:iCs/>
                <w:color w:val="000000"/>
                <w:sz w:val="16"/>
                <w:szCs w:val="16"/>
                <w:lang w:val="en-GB"/>
              </w:rPr>
              <w:t>Water Users’ Associations</w:t>
            </w:r>
          </w:p>
          <w:p w14:paraId="19418632" w14:textId="77777777" w:rsidR="00161F08" w:rsidRDefault="00161F08" w:rsidP="00435A15">
            <w:pPr>
              <w:pStyle w:val="Standard"/>
              <w:spacing w:line="180" w:lineRule="exact"/>
              <w:rPr>
                <w:iCs/>
                <w:color w:val="000000"/>
                <w:sz w:val="16"/>
                <w:szCs w:val="16"/>
                <w:lang w:val="en-GB"/>
              </w:rPr>
            </w:pPr>
          </w:p>
          <w:p w14:paraId="01C5FB71" w14:textId="77777777" w:rsidR="00161F08" w:rsidRDefault="00161F08" w:rsidP="00435A15">
            <w:pPr>
              <w:pStyle w:val="Standard"/>
              <w:spacing w:line="180" w:lineRule="exact"/>
            </w:pPr>
            <w:r>
              <w:rPr>
                <w:iCs/>
                <w:color w:val="000000"/>
                <w:sz w:val="16"/>
                <w:szCs w:val="16"/>
                <w:lang w:val="en-GB"/>
              </w:rPr>
              <w:t>Farmers’ associations</w:t>
            </w:r>
          </w:p>
          <w:p w14:paraId="234BD846" w14:textId="77777777" w:rsidR="00161F08" w:rsidRPr="003C26C1" w:rsidRDefault="00161F08" w:rsidP="00161F08">
            <w:pPr>
              <w:spacing w:line="180" w:lineRule="exact"/>
              <w:rPr>
                <w:i/>
                <w:iCs/>
                <w:color w:val="000000"/>
                <w:sz w:val="16"/>
                <w:szCs w:val="16"/>
              </w:rPr>
            </w:pPr>
          </w:p>
        </w:tc>
        <w:tc>
          <w:tcPr>
            <w:tcW w:w="958" w:type="pct"/>
            <w:tcMar>
              <w:top w:w="15" w:type="dxa"/>
              <w:left w:w="108" w:type="dxa"/>
              <w:bottom w:w="0" w:type="dxa"/>
              <w:right w:w="108" w:type="dxa"/>
            </w:tcMar>
          </w:tcPr>
          <w:p w14:paraId="2FB4AE14" w14:textId="77777777" w:rsidR="00161F08" w:rsidRPr="003C26C1" w:rsidRDefault="00161F08" w:rsidP="00161F08">
            <w:pPr>
              <w:spacing w:line="180" w:lineRule="exact"/>
              <w:rPr>
                <w:b/>
                <w:color w:val="000000"/>
                <w:sz w:val="16"/>
                <w:szCs w:val="16"/>
              </w:rPr>
            </w:pPr>
            <w:r w:rsidRPr="003C26C1">
              <w:rPr>
                <w:b/>
                <w:color w:val="000000"/>
                <w:sz w:val="16"/>
                <w:szCs w:val="16"/>
              </w:rPr>
              <w:lastRenderedPageBreak/>
              <w:t>Regular</w:t>
            </w:r>
            <w:r>
              <w:rPr>
                <w:b/>
                <w:color w:val="000000"/>
                <w:sz w:val="16"/>
                <w:szCs w:val="16"/>
              </w:rPr>
              <w:t>: 500,000</w:t>
            </w:r>
          </w:p>
        </w:tc>
      </w:tr>
      <w:tr w:rsidR="00161F08" w:rsidRPr="003C26C1" w14:paraId="373C3EC5" w14:textId="77777777" w:rsidTr="00161F08">
        <w:tc>
          <w:tcPr>
            <w:tcW w:w="1097" w:type="pct"/>
            <w:vMerge/>
            <w:tcMar>
              <w:top w:w="72" w:type="dxa"/>
              <w:left w:w="144" w:type="dxa"/>
              <w:bottom w:w="72" w:type="dxa"/>
              <w:right w:w="144" w:type="dxa"/>
            </w:tcMar>
          </w:tcPr>
          <w:p w14:paraId="74E575C8" w14:textId="30C61B81" w:rsidR="00161F08" w:rsidRPr="003C26C1" w:rsidRDefault="00161F08" w:rsidP="00161F08">
            <w:pPr>
              <w:spacing w:line="180" w:lineRule="exact"/>
              <w:rPr>
                <w:i/>
                <w:iCs/>
                <w:color w:val="000000"/>
                <w:sz w:val="16"/>
                <w:szCs w:val="16"/>
              </w:rPr>
            </w:pPr>
          </w:p>
        </w:tc>
        <w:tc>
          <w:tcPr>
            <w:tcW w:w="1178" w:type="pct"/>
            <w:vMerge/>
          </w:tcPr>
          <w:p w14:paraId="21E4628F" w14:textId="77777777" w:rsidR="00161F08" w:rsidRPr="003C26C1" w:rsidRDefault="00161F08" w:rsidP="00161F08">
            <w:pPr>
              <w:spacing w:line="180" w:lineRule="exact"/>
              <w:rPr>
                <w:i/>
                <w:iCs/>
                <w:color w:val="000000"/>
                <w:sz w:val="16"/>
                <w:szCs w:val="16"/>
              </w:rPr>
            </w:pPr>
          </w:p>
        </w:tc>
        <w:tc>
          <w:tcPr>
            <w:tcW w:w="1092" w:type="pct"/>
            <w:vMerge/>
            <w:tcMar>
              <w:top w:w="72" w:type="dxa"/>
              <w:left w:w="144" w:type="dxa"/>
              <w:bottom w:w="72" w:type="dxa"/>
              <w:right w:w="144" w:type="dxa"/>
            </w:tcMar>
          </w:tcPr>
          <w:p w14:paraId="51A5C6D0" w14:textId="77777777" w:rsidR="00161F08" w:rsidRPr="003C26C1" w:rsidRDefault="00161F08" w:rsidP="00161F08">
            <w:pPr>
              <w:spacing w:line="180" w:lineRule="exact"/>
              <w:rPr>
                <w:i/>
                <w:iCs/>
                <w:color w:val="000000"/>
                <w:sz w:val="16"/>
                <w:szCs w:val="16"/>
              </w:rPr>
            </w:pPr>
          </w:p>
        </w:tc>
        <w:tc>
          <w:tcPr>
            <w:tcW w:w="675" w:type="pct"/>
            <w:vMerge/>
          </w:tcPr>
          <w:p w14:paraId="5FC9029C" w14:textId="77777777" w:rsidR="00161F08" w:rsidRPr="003C26C1" w:rsidRDefault="00161F08" w:rsidP="00161F08">
            <w:pPr>
              <w:spacing w:line="180" w:lineRule="exact"/>
              <w:rPr>
                <w:i/>
                <w:iCs/>
                <w:color w:val="000000"/>
                <w:sz w:val="16"/>
                <w:szCs w:val="16"/>
              </w:rPr>
            </w:pPr>
          </w:p>
        </w:tc>
        <w:tc>
          <w:tcPr>
            <w:tcW w:w="958" w:type="pct"/>
            <w:tcMar>
              <w:top w:w="15" w:type="dxa"/>
              <w:left w:w="108" w:type="dxa"/>
              <w:bottom w:w="0" w:type="dxa"/>
              <w:right w:w="108" w:type="dxa"/>
            </w:tcMar>
          </w:tcPr>
          <w:p w14:paraId="3D760DD6" w14:textId="77777777" w:rsidR="00161F08" w:rsidRDefault="00161F08" w:rsidP="00161F08">
            <w:pPr>
              <w:spacing w:line="180" w:lineRule="exact"/>
              <w:rPr>
                <w:b/>
                <w:i/>
                <w:color w:val="000000"/>
                <w:sz w:val="16"/>
                <w:szCs w:val="16"/>
              </w:rPr>
            </w:pPr>
            <w:r w:rsidRPr="003C26C1">
              <w:rPr>
                <w:b/>
                <w:color w:val="000000"/>
                <w:sz w:val="16"/>
                <w:szCs w:val="16"/>
              </w:rPr>
              <w:t>Other</w:t>
            </w:r>
            <w:r>
              <w:rPr>
                <w:b/>
                <w:color w:val="000000"/>
                <w:sz w:val="16"/>
                <w:szCs w:val="16"/>
              </w:rPr>
              <w:t xml:space="preserve">: 14,500,000 </w:t>
            </w:r>
          </w:p>
          <w:p w14:paraId="42AB0DC6" w14:textId="63F3102A" w:rsidR="00161F08" w:rsidRPr="00770D83" w:rsidRDefault="00161F08" w:rsidP="00161F08">
            <w:pPr>
              <w:spacing w:line="180" w:lineRule="exact"/>
              <w:rPr>
                <w:b/>
                <w:color w:val="000000"/>
                <w:sz w:val="16"/>
                <w:szCs w:val="16"/>
              </w:rPr>
            </w:pPr>
          </w:p>
        </w:tc>
      </w:tr>
    </w:tbl>
    <w:p w14:paraId="1D40DD3E" w14:textId="77777777" w:rsidR="00250693" w:rsidRDefault="00250693" w:rsidP="00797A72">
      <w:pPr>
        <w:pStyle w:val="SingleTxt"/>
        <w:rPr>
          <w:lang w:val="es-ES"/>
        </w:rPr>
      </w:pPr>
    </w:p>
    <w:p w14:paraId="5C74468C" w14:textId="77777777" w:rsidR="00250693" w:rsidRDefault="00250693" w:rsidP="00797A72">
      <w:pPr>
        <w:pStyle w:val="SingleTxt"/>
        <w:rPr>
          <w:lang w:val="es-ES"/>
        </w:rPr>
        <w:sectPr w:rsidR="00250693" w:rsidSect="00250693">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20"/>
          <w:noEndnote/>
          <w:bidi/>
          <w:rtlGutter/>
          <w:docGrid w:linePitch="278"/>
        </w:sectPr>
      </w:pPr>
    </w:p>
    <w:p w14:paraId="73C35D72" w14:textId="77777777" w:rsidR="00250693" w:rsidRPr="00161F08" w:rsidRDefault="00250693" w:rsidP="00161F08">
      <w:pPr>
        <w:suppressAutoHyphens w:val="0"/>
        <w:spacing w:line="240" w:lineRule="auto"/>
        <w:rPr>
          <w:sz w:val="2"/>
          <w:lang w:val="es-ES"/>
        </w:rPr>
      </w:pPr>
    </w:p>
    <w:sectPr w:rsidR="00250693" w:rsidRPr="00161F08" w:rsidSect="009659BF">
      <w:headerReference w:type="even" r:id="rId18"/>
      <w:headerReference w:type="default" r:id="rId19"/>
      <w:footerReference w:type="even" r:id="rId20"/>
      <w:footerReference w:type="default" r:id="rId21"/>
      <w:endnotePr>
        <w:numFmt w:val="decimal"/>
      </w:endnotePr>
      <w:type w:val="continuous"/>
      <w:pgSz w:w="15840" w:h="12240" w:orient="landscape" w:code="1"/>
      <w:pgMar w:top="1200" w:right="1742" w:bottom="1200" w:left="1898"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D49B" w14:textId="77777777" w:rsidR="006F5108" w:rsidRDefault="006F5108">
      <w:r>
        <w:separator/>
      </w:r>
    </w:p>
  </w:endnote>
  <w:endnote w:type="continuationSeparator" w:id="0">
    <w:p w14:paraId="2A9BB39B" w14:textId="77777777" w:rsidR="006F5108" w:rsidRDefault="006F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435A15" w14:paraId="73A4A427" w14:textId="77777777" w:rsidTr="0019448E">
      <w:tc>
        <w:tcPr>
          <w:tcW w:w="5028" w:type="dxa"/>
          <w:shd w:val="clear" w:color="auto" w:fill="auto"/>
        </w:tcPr>
        <w:p w14:paraId="5A71AE3C" w14:textId="78509CA1" w:rsidR="00435A15" w:rsidRPr="0019448E" w:rsidRDefault="00435A15" w:rsidP="0019448E">
          <w:pPr>
            <w:pStyle w:val="Footer"/>
            <w:jc w:val="right"/>
            <w:rPr>
              <w:b w:val="0"/>
              <w:w w:val="103"/>
              <w:sz w:val="14"/>
            </w:rPr>
          </w:pPr>
        </w:p>
      </w:tc>
      <w:tc>
        <w:tcPr>
          <w:tcW w:w="5028" w:type="dxa"/>
          <w:shd w:val="clear" w:color="auto" w:fill="auto"/>
        </w:tcPr>
        <w:p w14:paraId="563613DB" w14:textId="77777777" w:rsidR="00435A15" w:rsidRPr="0019448E" w:rsidRDefault="00435A15" w:rsidP="0019448E">
          <w:pPr>
            <w:pStyle w:val="Footer"/>
            <w:rPr>
              <w:w w:val="103"/>
            </w:rPr>
          </w:pPr>
          <w:r>
            <w:rPr>
              <w:w w:val="103"/>
            </w:rPr>
            <w:fldChar w:fldCharType="begin"/>
          </w:r>
          <w:r>
            <w:rPr>
              <w:w w:val="103"/>
            </w:rPr>
            <w:instrText xml:space="preserve"> PAGE  \* Arabic  \* MERGEFORMAT </w:instrText>
          </w:r>
          <w:r>
            <w:rPr>
              <w:w w:val="103"/>
            </w:rPr>
            <w:fldChar w:fldCharType="separate"/>
          </w:r>
          <w:r w:rsidR="00174769">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4769">
            <w:rPr>
              <w:w w:val="103"/>
            </w:rPr>
            <w:t>14</w:t>
          </w:r>
          <w:r>
            <w:rPr>
              <w:w w:val="103"/>
            </w:rPr>
            <w:fldChar w:fldCharType="end"/>
          </w:r>
        </w:p>
      </w:tc>
    </w:tr>
  </w:tbl>
  <w:p w14:paraId="0E3A6614" w14:textId="77777777" w:rsidR="00435A15" w:rsidRPr="0019448E" w:rsidRDefault="00435A15" w:rsidP="00194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435A15" w14:paraId="398C6635" w14:textId="77777777" w:rsidTr="0019448E">
      <w:tc>
        <w:tcPr>
          <w:tcW w:w="5028" w:type="dxa"/>
          <w:shd w:val="clear" w:color="auto" w:fill="auto"/>
        </w:tcPr>
        <w:p w14:paraId="2A7EE785" w14:textId="77777777" w:rsidR="00435A15" w:rsidRPr="0019448E" w:rsidRDefault="00435A15" w:rsidP="0019448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74769">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4769">
            <w:rPr>
              <w:w w:val="103"/>
            </w:rPr>
            <w:t>14</w:t>
          </w:r>
          <w:r>
            <w:rPr>
              <w:w w:val="103"/>
            </w:rPr>
            <w:fldChar w:fldCharType="end"/>
          </w:r>
        </w:p>
      </w:tc>
      <w:tc>
        <w:tcPr>
          <w:tcW w:w="5028" w:type="dxa"/>
          <w:shd w:val="clear" w:color="auto" w:fill="auto"/>
        </w:tcPr>
        <w:p w14:paraId="6184AA76" w14:textId="4795B863" w:rsidR="00435A15" w:rsidRPr="0019448E" w:rsidRDefault="00435A15" w:rsidP="00001131">
          <w:pPr>
            <w:pStyle w:val="Footer"/>
            <w:rPr>
              <w:b w:val="0"/>
              <w:w w:val="103"/>
              <w:sz w:val="14"/>
            </w:rPr>
          </w:pPr>
        </w:p>
      </w:tc>
    </w:tr>
  </w:tbl>
  <w:p w14:paraId="5A39C3F6" w14:textId="77777777" w:rsidR="00435A15" w:rsidRPr="0019448E" w:rsidRDefault="00435A15" w:rsidP="00194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3491" w14:textId="77777777" w:rsidR="00435A15" w:rsidRPr="0019448E" w:rsidRDefault="00435A15" w:rsidP="0019448E">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35A15" w:rsidRPr="00250693" w14:paraId="26F46146" w14:textId="77777777" w:rsidTr="00250693">
      <w:trPr>
        <w:cantSplit/>
        <w:trHeight w:val="4925"/>
      </w:trPr>
      <w:tc>
        <w:tcPr>
          <w:tcW w:w="12413" w:type="dxa"/>
          <w:shd w:val="clear" w:color="auto" w:fill="auto"/>
          <w:textDirection w:val="tbRl"/>
        </w:tcPr>
        <w:p w14:paraId="5B3BFA0B" w14:textId="77777777" w:rsidR="00435A15" w:rsidRPr="00250693" w:rsidRDefault="00435A15" w:rsidP="00250693">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174769">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4769">
            <w:rPr>
              <w:w w:val="103"/>
            </w:rPr>
            <w:t>14</w:t>
          </w:r>
          <w:r>
            <w:rPr>
              <w:w w:val="103"/>
            </w:rPr>
            <w:fldChar w:fldCharType="end"/>
          </w:r>
        </w:p>
      </w:tc>
    </w:tr>
    <w:tr w:rsidR="00435A15" w:rsidRPr="00250693" w14:paraId="45670160" w14:textId="77777777" w:rsidTr="00250693">
      <w:trPr>
        <w:cantSplit/>
        <w:trHeight w:val="4925"/>
      </w:trPr>
      <w:tc>
        <w:tcPr>
          <w:tcW w:w="12413" w:type="dxa"/>
          <w:shd w:val="clear" w:color="auto" w:fill="auto"/>
          <w:textDirection w:val="tbRl"/>
        </w:tcPr>
        <w:p w14:paraId="084475C7" w14:textId="2758F728" w:rsidR="00435A15" w:rsidRPr="00250693" w:rsidRDefault="00435A15" w:rsidP="00275784">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9</w:t>
          </w:r>
          <w:r>
            <w:rPr>
              <w:b w:val="0"/>
              <w:w w:val="103"/>
              <w:sz w:val="14"/>
            </w:rPr>
            <w:fldChar w:fldCharType="end"/>
          </w:r>
        </w:p>
      </w:tc>
    </w:tr>
  </w:tbl>
  <w:p w14:paraId="1BAC8E8D" w14:textId="77777777" w:rsidR="00435A15" w:rsidRPr="00250693" w:rsidRDefault="00435A15" w:rsidP="002506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35A15" w:rsidRPr="00250693" w14:paraId="130D85F7" w14:textId="77777777" w:rsidTr="00250693">
      <w:trPr>
        <w:cantSplit/>
        <w:trHeight w:val="4925"/>
      </w:trPr>
      <w:tc>
        <w:tcPr>
          <w:tcW w:w="12413" w:type="dxa"/>
          <w:shd w:val="clear" w:color="auto" w:fill="auto"/>
          <w:textDirection w:val="tbRl"/>
        </w:tcPr>
        <w:p w14:paraId="1162B6DA" w14:textId="1B0E8E6D" w:rsidR="00435A15" w:rsidRPr="00250693" w:rsidRDefault="00435A15" w:rsidP="00275784">
          <w:pPr>
            <w:pStyle w:val="Footer"/>
            <w:spacing w:line="240" w:lineRule="auto"/>
            <w:rPr>
              <w:b w:val="0"/>
              <w:w w:val="103"/>
              <w:sz w:val="14"/>
            </w:rPr>
          </w:pPr>
        </w:p>
      </w:tc>
    </w:tr>
    <w:tr w:rsidR="00435A15" w:rsidRPr="00250693" w14:paraId="0AE5B65E" w14:textId="77777777" w:rsidTr="00250693">
      <w:trPr>
        <w:cantSplit/>
        <w:trHeight w:val="4925"/>
      </w:trPr>
      <w:tc>
        <w:tcPr>
          <w:tcW w:w="12413" w:type="dxa"/>
          <w:shd w:val="clear" w:color="auto" w:fill="auto"/>
          <w:textDirection w:val="tbRl"/>
        </w:tcPr>
        <w:p w14:paraId="08D91420" w14:textId="77777777" w:rsidR="00435A15" w:rsidRPr="00250693" w:rsidRDefault="00435A15" w:rsidP="00250693">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174769">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74769">
            <w:rPr>
              <w:w w:val="103"/>
            </w:rPr>
            <w:t>14</w:t>
          </w:r>
          <w:r>
            <w:rPr>
              <w:w w:val="103"/>
            </w:rPr>
            <w:fldChar w:fldCharType="end"/>
          </w:r>
        </w:p>
      </w:tc>
    </w:tr>
  </w:tbl>
  <w:p w14:paraId="2991E41B" w14:textId="77777777" w:rsidR="00435A15" w:rsidRPr="00250693" w:rsidRDefault="00435A15" w:rsidP="002506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435A15" w14:paraId="07281B16" w14:textId="77777777" w:rsidTr="0019448E">
      <w:tc>
        <w:tcPr>
          <w:tcW w:w="5028" w:type="dxa"/>
          <w:shd w:val="clear" w:color="auto" w:fill="auto"/>
        </w:tcPr>
        <w:p w14:paraId="145CA084" w14:textId="3D48E821" w:rsidR="00435A15" w:rsidRPr="0019448E" w:rsidRDefault="00435A15" w:rsidP="00275784">
          <w:pPr>
            <w:pStyle w:val="Footer"/>
            <w:jc w:val="right"/>
            <w:rPr>
              <w:b w:val="0"/>
              <w:w w:val="103"/>
              <w:sz w:val="14"/>
            </w:rPr>
          </w:pPr>
        </w:p>
      </w:tc>
      <w:tc>
        <w:tcPr>
          <w:tcW w:w="5028" w:type="dxa"/>
          <w:shd w:val="clear" w:color="auto" w:fill="auto"/>
        </w:tcPr>
        <w:p w14:paraId="40869C54" w14:textId="77777777" w:rsidR="00435A15" w:rsidRPr="0019448E" w:rsidRDefault="00435A15" w:rsidP="0019448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16</w:t>
          </w:r>
          <w:r>
            <w:rPr>
              <w:w w:val="103"/>
            </w:rPr>
            <w:fldChar w:fldCharType="end"/>
          </w:r>
        </w:p>
      </w:tc>
    </w:tr>
  </w:tbl>
  <w:p w14:paraId="28A3C2EE" w14:textId="77777777" w:rsidR="00435A15" w:rsidRPr="0019448E" w:rsidRDefault="00435A15" w:rsidP="001944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435A15" w14:paraId="046097D8" w14:textId="77777777" w:rsidTr="0019448E">
      <w:tc>
        <w:tcPr>
          <w:tcW w:w="5028" w:type="dxa"/>
          <w:shd w:val="clear" w:color="auto" w:fill="auto"/>
        </w:tcPr>
        <w:p w14:paraId="3B0C8DEE" w14:textId="77777777" w:rsidR="00435A15" w:rsidRPr="0019448E" w:rsidRDefault="00435A15" w:rsidP="0019448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15</w:t>
          </w:r>
          <w:r>
            <w:rPr>
              <w:w w:val="103"/>
            </w:rPr>
            <w:fldChar w:fldCharType="end"/>
          </w:r>
        </w:p>
      </w:tc>
      <w:tc>
        <w:tcPr>
          <w:tcW w:w="5028" w:type="dxa"/>
          <w:shd w:val="clear" w:color="auto" w:fill="auto"/>
        </w:tcPr>
        <w:p w14:paraId="6BADC4B7" w14:textId="77777777" w:rsidR="00435A15" w:rsidRPr="0019448E" w:rsidRDefault="00435A15" w:rsidP="0019448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15-10689</w:t>
          </w:r>
          <w:r>
            <w:rPr>
              <w:b w:val="0"/>
              <w:w w:val="103"/>
              <w:sz w:val="14"/>
            </w:rPr>
            <w:fldChar w:fldCharType="end"/>
          </w:r>
        </w:p>
      </w:tc>
    </w:tr>
  </w:tbl>
  <w:p w14:paraId="08ADFA96" w14:textId="77777777" w:rsidR="00435A15" w:rsidRPr="0019448E" w:rsidRDefault="00435A15" w:rsidP="00194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D17E" w14:textId="77777777" w:rsidR="006F5108" w:rsidRDefault="006F5108">
      <w:r>
        <w:separator/>
      </w:r>
    </w:p>
  </w:footnote>
  <w:footnote w:type="continuationSeparator" w:id="0">
    <w:p w14:paraId="49C81F87" w14:textId="77777777" w:rsidR="006F5108" w:rsidRDefault="006F5108">
      <w:r>
        <w:continuationSeparator/>
      </w:r>
    </w:p>
  </w:footnote>
  <w:footnote w:id="1">
    <w:p w14:paraId="04B09B2E" w14:textId="77777777"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sidRPr="00D64415">
        <w:rPr>
          <w:rStyle w:val="FootnoteReference"/>
          <w:sz w:val="16"/>
          <w:szCs w:val="16"/>
        </w:rPr>
        <w:footnoteRef/>
      </w:r>
      <w:r>
        <w:rPr>
          <w:sz w:val="16"/>
          <w:szCs w:val="16"/>
        </w:rPr>
        <w:tab/>
      </w:r>
      <w:r w:rsidRPr="00967673">
        <w:rPr>
          <w:sz w:val="16"/>
          <w:szCs w:val="16"/>
        </w:rPr>
        <w:t>UNDP, Human Development Report 2014</w:t>
      </w:r>
      <w:r>
        <w:rPr>
          <w:sz w:val="16"/>
          <w:szCs w:val="16"/>
        </w:rPr>
        <w:t>,</w:t>
      </w:r>
      <w:r w:rsidRPr="00967673">
        <w:rPr>
          <w:sz w:val="16"/>
          <w:szCs w:val="16"/>
        </w:rPr>
        <w:t xml:space="preserve"> </w:t>
      </w:r>
      <w:r>
        <w:rPr>
          <w:sz w:val="16"/>
          <w:szCs w:val="16"/>
        </w:rPr>
        <w:t>‘</w:t>
      </w:r>
      <w:r w:rsidRPr="00967673">
        <w:rPr>
          <w:sz w:val="16"/>
          <w:szCs w:val="16"/>
        </w:rPr>
        <w:t>Sustaining Human Progress: Reducing Vulnerabilities and Building Resilience</w:t>
      </w:r>
      <w:r>
        <w:rPr>
          <w:sz w:val="16"/>
          <w:szCs w:val="16"/>
        </w:rPr>
        <w:t>’.</w:t>
      </w:r>
    </w:p>
  </w:footnote>
  <w:footnote w:id="2">
    <w:p w14:paraId="063DF786" w14:textId="77777777"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sidRPr="00967673">
        <w:rPr>
          <w:rStyle w:val="FootnoteReference"/>
          <w:sz w:val="16"/>
          <w:szCs w:val="16"/>
        </w:rPr>
        <w:footnoteRef/>
      </w:r>
      <w:r>
        <w:rPr>
          <w:sz w:val="16"/>
          <w:szCs w:val="16"/>
        </w:rPr>
        <w:tab/>
      </w:r>
      <w:r w:rsidRPr="00967673">
        <w:rPr>
          <w:sz w:val="16"/>
          <w:szCs w:val="16"/>
        </w:rPr>
        <w:t xml:space="preserve">UNDP, </w:t>
      </w:r>
      <w:r>
        <w:rPr>
          <w:sz w:val="16"/>
          <w:szCs w:val="16"/>
        </w:rPr>
        <w:t>c</w:t>
      </w:r>
      <w:r w:rsidRPr="00967673">
        <w:rPr>
          <w:sz w:val="16"/>
          <w:szCs w:val="16"/>
        </w:rPr>
        <w:t xml:space="preserve">ountry </w:t>
      </w:r>
      <w:r>
        <w:rPr>
          <w:sz w:val="16"/>
          <w:szCs w:val="16"/>
        </w:rPr>
        <w:t>n</w:t>
      </w:r>
      <w:r w:rsidRPr="00967673">
        <w:rPr>
          <w:sz w:val="16"/>
          <w:szCs w:val="16"/>
        </w:rPr>
        <w:t>ote on Azerbaijan, Human Development Report 2014</w:t>
      </w:r>
      <w:r>
        <w:rPr>
          <w:sz w:val="16"/>
          <w:szCs w:val="16"/>
        </w:rPr>
        <w:t>.</w:t>
      </w:r>
    </w:p>
  </w:footnote>
  <w:footnote w:id="3">
    <w:p w14:paraId="124D91EB" w14:textId="77777777"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sidRPr="00967673">
        <w:rPr>
          <w:rStyle w:val="FootnoteReference"/>
          <w:sz w:val="16"/>
          <w:szCs w:val="16"/>
        </w:rPr>
        <w:footnoteRef/>
      </w:r>
      <w:r>
        <w:rPr>
          <w:sz w:val="16"/>
          <w:szCs w:val="16"/>
        </w:rPr>
        <w:tab/>
      </w:r>
      <w:r w:rsidRPr="00967673">
        <w:rPr>
          <w:sz w:val="16"/>
          <w:szCs w:val="16"/>
        </w:rPr>
        <w:t xml:space="preserve">World Bank, World Development Indicators, </w:t>
      </w:r>
      <w:r w:rsidRPr="00FB0AD1">
        <w:rPr>
          <w:sz w:val="16"/>
          <w:szCs w:val="16"/>
        </w:rPr>
        <w:t>http://data.worldbank.org/country/azerbaijan</w:t>
      </w:r>
      <w:r w:rsidRPr="00967673">
        <w:rPr>
          <w:sz w:val="16"/>
          <w:szCs w:val="16"/>
        </w:rPr>
        <w:t xml:space="preserve"> </w:t>
      </w:r>
    </w:p>
  </w:footnote>
  <w:footnote w:id="4">
    <w:p w14:paraId="44E3ADBA" w14:textId="6A8F398E"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sidRPr="00967673">
        <w:rPr>
          <w:rStyle w:val="FootnoteReference"/>
          <w:sz w:val="16"/>
          <w:szCs w:val="16"/>
        </w:rPr>
        <w:footnoteRef/>
      </w:r>
      <w:r>
        <w:rPr>
          <w:sz w:val="16"/>
          <w:szCs w:val="16"/>
        </w:rPr>
        <w:tab/>
        <w:t>State Statistics Committee, http://</w:t>
      </w:r>
      <w:proofErr w:type="gramStart"/>
      <w:r>
        <w:rPr>
          <w:sz w:val="16"/>
          <w:szCs w:val="16"/>
        </w:rPr>
        <w:t>stat.gov.az .</w:t>
      </w:r>
      <w:proofErr w:type="gramEnd"/>
    </w:p>
  </w:footnote>
  <w:footnote w:id="5">
    <w:p w14:paraId="6D8C8BBD" w14:textId="77777777"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sidRPr="00967673">
        <w:rPr>
          <w:rStyle w:val="FootnoteReference"/>
          <w:sz w:val="16"/>
          <w:szCs w:val="16"/>
        </w:rPr>
        <w:footnoteRef/>
      </w:r>
      <w:r>
        <w:rPr>
          <w:sz w:val="16"/>
          <w:szCs w:val="16"/>
        </w:rPr>
        <w:tab/>
      </w:r>
      <w:r w:rsidRPr="00967673">
        <w:rPr>
          <w:rFonts w:eastAsia="Calibri"/>
          <w:sz w:val="16"/>
          <w:szCs w:val="16"/>
        </w:rPr>
        <w:t>International Monetary Fund Republic of Azerbaijan: 2013 Article IV Consultation. IMF Country Report No. 13/164. Baku,</w:t>
      </w:r>
      <w:r>
        <w:rPr>
          <w:rFonts w:eastAsia="Calibri"/>
          <w:sz w:val="16"/>
          <w:szCs w:val="16"/>
        </w:rPr>
        <w:t xml:space="preserve"> 2013.</w:t>
      </w:r>
    </w:p>
  </w:footnote>
  <w:footnote w:id="6">
    <w:p w14:paraId="43D9C354" w14:textId="77777777"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sidRPr="00967673">
        <w:rPr>
          <w:rStyle w:val="FootnoteReference"/>
          <w:sz w:val="16"/>
          <w:szCs w:val="16"/>
        </w:rPr>
        <w:footnoteRef/>
      </w:r>
      <w:r>
        <w:rPr>
          <w:sz w:val="16"/>
          <w:szCs w:val="16"/>
        </w:rPr>
        <w:tab/>
      </w:r>
      <w:r w:rsidRPr="00967673">
        <w:rPr>
          <w:sz w:val="16"/>
          <w:szCs w:val="16"/>
        </w:rPr>
        <w:t>Economi</w:t>
      </w:r>
      <w:r>
        <w:rPr>
          <w:sz w:val="16"/>
          <w:szCs w:val="16"/>
        </w:rPr>
        <w:t>st</w:t>
      </w:r>
      <w:r w:rsidRPr="00967673">
        <w:rPr>
          <w:sz w:val="16"/>
          <w:szCs w:val="16"/>
        </w:rPr>
        <w:t xml:space="preserve"> Intelligence Unit, Azerbaijan </w:t>
      </w:r>
      <w:r>
        <w:rPr>
          <w:sz w:val="16"/>
          <w:szCs w:val="16"/>
        </w:rPr>
        <w:t>c</w:t>
      </w:r>
      <w:r w:rsidRPr="00967673">
        <w:rPr>
          <w:sz w:val="16"/>
          <w:szCs w:val="16"/>
        </w:rPr>
        <w:t xml:space="preserve">ountry </w:t>
      </w:r>
      <w:r>
        <w:rPr>
          <w:sz w:val="16"/>
          <w:szCs w:val="16"/>
        </w:rPr>
        <w:t>r</w:t>
      </w:r>
      <w:r w:rsidRPr="00967673">
        <w:rPr>
          <w:sz w:val="16"/>
          <w:szCs w:val="16"/>
        </w:rPr>
        <w:t>eport, December 2014</w:t>
      </w:r>
      <w:r>
        <w:rPr>
          <w:sz w:val="16"/>
          <w:szCs w:val="16"/>
        </w:rPr>
        <w:t>.</w:t>
      </w:r>
      <w:r w:rsidRPr="00967673">
        <w:rPr>
          <w:sz w:val="16"/>
          <w:szCs w:val="16"/>
        </w:rPr>
        <w:t xml:space="preserve"> </w:t>
      </w:r>
    </w:p>
  </w:footnote>
  <w:footnote w:id="7">
    <w:p w14:paraId="0821A9BF" w14:textId="30FE1254" w:rsidR="00435A15" w:rsidRPr="00232ED4"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7</w:t>
      </w:r>
      <w:r>
        <w:rPr>
          <w:sz w:val="16"/>
          <w:szCs w:val="16"/>
        </w:rPr>
        <w:tab/>
      </w:r>
      <w:r w:rsidRPr="00232ED4">
        <w:rPr>
          <w:sz w:val="16"/>
          <w:szCs w:val="16"/>
        </w:rPr>
        <w:t>UNICEF, UNDP Situation Assessment: People with Disabilities in Azerbaijan, 2011</w:t>
      </w:r>
    </w:p>
  </w:footnote>
  <w:footnote w:id="8">
    <w:p w14:paraId="0E79AE20" w14:textId="1E120047"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8</w:t>
      </w:r>
      <w:r>
        <w:rPr>
          <w:sz w:val="16"/>
          <w:szCs w:val="16"/>
        </w:rPr>
        <w:tab/>
      </w:r>
      <w:r w:rsidRPr="00967673">
        <w:rPr>
          <w:sz w:val="16"/>
          <w:szCs w:val="16"/>
        </w:rPr>
        <w:t>U</w:t>
      </w:r>
      <w:r>
        <w:rPr>
          <w:sz w:val="16"/>
          <w:szCs w:val="16"/>
        </w:rPr>
        <w:t xml:space="preserve">nited </w:t>
      </w:r>
      <w:r w:rsidRPr="00967673">
        <w:rPr>
          <w:sz w:val="16"/>
          <w:szCs w:val="16"/>
        </w:rPr>
        <w:t>N</w:t>
      </w:r>
      <w:r>
        <w:rPr>
          <w:sz w:val="16"/>
          <w:szCs w:val="16"/>
        </w:rPr>
        <w:t>ations</w:t>
      </w:r>
      <w:r w:rsidRPr="00967673">
        <w:rPr>
          <w:sz w:val="16"/>
          <w:szCs w:val="16"/>
        </w:rPr>
        <w:t xml:space="preserve">, The Future We Want, </w:t>
      </w:r>
      <w:r>
        <w:rPr>
          <w:sz w:val="16"/>
          <w:szCs w:val="16"/>
        </w:rPr>
        <w:t>n</w:t>
      </w:r>
      <w:r w:rsidRPr="00967673">
        <w:rPr>
          <w:sz w:val="16"/>
          <w:szCs w:val="16"/>
        </w:rPr>
        <w:t>ational consultations in Azerbaijan, Final Report, 2013</w:t>
      </w:r>
    </w:p>
  </w:footnote>
  <w:footnote w:id="9">
    <w:p w14:paraId="6D19BBC4" w14:textId="33A15C84" w:rsidR="00435A15" w:rsidRPr="000E417A" w:rsidRDefault="00435A15" w:rsidP="003A13CD">
      <w:pPr>
        <w:pStyle w:val="FootnoteText"/>
        <w:tabs>
          <w:tab w:val="clear" w:pos="418"/>
          <w:tab w:val="right" w:pos="1195"/>
          <w:tab w:val="left" w:pos="1267"/>
          <w:tab w:val="left" w:pos="1742"/>
          <w:tab w:val="left" w:pos="2218"/>
          <w:tab w:val="left" w:pos="2693"/>
        </w:tabs>
        <w:ind w:left="1267" w:right="1260" w:hanging="432"/>
        <w:rPr>
          <w:i/>
        </w:rPr>
      </w:pPr>
      <w:r>
        <w:tab/>
      </w:r>
      <w:r>
        <w:rPr>
          <w:rStyle w:val="FootnoteReference"/>
          <w:sz w:val="16"/>
          <w:szCs w:val="16"/>
        </w:rPr>
        <w:t>9</w:t>
      </w:r>
      <w:r>
        <w:tab/>
      </w:r>
      <w:r w:rsidRPr="000E417A">
        <w:rPr>
          <w:sz w:val="16"/>
          <w:szCs w:val="16"/>
        </w:rPr>
        <w:t xml:space="preserve">See </w:t>
      </w:r>
      <w:r w:rsidRPr="000E417A">
        <w:rPr>
          <w:rStyle w:val="HTMLCite"/>
          <w:color w:val="666666"/>
          <w:sz w:val="16"/>
          <w:szCs w:val="16"/>
        </w:rPr>
        <w:t>www.</w:t>
      </w:r>
      <w:r w:rsidRPr="000E417A">
        <w:rPr>
          <w:rStyle w:val="HTMLCite"/>
          <w:b/>
          <w:bCs/>
          <w:color w:val="666666"/>
          <w:sz w:val="16"/>
          <w:szCs w:val="16"/>
        </w:rPr>
        <w:t>asan</w:t>
      </w:r>
      <w:r w:rsidRPr="000E417A">
        <w:rPr>
          <w:rStyle w:val="HTMLCite"/>
          <w:color w:val="666666"/>
          <w:sz w:val="16"/>
          <w:szCs w:val="16"/>
        </w:rPr>
        <w:t>.gov.az</w:t>
      </w:r>
    </w:p>
  </w:footnote>
  <w:footnote w:id="10">
    <w:p w14:paraId="0F454C9C" w14:textId="5066FAAF"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10</w:t>
      </w:r>
      <w:r>
        <w:rPr>
          <w:sz w:val="16"/>
          <w:szCs w:val="16"/>
        </w:rPr>
        <w:tab/>
      </w:r>
      <w:r w:rsidRPr="00967673">
        <w:rPr>
          <w:sz w:val="16"/>
          <w:szCs w:val="16"/>
        </w:rPr>
        <w:t>Data of the Ministry of Ecology and Natural Resources, 2014</w:t>
      </w:r>
      <w:r>
        <w:rPr>
          <w:sz w:val="16"/>
          <w:szCs w:val="16"/>
        </w:rPr>
        <w:t>.</w:t>
      </w:r>
    </w:p>
  </w:footnote>
  <w:footnote w:id="11">
    <w:p w14:paraId="7098C0A1" w14:textId="19ABF766"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11</w:t>
      </w:r>
      <w:r>
        <w:rPr>
          <w:sz w:val="16"/>
          <w:szCs w:val="16"/>
        </w:rPr>
        <w:tab/>
      </w:r>
      <w:r w:rsidRPr="00967673">
        <w:rPr>
          <w:sz w:val="16"/>
          <w:szCs w:val="16"/>
        </w:rPr>
        <w:t>Data of the Ministry of Ecology and Natural Resources</w:t>
      </w:r>
      <w:r>
        <w:rPr>
          <w:sz w:val="16"/>
          <w:szCs w:val="16"/>
        </w:rPr>
        <w:t>.</w:t>
      </w:r>
    </w:p>
  </w:footnote>
  <w:footnote w:id="12">
    <w:p w14:paraId="2F22D707" w14:textId="753EC623" w:rsidR="00435A15" w:rsidRPr="00967673"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12</w:t>
      </w:r>
      <w:r>
        <w:rPr>
          <w:sz w:val="16"/>
          <w:szCs w:val="16"/>
        </w:rPr>
        <w:tab/>
      </w:r>
      <w:r w:rsidRPr="00967673">
        <w:rPr>
          <w:sz w:val="16"/>
          <w:szCs w:val="16"/>
        </w:rPr>
        <w:t>Azerbaijan’s Second National Communication to the UNFCCC</w:t>
      </w:r>
      <w:r>
        <w:rPr>
          <w:sz w:val="16"/>
          <w:szCs w:val="16"/>
        </w:rPr>
        <w:t>.</w:t>
      </w:r>
    </w:p>
  </w:footnote>
  <w:footnote w:id="13">
    <w:p w14:paraId="669FE8CE" w14:textId="044434DD" w:rsidR="00435A15" w:rsidRDefault="00435A15" w:rsidP="003A13CD">
      <w:pPr>
        <w:pStyle w:val="FootnoteText"/>
        <w:tabs>
          <w:tab w:val="clear" w:pos="418"/>
          <w:tab w:val="right" w:pos="1195"/>
          <w:tab w:val="left" w:pos="1267"/>
          <w:tab w:val="left" w:pos="1742"/>
          <w:tab w:val="left" w:pos="2218"/>
          <w:tab w:val="left" w:pos="2693"/>
        </w:tabs>
        <w:ind w:left="1267" w:right="1260" w:hanging="432"/>
      </w:pPr>
      <w:r>
        <w:rPr>
          <w:sz w:val="16"/>
          <w:szCs w:val="16"/>
        </w:rPr>
        <w:tab/>
      </w:r>
      <w:r>
        <w:rPr>
          <w:rStyle w:val="FootnoteReference"/>
          <w:sz w:val="16"/>
          <w:szCs w:val="16"/>
        </w:rPr>
        <w:t>13</w:t>
      </w:r>
      <w:r>
        <w:rPr>
          <w:sz w:val="16"/>
          <w:szCs w:val="16"/>
        </w:rPr>
        <w:tab/>
      </w:r>
      <w:r w:rsidRPr="00C2751A">
        <w:rPr>
          <w:sz w:val="16"/>
          <w:szCs w:val="16"/>
        </w:rPr>
        <w:t>World Bank, World Development Indicators</w:t>
      </w:r>
      <w:r>
        <w:rPr>
          <w:sz w:val="16"/>
          <w:szCs w:val="16"/>
        </w:rPr>
        <w:t>.</w:t>
      </w:r>
    </w:p>
  </w:footnote>
  <w:footnote w:id="14">
    <w:p w14:paraId="1FB308B2" w14:textId="480508AB" w:rsidR="00435A15" w:rsidRPr="00FB382C"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14</w:t>
      </w:r>
      <w:r>
        <w:rPr>
          <w:sz w:val="16"/>
          <w:szCs w:val="16"/>
        </w:rPr>
        <w:tab/>
      </w:r>
      <w:r w:rsidRPr="00FB0AD1">
        <w:rPr>
          <w:sz w:val="16"/>
          <w:szCs w:val="16"/>
        </w:rPr>
        <w:t>http://www.un-az.org/doc/BGHG_full_report1.pdf</w:t>
      </w:r>
      <w:r>
        <w:rPr>
          <w:sz w:val="16"/>
          <w:szCs w:val="16"/>
        </w:rPr>
        <w:t>.</w:t>
      </w:r>
    </w:p>
  </w:footnote>
  <w:footnote w:id="15">
    <w:p w14:paraId="326150AF" w14:textId="042A5394" w:rsidR="00435A15" w:rsidRDefault="00435A15" w:rsidP="003A13CD">
      <w:pPr>
        <w:pStyle w:val="FootnoteText"/>
        <w:tabs>
          <w:tab w:val="clear" w:pos="418"/>
          <w:tab w:val="right" w:pos="1195"/>
          <w:tab w:val="left" w:pos="1267"/>
          <w:tab w:val="left" w:pos="1742"/>
          <w:tab w:val="left" w:pos="2218"/>
          <w:tab w:val="left" w:pos="2693"/>
        </w:tabs>
        <w:ind w:left="1267" w:right="1260" w:hanging="432"/>
      </w:pPr>
      <w:r>
        <w:tab/>
      </w:r>
      <w:r>
        <w:rPr>
          <w:rStyle w:val="FootnoteReference"/>
          <w:sz w:val="16"/>
          <w:szCs w:val="16"/>
        </w:rPr>
        <w:t>15</w:t>
      </w:r>
      <w:r>
        <w:tab/>
      </w:r>
      <w:r w:rsidRPr="00FB0AD1">
        <w:rPr>
          <w:rFonts w:cs="Arial"/>
          <w:sz w:val="16"/>
          <w:szCs w:val="16"/>
        </w:rPr>
        <w:t>State program</w:t>
      </w:r>
      <w:r>
        <w:rPr>
          <w:rFonts w:cs="Arial"/>
          <w:sz w:val="16"/>
          <w:szCs w:val="16"/>
        </w:rPr>
        <w:t xml:space="preserve">me </w:t>
      </w:r>
      <w:r w:rsidRPr="00FB0AD1">
        <w:rPr>
          <w:rFonts w:cs="Arial"/>
          <w:sz w:val="16"/>
          <w:szCs w:val="16"/>
        </w:rPr>
        <w:t>on study of Azerbaijani youth abroad for 2007-2015</w:t>
      </w:r>
      <w:r>
        <w:rPr>
          <w:rStyle w:val="Hyperlink"/>
          <w:rFonts w:cs="Arial"/>
          <w:sz w:val="16"/>
          <w:szCs w:val="16"/>
        </w:rPr>
        <w:t>.</w:t>
      </w:r>
    </w:p>
  </w:footnote>
  <w:footnote w:id="16">
    <w:p w14:paraId="5A611001" w14:textId="66D504DE" w:rsidR="00435A15" w:rsidRPr="00461F2C"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16</w:t>
      </w:r>
      <w:r>
        <w:rPr>
          <w:sz w:val="16"/>
          <w:szCs w:val="16"/>
        </w:rPr>
        <w:tab/>
        <w:t xml:space="preserve">UNDP, outcome 1 and 2 evaluation report, 2015. </w:t>
      </w:r>
    </w:p>
  </w:footnote>
  <w:footnote w:id="17">
    <w:p w14:paraId="58AFECAD" w14:textId="1528AA05" w:rsidR="00435A15" w:rsidRPr="00F105DC"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17</w:t>
      </w:r>
      <w:r>
        <w:rPr>
          <w:sz w:val="16"/>
          <w:szCs w:val="16"/>
        </w:rPr>
        <w:tab/>
      </w:r>
      <w:r w:rsidRPr="00F105DC">
        <w:rPr>
          <w:sz w:val="16"/>
          <w:szCs w:val="16"/>
        </w:rPr>
        <w:t xml:space="preserve">UNDP, </w:t>
      </w:r>
      <w:r>
        <w:rPr>
          <w:sz w:val="16"/>
          <w:szCs w:val="16"/>
        </w:rPr>
        <w:t>o</w:t>
      </w:r>
      <w:r w:rsidRPr="00F105DC">
        <w:rPr>
          <w:sz w:val="16"/>
          <w:szCs w:val="16"/>
        </w:rPr>
        <w:t xml:space="preserve">utcome </w:t>
      </w:r>
      <w:r>
        <w:rPr>
          <w:sz w:val="16"/>
          <w:szCs w:val="16"/>
        </w:rPr>
        <w:t>e</w:t>
      </w:r>
      <w:r w:rsidRPr="00F105DC">
        <w:rPr>
          <w:sz w:val="16"/>
          <w:szCs w:val="16"/>
        </w:rPr>
        <w:t xml:space="preserve">valuation </w:t>
      </w:r>
      <w:r>
        <w:rPr>
          <w:sz w:val="16"/>
          <w:szCs w:val="16"/>
        </w:rPr>
        <w:t>r</w:t>
      </w:r>
      <w:r w:rsidRPr="00F105DC">
        <w:rPr>
          <w:sz w:val="16"/>
          <w:szCs w:val="16"/>
        </w:rPr>
        <w:t xml:space="preserve">eport, </w:t>
      </w:r>
      <w:r>
        <w:rPr>
          <w:sz w:val="16"/>
          <w:szCs w:val="16"/>
        </w:rPr>
        <w:t>g</w:t>
      </w:r>
      <w:r w:rsidRPr="00F105DC">
        <w:rPr>
          <w:sz w:val="16"/>
          <w:szCs w:val="16"/>
        </w:rPr>
        <w:t xml:space="preserve">ood </w:t>
      </w:r>
      <w:r>
        <w:rPr>
          <w:sz w:val="16"/>
          <w:szCs w:val="16"/>
        </w:rPr>
        <w:t>g</w:t>
      </w:r>
      <w:r w:rsidRPr="00F105DC">
        <w:rPr>
          <w:sz w:val="16"/>
          <w:szCs w:val="16"/>
        </w:rPr>
        <w:t xml:space="preserve">overnance </w:t>
      </w:r>
      <w:r>
        <w:rPr>
          <w:sz w:val="16"/>
          <w:szCs w:val="16"/>
        </w:rPr>
        <w:t>p</w:t>
      </w:r>
      <w:r w:rsidRPr="00F105DC">
        <w:rPr>
          <w:sz w:val="16"/>
          <w:szCs w:val="16"/>
        </w:rPr>
        <w:t>rogramme, 2013</w:t>
      </w:r>
      <w:r>
        <w:rPr>
          <w:sz w:val="16"/>
          <w:szCs w:val="16"/>
        </w:rPr>
        <w:t>.</w:t>
      </w:r>
    </w:p>
  </w:footnote>
  <w:footnote w:id="18">
    <w:p w14:paraId="70177B6B" w14:textId="540F2E79" w:rsidR="00435A15" w:rsidRPr="00F105DC" w:rsidRDefault="00435A15" w:rsidP="003A13CD">
      <w:pPr>
        <w:pStyle w:val="FootnoteText"/>
        <w:tabs>
          <w:tab w:val="clear" w:pos="418"/>
          <w:tab w:val="right" w:pos="1195"/>
          <w:tab w:val="left" w:pos="1267"/>
          <w:tab w:val="left" w:pos="1742"/>
          <w:tab w:val="left" w:pos="2218"/>
          <w:tab w:val="left" w:pos="2693"/>
        </w:tabs>
        <w:ind w:left="1267" w:right="1260" w:hanging="432"/>
        <w:rPr>
          <w:sz w:val="16"/>
          <w:szCs w:val="16"/>
        </w:rPr>
      </w:pPr>
      <w:r>
        <w:rPr>
          <w:sz w:val="16"/>
          <w:szCs w:val="16"/>
        </w:rPr>
        <w:tab/>
      </w:r>
      <w:r>
        <w:rPr>
          <w:rStyle w:val="FootnoteReference"/>
          <w:sz w:val="16"/>
          <w:szCs w:val="16"/>
        </w:rPr>
        <w:t>18</w:t>
      </w:r>
      <w:r>
        <w:rPr>
          <w:sz w:val="16"/>
          <w:szCs w:val="16"/>
        </w:rPr>
        <w:tab/>
      </w:r>
      <w:r w:rsidRPr="00F105DC">
        <w:rPr>
          <w:sz w:val="16"/>
          <w:szCs w:val="16"/>
        </w:rPr>
        <w:t>UNDP, Outcome 1 and 2 Evaluation Report, 2015</w:t>
      </w:r>
    </w:p>
  </w:footnote>
  <w:footnote w:id="19">
    <w:p w14:paraId="7B3FC481" w14:textId="327CC1F8" w:rsidR="00435A15" w:rsidRPr="00435A15" w:rsidRDefault="00435A15">
      <w:pPr>
        <w:pStyle w:val="FootnoteText"/>
        <w:rPr>
          <w:lang w:val="en-US"/>
        </w:rPr>
      </w:pPr>
      <w:r>
        <w:rPr>
          <w:rStyle w:val="FootnoteReference"/>
        </w:rPr>
        <w:footnoteRef/>
      </w:r>
      <w:r>
        <w:t xml:space="preserve"> </w:t>
      </w:r>
      <w:r>
        <w:rPr>
          <w:lang w:val="en-US"/>
        </w:rPr>
        <w:t>Azerbaijan Vision 2020, 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35A15" w14:paraId="2BC98E78" w14:textId="77777777" w:rsidTr="0019448E">
      <w:trPr>
        <w:trHeight w:hRule="exact" w:val="864"/>
      </w:trPr>
      <w:tc>
        <w:tcPr>
          <w:tcW w:w="4838" w:type="dxa"/>
          <w:shd w:val="clear" w:color="auto" w:fill="auto"/>
          <w:vAlign w:val="bottom"/>
        </w:tcPr>
        <w:p w14:paraId="04B692C5" w14:textId="7EC01191" w:rsidR="00435A15" w:rsidRPr="0019448E" w:rsidRDefault="00435A15" w:rsidP="00001131">
          <w:pPr>
            <w:pStyle w:val="Header"/>
            <w:spacing w:after="80"/>
            <w:rPr>
              <w:b/>
            </w:rPr>
          </w:pPr>
          <w:r>
            <w:rPr>
              <w:b/>
            </w:rPr>
            <w:fldChar w:fldCharType="begin"/>
          </w:r>
          <w:r>
            <w:rPr>
              <w:b/>
            </w:rPr>
            <w:instrText xml:space="preserve"> DOCVARIABLE "sss1" \* MERGEFORMAT </w:instrText>
          </w:r>
          <w:r>
            <w:rPr>
              <w:b/>
            </w:rPr>
            <w:fldChar w:fldCharType="separate"/>
          </w:r>
          <w:r>
            <w:rPr>
              <w:b/>
            </w:rPr>
            <w:t>DP/DCP/AZE/</w:t>
          </w:r>
          <w:r>
            <w:rPr>
              <w:b/>
            </w:rPr>
            <w:fldChar w:fldCharType="end"/>
          </w:r>
          <w:r>
            <w:rPr>
              <w:b/>
            </w:rPr>
            <w:t>4</w:t>
          </w:r>
        </w:p>
      </w:tc>
      <w:tc>
        <w:tcPr>
          <w:tcW w:w="5028" w:type="dxa"/>
          <w:shd w:val="clear" w:color="auto" w:fill="auto"/>
          <w:vAlign w:val="bottom"/>
        </w:tcPr>
        <w:p w14:paraId="6B2955B2" w14:textId="77777777" w:rsidR="00435A15" w:rsidRDefault="00435A15" w:rsidP="0019448E">
          <w:pPr>
            <w:pStyle w:val="Header"/>
          </w:pPr>
        </w:p>
      </w:tc>
    </w:tr>
  </w:tbl>
  <w:p w14:paraId="6E6B4E5C" w14:textId="77777777" w:rsidR="00435A15" w:rsidRPr="0019448E" w:rsidRDefault="00435A15" w:rsidP="00194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35A15" w14:paraId="5C6715EE" w14:textId="77777777" w:rsidTr="0019448E">
      <w:trPr>
        <w:trHeight w:hRule="exact" w:val="864"/>
      </w:trPr>
      <w:tc>
        <w:tcPr>
          <w:tcW w:w="4838" w:type="dxa"/>
          <w:shd w:val="clear" w:color="auto" w:fill="auto"/>
          <w:vAlign w:val="bottom"/>
        </w:tcPr>
        <w:p w14:paraId="06955C9A" w14:textId="77777777" w:rsidR="00435A15" w:rsidRDefault="00435A15" w:rsidP="0019448E">
          <w:pPr>
            <w:pStyle w:val="Header"/>
          </w:pPr>
        </w:p>
      </w:tc>
      <w:tc>
        <w:tcPr>
          <w:tcW w:w="5028" w:type="dxa"/>
          <w:shd w:val="clear" w:color="auto" w:fill="auto"/>
          <w:vAlign w:val="bottom"/>
        </w:tcPr>
        <w:p w14:paraId="2B0E3DD6" w14:textId="1194FB1C" w:rsidR="00435A15" w:rsidRPr="0019448E" w:rsidRDefault="00435A15" w:rsidP="00001131">
          <w:pPr>
            <w:pStyle w:val="Header"/>
            <w:spacing w:after="80"/>
            <w:jc w:val="right"/>
            <w:rPr>
              <w:b/>
            </w:rPr>
          </w:pPr>
          <w:r>
            <w:rPr>
              <w:b/>
            </w:rPr>
            <w:fldChar w:fldCharType="begin"/>
          </w:r>
          <w:r>
            <w:rPr>
              <w:b/>
            </w:rPr>
            <w:instrText xml:space="preserve"> DOCVARIABLE "sss1" \* MERGEFORMAT </w:instrText>
          </w:r>
          <w:r>
            <w:rPr>
              <w:b/>
            </w:rPr>
            <w:fldChar w:fldCharType="separate"/>
          </w:r>
          <w:r>
            <w:rPr>
              <w:b/>
            </w:rPr>
            <w:t>DP/DCP/AZE/</w:t>
          </w:r>
          <w:r>
            <w:rPr>
              <w:b/>
            </w:rPr>
            <w:fldChar w:fldCharType="end"/>
          </w:r>
          <w:r>
            <w:rPr>
              <w:b/>
            </w:rPr>
            <w:t>4</w:t>
          </w:r>
        </w:p>
      </w:tc>
    </w:tr>
  </w:tbl>
  <w:p w14:paraId="79C12778" w14:textId="77777777" w:rsidR="00435A15" w:rsidRPr="0019448E" w:rsidRDefault="00435A15" w:rsidP="00194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35A15" w14:paraId="53C5603C" w14:textId="77777777" w:rsidTr="0019448E">
      <w:trPr>
        <w:trHeight w:hRule="exact" w:val="864"/>
      </w:trPr>
      <w:tc>
        <w:tcPr>
          <w:tcW w:w="1267" w:type="dxa"/>
          <w:tcBorders>
            <w:bottom w:val="single" w:sz="4" w:space="0" w:color="auto"/>
          </w:tcBorders>
          <w:shd w:val="clear" w:color="auto" w:fill="auto"/>
          <w:vAlign w:val="bottom"/>
        </w:tcPr>
        <w:p w14:paraId="59DE138D" w14:textId="77777777" w:rsidR="00435A15" w:rsidRDefault="00435A15" w:rsidP="0019448E">
          <w:pPr>
            <w:pStyle w:val="Header"/>
            <w:spacing w:after="120"/>
          </w:pPr>
        </w:p>
      </w:tc>
      <w:tc>
        <w:tcPr>
          <w:tcW w:w="1872" w:type="dxa"/>
          <w:tcBorders>
            <w:bottom w:val="single" w:sz="4" w:space="0" w:color="auto"/>
          </w:tcBorders>
          <w:shd w:val="clear" w:color="auto" w:fill="auto"/>
          <w:vAlign w:val="bottom"/>
        </w:tcPr>
        <w:p w14:paraId="37A0DFF7" w14:textId="77777777" w:rsidR="00435A15" w:rsidRPr="0019448E" w:rsidRDefault="00435A15" w:rsidP="0019448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1BCD51B" w14:textId="77777777" w:rsidR="00435A15" w:rsidRDefault="00435A15" w:rsidP="0019448E">
          <w:pPr>
            <w:pStyle w:val="Header"/>
            <w:spacing w:after="120"/>
          </w:pPr>
        </w:p>
      </w:tc>
      <w:tc>
        <w:tcPr>
          <w:tcW w:w="6523" w:type="dxa"/>
          <w:gridSpan w:val="4"/>
          <w:tcBorders>
            <w:bottom w:val="single" w:sz="4" w:space="0" w:color="auto"/>
          </w:tcBorders>
          <w:shd w:val="clear" w:color="auto" w:fill="auto"/>
          <w:vAlign w:val="bottom"/>
        </w:tcPr>
        <w:p w14:paraId="34484680" w14:textId="55CF7705" w:rsidR="00435A15" w:rsidRPr="0019448E" w:rsidRDefault="00435A15" w:rsidP="00001131">
          <w:pPr>
            <w:spacing w:after="80" w:line="240" w:lineRule="auto"/>
            <w:jc w:val="right"/>
            <w:rPr>
              <w:position w:val="-4"/>
            </w:rPr>
          </w:pPr>
          <w:r>
            <w:rPr>
              <w:position w:val="-4"/>
              <w:sz w:val="40"/>
            </w:rPr>
            <w:t>DP</w:t>
          </w:r>
          <w:r>
            <w:rPr>
              <w:position w:val="-4"/>
            </w:rPr>
            <w:t>/DCP/AZE/4</w:t>
          </w:r>
        </w:p>
      </w:tc>
    </w:tr>
    <w:tr w:rsidR="00435A15" w:rsidRPr="0019448E" w14:paraId="3ACD751D" w14:textId="77777777" w:rsidTr="0019448E">
      <w:trPr>
        <w:gridAfter w:val="1"/>
        <w:wAfter w:w="28" w:type="dxa"/>
        <w:trHeight w:hRule="exact" w:val="2880"/>
      </w:trPr>
      <w:tc>
        <w:tcPr>
          <w:tcW w:w="1267" w:type="dxa"/>
          <w:tcBorders>
            <w:top w:val="single" w:sz="4" w:space="0" w:color="auto"/>
            <w:bottom w:val="single" w:sz="12" w:space="0" w:color="auto"/>
          </w:tcBorders>
          <w:shd w:val="clear" w:color="auto" w:fill="auto"/>
        </w:tcPr>
        <w:p w14:paraId="5609BF6D" w14:textId="77777777" w:rsidR="00435A15" w:rsidRPr="0019448E" w:rsidRDefault="00435A15" w:rsidP="0019448E">
          <w:pPr>
            <w:pStyle w:val="Header"/>
            <w:spacing w:before="120"/>
            <w:jc w:val="center"/>
          </w:pPr>
          <w:r>
            <w:t xml:space="preserve"> </w:t>
          </w:r>
          <w:r>
            <w:drawing>
              <wp:inline distT="0" distB="0" distL="0" distR="0" wp14:anchorId="5E66F13B" wp14:editId="2E413B9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F01AC70" w14:textId="77777777" w:rsidR="00435A15" w:rsidRPr="0019448E" w:rsidRDefault="00435A15" w:rsidP="0019448E">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tcBorders>
            <w:top w:val="single" w:sz="4" w:space="0" w:color="auto"/>
            <w:bottom w:val="single" w:sz="12" w:space="0" w:color="auto"/>
          </w:tcBorders>
          <w:shd w:val="clear" w:color="auto" w:fill="auto"/>
        </w:tcPr>
        <w:p w14:paraId="0E41177D" w14:textId="77777777" w:rsidR="00435A15" w:rsidRPr="0019448E" w:rsidRDefault="00435A15" w:rsidP="0019448E">
          <w:pPr>
            <w:pStyle w:val="Header"/>
            <w:spacing w:before="109"/>
          </w:pPr>
        </w:p>
      </w:tc>
      <w:tc>
        <w:tcPr>
          <w:tcW w:w="3140" w:type="dxa"/>
          <w:tcBorders>
            <w:top w:val="single" w:sz="4" w:space="0" w:color="auto"/>
            <w:bottom w:val="single" w:sz="12" w:space="0" w:color="auto"/>
          </w:tcBorders>
          <w:shd w:val="clear" w:color="auto" w:fill="auto"/>
        </w:tcPr>
        <w:p w14:paraId="722EBEDE" w14:textId="77777777" w:rsidR="00435A15" w:rsidRDefault="00435A15" w:rsidP="0019448E">
          <w:pPr>
            <w:pStyle w:val="Distribution"/>
            <w:rPr>
              <w:color w:val="010000"/>
            </w:rPr>
          </w:pPr>
          <w:r>
            <w:rPr>
              <w:color w:val="010000"/>
            </w:rPr>
            <w:t>Distr.: General</w:t>
          </w:r>
        </w:p>
        <w:p w14:paraId="065D4E27" w14:textId="623396F3" w:rsidR="00435A15" w:rsidRDefault="00435A15" w:rsidP="0019448E">
          <w:pPr>
            <w:pStyle w:val="Publication"/>
            <w:rPr>
              <w:color w:val="010000"/>
            </w:rPr>
          </w:pPr>
          <w:r>
            <w:rPr>
              <w:color w:val="010000"/>
            </w:rPr>
            <w:t>4 November 2015</w:t>
          </w:r>
        </w:p>
        <w:p w14:paraId="448BD940" w14:textId="77777777" w:rsidR="00435A15" w:rsidRDefault="00435A15" w:rsidP="0019448E"/>
        <w:p w14:paraId="441A5719" w14:textId="77777777" w:rsidR="00435A15" w:rsidRDefault="00435A15" w:rsidP="0019448E">
          <w:pPr>
            <w:pStyle w:val="Original"/>
            <w:rPr>
              <w:color w:val="010000"/>
            </w:rPr>
          </w:pPr>
          <w:r>
            <w:rPr>
              <w:color w:val="010000"/>
            </w:rPr>
            <w:t>Original: English</w:t>
          </w:r>
        </w:p>
        <w:p w14:paraId="418C34AC" w14:textId="77777777" w:rsidR="00435A15" w:rsidRPr="0019448E" w:rsidRDefault="00435A15" w:rsidP="0019448E"/>
      </w:tc>
    </w:tr>
  </w:tbl>
  <w:p w14:paraId="7712B013" w14:textId="77777777" w:rsidR="00435A15" w:rsidRPr="0019448E" w:rsidRDefault="00435A15" w:rsidP="0019448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35A15" w:rsidRPr="00250693" w14:paraId="76391F7A" w14:textId="77777777" w:rsidTr="00250693">
      <w:trPr>
        <w:cantSplit/>
        <w:trHeight w:val="4925"/>
      </w:trPr>
      <w:tc>
        <w:tcPr>
          <w:tcW w:w="12413" w:type="dxa"/>
          <w:shd w:val="clear" w:color="auto" w:fill="auto"/>
          <w:textDirection w:val="tbRl"/>
          <w:vAlign w:val="bottom"/>
        </w:tcPr>
        <w:p w14:paraId="5AB89501" w14:textId="481E9C1B" w:rsidR="00435A15" w:rsidRPr="00250693" w:rsidRDefault="00435A15" w:rsidP="00275784">
          <w:pPr>
            <w:pStyle w:val="Header"/>
            <w:spacing w:line="240" w:lineRule="auto"/>
            <w:ind w:left="14" w:right="14"/>
            <w:rPr>
              <w:b/>
              <w:w w:val="103"/>
            </w:rPr>
          </w:pPr>
          <w:r w:rsidRPr="00250693">
            <w:rPr>
              <w:b/>
              <w:w w:val="103"/>
            </w:rPr>
            <w:fldChar w:fldCharType="begin"/>
          </w:r>
          <w:r w:rsidRPr="00250693">
            <w:rPr>
              <w:b/>
              <w:w w:val="103"/>
            </w:rPr>
            <w:instrText xml:space="preserve"> DOCVARIABLE "sss1" \* MERGEFORMAT </w:instrText>
          </w:r>
          <w:r w:rsidRPr="00250693">
            <w:rPr>
              <w:b/>
              <w:w w:val="103"/>
            </w:rPr>
            <w:fldChar w:fldCharType="separate"/>
          </w:r>
          <w:r>
            <w:rPr>
              <w:b/>
              <w:w w:val="103"/>
            </w:rPr>
            <w:t>DP/DCP/AZE/</w:t>
          </w:r>
          <w:r w:rsidRPr="00250693">
            <w:rPr>
              <w:b/>
              <w:w w:val="103"/>
            </w:rPr>
            <w:fldChar w:fldCharType="end"/>
          </w:r>
          <w:r>
            <w:rPr>
              <w:b/>
              <w:w w:val="103"/>
            </w:rPr>
            <w:t>4</w:t>
          </w:r>
        </w:p>
      </w:tc>
    </w:tr>
    <w:tr w:rsidR="00435A15" w:rsidRPr="00250693" w14:paraId="37AB7F4B" w14:textId="77777777" w:rsidTr="00250693">
      <w:trPr>
        <w:cantSplit/>
        <w:trHeight w:val="4925"/>
      </w:trPr>
      <w:tc>
        <w:tcPr>
          <w:tcW w:w="12413" w:type="dxa"/>
          <w:shd w:val="clear" w:color="auto" w:fill="auto"/>
          <w:textDirection w:val="tbRl"/>
          <w:vAlign w:val="bottom"/>
        </w:tcPr>
        <w:p w14:paraId="08797C8A" w14:textId="77777777" w:rsidR="00435A15" w:rsidRPr="00250693" w:rsidRDefault="00435A15" w:rsidP="00250693">
          <w:pPr>
            <w:pStyle w:val="Header"/>
            <w:spacing w:line="240" w:lineRule="auto"/>
            <w:ind w:left="14" w:right="14"/>
            <w:rPr>
              <w:b/>
              <w:w w:val="103"/>
            </w:rPr>
          </w:pPr>
        </w:p>
      </w:tc>
    </w:tr>
  </w:tbl>
  <w:p w14:paraId="493F2CD3" w14:textId="77777777" w:rsidR="00435A15" w:rsidRPr="00250693" w:rsidRDefault="00435A15" w:rsidP="002506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35A15" w:rsidRPr="00250693" w14:paraId="4A291A24" w14:textId="77777777" w:rsidTr="00250693">
      <w:trPr>
        <w:trHeight w:val="4925"/>
      </w:trPr>
      <w:tc>
        <w:tcPr>
          <w:tcW w:w="12413" w:type="dxa"/>
          <w:shd w:val="clear" w:color="auto" w:fill="auto"/>
          <w:vAlign w:val="bottom"/>
        </w:tcPr>
        <w:p w14:paraId="0C162F81" w14:textId="77777777" w:rsidR="00435A15" w:rsidRPr="00250693" w:rsidRDefault="00435A15" w:rsidP="00250693">
          <w:pPr>
            <w:pStyle w:val="Header"/>
            <w:spacing w:line="240" w:lineRule="auto"/>
            <w:ind w:left="14" w:right="14"/>
            <w:jc w:val="right"/>
            <w:rPr>
              <w:b/>
              <w:bCs/>
              <w:w w:val="103"/>
              <w:szCs w:val="26"/>
            </w:rPr>
          </w:pPr>
        </w:p>
      </w:tc>
    </w:tr>
    <w:tr w:rsidR="00435A15" w:rsidRPr="00250693" w14:paraId="1DCCA0EF" w14:textId="77777777" w:rsidTr="00250693">
      <w:trPr>
        <w:cantSplit/>
        <w:trHeight w:val="4925"/>
      </w:trPr>
      <w:tc>
        <w:tcPr>
          <w:tcW w:w="12413" w:type="dxa"/>
          <w:shd w:val="clear" w:color="auto" w:fill="auto"/>
          <w:textDirection w:val="tbRl"/>
          <w:vAlign w:val="bottom"/>
        </w:tcPr>
        <w:p w14:paraId="25DCAC59" w14:textId="2F4C88C4" w:rsidR="00435A15" w:rsidRPr="00250693" w:rsidRDefault="00435A15" w:rsidP="00275784">
          <w:pPr>
            <w:pStyle w:val="Header"/>
            <w:spacing w:line="240" w:lineRule="auto"/>
            <w:ind w:left="14" w:right="14"/>
            <w:jc w:val="right"/>
            <w:rPr>
              <w:b/>
              <w:bCs/>
              <w:w w:val="103"/>
              <w:szCs w:val="26"/>
            </w:rPr>
          </w:pPr>
          <w:r w:rsidRPr="00250693">
            <w:rPr>
              <w:b/>
              <w:bCs/>
              <w:w w:val="103"/>
              <w:szCs w:val="26"/>
            </w:rPr>
            <w:fldChar w:fldCharType="begin"/>
          </w:r>
          <w:r w:rsidRPr="00250693">
            <w:rPr>
              <w:b/>
              <w:bCs/>
              <w:w w:val="103"/>
              <w:szCs w:val="26"/>
            </w:rPr>
            <w:instrText xml:space="preserve"> DOCVARIABLE "sss1" \* MERGEFORMAT </w:instrText>
          </w:r>
          <w:r w:rsidRPr="00250693">
            <w:rPr>
              <w:b/>
              <w:bCs/>
              <w:w w:val="103"/>
              <w:szCs w:val="26"/>
            </w:rPr>
            <w:fldChar w:fldCharType="separate"/>
          </w:r>
          <w:r>
            <w:rPr>
              <w:b/>
              <w:bCs/>
              <w:w w:val="103"/>
              <w:szCs w:val="26"/>
            </w:rPr>
            <w:t>DP/DCP/AZE/</w:t>
          </w:r>
          <w:r w:rsidRPr="00250693">
            <w:rPr>
              <w:b/>
              <w:bCs/>
              <w:w w:val="103"/>
              <w:szCs w:val="26"/>
            </w:rPr>
            <w:fldChar w:fldCharType="end"/>
          </w:r>
          <w:r>
            <w:rPr>
              <w:b/>
              <w:bCs/>
              <w:w w:val="103"/>
              <w:szCs w:val="26"/>
            </w:rPr>
            <w:t>4</w:t>
          </w:r>
        </w:p>
      </w:tc>
    </w:tr>
  </w:tbl>
  <w:p w14:paraId="4E46B90E" w14:textId="77777777" w:rsidR="00435A15" w:rsidRPr="00250693" w:rsidRDefault="00435A15" w:rsidP="002506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35A15" w14:paraId="511C3DFB" w14:textId="77777777" w:rsidTr="0019448E">
      <w:trPr>
        <w:trHeight w:hRule="exact" w:val="864"/>
      </w:trPr>
      <w:tc>
        <w:tcPr>
          <w:tcW w:w="4838" w:type="dxa"/>
          <w:shd w:val="clear" w:color="auto" w:fill="auto"/>
          <w:vAlign w:val="bottom"/>
        </w:tcPr>
        <w:p w14:paraId="62D718A3" w14:textId="187ABDB9" w:rsidR="00435A15" w:rsidRPr="0019448E" w:rsidRDefault="00435A15" w:rsidP="00275784">
          <w:pPr>
            <w:pStyle w:val="Header"/>
            <w:spacing w:after="80"/>
            <w:rPr>
              <w:b/>
            </w:rPr>
          </w:pPr>
          <w:r>
            <w:rPr>
              <w:b/>
            </w:rPr>
            <w:fldChar w:fldCharType="begin"/>
          </w:r>
          <w:r>
            <w:rPr>
              <w:b/>
            </w:rPr>
            <w:instrText xml:space="preserve"> DOCVARIABLE "sss1" \* MERGEFORMAT </w:instrText>
          </w:r>
          <w:r>
            <w:rPr>
              <w:b/>
            </w:rPr>
            <w:fldChar w:fldCharType="separate"/>
          </w:r>
          <w:r>
            <w:rPr>
              <w:b/>
            </w:rPr>
            <w:t>DP/DCP/AZE/</w:t>
          </w:r>
          <w:r>
            <w:rPr>
              <w:b/>
            </w:rPr>
            <w:fldChar w:fldCharType="end"/>
          </w:r>
          <w:r>
            <w:rPr>
              <w:b/>
            </w:rPr>
            <w:t>4</w:t>
          </w:r>
        </w:p>
      </w:tc>
      <w:tc>
        <w:tcPr>
          <w:tcW w:w="5028" w:type="dxa"/>
          <w:shd w:val="clear" w:color="auto" w:fill="auto"/>
          <w:vAlign w:val="bottom"/>
        </w:tcPr>
        <w:p w14:paraId="70D90831" w14:textId="77777777" w:rsidR="00435A15" w:rsidRDefault="00435A15" w:rsidP="0019448E">
          <w:pPr>
            <w:pStyle w:val="Header"/>
          </w:pPr>
        </w:p>
      </w:tc>
    </w:tr>
  </w:tbl>
  <w:p w14:paraId="43829B87" w14:textId="77777777" w:rsidR="00435A15" w:rsidRPr="0019448E" w:rsidRDefault="00435A15" w:rsidP="001944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35A15" w14:paraId="5268E375" w14:textId="77777777" w:rsidTr="0019448E">
      <w:trPr>
        <w:trHeight w:hRule="exact" w:val="864"/>
      </w:trPr>
      <w:tc>
        <w:tcPr>
          <w:tcW w:w="4838" w:type="dxa"/>
          <w:shd w:val="clear" w:color="auto" w:fill="auto"/>
          <w:vAlign w:val="bottom"/>
        </w:tcPr>
        <w:p w14:paraId="7181CE24" w14:textId="77777777" w:rsidR="00435A15" w:rsidRDefault="00435A15" w:rsidP="0019448E">
          <w:pPr>
            <w:pStyle w:val="Header"/>
          </w:pPr>
        </w:p>
      </w:tc>
      <w:tc>
        <w:tcPr>
          <w:tcW w:w="5028" w:type="dxa"/>
          <w:shd w:val="clear" w:color="auto" w:fill="auto"/>
          <w:vAlign w:val="bottom"/>
        </w:tcPr>
        <w:p w14:paraId="1BCE3F8E" w14:textId="77777777" w:rsidR="00435A15" w:rsidRPr="0019448E" w:rsidRDefault="00435A15" w:rsidP="0019448E">
          <w:pPr>
            <w:pStyle w:val="Header"/>
            <w:spacing w:after="80"/>
            <w:jc w:val="right"/>
            <w:rPr>
              <w:b/>
            </w:rPr>
          </w:pPr>
          <w:r>
            <w:rPr>
              <w:b/>
            </w:rPr>
            <w:fldChar w:fldCharType="begin"/>
          </w:r>
          <w:r>
            <w:rPr>
              <w:b/>
            </w:rPr>
            <w:instrText xml:space="preserve"> DOCVARIABLE "sss1" \* MERGEFORMAT </w:instrText>
          </w:r>
          <w:r>
            <w:rPr>
              <w:b/>
            </w:rPr>
            <w:fldChar w:fldCharType="separate"/>
          </w:r>
          <w:r>
            <w:rPr>
              <w:b/>
            </w:rPr>
            <w:t>DP/DCP/AZE/3</w:t>
          </w:r>
          <w:r>
            <w:rPr>
              <w:b/>
            </w:rPr>
            <w:fldChar w:fldCharType="end"/>
          </w:r>
        </w:p>
      </w:tc>
    </w:tr>
  </w:tbl>
  <w:p w14:paraId="1CEAD42D" w14:textId="77777777" w:rsidR="00435A15" w:rsidRPr="0019448E" w:rsidRDefault="00435A15" w:rsidP="00194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15:restartNumberingAfterBreak="0">
    <w:nsid w:val="6A6D2939"/>
    <w:multiLevelType w:val="hybridMultilevel"/>
    <w:tmpl w:val="740EDC8E"/>
    <w:lvl w:ilvl="0" w:tplc="69487622">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0689*"/>
    <w:docVar w:name="CreationDt" w:val="09/07/2015 5:37: PM"/>
    <w:docVar w:name="DocCategory" w:val="Doc"/>
    <w:docVar w:name="DocType" w:val="Final"/>
    <w:docVar w:name="DutyStation" w:val="New York"/>
    <w:docVar w:name="FooterJN" w:val="15-10689"/>
    <w:docVar w:name="jobn" w:val="15-10689 (E)"/>
    <w:docVar w:name="jobnDT" w:val="15-10689 (E)   090715"/>
    <w:docVar w:name="jobnDTDT" w:val="15-10689 (E)   090715   090715"/>
    <w:docVar w:name="JobNo" w:val="1510689E"/>
    <w:docVar w:name="JobNo2" w:val="1520027E"/>
    <w:docVar w:name="LocalDrive" w:val="0"/>
    <w:docVar w:name="OandT" w:val=" "/>
    <w:docVar w:name="PaperSize" w:val="Letter"/>
    <w:docVar w:name="sss1" w:val="DP/DCP/AZE/3"/>
    <w:docVar w:name="sss2" w:val="-"/>
    <w:docVar w:name="Symbol1" w:val="DP/DCP/AZE/3"/>
    <w:docVar w:name="Symbol2" w:val="-"/>
  </w:docVars>
  <w:rsids>
    <w:rsidRoot w:val="00271005"/>
    <w:rsid w:val="00001131"/>
    <w:rsid w:val="0000301C"/>
    <w:rsid w:val="000044BD"/>
    <w:rsid w:val="00010CB2"/>
    <w:rsid w:val="000137FE"/>
    <w:rsid w:val="00013C9F"/>
    <w:rsid w:val="00013FC8"/>
    <w:rsid w:val="00015F22"/>
    <w:rsid w:val="0001793F"/>
    <w:rsid w:val="00021540"/>
    <w:rsid w:val="000243C1"/>
    <w:rsid w:val="00024B08"/>
    <w:rsid w:val="00025848"/>
    <w:rsid w:val="00032100"/>
    <w:rsid w:val="0003242E"/>
    <w:rsid w:val="000373BA"/>
    <w:rsid w:val="00041CAB"/>
    <w:rsid w:val="00051981"/>
    <w:rsid w:val="00051D6F"/>
    <w:rsid w:val="00054828"/>
    <w:rsid w:val="00057FD3"/>
    <w:rsid w:val="00060460"/>
    <w:rsid w:val="00060FB4"/>
    <w:rsid w:val="00062E0F"/>
    <w:rsid w:val="00073B00"/>
    <w:rsid w:val="00077A15"/>
    <w:rsid w:val="00077C68"/>
    <w:rsid w:val="00077DB0"/>
    <w:rsid w:val="00081CC0"/>
    <w:rsid w:val="000873DA"/>
    <w:rsid w:val="0009142F"/>
    <w:rsid w:val="00092059"/>
    <w:rsid w:val="000930EA"/>
    <w:rsid w:val="00095653"/>
    <w:rsid w:val="00096611"/>
    <w:rsid w:val="00096B90"/>
    <w:rsid w:val="000A1401"/>
    <w:rsid w:val="000B2AB1"/>
    <w:rsid w:val="000B6F32"/>
    <w:rsid w:val="000C30BC"/>
    <w:rsid w:val="000C676D"/>
    <w:rsid w:val="000E3E97"/>
    <w:rsid w:val="000E4DB4"/>
    <w:rsid w:val="000E578F"/>
    <w:rsid w:val="000E6736"/>
    <w:rsid w:val="000E7174"/>
    <w:rsid w:val="000F0681"/>
    <w:rsid w:val="000F6E1A"/>
    <w:rsid w:val="0010029F"/>
    <w:rsid w:val="00104C2F"/>
    <w:rsid w:val="00105C9B"/>
    <w:rsid w:val="00107D5F"/>
    <w:rsid w:val="0011241F"/>
    <w:rsid w:val="00113764"/>
    <w:rsid w:val="00114F9E"/>
    <w:rsid w:val="0011565A"/>
    <w:rsid w:val="0012032E"/>
    <w:rsid w:val="001208CF"/>
    <w:rsid w:val="0012652C"/>
    <w:rsid w:val="0013197A"/>
    <w:rsid w:val="00132F77"/>
    <w:rsid w:val="00135DA1"/>
    <w:rsid w:val="00136ECF"/>
    <w:rsid w:val="001431A8"/>
    <w:rsid w:val="00146E4B"/>
    <w:rsid w:val="001505B6"/>
    <w:rsid w:val="00152C51"/>
    <w:rsid w:val="00154A7D"/>
    <w:rsid w:val="00161F08"/>
    <w:rsid w:val="00163673"/>
    <w:rsid w:val="00164BCE"/>
    <w:rsid w:val="001652E9"/>
    <w:rsid w:val="001653FB"/>
    <w:rsid w:val="0017380E"/>
    <w:rsid w:val="001745C0"/>
    <w:rsid w:val="00174769"/>
    <w:rsid w:val="001809B5"/>
    <w:rsid w:val="00182B15"/>
    <w:rsid w:val="00184193"/>
    <w:rsid w:val="001917A6"/>
    <w:rsid w:val="0019245C"/>
    <w:rsid w:val="00192845"/>
    <w:rsid w:val="001936F0"/>
    <w:rsid w:val="0019448E"/>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7E54"/>
    <w:rsid w:val="001D1F8D"/>
    <w:rsid w:val="001D4790"/>
    <w:rsid w:val="001D7216"/>
    <w:rsid w:val="001E077C"/>
    <w:rsid w:val="001E0B55"/>
    <w:rsid w:val="001E4D56"/>
    <w:rsid w:val="001E5AE9"/>
    <w:rsid w:val="001E5E13"/>
    <w:rsid w:val="001E6CDB"/>
    <w:rsid w:val="001F2BDA"/>
    <w:rsid w:val="001F5923"/>
    <w:rsid w:val="001F5FE7"/>
    <w:rsid w:val="001F670D"/>
    <w:rsid w:val="001F6818"/>
    <w:rsid w:val="001F6E66"/>
    <w:rsid w:val="001F78BC"/>
    <w:rsid w:val="001F7C50"/>
    <w:rsid w:val="001F7CCF"/>
    <w:rsid w:val="00211F3F"/>
    <w:rsid w:val="00213104"/>
    <w:rsid w:val="002141E3"/>
    <w:rsid w:val="00221573"/>
    <w:rsid w:val="00222D9B"/>
    <w:rsid w:val="00223E81"/>
    <w:rsid w:val="00225B63"/>
    <w:rsid w:val="00232F19"/>
    <w:rsid w:val="002346A6"/>
    <w:rsid w:val="00234C5B"/>
    <w:rsid w:val="00236DA6"/>
    <w:rsid w:val="00236E6D"/>
    <w:rsid w:val="00243655"/>
    <w:rsid w:val="00244584"/>
    <w:rsid w:val="002453F5"/>
    <w:rsid w:val="00247636"/>
    <w:rsid w:val="00250693"/>
    <w:rsid w:val="002508E9"/>
    <w:rsid w:val="002513C8"/>
    <w:rsid w:val="00251A44"/>
    <w:rsid w:val="00254277"/>
    <w:rsid w:val="00256A49"/>
    <w:rsid w:val="0025759D"/>
    <w:rsid w:val="00264279"/>
    <w:rsid w:val="00271005"/>
    <w:rsid w:val="002713B7"/>
    <w:rsid w:val="0027290F"/>
    <w:rsid w:val="00274B66"/>
    <w:rsid w:val="00275106"/>
    <w:rsid w:val="00275598"/>
    <w:rsid w:val="00275784"/>
    <w:rsid w:val="00276B79"/>
    <w:rsid w:val="00281885"/>
    <w:rsid w:val="00284AF2"/>
    <w:rsid w:val="002877DA"/>
    <w:rsid w:val="00290C42"/>
    <w:rsid w:val="002918E4"/>
    <w:rsid w:val="00296E6C"/>
    <w:rsid w:val="002A2A24"/>
    <w:rsid w:val="002A5739"/>
    <w:rsid w:val="002A5DBE"/>
    <w:rsid w:val="002B0DEC"/>
    <w:rsid w:val="002B4B8E"/>
    <w:rsid w:val="002B649C"/>
    <w:rsid w:val="002B77DF"/>
    <w:rsid w:val="002C0552"/>
    <w:rsid w:val="002C12A1"/>
    <w:rsid w:val="002C69A3"/>
    <w:rsid w:val="002D25CC"/>
    <w:rsid w:val="002D4228"/>
    <w:rsid w:val="002D4776"/>
    <w:rsid w:val="002E1C17"/>
    <w:rsid w:val="002F0531"/>
    <w:rsid w:val="002F5FAC"/>
    <w:rsid w:val="00300297"/>
    <w:rsid w:val="00303242"/>
    <w:rsid w:val="00311E4B"/>
    <w:rsid w:val="00312D4B"/>
    <w:rsid w:val="00314F83"/>
    <w:rsid w:val="00316C23"/>
    <w:rsid w:val="00321A47"/>
    <w:rsid w:val="003245CB"/>
    <w:rsid w:val="00324F2D"/>
    <w:rsid w:val="003268E2"/>
    <w:rsid w:val="00326A29"/>
    <w:rsid w:val="0032749A"/>
    <w:rsid w:val="00327EBA"/>
    <w:rsid w:val="003302D1"/>
    <w:rsid w:val="00332088"/>
    <w:rsid w:val="003345CC"/>
    <w:rsid w:val="00341AF8"/>
    <w:rsid w:val="003466DC"/>
    <w:rsid w:val="00347DD3"/>
    <w:rsid w:val="00347EDB"/>
    <w:rsid w:val="00350876"/>
    <w:rsid w:val="00357AA1"/>
    <w:rsid w:val="00365017"/>
    <w:rsid w:val="003769DF"/>
    <w:rsid w:val="0037786A"/>
    <w:rsid w:val="00383922"/>
    <w:rsid w:val="00387FE0"/>
    <w:rsid w:val="003928D1"/>
    <w:rsid w:val="00394D0D"/>
    <w:rsid w:val="003A13CD"/>
    <w:rsid w:val="003A5087"/>
    <w:rsid w:val="003B0DE7"/>
    <w:rsid w:val="003B102B"/>
    <w:rsid w:val="003C05E2"/>
    <w:rsid w:val="003C0D55"/>
    <w:rsid w:val="003C3A7D"/>
    <w:rsid w:val="003C43F7"/>
    <w:rsid w:val="003D5797"/>
    <w:rsid w:val="003D7F08"/>
    <w:rsid w:val="003E0D98"/>
    <w:rsid w:val="003E72BD"/>
    <w:rsid w:val="003E78BF"/>
    <w:rsid w:val="003F1E2B"/>
    <w:rsid w:val="003F49AB"/>
    <w:rsid w:val="003F4EDB"/>
    <w:rsid w:val="00401E19"/>
    <w:rsid w:val="0040560E"/>
    <w:rsid w:val="00407301"/>
    <w:rsid w:val="00410A02"/>
    <w:rsid w:val="004125C5"/>
    <w:rsid w:val="00412ACF"/>
    <w:rsid w:val="00414F44"/>
    <w:rsid w:val="0041500E"/>
    <w:rsid w:val="00425AAF"/>
    <w:rsid w:val="00434183"/>
    <w:rsid w:val="00435A15"/>
    <w:rsid w:val="00436F8A"/>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7D0A"/>
    <w:rsid w:val="004907C3"/>
    <w:rsid w:val="00492648"/>
    <w:rsid w:val="00494C70"/>
    <w:rsid w:val="00496B26"/>
    <w:rsid w:val="00497BF5"/>
    <w:rsid w:val="004A06AE"/>
    <w:rsid w:val="004A36EA"/>
    <w:rsid w:val="004A5068"/>
    <w:rsid w:val="004A635B"/>
    <w:rsid w:val="004A6F00"/>
    <w:rsid w:val="004B6AB6"/>
    <w:rsid w:val="004B732D"/>
    <w:rsid w:val="004C0A4B"/>
    <w:rsid w:val="004C599F"/>
    <w:rsid w:val="004C7A38"/>
    <w:rsid w:val="004C7E05"/>
    <w:rsid w:val="004D0839"/>
    <w:rsid w:val="004D0C85"/>
    <w:rsid w:val="004D2970"/>
    <w:rsid w:val="004D3027"/>
    <w:rsid w:val="004D4B9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753C"/>
    <w:rsid w:val="005619C0"/>
    <w:rsid w:val="00566B69"/>
    <w:rsid w:val="00567F84"/>
    <w:rsid w:val="005729BA"/>
    <w:rsid w:val="0057512C"/>
    <w:rsid w:val="005827E6"/>
    <w:rsid w:val="00583963"/>
    <w:rsid w:val="00586902"/>
    <w:rsid w:val="00586986"/>
    <w:rsid w:val="00591C19"/>
    <w:rsid w:val="00594A53"/>
    <w:rsid w:val="00595BC5"/>
    <w:rsid w:val="005A3D90"/>
    <w:rsid w:val="005B0B96"/>
    <w:rsid w:val="005B2598"/>
    <w:rsid w:val="005B426E"/>
    <w:rsid w:val="005B500B"/>
    <w:rsid w:val="005B6B7F"/>
    <w:rsid w:val="005C2441"/>
    <w:rsid w:val="005C394D"/>
    <w:rsid w:val="005C639D"/>
    <w:rsid w:val="005C76B7"/>
    <w:rsid w:val="005D0BE5"/>
    <w:rsid w:val="005D3D41"/>
    <w:rsid w:val="005E0744"/>
    <w:rsid w:val="005E360C"/>
    <w:rsid w:val="005E5074"/>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16994"/>
    <w:rsid w:val="006208E6"/>
    <w:rsid w:val="0062207B"/>
    <w:rsid w:val="006242A5"/>
    <w:rsid w:val="006246A9"/>
    <w:rsid w:val="0062527E"/>
    <w:rsid w:val="006300B5"/>
    <w:rsid w:val="00634617"/>
    <w:rsid w:val="00634FA8"/>
    <w:rsid w:val="00645A2F"/>
    <w:rsid w:val="00647710"/>
    <w:rsid w:val="006520C7"/>
    <w:rsid w:val="00653B25"/>
    <w:rsid w:val="00656459"/>
    <w:rsid w:val="0066134F"/>
    <w:rsid w:val="0066368E"/>
    <w:rsid w:val="00664D5F"/>
    <w:rsid w:val="00665391"/>
    <w:rsid w:val="0067014A"/>
    <w:rsid w:val="0067025A"/>
    <w:rsid w:val="00673A86"/>
    <w:rsid w:val="00673D70"/>
    <w:rsid w:val="00677C8D"/>
    <w:rsid w:val="006845F9"/>
    <w:rsid w:val="006904DC"/>
    <w:rsid w:val="00694DAB"/>
    <w:rsid w:val="006964B0"/>
    <w:rsid w:val="00696C4F"/>
    <w:rsid w:val="00696DA0"/>
    <w:rsid w:val="0069758C"/>
    <w:rsid w:val="006A012D"/>
    <w:rsid w:val="006A33A3"/>
    <w:rsid w:val="006A45EA"/>
    <w:rsid w:val="006A630B"/>
    <w:rsid w:val="006A7C03"/>
    <w:rsid w:val="006B4FAA"/>
    <w:rsid w:val="006B513C"/>
    <w:rsid w:val="006B6458"/>
    <w:rsid w:val="006B6CD0"/>
    <w:rsid w:val="006B6EDE"/>
    <w:rsid w:val="006C3723"/>
    <w:rsid w:val="006D0C8A"/>
    <w:rsid w:val="006D149C"/>
    <w:rsid w:val="006D42DA"/>
    <w:rsid w:val="006D74B5"/>
    <w:rsid w:val="006D766E"/>
    <w:rsid w:val="006E0E18"/>
    <w:rsid w:val="006E43E3"/>
    <w:rsid w:val="006E5457"/>
    <w:rsid w:val="006F40EA"/>
    <w:rsid w:val="006F5108"/>
    <w:rsid w:val="006F6266"/>
    <w:rsid w:val="00702C5A"/>
    <w:rsid w:val="00704652"/>
    <w:rsid w:val="007222CF"/>
    <w:rsid w:val="0072272F"/>
    <w:rsid w:val="00724074"/>
    <w:rsid w:val="00730B23"/>
    <w:rsid w:val="007417DD"/>
    <w:rsid w:val="007608D8"/>
    <w:rsid w:val="007637FC"/>
    <w:rsid w:val="0076482E"/>
    <w:rsid w:val="007669B0"/>
    <w:rsid w:val="0078007F"/>
    <w:rsid w:val="00780BE7"/>
    <w:rsid w:val="00783F24"/>
    <w:rsid w:val="0078480B"/>
    <w:rsid w:val="00787D22"/>
    <w:rsid w:val="007932C1"/>
    <w:rsid w:val="0079386A"/>
    <w:rsid w:val="00795305"/>
    <w:rsid w:val="00796A8E"/>
    <w:rsid w:val="00797A72"/>
    <w:rsid w:val="007A196D"/>
    <w:rsid w:val="007A4518"/>
    <w:rsid w:val="007A4F17"/>
    <w:rsid w:val="007A5254"/>
    <w:rsid w:val="007A6F6C"/>
    <w:rsid w:val="007B3AC6"/>
    <w:rsid w:val="007B6885"/>
    <w:rsid w:val="007C29F7"/>
    <w:rsid w:val="007C3EEC"/>
    <w:rsid w:val="007C5499"/>
    <w:rsid w:val="007C6394"/>
    <w:rsid w:val="007C78B7"/>
    <w:rsid w:val="007D2E6A"/>
    <w:rsid w:val="007D586B"/>
    <w:rsid w:val="007D5E0A"/>
    <w:rsid w:val="007D7C7B"/>
    <w:rsid w:val="007E3D89"/>
    <w:rsid w:val="007E46AE"/>
    <w:rsid w:val="007E5210"/>
    <w:rsid w:val="007E7AFA"/>
    <w:rsid w:val="007F23CE"/>
    <w:rsid w:val="007F3C8D"/>
    <w:rsid w:val="007F4A1D"/>
    <w:rsid w:val="007F4CB6"/>
    <w:rsid w:val="007F621D"/>
    <w:rsid w:val="007F6537"/>
    <w:rsid w:val="00802C43"/>
    <w:rsid w:val="00810F2C"/>
    <w:rsid w:val="00826ECD"/>
    <w:rsid w:val="00832F7F"/>
    <w:rsid w:val="00835605"/>
    <w:rsid w:val="00836679"/>
    <w:rsid w:val="00837F18"/>
    <w:rsid w:val="008446CE"/>
    <w:rsid w:val="00844747"/>
    <w:rsid w:val="00844846"/>
    <w:rsid w:val="008470B8"/>
    <w:rsid w:val="0084786F"/>
    <w:rsid w:val="00852178"/>
    <w:rsid w:val="00853FF3"/>
    <w:rsid w:val="0085451D"/>
    <w:rsid w:val="00854EC8"/>
    <w:rsid w:val="008603B4"/>
    <w:rsid w:val="008640BE"/>
    <w:rsid w:val="008642D7"/>
    <w:rsid w:val="0086531E"/>
    <w:rsid w:val="00865C17"/>
    <w:rsid w:val="00867748"/>
    <w:rsid w:val="00874731"/>
    <w:rsid w:val="00875D2D"/>
    <w:rsid w:val="0088004A"/>
    <w:rsid w:val="0088069E"/>
    <w:rsid w:val="00880CB5"/>
    <w:rsid w:val="00882652"/>
    <w:rsid w:val="00883577"/>
    <w:rsid w:val="00884D77"/>
    <w:rsid w:val="008858E6"/>
    <w:rsid w:val="00885F41"/>
    <w:rsid w:val="008915FF"/>
    <w:rsid w:val="00896C72"/>
    <w:rsid w:val="008971FD"/>
    <w:rsid w:val="008A7260"/>
    <w:rsid w:val="008A7B66"/>
    <w:rsid w:val="008B026E"/>
    <w:rsid w:val="008B22EF"/>
    <w:rsid w:val="008B38BA"/>
    <w:rsid w:val="008B6F9A"/>
    <w:rsid w:val="008C0422"/>
    <w:rsid w:val="008C04D4"/>
    <w:rsid w:val="008C3E90"/>
    <w:rsid w:val="008C4CE3"/>
    <w:rsid w:val="008C7168"/>
    <w:rsid w:val="008D006F"/>
    <w:rsid w:val="008D2798"/>
    <w:rsid w:val="008D34F4"/>
    <w:rsid w:val="008E2435"/>
    <w:rsid w:val="008E2700"/>
    <w:rsid w:val="008E4C20"/>
    <w:rsid w:val="008F3AD2"/>
    <w:rsid w:val="008F78FD"/>
    <w:rsid w:val="00902473"/>
    <w:rsid w:val="00902D37"/>
    <w:rsid w:val="00902F4F"/>
    <w:rsid w:val="00902F7B"/>
    <w:rsid w:val="009117E9"/>
    <w:rsid w:val="00914C7E"/>
    <w:rsid w:val="00916EBB"/>
    <w:rsid w:val="00917137"/>
    <w:rsid w:val="00920276"/>
    <w:rsid w:val="0092264E"/>
    <w:rsid w:val="00923057"/>
    <w:rsid w:val="00923331"/>
    <w:rsid w:val="00924CEA"/>
    <w:rsid w:val="00926CD2"/>
    <w:rsid w:val="00927DEE"/>
    <w:rsid w:val="00930C56"/>
    <w:rsid w:val="00933F9A"/>
    <w:rsid w:val="00934AED"/>
    <w:rsid w:val="00935F51"/>
    <w:rsid w:val="00936E96"/>
    <w:rsid w:val="00941EDA"/>
    <w:rsid w:val="00945C9B"/>
    <w:rsid w:val="00955C4C"/>
    <w:rsid w:val="009567F0"/>
    <w:rsid w:val="00956D53"/>
    <w:rsid w:val="00956E53"/>
    <w:rsid w:val="00961D71"/>
    <w:rsid w:val="00961E03"/>
    <w:rsid w:val="00963A67"/>
    <w:rsid w:val="009642DF"/>
    <w:rsid w:val="009659BF"/>
    <w:rsid w:val="00966166"/>
    <w:rsid w:val="00966C76"/>
    <w:rsid w:val="00974073"/>
    <w:rsid w:val="00976852"/>
    <w:rsid w:val="009824C8"/>
    <w:rsid w:val="00987852"/>
    <w:rsid w:val="00993D85"/>
    <w:rsid w:val="009946BE"/>
    <w:rsid w:val="0099600D"/>
    <w:rsid w:val="009A08DF"/>
    <w:rsid w:val="009A64C4"/>
    <w:rsid w:val="009B6E27"/>
    <w:rsid w:val="009C20D0"/>
    <w:rsid w:val="009C219D"/>
    <w:rsid w:val="009C4614"/>
    <w:rsid w:val="009D23EF"/>
    <w:rsid w:val="009D7F7A"/>
    <w:rsid w:val="009E1D8F"/>
    <w:rsid w:val="009E1EC0"/>
    <w:rsid w:val="009E58F1"/>
    <w:rsid w:val="009E6C4F"/>
    <w:rsid w:val="009E70E6"/>
    <w:rsid w:val="009F0EFA"/>
    <w:rsid w:val="009F11CF"/>
    <w:rsid w:val="009F1279"/>
    <w:rsid w:val="009F68B5"/>
    <w:rsid w:val="009F7789"/>
    <w:rsid w:val="00A0449E"/>
    <w:rsid w:val="00A05B1C"/>
    <w:rsid w:val="00A07847"/>
    <w:rsid w:val="00A12857"/>
    <w:rsid w:val="00A16DCD"/>
    <w:rsid w:val="00A2006B"/>
    <w:rsid w:val="00A24811"/>
    <w:rsid w:val="00A251C7"/>
    <w:rsid w:val="00A26996"/>
    <w:rsid w:val="00A274FC"/>
    <w:rsid w:val="00A33C7F"/>
    <w:rsid w:val="00A35945"/>
    <w:rsid w:val="00A4014F"/>
    <w:rsid w:val="00A42868"/>
    <w:rsid w:val="00A44A1E"/>
    <w:rsid w:val="00A4565A"/>
    <w:rsid w:val="00A50ED5"/>
    <w:rsid w:val="00A52CCD"/>
    <w:rsid w:val="00A545B2"/>
    <w:rsid w:val="00A554A0"/>
    <w:rsid w:val="00A55544"/>
    <w:rsid w:val="00A56356"/>
    <w:rsid w:val="00A5745C"/>
    <w:rsid w:val="00A6100C"/>
    <w:rsid w:val="00A653A2"/>
    <w:rsid w:val="00A675FD"/>
    <w:rsid w:val="00A719F9"/>
    <w:rsid w:val="00A71BB0"/>
    <w:rsid w:val="00A74979"/>
    <w:rsid w:val="00A7696A"/>
    <w:rsid w:val="00A769C4"/>
    <w:rsid w:val="00A77FFB"/>
    <w:rsid w:val="00A81690"/>
    <w:rsid w:val="00A83C88"/>
    <w:rsid w:val="00A90C30"/>
    <w:rsid w:val="00AA4BEA"/>
    <w:rsid w:val="00AA5215"/>
    <w:rsid w:val="00AA7474"/>
    <w:rsid w:val="00AB2280"/>
    <w:rsid w:val="00AB546D"/>
    <w:rsid w:val="00AC1F01"/>
    <w:rsid w:val="00AC3BFA"/>
    <w:rsid w:val="00AD4C00"/>
    <w:rsid w:val="00AD4D03"/>
    <w:rsid w:val="00AD64D8"/>
    <w:rsid w:val="00AD7301"/>
    <w:rsid w:val="00AE0079"/>
    <w:rsid w:val="00AE00C7"/>
    <w:rsid w:val="00AE1D5D"/>
    <w:rsid w:val="00AE4035"/>
    <w:rsid w:val="00AE6470"/>
    <w:rsid w:val="00AE6AFF"/>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504"/>
    <w:rsid w:val="00B63FF7"/>
    <w:rsid w:val="00B64723"/>
    <w:rsid w:val="00B6608A"/>
    <w:rsid w:val="00B67B92"/>
    <w:rsid w:val="00B704AF"/>
    <w:rsid w:val="00B72250"/>
    <w:rsid w:val="00B76E81"/>
    <w:rsid w:val="00B8044B"/>
    <w:rsid w:val="00B81452"/>
    <w:rsid w:val="00B8270B"/>
    <w:rsid w:val="00B82AC7"/>
    <w:rsid w:val="00B8709A"/>
    <w:rsid w:val="00B93E9A"/>
    <w:rsid w:val="00B9457D"/>
    <w:rsid w:val="00BA0F90"/>
    <w:rsid w:val="00BB1AD4"/>
    <w:rsid w:val="00BB3145"/>
    <w:rsid w:val="00BC44E5"/>
    <w:rsid w:val="00BC44EE"/>
    <w:rsid w:val="00BD0908"/>
    <w:rsid w:val="00BD0D6B"/>
    <w:rsid w:val="00BD0DCE"/>
    <w:rsid w:val="00BD2782"/>
    <w:rsid w:val="00BD54BF"/>
    <w:rsid w:val="00BD7175"/>
    <w:rsid w:val="00BE0DC8"/>
    <w:rsid w:val="00BE79D1"/>
    <w:rsid w:val="00BF4169"/>
    <w:rsid w:val="00BF472E"/>
    <w:rsid w:val="00BF7DFA"/>
    <w:rsid w:val="00C0184D"/>
    <w:rsid w:val="00C03CD1"/>
    <w:rsid w:val="00C057FC"/>
    <w:rsid w:val="00C07058"/>
    <w:rsid w:val="00C11584"/>
    <w:rsid w:val="00C12789"/>
    <w:rsid w:val="00C15933"/>
    <w:rsid w:val="00C167E7"/>
    <w:rsid w:val="00C20B4C"/>
    <w:rsid w:val="00C2494E"/>
    <w:rsid w:val="00C24D28"/>
    <w:rsid w:val="00C27D47"/>
    <w:rsid w:val="00C307BD"/>
    <w:rsid w:val="00C35789"/>
    <w:rsid w:val="00C42166"/>
    <w:rsid w:val="00C421CA"/>
    <w:rsid w:val="00C433B8"/>
    <w:rsid w:val="00C4446E"/>
    <w:rsid w:val="00C51E36"/>
    <w:rsid w:val="00C52000"/>
    <w:rsid w:val="00C61226"/>
    <w:rsid w:val="00C643AB"/>
    <w:rsid w:val="00C65EDC"/>
    <w:rsid w:val="00C72EF9"/>
    <w:rsid w:val="00C819A4"/>
    <w:rsid w:val="00C84B2D"/>
    <w:rsid w:val="00C85977"/>
    <w:rsid w:val="00C85CCE"/>
    <w:rsid w:val="00C870AF"/>
    <w:rsid w:val="00C903D3"/>
    <w:rsid w:val="00C91CCF"/>
    <w:rsid w:val="00C926AF"/>
    <w:rsid w:val="00CA07E4"/>
    <w:rsid w:val="00CA605D"/>
    <w:rsid w:val="00CA72F7"/>
    <w:rsid w:val="00CB0E45"/>
    <w:rsid w:val="00CB2F01"/>
    <w:rsid w:val="00CC1C6D"/>
    <w:rsid w:val="00CC4AF3"/>
    <w:rsid w:val="00CC5B87"/>
    <w:rsid w:val="00CD2501"/>
    <w:rsid w:val="00CD362B"/>
    <w:rsid w:val="00CD39B2"/>
    <w:rsid w:val="00CD3B11"/>
    <w:rsid w:val="00CD5CFD"/>
    <w:rsid w:val="00CD5D29"/>
    <w:rsid w:val="00CD7F8F"/>
    <w:rsid w:val="00CE1B29"/>
    <w:rsid w:val="00CF08B0"/>
    <w:rsid w:val="00CF2576"/>
    <w:rsid w:val="00CF734C"/>
    <w:rsid w:val="00D01548"/>
    <w:rsid w:val="00D048A7"/>
    <w:rsid w:val="00D05C08"/>
    <w:rsid w:val="00D13518"/>
    <w:rsid w:val="00D151CD"/>
    <w:rsid w:val="00D20003"/>
    <w:rsid w:val="00D23F3E"/>
    <w:rsid w:val="00D244DC"/>
    <w:rsid w:val="00D2681A"/>
    <w:rsid w:val="00D269E0"/>
    <w:rsid w:val="00D30E61"/>
    <w:rsid w:val="00D31D46"/>
    <w:rsid w:val="00D379B4"/>
    <w:rsid w:val="00D40316"/>
    <w:rsid w:val="00D413BF"/>
    <w:rsid w:val="00D426B1"/>
    <w:rsid w:val="00D43BD4"/>
    <w:rsid w:val="00D44AD6"/>
    <w:rsid w:val="00D513B3"/>
    <w:rsid w:val="00D54B65"/>
    <w:rsid w:val="00D703FE"/>
    <w:rsid w:val="00D750EB"/>
    <w:rsid w:val="00D77BBA"/>
    <w:rsid w:val="00D84F53"/>
    <w:rsid w:val="00D86EAE"/>
    <w:rsid w:val="00D936C9"/>
    <w:rsid w:val="00D94016"/>
    <w:rsid w:val="00D94AF5"/>
    <w:rsid w:val="00DA2FC4"/>
    <w:rsid w:val="00DA58BE"/>
    <w:rsid w:val="00DA6EC8"/>
    <w:rsid w:val="00DA7E22"/>
    <w:rsid w:val="00DB0521"/>
    <w:rsid w:val="00DB32C6"/>
    <w:rsid w:val="00DB537B"/>
    <w:rsid w:val="00DC15F1"/>
    <w:rsid w:val="00DC220C"/>
    <w:rsid w:val="00DC7543"/>
    <w:rsid w:val="00DD0473"/>
    <w:rsid w:val="00DD0B1F"/>
    <w:rsid w:val="00DD281C"/>
    <w:rsid w:val="00DD53BD"/>
    <w:rsid w:val="00DD6EA5"/>
    <w:rsid w:val="00DE0C29"/>
    <w:rsid w:val="00E02BE4"/>
    <w:rsid w:val="00E049B4"/>
    <w:rsid w:val="00E0514B"/>
    <w:rsid w:val="00E05A3F"/>
    <w:rsid w:val="00E05FB1"/>
    <w:rsid w:val="00E06DAD"/>
    <w:rsid w:val="00E103B0"/>
    <w:rsid w:val="00E1107B"/>
    <w:rsid w:val="00E2569F"/>
    <w:rsid w:val="00E34A2A"/>
    <w:rsid w:val="00E35AF0"/>
    <w:rsid w:val="00E362B3"/>
    <w:rsid w:val="00E37EE7"/>
    <w:rsid w:val="00E422E3"/>
    <w:rsid w:val="00E43688"/>
    <w:rsid w:val="00E456C6"/>
    <w:rsid w:val="00E47B5C"/>
    <w:rsid w:val="00E5289B"/>
    <w:rsid w:val="00E535FA"/>
    <w:rsid w:val="00E53E18"/>
    <w:rsid w:val="00E56BA7"/>
    <w:rsid w:val="00E5771D"/>
    <w:rsid w:val="00E63FCD"/>
    <w:rsid w:val="00E64F8A"/>
    <w:rsid w:val="00E67750"/>
    <w:rsid w:val="00E677E7"/>
    <w:rsid w:val="00E7008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D3A"/>
    <w:rsid w:val="00ED256B"/>
    <w:rsid w:val="00ED2C1E"/>
    <w:rsid w:val="00EE0440"/>
    <w:rsid w:val="00EE08E8"/>
    <w:rsid w:val="00EE6196"/>
    <w:rsid w:val="00EE77A2"/>
    <w:rsid w:val="00EF31CF"/>
    <w:rsid w:val="00EF478C"/>
    <w:rsid w:val="00EF4C0F"/>
    <w:rsid w:val="00EF63BE"/>
    <w:rsid w:val="00EF7692"/>
    <w:rsid w:val="00F06F38"/>
    <w:rsid w:val="00F12DCE"/>
    <w:rsid w:val="00F12FAD"/>
    <w:rsid w:val="00F13B57"/>
    <w:rsid w:val="00F142CB"/>
    <w:rsid w:val="00F16A17"/>
    <w:rsid w:val="00F20E96"/>
    <w:rsid w:val="00F25D2F"/>
    <w:rsid w:val="00F260C9"/>
    <w:rsid w:val="00F26E5C"/>
    <w:rsid w:val="00F272B2"/>
    <w:rsid w:val="00F30B11"/>
    <w:rsid w:val="00F31418"/>
    <w:rsid w:val="00F32DEE"/>
    <w:rsid w:val="00F34519"/>
    <w:rsid w:val="00F35998"/>
    <w:rsid w:val="00F44F26"/>
    <w:rsid w:val="00F455C2"/>
    <w:rsid w:val="00F45C7C"/>
    <w:rsid w:val="00F5385D"/>
    <w:rsid w:val="00F573A4"/>
    <w:rsid w:val="00F664D7"/>
    <w:rsid w:val="00F67DD9"/>
    <w:rsid w:val="00F7009B"/>
    <w:rsid w:val="00F70C0E"/>
    <w:rsid w:val="00F7137F"/>
    <w:rsid w:val="00F724E2"/>
    <w:rsid w:val="00F73835"/>
    <w:rsid w:val="00F742F9"/>
    <w:rsid w:val="00F819EA"/>
    <w:rsid w:val="00F82627"/>
    <w:rsid w:val="00F82744"/>
    <w:rsid w:val="00F828C2"/>
    <w:rsid w:val="00F83265"/>
    <w:rsid w:val="00F8507F"/>
    <w:rsid w:val="00F864B6"/>
    <w:rsid w:val="00F90544"/>
    <w:rsid w:val="00F9421B"/>
    <w:rsid w:val="00F94FF9"/>
    <w:rsid w:val="00F95D36"/>
    <w:rsid w:val="00F9791A"/>
    <w:rsid w:val="00FA02D8"/>
    <w:rsid w:val="00FA2355"/>
    <w:rsid w:val="00FA2933"/>
    <w:rsid w:val="00FA5B15"/>
    <w:rsid w:val="00FB05EA"/>
    <w:rsid w:val="00FB2AE2"/>
    <w:rsid w:val="00FC14AA"/>
    <w:rsid w:val="00FC3370"/>
    <w:rsid w:val="00FC3C0B"/>
    <w:rsid w:val="00FC43F4"/>
    <w:rsid w:val="00FC527B"/>
    <w:rsid w:val="00FC62E0"/>
    <w:rsid w:val="00FD4657"/>
    <w:rsid w:val="00FD78C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4C53E"/>
  <w15:docId w15:val="{0F7D7147-D5B1-4FFC-B023-EE40CF4D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FA"/>
    <w:pPr>
      <w:suppressAutoHyphens/>
      <w:spacing w:line="240" w:lineRule="exact"/>
    </w:pPr>
    <w:rPr>
      <w:spacing w:val="4"/>
      <w:w w:val="103"/>
      <w:kern w:val="14"/>
      <w:lang w:val="en-GB"/>
    </w:rPr>
  </w:style>
  <w:style w:type="paragraph" w:styleId="Heading1">
    <w:name w:val="heading 1"/>
    <w:basedOn w:val="Normal"/>
    <w:next w:val="Normal"/>
    <w:link w:val="Heading1Char"/>
    <w:qFormat/>
    <w:rsid w:val="003A13CD"/>
    <w:pPr>
      <w:keepNext/>
      <w:widowControl w:val="0"/>
      <w:spacing w:line="240" w:lineRule="auto"/>
      <w:outlineLvl w:val="0"/>
    </w:pPr>
    <w:rPr>
      <w:rFonts w:ascii="Courier" w:eastAsia="Times New Roman" w:hAnsi="Courier"/>
      <w:b/>
      <w:spacing w:val="-3"/>
      <w:w w:val="100"/>
      <w:kern w:val="0"/>
      <w:sz w:val="28"/>
      <w:lang w:val="en-US"/>
    </w:rPr>
  </w:style>
  <w:style w:type="paragraph" w:styleId="Heading2">
    <w:name w:val="heading 2"/>
    <w:basedOn w:val="Normal"/>
    <w:next w:val="Normal"/>
    <w:link w:val="Heading2Char"/>
    <w:qFormat/>
    <w:rsid w:val="003A13CD"/>
    <w:pPr>
      <w:keepNext/>
      <w:suppressAutoHyphens w:val="0"/>
      <w:spacing w:line="240" w:lineRule="auto"/>
      <w:jc w:val="center"/>
      <w:outlineLvl w:val="1"/>
    </w:pPr>
    <w:rPr>
      <w:rFonts w:ascii="Arial" w:eastAsia="Times New Roman" w:hAnsi="Arial"/>
      <w:b/>
      <w:spacing w:val="0"/>
      <w:w w:val="100"/>
      <w:kern w:val="0"/>
      <w:sz w:val="28"/>
      <w:lang w:val="en-US"/>
    </w:rPr>
  </w:style>
  <w:style w:type="paragraph" w:styleId="Heading4">
    <w:name w:val="heading 4"/>
    <w:basedOn w:val="Normal"/>
    <w:next w:val="Normal"/>
    <w:link w:val="Heading4Char"/>
    <w:semiHidden/>
    <w:unhideWhenUsed/>
    <w:qFormat/>
    <w:rsid w:val="00161F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586986"/>
    <w:pPr>
      <w:numPr>
        <w:numId w:val="2"/>
      </w:numPr>
      <w:tabs>
        <w:tab w:val="left" w:pos="2217"/>
      </w:tabs>
      <w:spacing w:after="120"/>
      <w:ind w:left="1746" w:right="1264" w:hanging="130"/>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19448E"/>
    <w:pPr>
      <w:spacing w:line="240" w:lineRule="auto"/>
    </w:pPr>
  </w:style>
  <w:style w:type="character" w:customStyle="1" w:styleId="CommentTextChar">
    <w:name w:val="Comment Text Char"/>
    <w:basedOn w:val="DefaultParagraphFont"/>
    <w:link w:val="CommentText"/>
    <w:rsid w:val="0019448E"/>
    <w:rPr>
      <w:spacing w:val="4"/>
      <w:w w:val="103"/>
      <w:kern w:val="14"/>
      <w:lang w:val="en-GB"/>
    </w:rPr>
  </w:style>
  <w:style w:type="paragraph" w:styleId="CommentSubject">
    <w:name w:val="annotation subject"/>
    <w:basedOn w:val="CommentText"/>
    <w:next w:val="CommentText"/>
    <w:link w:val="CommentSubjectChar"/>
    <w:rsid w:val="0019448E"/>
    <w:rPr>
      <w:b/>
      <w:bCs/>
    </w:rPr>
  </w:style>
  <w:style w:type="character" w:customStyle="1" w:styleId="CommentSubjectChar">
    <w:name w:val="Comment Subject Char"/>
    <w:basedOn w:val="CommentTextChar"/>
    <w:link w:val="CommentSubject"/>
    <w:rsid w:val="0019448E"/>
    <w:rPr>
      <w:b/>
      <w:bCs/>
      <w:spacing w:val="4"/>
      <w:w w:val="103"/>
      <w:kern w:val="14"/>
      <w:lang w:val="en-GB"/>
    </w:rPr>
  </w:style>
  <w:style w:type="character" w:customStyle="1" w:styleId="Heading1Char">
    <w:name w:val="Heading 1 Char"/>
    <w:basedOn w:val="DefaultParagraphFont"/>
    <w:link w:val="Heading1"/>
    <w:rsid w:val="003A13CD"/>
    <w:rPr>
      <w:rFonts w:ascii="Courier" w:eastAsia="Times New Roman" w:hAnsi="Courier"/>
      <w:b/>
      <w:spacing w:val="-3"/>
      <w:sz w:val="28"/>
    </w:rPr>
  </w:style>
  <w:style w:type="character" w:customStyle="1" w:styleId="Heading2Char">
    <w:name w:val="Heading 2 Char"/>
    <w:basedOn w:val="DefaultParagraphFont"/>
    <w:link w:val="Heading2"/>
    <w:rsid w:val="003A13CD"/>
    <w:rPr>
      <w:rFonts w:ascii="Arial" w:eastAsia="Times New Roman" w:hAnsi="Arial"/>
      <w:b/>
      <w:sz w:val="28"/>
    </w:rPr>
  </w:style>
  <w:style w:type="paragraph" w:styleId="ListParagraph">
    <w:name w:val="List Paragraph"/>
    <w:aliases w:val="List Square"/>
    <w:basedOn w:val="Normal"/>
    <w:link w:val="ListParagraphChar"/>
    <w:qFormat/>
    <w:rsid w:val="003A13CD"/>
    <w:pPr>
      <w:suppressAutoHyphens w:val="0"/>
      <w:spacing w:line="240" w:lineRule="auto"/>
      <w:ind w:left="720"/>
    </w:pPr>
    <w:rPr>
      <w:rFonts w:eastAsia="Times New Roman"/>
      <w:spacing w:val="0"/>
      <w:w w:val="100"/>
      <w:kern w:val="0"/>
      <w:lang w:val="en-US"/>
    </w:rPr>
  </w:style>
  <w:style w:type="character" w:customStyle="1" w:styleId="FootnoteTextChar">
    <w:name w:val="Footnote Text Char"/>
    <w:basedOn w:val="DefaultParagraphFont"/>
    <w:link w:val="FootnoteText"/>
    <w:rsid w:val="003A13CD"/>
    <w:rPr>
      <w:spacing w:val="5"/>
      <w:w w:val="103"/>
      <w:kern w:val="14"/>
      <w:sz w:val="17"/>
      <w:lang w:val="en-GB"/>
    </w:rPr>
  </w:style>
  <w:style w:type="character" w:customStyle="1" w:styleId="ReporttextChar">
    <w:name w:val="Report text Char"/>
    <w:link w:val="Reporttext"/>
    <w:locked/>
    <w:rsid w:val="003A13CD"/>
    <w:rPr>
      <w:rFonts w:ascii="Calibri" w:hAnsi="Calibri"/>
    </w:rPr>
  </w:style>
  <w:style w:type="paragraph" w:customStyle="1" w:styleId="Reporttext">
    <w:name w:val="Report text"/>
    <w:link w:val="ReporttextChar"/>
    <w:rsid w:val="003A13CD"/>
    <w:pPr>
      <w:spacing w:before="120"/>
    </w:pPr>
    <w:rPr>
      <w:rFonts w:ascii="Calibri" w:hAnsi="Calibri"/>
    </w:rPr>
  </w:style>
  <w:style w:type="paragraph" w:customStyle="1" w:styleId="Standard">
    <w:name w:val="Standard"/>
    <w:rsid w:val="003A13CD"/>
    <w:pPr>
      <w:suppressAutoHyphens/>
      <w:autoSpaceDN w:val="0"/>
    </w:pPr>
    <w:rPr>
      <w:rFonts w:eastAsia="Times New Roman"/>
      <w:kern w:val="3"/>
    </w:rPr>
  </w:style>
  <w:style w:type="character" w:customStyle="1" w:styleId="ListParagraphChar">
    <w:name w:val="List Paragraph Char"/>
    <w:aliases w:val="List Square Char"/>
    <w:link w:val="ListParagraph"/>
    <w:locked/>
    <w:rsid w:val="003A13CD"/>
    <w:rPr>
      <w:rFonts w:eastAsia="Times New Roman"/>
    </w:rPr>
  </w:style>
  <w:style w:type="character" w:customStyle="1" w:styleId="yiv4336471751">
    <w:name w:val="yiv4336471751"/>
    <w:rsid w:val="003A13CD"/>
  </w:style>
  <w:style w:type="paragraph" w:styleId="NoSpacing">
    <w:name w:val="No Spacing"/>
    <w:qFormat/>
    <w:rsid w:val="003A13CD"/>
    <w:pPr>
      <w:suppressAutoHyphens/>
      <w:autoSpaceDN w:val="0"/>
      <w:textAlignment w:val="baseline"/>
    </w:pPr>
    <w:rPr>
      <w:rFonts w:eastAsia="Times New Roman"/>
      <w:kern w:val="3"/>
    </w:rPr>
  </w:style>
  <w:style w:type="paragraph" w:styleId="NormalWeb">
    <w:name w:val="Normal (Web)"/>
    <w:basedOn w:val="Normal"/>
    <w:uiPriority w:val="99"/>
    <w:unhideWhenUsed/>
    <w:rsid w:val="003A13CD"/>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styleId="HTMLCite">
    <w:name w:val="HTML Cite"/>
    <w:basedOn w:val="DefaultParagraphFont"/>
    <w:uiPriority w:val="99"/>
    <w:unhideWhenUsed/>
    <w:rsid w:val="003A13CD"/>
    <w:rPr>
      <w:i/>
      <w:iCs/>
    </w:rPr>
  </w:style>
  <w:style w:type="character" w:styleId="Emphasis">
    <w:name w:val="Emphasis"/>
    <w:basedOn w:val="DefaultParagraphFont"/>
    <w:qFormat/>
    <w:rsid w:val="003A13CD"/>
    <w:rPr>
      <w:i/>
      <w:iCs/>
    </w:rPr>
  </w:style>
  <w:style w:type="character" w:customStyle="1" w:styleId="Heading4Char">
    <w:name w:val="Heading 4 Char"/>
    <w:basedOn w:val="DefaultParagraphFont"/>
    <w:link w:val="Heading4"/>
    <w:semiHidden/>
    <w:rsid w:val="00161F08"/>
    <w:rPr>
      <w:rFonts w:asciiTheme="majorHAnsi" w:eastAsiaTheme="majorEastAsia" w:hAnsiTheme="majorHAnsi" w:cstheme="majorBidi"/>
      <w:b/>
      <w:bCs/>
      <w:i/>
      <w:iCs/>
      <w:color w:val="4F81BD" w:themeColor="accent1"/>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3645-C31B-4CBA-995E-B58ACBA2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5482</Words>
  <Characters>31253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Svetlana Iazykova</cp:lastModifiedBy>
  <cp:revision>3</cp:revision>
  <cp:lastPrinted>2015-07-09T22:11:00Z</cp:lastPrinted>
  <dcterms:created xsi:type="dcterms:W3CDTF">2015-11-04T19:47:00Z</dcterms:created>
  <dcterms:modified xsi:type="dcterms:W3CDTF">2015-11-04T19:48:00Z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1510689</vt:lpwstr>
  </property>
  <property fmtid="{D5CDD505-2E9C-101B-9397-08002B2CF9AE}" pid="3" name="ODSRefJobNo">
    <vt:lpwstr>1520027E</vt:lpwstr>
  </property>
  <property fmtid="{D5CDD505-2E9C-101B-9397-08002B2CF9AE}" pid="4" name="Symbol1">
    <vt:lpwstr>DP/DCP/AZE/3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June 2015</vt:lpwstr>
  </property>
  <property fmtid="{D5CDD505-2E9C-101B-9397-08002B2CF9AE}" pid="9" name="Original">
    <vt:lpwstr>English</vt:lpwstr>
  </property>
  <property fmtid="{D5CDD505-2E9C-101B-9397-08002B2CF9AE}" pid="10" name="Release Date">
    <vt:lpwstr>090715</vt:lpwstr>
  </property>
  <property fmtid="{D5CDD505-2E9C-101B-9397-08002B2CF9AE}" pid="11" name="Comment">
    <vt:lpwstr/>
  </property>
  <property fmtid="{D5CDD505-2E9C-101B-9397-08002B2CF9AE}" pid="12" name="DraftPages">
    <vt:lpwstr>13pp </vt:lpwstr>
  </property>
  <property fmtid="{D5CDD505-2E9C-101B-9397-08002B2CF9AE}" pid="13" name="Operator">
    <vt:lpwstr>csm (f)</vt:lpwstr>
  </property>
</Properties>
</file>