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34347952"/>
        <w:docPartObj>
          <w:docPartGallery w:val="Cover Pages"/>
          <w:docPartUnique/>
        </w:docPartObj>
      </w:sdtPr>
      <w:sdtEndPr>
        <w:rPr>
          <w:rFonts w:ascii="Myriad Pro" w:hAnsi="Myriad Pro"/>
          <w:sz w:val="20"/>
          <w:szCs w:val="20"/>
        </w:rPr>
      </w:sdtEndPr>
      <w:sdtContent>
        <w:p w14:paraId="69235F63" w14:textId="0901F77E" w:rsidR="00837F49" w:rsidRPr="00944EAB" w:rsidRDefault="00AD2969">
          <w:pPr>
            <w:rPr>
              <w:color w:val="C00000"/>
            </w:rPr>
          </w:pPr>
          <w:r w:rsidRPr="00944EAB">
            <w:rPr>
              <w:rFonts w:ascii="Trebuchet MS" w:hAnsi="Trebuchet MS"/>
              <w:noProof/>
              <w:color w:val="C00000"/>
              <w:spacing w:val="-3"/>
              <w:sz w:val="24"/>
              <w:szCs w:val="24"/>
            </w:rPr>
            <w:drawing>
              <wp:anchor distT="0" distB="0" distL="114300" distR="114300" simplePos="0" relativeHeight="251664896" behindDoc="1" locked="0" layoutInCell="1" allowOverlap="1" wp14:anchorId="0ED65549" wp14:editId="4F929D32">
                <wp:simplePos x="0" y="0"/>
                <wp:positionH relativeFrom="column">
                  <wp:posOffset>-789940</wp:posOffset>
                </wp:positionH>
                <wp:positionV relativeFrom="page">
                  <wp:posOffset>1041400</wp:posOffset>
                </wp:positionV>
                <wp:extent cx="1478280" cy="1287780"/>
                <wp:effectExtent l="0" t="0" r="7620" b="7620"/>
                <wp:wrapTopAndBottom/>
                <wp:docPr id="3"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F49" w:rsidRPr="00944EAB">
            <w:rPr>
              <w:noProof/>
              <w:color w:val="C00000"/>
            </w:rPr>
            <mc:AlternateContent>
              <mc:Choice Requires="wpg">
                <w:drawing>
                  <wp:anchor distT="0" distB="0" distL="114300" distR="114300" simplePos="0" relativeHeight="251662848" behindDoc="0" locked="0" layoutInCell="1" allowOverlap="1" wp14:anchorId="46A57289" wp14:editId="5427D6C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1879F53"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0D0F48D6" w14:textId="77777777" w:rsidR="00837F49" w:rsidRDefault="00AD2969">
          <w:pPr>
            <w:spacing w:after="0" w:line="240" w:lineRule="auto"/>
            <w:rPr>
              <w:rFonts w:ascii="Myriad Pro" w:hAnsi="Myriad Pro"/>
              <w:sz w:val="20"/>
              <w:szCs w:val="20"/>
            </w:rPr>
          </w:pPr>
          <w:r>
            <w:rPr>
              <w:noProof/>
            </w:rPr>
            <mc:AlternateContent>
              <mc:Choice Requires="wps">
                <w:drawing>
                  <wp:anchor distT="0" distB="0" distL="114300" distR="114300" simplePos="0" relativeHeight="251660800" behindDoc="0" locked="0" layoutInCell="1" allowOverlap="1" wp14:anchorId="17673E14" wp14:editId="6EC53811">
                    <wp:simplePos x="0" y="0"/>
                    <wp:positionH relativeFrom="margin">
                      <wp:align>center</wp:align>
                    </wp:positionH>
                    <wp:positionV relativeFrom="page">
                      <wp:posOffset>8884920</wp:posOffset>
                    </wp:positionV>
                    <wp:extent cx="7313930" cy="91694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393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B8710" w14:textId="77777777" w:rsidR="003A6DC0" w:rsidRDefault="003A6DC0">
                                <w:pPr>
                                  <w:pStyle w:val="NoSpacing"/>
                                  <w:jc w:val="right"/>
                                  <w:rPr>
                                    <w:color w:val="595959" w:themeColor="text1" w:themeTint="A6"/>
                                    <w:sz w:val="28"/>
                                    <w:szCs w:val="28"/>
                                  </w:rPr>
                                </w:pPr>
                              </w:p>
                              <w:p w14:paraId="37E92197" w14:textId="77777777" w:rsidR="003A6DC0" w:rsidRDefault="003A6DC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673E14" id="_x0000_t202" coordsize="21600,21600" o:spt="202" path="m,l,21600r21600,l21600,xe">
                    <v:stroke joinstyle="miter"/>
                    <v:path gradientshapeok="t" o:connecttype="rect"/>
                  </v:shapetype>
                  <v:shape id="Text Box 152" o:spid="_x0000_s1026" type="#_x0000_t202" style="position:absolute;margin-left:0;margin-top:699.6pt;width:575.9pt;height:72.2pt;z-index:251660800;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" filled="f" stroked="f" strokeweight=".5pt">
                    <v:textbox inset="126pt,0,54pt,0">
                      <w:txbxContent>
                        <w:p w14:paraId="032B8710" w14:textId="77777777" w:rsidR="003A6DC0" w:rsidRDefault="003A6DC0">
                          <w:pPr>
                            <w:pStyle w:val="NoSpacing"/>
                            <w:jc w:val="right"/>
                            <w:rPr>
                              <w:color w:val="595959" w:themeColor="text1" w:themeTint="A6"/>
                              <w:sz w:val="28"/>
                              <w:szCs w:val="28"/>
                            </w:rPr>
                          </w:pPr>
                        </w:p>
                        <w:p w14:paraId="37E92197" w14:textId="77777777" w:rsidR="003A6DC0" w:rsidRDefault="003A6DC0">
                          <w:pPr>
                            <w:pStyle w:val="NoSpacing"/>
                            <w:jc w:val="right"/>
                            <w:rPr>
                              <w:color w:val="595959" w:themeColor="text1" w:themeTint="A6"/>
                              <w:sz w:val="18"/>
                              <w:szCs w:val="18"/>
                            </w:rPr>
                          </w:pPr>
                        </w:p>
                      </w:txbxContent>
                    </v:textbox>
                    <w10:wrap type="square" anchorx="margin" anchory="page"/>
                  </v:shape>
                </w:pict>
              </mc:Fallback>
            </mc:AlternateContent>
          </w:r>
          <w:r w:rsidR="00837F49">
            <w:rPr>
              <w:noProof/>
            </w:rPr>
            <mc:AlternateContent>
              <mc:Choice Requires="wps">
                <w:drawing>
                  <wp:anchor distT="0" distB="0" distL="114300" distR="114300" simplePos="0" relativeHeight="251659776" behindDoc="0" locked="0" layoutInCell="1" allowOverlap="1" wp14:anchorId="1F04C3DD" wp14:editId="14DAA71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57721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77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BDFEA" w14:textId="77777777" w:rsidR="003A6DC0" w:rsidRPr="00883881" w:rsidRDefault="003A6DC0" w:rsidP="00AD2969">
                                <w:pPr>
                                  <w:pStyle w:val="NoSpacing"/>
                                  <w:spacing w:before="40" w:after="40"/>
                                  <w:jc w:val="center"/>
                                  <w:rPr>
                                    <w:rFonts w:ascii="Times New Roman" w:hAnsi="Times New Roman"/>
                                    <w:caps/>
                                    <w:sz w:val="40"/>
                                    <w:szCs w:val="40"/>
                                  </w:rPr>
                                </w:pPr>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7FC9F20A" w14:textId="77777777" w:rsidR="003A6DC0" w:rsidRDefault="003A6DC0" w:rsidP="00AD2969">
                                <w:pPr>
                                  <w:jc w:val="center"/>
                                  <w:rPr>
                                    <w:smallCaps/>
                                    <w:color w:val="404040" w:themeColor="text1" w:themeTint="BF"/>
                                    <w:sz w:val="36"/>
                                    <w:szCs w:val="36"/>
                                  </w:rPr>
                                </w:pPr>
                                <w:r w:rsidRPr="00883881">
                                  <w:rPr>
                                    <w:rFonts w:ascii="Times New Roman" w:hAnsi="Times New Roman"/>
                                    <w:caps/>
                                    <w:sz w:val="40"/>
                                    <w:szCs w:val="40"/>
                                  </w:rPr>
                                  <w:t xml:space="preserve">Annual session, 6-10 </w:t>
                                </w:r>
                                <w:r w:rsidRPr="000712C1">
                                  <w:rPr>
                                    <w:rFonts w:ascii="Times New Roman" w:hAnsi="Times New Roman"/>
                                    <w:sz w:val="40"/>
                                    <w:szCs w:val="40"/>
                                  </w:rPr>
                                  <w:t>JUNE 2016</w:t>
                                </w:r>
                              </w:p>
                              <w:p w14:paraId="01576844" w14:textId="77777777" w:rsidR="003A6DC0" w:rsidRDefault="003A6DC0" w:rsidP="00837F49">
                                <w:pPr>
                                  <w:pStyle w:val="NoSpacing"/>
                                  <w:spacing w:before="40" w:after="560" w:line="216" w:lineRule="auto"/>
                                  <w:jc w:val="center"/>
                                  <w:rPr>
                                    <w:rFonts w:ascii="Times New Roman" w:hAnsi="Times New Roman"/>
                                    <w:b/>
                                    <w:sz w:val="40"/>
                                    <w:szCs w:val="40"/>
                                  </w:rPr>
                                </w:pPr>
                              </w:p>
                              <w:p w14:paraId="1147AB48" w14:textId="77777777" w:rsidR="003A6DC0" w:rsidRDefault="003A6DC0"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14:paraId="0582B3F1" w14:textId="77777777" w:rsidR="003A6DC0" w:rsidRDefault="003A6DC0" w:rsidP="00837F49">
                                <w:pPr>
                                  <w:pStyle w:val="NoSpacing"/>
                                  <w:numPr>
                                    <w:ilvl w:val="0"/>
                                    <w:numId w:val="36"/>
                                  </w:numPr>
                                  <w:spacing w:before="40" w:after="560" w:line="216" w:lineRule="auto"/>
                                  <w:rPr>
                                    <w:rFonts w:ascii="Times New Roman" w:hAnsi="Times New Roman"/>
                                    <w:b/>
                                    <w:sz w:val="40"/>
                                    <w:szCs w:val="40"/>
                                  </w:rPr>
                                </w:pPr>
                                <w:r w:rsidRPr="00883881">
                                  <w:rPr>
                                    <w:rFonts w:ascii="Times New Roman" w:hAnsi="Times New Roman"/>
                                    <w:b/>
                                    <w:sz w:val="40"/>
                                    <w:szCs w:val="40"/>
                                  </w:rPr>
                                  <w:t>2015 Annual Report of the Office of Audit and Investigations (DP/2016/16)</w:t>
                                </w:r>
                              </w:p>
                              <w:p w14:paraId="023DC7CF" w14:textId="77777777" w:rsidR="003A6DC0" w:rsidRDefault="003A6DC0" w:rsidP="00837F49">
                                <w:pPr>
                                  <w:pStyle w:val="NoSpacing"/>
                                  <w:numPr>
                                    <w:ilvl w:val="0"/>
                                    <w:numId w:val="36"/>
                                  </w:numPr>
                                  <w:spacing w:before="40" w:after="560" w:line="216" w:lineRule="auto"/>
                                  <w:rPr>
                                    <w:rFonts w:ascii="Times New Roman" w:hAnsi="Times New Roman"/>
                                    <w:b/>
                                    <w:sz w:val="40"/>
                                    <w:szCs w:val="40"/>
                                  </w:rPr>
                                </w:pPr>
                                <w:r>
                                  <w:rPr>
                                    <w:rFonts w:ascii="Times New Roman" w:hAnsi="Times New Roman"/>
                                    <w:b/>
                                    <w:sz w:val="40"/>
                                    <w:szCs w:val="40"/>
                                  </w:rPr>
                                  <w:t>2015 Annual Report on Evaluation (DP/2016/13)</w:t>
                                </w:r>
                              </w:p>
                              <w:p w14:paraId="17270237" w14:textId="77777777" w:rsidR="003A6DC0" w:rsidRDefault="003A6DC0" w:rsidP="00A53E9A">
                                <w:pPr>
                                  <w:pStyle w:val="NoSpacing"/>
                                  <w:numPr>
                                    <w:ilvl w:val="0"/>
                                    <w:numId w:val="36"/>
                                  </w:numPr>
                                  <w:spacing w:before="40" w:after="560" w:line="216" w:lineRule="auto"/>
                                  <w:rPr>
                                    <w:rFonts w:ascii="Times New Roman" w:hAnsi="Times New Roman"/>
                                    <w:b/>
                                    <w:sz w:val="40"/>
                                    <w:szCs w:val="40"/>
                                  </w:rPr>
                                </w:pPr>
                                <w:r>
                                  <w:rPr>
                                    <w:rFonts w:ascii="Times New Roman" w:hAnsi="Times New Roman"/>
                                    <w:b/>
                                    <w:sz w:val="40"/>
                                    <w:szCs w:val="40"/>
                                  </w:rPr>
                                  <w:t xml:space="preserve">2015 Annual Report of the </w:t>
                                </w:r>
                                <w:r w:rsidRPr="00883881">
                                  <w:rPr>
                                    <w:rFonts w:ascii="Times New Roman" w:hAnsi="Times New Roman"/>
                                    <w:b/>
                                    <w:sz w:val="40"/>
                                    <w:szCs w:val="40"/>
                                  </w:rPr>
                                  <w:t xml:space="preserve">Audit Advisory Committee </w:t>
                                </w:r>
                                <w:r>
                                  <w:rPr>
                                    <w:rFonts w:ascii="Times New Roman" w:hAnsi="Times New Roman"/>
                                    <w:b/>
                                    <w:sz w:val="40"/>
                                    <w:szCs w:val="40"/>
                                  </w:rPr>
                                  <w:t>(Annex- DP/2016/16)</w:t>
                                </w:r>
                                <w:r w:rsidRPr="00A53E9A">
                                  <w:rPr>
                                    <w:rFonts w:ascii="Times New Roman" w:hAnsi="Times New Roman"/>
                                    <w:b/>
                                    <w:sz w:val="40"/>
                                    <w:szCs w:val="40"/>
                                  </w:rPr>
                                  <w:t>; and</w:t>
                                </w:r>
                              </w:p>
                              <w:p w14:paraId="4E8CC80B" w14:textId="77777777" w:rsidR="003A6DC0" w:rsidRPr="00A53E9A" w:rsidRDefault="003A6DC0" w:rsidP="00A53E9A">
                                <w:pPr>
                                  <w:pStyle w:val="NoSpacing"/>
                                  <w:numPr>
                                    <w:ilvl w:val="0"/>
                                    <w:numId w:val="36"/>
                                  </w:numPr>
                                  <w:spacing w:before="40" w:after="560" w:line="216" w:lineRule="auto"/>
                                  <w:rPr>
                                    <w:rFonts w:ascii="Times New Roman" w:hAnsi="Times New Roman"/>
                                    <w:b/>
                                    <w:sz w:val="40"/>
                                    <w:szCs w:val="40"/>
                                  </w:rPr>
                                </w:pPr>
                                <w:r w:rsidRPr="00A53E9A">
                                  <w:rPr>
                                    <w:rFonts w:ascii="Times New Roman" w:hAnsi="Times New Roman"/>
                                    <w:b/>
                                    <w:sz w:val="40"/>
                                    <w:szCs w:val="40"/>
                                  </w:rPr>
                                  <w:t xml:space="preserve"> 2015 Annual Report of the Ethics Office (</w:t>
                                </w:r>
                                <w:r>
                                  <w:rPr>
                                    <w:rFonts w:ascii="Times New Roman" w:hAnsi="Times New Roman"/>
                                    <w:b/>
                                    <w:sz w:val="40"/>
                                    <w:szCs w:val="40"/>
                                  </w:rPr>
                                  <w:t>DP/2016/17</w:t>
                                </w:r>
                                <w:r w:rsidRPr="00A53E9A">
                                  <w:rPr>
                                    <w:rFonts w:ascii="Times New Roman" w:hAnsi="Times New Roman"/>
                                    <w:b/>
                                    <w:sz w:val="40"/>
                                    <w:szCs w:val="40"/>
                                  </w:rPr>
                                  <w:t xml:space="preserve">) </w:t>
                                </w:r>
                              </w:p>
                              <w:p w14:paraId="09E32ED8" w14:textId="77777777" w:rsidR="003A6DC0" w:rsidRDefault="003A6DC0"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F04C3DD" id="Text Box 154" o:spid="_x0000_s1027" type="#_x0000_t202" style="position:absolute;margin-left:0;margin-top:0;width:8in;height:454.5pt;z-index:251659776;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" filled="f" stroked="f" strokeweight=".5pt">
                    <v:textbox inset="126pt,0,54pt,0">
                      <w:txbxContent>
                        <w:p w14:paraId="5EFBDFEA" w14:textId="77777777" w:rsidR="003A6DC0" w:rsidRPr="00883881" w:rsidRDefault="003A6DC0" w:rsidP="00AD2969">
                          <w:pPr>
                            <w:pStyle w:val="NoSpacing"/>
                            <w:spacing w:before="40" w:after="40"/>
                            <w:jc w:val="center"/>
                            <w:rPr>
                              <w:rFonts w:ascii="Times New Roman" w:hAnsi="Times New Roman"/>
                              <w:caps/>
                              <w:sz w:val="40"/>
                              <w:szCs w:val="40"/>
                            </w:rPr>
                          </w:pPr>
                          <w:r w:rsidRPr="00883881">
                            <w:rPr>
                              <w:rFonts w:ascii="Times New Roman" w:hAnsi="Times New Roman"/>
                              <w:caps/>
                              <w:sz w:val="40"/>
                              <w:szCs w:val="40"/>
                            </w:rPr>
                            <w:t xml:space="preserve">Executive Board of </w:t>
                          </w:r>
                          <w:r>
                            <w:rPr>
                              <w:rFonts w:ascii="Times New Roman" w:hAnsi="Times New Roman"/>
                              <w:caps/>
                              <w:sz w:val="40"/>
                              <w:szCs w:val="40"/>
                            </w:rPr>
                            <w:t>U</w:t>
                          </w:r>
                          <w:r w:rsidRPr="00883881">
                            <w:rPr>
                              <w:rFonts w:ascii="Times New Roman" w:hAnsi="Times New Roman"/>
                              <w:caps/>
                              <w:sz w:val="40"/>
                              <w:szCs w:val="40"/>
                            </w:rPr>
                            <w:t>ndp/unfpa/unops</w:t>
                          </w:r>
                        </w:p>
                        <w:p w14:paraId="7FC9F20A" w14:textId="77777777" w:rsidR="003A6DC0" w:rsidRDefault="003A6DC0" w:rsidP="00AD2969">
                          <w:pPr>
                            <w:jc w:val="center"/>
                            <w:rPr>
                              <w:smallCaps/>
                              <w:color w:val="404040" w:themeColor="text1" w:themeTint="BF"/>
                              <w:sz w:val="36"/>
                              <w:szCs w:val="36"/>
                            </w:rPr>
                          </w:pPr>
                          <w:r w:rsidRPr="00883881">
                            <w:rPr>
                              <w:rFonts w:ascii="Times New Roman" w:hAnsi="Times New Roman"/>
                              <w:caps/>
                              <w:sz w:val="40"/>
                              <w:szCs w:val="40"/>
                            </w:rPr>
                            <w:t xml:space="preserve">Annual session, 6-10 </w:t>
                          </w:r>
                          <w:r w:rsidRPr="000712C1">
                            <w:rPr>
                              <w:rFonts w:ascii="Times New Roman" w:hAnsi="Times New Roman"/>
                              <w:sz w:val="40"/>
                              <w:szCs w:val="40"/>
                            </w:rPr>
                            <w:t>JUNE 2016</w:t>
                          </w:r>
                        </w:p>
                        <w:p w14:paraId="01576844" w14:textId="77777777" w:rsidR="003A6DC0" w:rsidRDefault="003A6DC0" w:rsidP="00837F49">
                          <w:pPr>
                            <w:pStyle w:val="NoSpacing"/>
                            <w:spacing w:before="40" w:after="560" w:line="216" w:lineRule="auto"/>
                            <w:jc w:val="center"/>
                            <w:rPr>
                              <w:rFonts w:ascii="Times New Roman" w:hAnsi="Times New Roman"/>
                              <w:b/>
                              <w:sz w:val="40"/>
                              <w:szCs w:val="40"/>
                            </w:rPr>
                          </w:pPr>
                        </w:p>
                        <w:p w14:paraId="1147AB48" w14:textId="77777777" w:rsidR="003A6DC0" w:rsidRDefault="003A6DC0" w:rsidP="000712C1">
                          <w:pPr>
                            <w:pStyle w:val="NoSpacing"/>
                            <w:spacing w:before="40" w:after="560" w:line="216" w:lineRule="auto"/>
                            <w:rPr>
                              <w:rFonts w:ascii="Times New Roman" w:hAnsi="Times New Roman"/>
                              <w:b/>
                              <w:sz w:val="40"/>
                              <w:szCs w:val="40"/>
                            </w:rPr>
                          </w:pPr>
                          <w:r>
                            <w:rPr>
                              <w:rFonts w:ascii="Times New Roman" w:hAnsi="Times New Roman"/>
                              <w:b/>
                              <w:sz w:val="40"/>
                              <w:szCs w:val="40"/>
                            </w:rPr>
                            <w:t>UNDP management response to the:</w:t>
                          </w:r>
                        </w:p>
                        <w:p w14:paraId="0582B3F1" w14:textId="77777777" w:rsidR="003A6DC0" w:rsidRDefault="003A6DC0" w:rsidP="00837F49">
                          <w:pPr>
                            <w:pStyle w:val="NoSpacing"/>
                            <w:numPr>
                              <w:ilvl w:val="0"/>
                              <w:numId w:val="36"/>
                            </w:numPr>
                            <w:spacing w:before="40" w:after="560" w:line="216" w:lineRule="auto"/>
                            <w:rPr>
                              <w:rFonts w:ascii="Times New Roman" w:hAnsi="Times New Roman"/>
                              <w:b/>
                              <w:sz w:val="40"/>
                              <w:szCs w:val="40"/>
                            </w:rPr>
                          </w:pPr>
                          <w:r w:rsidRPr="00883881">
                            <w:rPr>
                              <w:rFonts w:ascii="Times New Roman" w:hAnsi="Times New Roman"/>
                              <w:b/>
                              <w:sz w:val="40"/>
                              <w:szCs w:val="40"/>
                            </w:rPr>
                            <w:t>2015 Annual Report of the Office of Audit and Investigations (DP/2016/16)</w:t>
                          </w:r>
                        </w:p>
                        <w:p w14:paraId="023DC7CF" w14:textId="77777777" w:rsidR="003A6DC0" w:rsidRDefault="003A6DC0" w:rsidP="00837F49">
                          <w:pPr>
                            <w:pStyle w:val="NoSpacing"/>
                            <w:numPr>
                              <w:ilvl w:val="0"/>
                              <w:numId w:val="36"/>
                            </w:numPr>
                            <w:spacing w:before="40" w:after="560" w:line="216" w:lineRule="auto"/>
                            <w:rPr>
                              <w:rFonts w:ascii="Times New Roman" w:hAnsi="Times New Roman"/>
                              <w:b/>
                              <w:sz w:val="40"/>
                              <w:szCs w:val="40"/>
                            </w:rPr>
                          </w:pPr>
                          <w:r>
                            <w:rPr>
                              <w:rFonts w:ascii="Times New Roman" w:hAnsi="Times New Roman"/>
                              <w:b/>
                              <w:sz w:val="40"/>
                              <w:szCs w:val="40"/>
                            </w:rPr>
                            <w:t>2015 Annual Report on Evaluation (DP/2016/13)</w:t>
                          </w:r>
                        </w:p>
                        <w:p w14:paraId="17270237" w14:textId="77777777" w:rsidR="003A6DC0" w:rsidRDefault="003A6DC0" w:rsidP="00A53E9A">
                          <w:pPr>
                            <w:pStyle w:val="NoSpacing"/>
                            <w:numPr>
                              <w:ilvl w:val="0"/>
                              <w:numId w:val="36"/>
                            </w:numPr>
                            <w:spacing w:before="40" w:after="560" w:line="216" w:lineRule="auto"/>
                            <w:rPr>
                              <w:rFonts w:ascii="Times New Roman" w:hAnsi="Times New Roman"/>
                              <w:b/>
                              <w:sz w:val="40"/>
                              <w:szCs w:val="40"/>
                            </w:rPr>
                          </w:pPr>
                          <w:r>
                            <w:rPr>
                              <w:rFonts w:ascii="Times New Roman" w:hAnsi="Times New Roman"/>
                              <w:b/>
                              <w:sz w:val="40"/>
                              <w:szCs w:val="40"/>
                            </w:rPr>
                            <w:t xml:space="preserve">2015 Annual Report of the </w:t>
                          </w:r>
                          <w:r w:rsidRPr="00883881">
                            <w:rPr>
                              <w:rFonts w:ascii="Times New Roman" w:hAnsi="Times New Roman"/>
                              <w:b/>
                              <w:sz w:val="40"/>
                              <w:szCs w:val="40"/>
                            </w:rPr>
                            <w:t xml:space="preserve">Audit Advisory Committee </w:t>
                          </w:r>
                          <w:r>
                            <w:rPr>
                              <w:rFonts w:ascii="Times New Roman" w:hAnsi="Times New Roman"/>
                              <w:b/>
                              <w:sz w:val="40"/>
                              <w:szCs w:val="40"/>
                            </w:rPr>
                            <w:t>(Annex- DP/2016/16)</w:t>
                          </w:r>
                          <w:r w:rsidRPr="00A53E9A">
                            <w:rPr>
                              <w:rFonts w:ascii="Times New Roman" w:hAnsi="Times New Roman"/>
                              <w:b/>
                              <w:sz w:val="40"/>
                              <w:szCs w:val="40"/>
                            </w:rPr>
                            <w:t>; and</w:t>
                          </w:r>
                        </w:p>
                        <w:p w14:paraId="4E8CC80B" w14:textId="77777777" w:rsidR="003A6DC0" w:rsidRPr="00A53E9A" w:rsidRDefault="003A6DC0" w:rsidP="00A53E9A">
                          <w:pPr>
                            <w:pStyle w:val="NoSpacing"/>
                            <w:numPr>
                              <w:ilvl w:val="0"/>
                              <w:numId w:val="36"/>
                            </w:numPr>
                            <w:spacing w:before="40" w:after="560" w:line="216" w:lineRule="auto"/>
                            <w:rPr>
                              <w:rFonts w:ascii="Times New Roman" w:hAnsi="Times New Roman"/>
                              <w:b/>
                              <w:sz w:val="40"/>
                              <w:szCs w:val="40"/>
                            </w:rPr>
                          </w:pPr>
                          <w:r w:rsidRPr="00A53E9A">
                            <w:rPr>
                              <w:rFonts w:ascii="Times New Roman" w:hAnsi="Times New Roman"/>
                              <w:b/>
                              <w:sz w:val="40"/>
                              <w:szCs w:val="40"/>
                            </w:rPr>
                            <w:t xml:space="preserve"> 2015 Annual Report of the Ethics Office (</w:t>
                          </w:r>
                          <w:r>
                            <w:rPr>
                              <w:rFonts w:ascii="Times New Roman" w:hAnsi="Times New Roman"/>
                              <w:b/>
                              <w:sz w:val="40"/>
                              <w:szCs w:val="40"/>
                            </w:rPr>
                            <w:t>DP/2016/17</w:t>
                          </w:r>
                          <w:r w:rsidRPr="00A53E9A">
                            <w:rPr>
                              <w:rFonts w:ascii="Times New Roman" w:hAnsi="Times New Roman"/>
                              <w:b/>
                              <w:sz w:val="40"/>
                              <w:szCs w:val="40"/>
                            </w:rPr>
                            <w:t xml:space="preserve">) </w:t>
                          </w:r>
                        </w:p>
                        <w:p w14:paraId="09E32ED8" w14:textId="77777777" w:rsidR="003A6DC0" w:rsidRDefault="003A6DC0" w:rsidP="00837F49">
                          <w:pPr>
                            <w:pStyle w:val="NoSpacing"/>
                            <w:spacing w:before="40" w:after="40"/>
                            <w:jc w:val="center"/>
                            <w:rPr>
                              <w:rFonts w:ascii="Times New Roman" w:hAnsi="Times New Roman"/>
                              <w:caps/>
                              <w:sz w:val="40"/>
                              <w:szCs w:val="40"/>
                            </w:rPr>
                          </w:pPr>
                        </w:p>
                      </w:txbxContent>
                    </v:textbox>
                    <w10:wrap type="square" anchorx="page" anchory="page"/>
                  </v:shape>
                </w:pict>
              </mc:Fallback>
            </mc:AlternateContent>
          </w:r>
          <w:r w:rsidR="00837F49">
            <w:rPr>
              <w:rFonts w:ascii="Myriad Pro" w:hAnsi="Myriad Pro"/>
              <w:sz w:val="20"/>
              <w:szCs w:val="20"/>
            </w:rPr>
            <w:br w:type="page"/>
          </w:r>
        </w:p>
      </w:sdtContent>
    </w:sdt>
    <w:p w14:paraId="1E69F47D" w14:textId="77777777" w:rsidR="00843359" w:rsidRPr="00FA093E" w:rsidRDefault="00843359" w:rsidP="00FA093E">
      <w:pPr>
        <w:spacing w:after="160" w:line="240" w:lineRule="auto"/>
        <w:rPr>
          <w:rFonts w:ascii="Times New Roman" w:hAnsi="Times New Roman"/>
          <w:b/>
        </w:rPr>
      </w:pPr>
      <w:r w:rsidRPr="00FA093E">
        <w:rPr>
          <w:rFonts w:ascii="Times New Roman" w:hAnsi="Times New Roman"/>
          <w:b/>
        </w:rPr>
        <w:lastRenderedPageBreak/>
        <w:t>Introduction</w:t>
      </w:r>
    </w:p>
    <w:p w14:paraId="61D52278" w14:textId="77777777" w:rsidR="002964E2" w:rsidRPr="00FA093E" w:rsidRDefault="00562DE8"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This report</w:t>
      </w:r>
      <w:r w:rsidR="00E75B6F" w:rsidRPr="00FA093E">
        <w:rPr>
          <w:rFonts w:ascii="Times New Roman" w:hAnsi="Times New Roman"/>
        </w:rPr>
        <w:t xml:space="preserve"> </w:t>
      </w:r>
      <w:r w:rsidR="00453E43" w:rsidRPr="00FA093E">
        <w:rPr>
          <w:rFonts w:ascii="Times New Roman" w:hAnsi="Times New Roman"/>
        </w:rPr>
        <w:t>is UNDP</w:t>
      </w:r>
      <w:r w:rsidR="00506ECD" w:rsidRPr="00FA093E">
        <w:rPr>
          <w:rFonts w:ascii="Times New Roman" w:hAnsi="Times New Roman"/>
        </w:rPr>
        <w:t>’</w:t>
      </w:r>
      <w:r w:rsidR="00453E43" w:rsidRPr="00FA093E">
        <w:rPr>
          <w:rFonts w:ascii="Times New Roman" w:hAnsi="Times New Roman"/>
        </w:rPr>
        <w:t>s</w:t>
      </w:r>
      <w:r w:rsidR="00E75B6F" w:rsidRPr="00FA093E">
        <w:rPr>
          <w:rFonts w:ascii="Times New Roman" w:hAnsi="Times New Roman"/>
        </w:rPr>
        <w:t xml:space="preserve"> management response to the main recurring risks and matters highlighted in the 2015 </w:t>
      </w:r>
      <w:r w:rsidR="00ED18CD" w:rsidRPr="00FA093E">
        <w:rPr>
          <w:rFonts w:ascii="Times New Roman" w:hAnsi="Times New Roman"/>
        </w:rPr>
        <w:t>A</w:t>
      </w:r>
      <w:r w:rsidR="00E75B6F" w:rsidRPr="00FA093E">
        <w:rPr>
          <w:rFonts w:ascii="Times New Roman" w:hAnsi="Times New Roman"/>
        </w:rPr>
        <w:t xml:space="preserve">nnual </w:t>
      </w:r>
      <w:r w:rsidR="00ED18CD" w:rsidRPr="00FA093E">
        <w:rPr>
          <w:rFonts w:ascii="Times New Roman" w:hAnsi="Times New Roman"/>
        </w:rPr>
        <w:t>R</w:t>
      </w:r>
      <w:r w:rsidR="00E75B6F" w:rsidRPr="00FA093E">
        <w:rPr>
          <w:rFonts w:ascii="Times New Roman" w:hAnsi="Times New Roman"/>
        </w:rPr>
        <w:t>eport</w:t>
      </w:r>
      <w:r w:rsidR="00442042" w:rsidRPr="00FA093E">
        <w:rPr>
          <w:rFonts w:ascii="Times New Roman" w:hAnsi="Times New Roman"/>
        </w:rPr>
        <w:t xml:space="preserve">s </w:t>
      </w:r>
      <w:r w:rsidR="00E75B6F" w:rsidRPr="00FA093E">
        <w:rPr>
          <w:rFonts w:ascii="Times New Roman" w:hAnsi="Times New Roman"/>
        </w:rPr>
        <w:t>of the Office of Audit and Investigations (OAI) DP/2016/</w:t>
      </w:r>
      <w:r w:rsidR="006A5B42" w:rsidRPr="00FA093E">
        <w:rPr>
          <w:rFonts w:ascii="Times New Roman" w:hAnsi="Times New Roman"/>
        </w:rPr>
        <w:t>16</w:t>
      </w:r>
      <w:r w:rsidR="00442042" w:rsidRPr="00FA093E">
        <w:rPr>
          <w:rFonts w:ascii="Times New Roman" w:hAnsi="Times New Roman"/>
        </w:rPr>
        <w:t>,</w:t>
      </w:r>
      <w:r w:rsidR="00837F49" w:rsidRPr="00FA093E">
        <w:rPr>
          <w:rFonts w:ascii="Times New Roman" w:hAnsi="Times New Roman"/>
        </w:rPr>
        <w:t xml:space="preserve"> </w:t>
      </w:r>
      <w:r w:rsidR="00D67EB9" w:rsidRPr="00FA093E">
        <w:rPr>
          <w:rFonts w:ascii="Times New Roman" w:hAnsi="Times New Roman"/>
        </w:rPr>
        <w:t xml:space="preserve">Independent </w:t>
      </w:r>
      <w:r w:rsidR="00837F49" w:rsidRPr="00FA093E">
        <w:rPr>
          <w:rFonts w:ascii="Times New Roman" w:hAnsi="Times New Roman"/>
        </w:rPr>
        <w:t>Evaluation</w:t>
      </w:r>
      <w:r w:rsidR="00442042" w:rsidRPr="00FA093E">
        <w:rPr>
          <w:rFonts w:ascii="Times New Roman" w:hAnsi="Times New Roman"/>
        </w:rPr>
        <w:t>s Office</w:t>
      </w:r>
      <w:r w:rsidR="00C861EF" w:rsidRPr="00FA093E">
        <w:rPr>
          <w:rFonts w:ascii="Times New Roman" w:hAnsi="Times New Roman"/>
        </w:rPr>
        <w:t>-</w:t>
      </w:r>
      <w:r w:rsidR="00442042" w:rsidRPr="00FA093E">
        <w:rPr>
          <w:rFonts w:ascii="Times New Roman" w:hAnsi="Times New Roman"/>
        </w:rPr>
        <w:t xml:space="preserve"> DP/2016/13</w:t>
      </w:r>
      <w:r w:rsidR="00D67EB9" w:rsidRPr="00FA093E">
        <w:rPr>
          <w:rFonts w:ascii="Times New Roman" w:hAnsi="Times New Roman"/>
        </w:rPr>
        <w:t>,</w:t>
      </w:r>
      <w:r w:rsidR="00837F49" w:rsidRPr="00FA093E">
        <w:rPr>
          <w:rFonts w:ascii="Times New Roman" w:hAnsi="Times New Roman"/>
        </w:rPr>
        <w:t xml:space="preserve"> Ethics Office </w:t>
      </w:r>
      <w:r w:rsidR="00C861EF" w:rsidRPr="00FA093E">
        <w:rPr>
          <w:rFonts w:ascii="Times New Roman" w:hAnsi="Times New Roman"/>
        </w:rPr>
        <w:t xml:space="preserve">– DP/2016/17, </w:t>
      </w:r>
      <w:r w:rsidR="00E75B6F" w:rsidRPr="00FA093E">
        <w:rPr>
          <w:rFonts w:ascii="Times New Roman" w:hAnsi="Times New Roman"/>
        </w:rPr>
        <w:t>and the Audit Advisory Committee (AAC) Annex to DP/2016/</w:t>
      </w:r>
      <w:r w:rsidR="006A5B42" w:rsidRPr="00FA093E">
        <w:rPr>
          <w:rFonts w:ascii="Times New Roman" w:hAnsi="Times New Roman"/>
        </w:rPr>
        <w:t>16</w:t>
      </w:r>
      <w:r w:rsidRPr="00FA093E">
        <w:rPr>
          <w:rFonts w:ascii="Times New Roman" w:hAnsi="Times New Roman"/>
        </w:rPr>
        <w:t xml:space="preserve">.  </w:t>
      </w:r>
      <w:r w:rsidR="00924CD3" w:rsidRPr="00FA093E">
        <w:rPr>
          <w:rFonts w:ascii="Times New Roman" w:hAnsi="Times New Roman"/>
        </w:rPr>
        <w:t xml:space="preserve">The </w:t>
      </w:r>
      <w:r w:rsidR="00E75B6F" w:rsidRPr="00FA093E">
        <w:rPr>
          <w:rFonts w:ascii="Times New Roman" w:hAnsi="Times New Roman"/>
        </w:rPr>
        <w:t xml:space="preserve">2015 </w:t>
      </w:r>
      <w:r w:rsidR="00924CD3" w:rsidRPr="00FA093E">
        <w:rPr>
          <w:rFonts w:ascii="Times New Roman" w:hAnsi="Times New Roman"/>
        </w:rPr>
        <w:t xml:space="preserve">OAI </w:t>
      </w:r>
      <w:r w:rsidR="00ED18CD" w:rsidRPr="00FA093E">
        <w:rPr>
          <w:rFonts w:ascii="Times New Roman" w:hAnsi="Times New Roman"/>
        </w:rPr>
        <w:t>a</w:t>
      </w:r>
      <w:r w:rsidR="00924CD3" w:rsidRPr="00FA093E">
        <w:rPr>
          <w:rFonts w:ascii="Times New Roman" w:hAnsi="Times New Roman"/>
        </w:rPr>
        <w:t xml:space="preserve">nnual report includes UNDP, UNCDF and UNV audits. </w:t>
      </w:r>
    </w:p>
    <w:p w14:paraId="4898453D" w14:textId="77777777" w:rsidR="004C6316" w:rsidRPr="00FA093E" w:rsidRDefault="004C6316" w:rsidP="00FA093E">
      <w:pPr>
        <w:pStyle w:val="ListParagraph"/>
        <w:spacing w:after="0" w:line="240" w:lineRule="auto"/>
        <w:ind w:left="360"/>
        <w:jc w:val="both"/>
        <w:rPr>
          <w:rFonts w:ascii="Times New Roman" w:hAnsi="Times New Roman"/>
        </w:rPr>
      </w:pPr>
    </w:p>
    <w:p w14:paraId="14A5015D" w14:textId="77777777" w:rsidR="00666C71" w:rsidRPr="00FA093E" w:rsidRDefault="008D179D"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The Administrator and the Associate A</w:t>
      </w:r>
      <w:r w:rsidR="0071176B" w:rsidRPr="00FA093E">
        <w:rPr>
          <w:rFonts w:ascii="Times New Roman" w:hAnsi="Times New Roman"/>
        </w:rPr>
        <w:t>dministrat</w:t>
      </w:r>
      <w:r w:rsidRPr="00FA093E">
        <w:rPr>
          <w:rFonts w:ascii="Times New Roman" w:hAnsi="Times New Roman"/>
        </w:rPr>
        <w:t>o</w:t>
      </w:r>
      <w:r w:rsidR="0071176B" w:rsidRPr="00FA093E">
        <w:rPr>
          <w:rFonts w:ascii="Times New Roman" w:hAnsi="Times New Roman"/>
        </w:rPr>
        <w:t>r of UNDP, give the highest priority</w:t>
      </w:r>
      <w:r w:rsidR="00442042" w:rsidRPr="00FA093E">
        <w:rPr>
          <w:rFonts w:ascii="Times New Roman" w:hAnsi="Times New Roman"/>
        </w:rPr>
        <w:t xml:space="preserve"> </w:t>
      </w:r>
      <w:r w:rsidR="0071176B" w:rsidRPr="00FA093E">
        <w:rPr>
          <w:rFonts w:ascii="Times New Roman" w:hAnsi="Times New Roman"/>
        </w:rPr>
        <w:t xml:space="preserve">to </w:t>
      </w:r>
      <w:r w:rsidRPr="00FA093E">
        <w:rPr>
          <w:rFonts w:ascii="Times New Roman" w:hAnsi="Times New Roman"/>
        </w:rPr>
        <w:t>recommendations</w:t>
      </w:r>
      <w:r w:rsidR="00442042" w:rsidRPr="00FA093E">
        <w:rPr>
          <w:rFonts w:ascii="Times New Roman" w:hAnsi="Times New Roman"/>
        </w:rPr>
        <w:t xml:space="preserve"> of the AAC and Independent Oversight Offices and i</w:t>
      </w:r>
      <w:r w:rsidR="0071176B" w:rsidRPr="00FA093E">
        <w:rPr>
          <w:rFonts w:ascii="Times New Roman" w:hAnsi="Times New Roman"/>
        </w:rPr>
        <w:t>mplementation of all recommendations</w:t>
      </w:r>
      <w:r w:rsidR="00442042" w:rsidRPr="00FA093E">
        <w:rPr>
          <w:rFonts w:ascii="Times New Roman" w:hAnsi="Times New Roman"/>
        </w:rPr>
        <w:t xml:space="preserve"> are closely monitored by senior management</w:t>
      </w:r>
      <w:r w:rsidRPr="00FA093E">
        <w:rPr>
          <w:rFonts w:ascii="Times New Roman" w:hAnsi="Times New Roman"/>
        </w:rPr>
        <w:t>.</w:t>
      </w:r>
      <w:r w:rsidR="00CC7401" w:rsidRPr="00FA093E">
        <w:rPr>
          <w:rFonts w:ascii="Times New Roman" w:hAnsi="Times New Roman"/>
        </w:rPr>
        <w:t xml:space="preserve">  </w:t>
      </w:r>
      <w:r w:rsidR="00143295" w:rsidRPr="00FA093E">
        <w:rPr>
          <w:rFonts w:ascii="Times New Roman" w:hAnsi="Times New Roman"/>
          <w:bCs/>
        </w:rPr>
        <w:t>UNDP supports the disclosure of audit reports, which has contributed to the organization being rated the most transparent entity two years in a row according to the I</w:t>
      </w:r>
      <w:r w:rsidR="00143295" w:rsidRPr="00FA093E">
        <w:rPr>
          <w:rFonts w:ascii="Times New Roman" w:hAnsi="Times New Roman"/>
          <w:bCs/>
          <w:lang w:val="fr-FR"/>
        </w:rPr>
        <w:t>nternational Aid Transparency Index – which sets a common global benchmark for more timely, accurate and comprehensive aid information. UNDP maintained this ranking in the 2016 Index which ranks 46 aid organisations in total, and was the only organisation to score above 90% on the 2016 Index</w:t>
      </w:r>
    </w:p>
    <w:p w14:paraId="19321C36" w14:textId="77777777" w:rsidR="00061BCE" w:rsidRPr="00FA093E" w:rsidRDefault="00061BCE" w:rsidP="00FA093E">
      <w:pPr>
        <w:pStyle w:val="ListParagraph"/>
        <w:spacing w:line="240" w:lineRule="auto"/>
        <w:rPr>
          <w:rFonts w:ascii="Times New Roman" w:hAnsi="Times New Roman"/>
        </w:rPr>
      </w:pPr>
    </w:p>
    <w:p w14:paraId="32710BC6" w14:textId="77777777" w:rsidR="000F69D1" w:rsidRPr="00FA093E" w:rsidRDefault="000F69D1" w:rsidP="00FA093E">
      <w:pPr>
        <w:pStyle w:val="ListParagraph"/>
        <w:numPr>
          <w:ilvl w:val="0"/>
          <w:numId w:val="37"/>
        </w:numPr>
        <w:spacing w:after="0" w:line="240" w:lineRule="auto"/>
        <w:jc w:val="both"/>
        <w:rPr>
          <w:rFonts w:ascii="Times New Roman" w:hAnsi="Times New Roman"/>
          <w:b/>
        </w:rPr>
      </w:pPr>
      <w:r w:rsidRPr="00FA093E">
        <w:rPr>
          <w:rFonts w:ascii="Times New Roman" w:hAnsi="Times New Roman"/>
          <w:b/>
        </w:rPr>
        <w:t>Management response to key audit risks identified by OAI</w:t>
      </w:r>
      <w:r w:rsidR="00911030" w:rsidRPr="00FA093E">
        <w:rPr>
          <w:rFonts w:ascii="Times New Roman" w:hAnsi="Times New Roman"/>
          <w:b/>
        </w:rPr>
        <w:t xml:space="preserve"> </w:t>
      </w:r>
      <w:r w:rsidR="00966DC3" w:rsidRPr="00FA093E">
        <w:rPr>
          <w:rFonts w:ascii="Times New Roman" w:hAnsi="Times New Roman"/>
          <w:b/>
        </w:rPr>
        <w:t xml:space="preserve">in the 2015 Annual Report </w:t>
      </w:r>
      <w:r w:rsidR="00911030" w:rsidRPr="00FA093E">
        <w:rPr>
          <w:rFonts w:ascii="Times New Roman" w:hAnsi="Times New Roman"/>
          <w:b/>
        </w:rPr>
        <w:t xml:space="preserve">and response to EB decision </w:t>
      </w:r>
      <w:r w:rsidR="00E75B6F" w:rsidRPr="00FA093E">
        <w:rPr>
          <w:rFonts w:ascii="Times New Roman" w:hAnsi="Times New Roman"/>
          <w:b/>
        </w:rPr>
        <w:t>2015</w:t>
      </w:r>
      <w:r w:rsidR="00911030" w:rsidRPr="00FA093E">
        <w:rPr>
          <w:rFonts w:ascii="Times New Roman" w:hAnsi="Times New Roman"/>
          <w:b/>
        </w:rPr>
        <w:t>/</w:t>
      </w:r>
      <w:r w:rsidR="00F30717" w:rsidRPr="00FA093E">
        <w:rPr>
          <w:rFonts w:ascii="Times New Roman" w:hAnsi="Times New Roman"/>
          <w:b/>
        </w:rPr>
        <w:t>13</w:t>
      </w:r>
    </w:p>
    <w:p w14:paraId="35DD81B3" w14:textId="77777777" w:rsidR="008B3D6C" w:rsidRPr="00FA093E" w:rsidRDefault="008B3D6C" w:rsidP="00FA093E">
      <w:pPr>
        <w:pStyle w:val="ListParagraph"/>
        <w:spacing w:after="0" w:line="240" w:lineRule="auto"/>
        <w:ind w:left="360"/>
        <w:jc w:val="both"/>
        <w:rPr>
          <w:rFonts w:ascii="Times New Roman" w:hAnsi="Times New Roman"/>
        </w:rPr>
      </w:pPr>
    </w:p>
    <w:p w14:paraId="0DC5708B" w14:textId="77777777" w:rsidR="008B3D6C" w:rsidRPr="00FA093E" w:rsidRDefault="008B3D6C"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Pursuant to EB decision </w:t>
      </w:r>
      <w:r w:rsidR="00E75B6F" w:rsidRPr="00FA093E">
        <w:rPr>
          <w:rFonts w:ascii="Times New Roman" w:hAnsi="Times New Roman"/>
        </w:rPr>
        <w:t>2015</w:t>
      </w:r>
      <w:r w:rsidRPr="00FA093E">
        <w:rPr>
          <w:rFonts w:ascii="Times New Roman" w:hAnsi="Times New Roman"/>
        </w:rPr>
        <w:t>/</w:t>
      </w:r>
      <w:r w:rsidR="00F30717" w:rsidRPr="00FA093E">
        <w:rPr>
          <w:rFonts w:ascii="Times New Roman" w:hAnsi="Times New Roman"/>
        </w:rPr>
        <w:t xml:space="preserve">13 in which the EB </w:t>
      </w:r>
      <w:r w:rsidR="00ED18CD" w:rsidRPr="00FA093E">
        <w:rPr>
          <w:rFonts w:ascii="Times New Roman" w:hAnsi="Times New Roman"/>
        </w:rPr>
        <w:t>n</w:t>
      </w:r>
      <w:r w:rsidR="00F30717" w:rsidRPr="00FA093E">
        <w:rPr>
          <w:rFonts w:ascii="Times New Roman" w:hAnsi="Times New Roman"/>
        </w:rPr>
        <w:t xml:space="preserve">oted with concern the number of recurring recommendations and </w:t>
      </w:r>
      <w:r w:rsidR="00F30717" w:rsidRPr="00FA093E">
        <w:rPr>
          <w:rFonts w:ascii="Times New Roman" w:hAnsi="Times New Roman"/>
          <w:i/>
        </w:rPr>
        <w:t>requested the respective secretariats of UNDP, UNFPA and UNOPS to step up their efforts to achieve the timely, full, complete and sustained implementation of all outstanding and new audit recommendations</w:t>
      </w:r>
      <w:r w:rsidRPr="00FA093E">
        <w:rPr>
          <w:rFonts w:ascii="Times New Roman" w:hAnsi="Times New Roman"/>
          <w:i/>
        </w:rPr>
        <w:t>,</w:t>
      </w:r>
      <w:r w:rsidRPr="00FA093E">
        <w:rPr>
          <w:rFonts w:ascii="Times New Roman" w:hAnsi="Times New Roman"/>
        </w:rPr>
        <w:t xml:space="preserve"> UNDP is pleased to highlight </w:t>
      </w:r>
      <w:r w:rsidR="00097EE0" w:rsidRPr="00FA093E">
        <w:rPr>
          <w:rFonts w:ascii="Times New Roman" w:hAnsi="Times New Roman"/>
        </w:rPr>
        <w:t xml:space="preserve">the actions that </w:t>
      </w:r>
      <w:r w:rsidRPr="00FA093E">
        <w:rPr>
          <w:rFonts w:ascii="Times New Roman" w:hAnsi="Times New Roman"/>
        </w:rPr>
        <w:t xml:space="preserve">have been taken to address </w:t>
      </w:r>
      <w:r w:rsidR="00041B23" w:rsidRPr="00FA093E">
        <w:rPr>
          <w:rFonts w:ascii="Times New Roman" w:hAnsi="Times New Roman"/>
        </w:rPr>
        <w:t xml:space="preserve">key </w:t>
      </w:r>
      <w:r w:rsidR="00883881" w:rsidRPr="00FA093E">
        <w:rPr>
          <w:rFonts w:ascii="Times New Roman" w:hAnsi="Times New Roman"/>
        </w:rPr>
        <w:t xml:space="preserve">recurring </w:t>
      </w:r>
      <w:r w:rsidR="00041B23" w:rsidRPr="00FA093E">
        <w:rPr>
          <w:rFonts w:ascii="Times New Roman" w:hAnsi="Times New Roman"/>
        </w:rPr>
        <w:t xml:space="preserve">risks identified in the </w:t>
      </w:r>
      <w:r w:rsidR="00E75B6F" w:rsidRPr="00FA093E">
        <w:rPr>
          <w:rFonts w:ascii="Times New Roman" w:hAnsi="Times New Roman"/>
        </w:rPr>
        <w:t>2015</w:t>
      </w:r>
      <w:r w:rsidR="00041B23" w:rsidRPr="00FA093E">
        <w:rPr>
          <w:rFonts w:ascii="Times New Roman" w:hAnsi="Times New Roman"/>
        </w:rPr>
        <w:t xml:space="preserve"> OAI </w:t>
      </w:r>
      <w:r w:rsidR="00DF6BA1" w:rsidRPr="00FA093E">
        <w:rPr>
          <w:rFonts w:ascii="Times New Roman" w:hAnsi="Times New Roman"/>
        </w:rPr>
        <w:t>A</w:t>
      </w:r>
      <w:r w:rsidR="00041B23" w:rsidRPr="00FA093E">
        <w:rPr>
          <w:rFonts w:ascii="Times New Roman" w:hAnsi="Times New Roman"/>
        </w:rPr>
        <w:t xml:space="preserve">nnual </w:t>
      </w:r>
      <w:r w:rsidR="00DF6BA1" w:rsidRPr="00FA093E">
        <w:rPr>
          <w:rFonts w:ascii="Times New Roman" w:hAnsi="Times New Roman"/>
        </w:rPr>
        <w:t>R</w:t>
      </w:r>
      <w:r w:rsidR="00041B23" w:rsidRPr="00FA093E">
        <w:rPr>
          <w:rFonts w:ascii="Times New Roman" w:hAnsi="Times New Roman"/>
        </w:rPr>
        <w:t>eport.</w:t>
      </w:r>
    </w:p>
    <w:p w14:paraId="6A7B4708" w14:textId="77777777" w:rsidR="00110F72" w:rsidRPr="00FA093E" w:rsidRDefault="00110F72" w:rsidP="00FA093E">
      <w:pPr>
        <w:pStyle w:val="ListParagraph"/>
        <w:spacing w:line="240" w:lineRule="auto"/>
        <w:rPr>
          <w:rFonts w:ascii="Times New Roman" w:hAnsi="Times New Roman"/>
        </w:rPr>
      </w:pPr>
    </w:p>
    <w:p w14:paraId="1660E323" w14:textId="77777777" w:rsidR="008D179D" w:rsidRPr="00FA093E" w:rsidRDefault="008D179D" w:rsidP="00FA093E">
      <w:pPr>
        <w:pStyle w:val="ListParagraph"/>
        <w:numPr>
          <w:ilvl w:val="0"/>
          <w:numId w:val="4"/>
        </w:numPr>
        <w:spacing w:after="0" w:line="240" w:lineRule="auto"/>
        <w:jc w:val="both"/>
        <w:rPr>
          <w:rFonts w:ascii="Times New Roman" w:hAnsi="Times New Roman"/>
        </w:rPr>
      </w:pPr>
      <w:r w:rsidRPr="00FA093E">
        <w:rPr>
          <w:rFonts w:ascii="Times New Roman" w:hAnsi="Times New Roman"/>
          <w:b/>
        </w:rPr>
        <w:t>Country Office (CO) Audits</w:t>
      </w:r>
    </w:p>
    <w:p w14:paraId="1DF67867" w14:textId="77777777" w:rsidR="008D179D" w:rsidRPr="00FA093E" w:rsidRDefault="008D179D" w:rsidP="00FA093E">
      <w:pPr>
        <w:pStyle w:val="ListParagraph"/>
        <w:spacing w:after="0" w:line="240" w:lineRule="auto"/>
        <w:ind w:left="360"/>
        <w:jc w:val="both"/>
        <w:rPr>
          <w:rFonts w:ascii="Times New Roman" w:hAnsi="Times New Roman"/>
        </w:rPr>
      </w:pPr>
    </w:p>
    <w:p w14:paraId="1375D439" w14:textId="77777777" w:rsidR="008D179D" w:rsidRPr="00FA093E" w:rsidRDefault="008D179D"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u w:val="single"/>
        </w:rPr>
        <w:t>Programme/ Project Management and HACT (</w:t>
      </w:r>
      <w:r w:rsidRPr="00FA093E">
        <w:rPr>
          <w:rFonts w:ascii="Times New Roman" w:hAnsi="Times New Roman"/>
          <w:i/>
          <w:u w:val="single"/>
        </w:rPr>
        <w:t>26</w:t>
      </w:r>
      <w:r w:rsidR="00883881" w:rsidRPr="00FA093E">
        <w:rPr>
          <w:rFonts w:ascii="Times New Roman" w:hAnsi="Times New Roman"/>
          <w:i/>
          <w:u w:val="single"/>
        </w:rPr>
        <w:t xml:space="preserve"> </w:t>
      </w:r>
      <w:r w:rsidRPr="00FA093E">
        <w:rPr>
          <w:rFonts w:ascii="Times New Roman" w:hAnsi="Times New Roman"/>
          <w:i/>
          <w:u w:val="single"/>
        </w:rPr>
        <w:t>per cent of CO recommendations</w:t>
      </w:r>
      <w:r w:rsidRPr="00FA093E">
        <w:rPr>
          <w:rFonts w:ascii="Times New Roman" w:hAnsi="Times New Roman"/>
          <w:u w:val="single"/>
        </w:rPr>
        <w:t>)</w:t>
      </w:r>
      <w:r w:rsidRPr="00FA093E">
        <w:rPr>
          <w:rFonts w:ascii="Times New Roman" w:hAnsi="Times New Roman"/>
        </w:rPr>
        <w:t xml:space="preserve">: UNDP is undertaking an end-to-end reform of </w:t>
      </w:r>
      <w:r w:rsidR="00883881" w:rsidRPr="00FA093E">
        <w:rPr>
          <w:rFonts w:ascii="Times New Roman" w:hAnsi="Times New Roman"/>
        </w:rPr>
        <w:t xml:space="preserve">its </w:t>
      </w:r>
      <w:r w:rsidRPr="00FA093E">
        <w:rPr>
          <w:rFonts w:ascii="Times New Roman" w:hAnsi="Times New Roman"/>
        </w:rPr>
        <w:t>programming</w:t>
      </w:r>
      <w:r w:rsidR="00883881" w:rsidRPr="00FA093E">
        <w:rPr>
          <w:rFonts w:ascii="Times New Roman" w:hAnsi="Times New Roman"/>
        </w:rPr>
        <w:t xml:space="preserve"> approach in order to address the inter-dependent</w:t>
      </w:r>
      <w:r w:rsidRPr="00FA093E">
        <w:rPr>
          <w:rFonts w:ascii="Times New Roman" w:hAnsi="Times New Roman"/>
        </w:rPr>
        <w:t xml:space="preserve"> issues compre</w:t>
      </w:r>
      <w:r w:rsidR="00883881" w:rsidRPr="00FA093E">
        <w:rPr>
          <w:rFonts w:ascii="Times New Roman" w:hAnsi="Times New Roman"/>
        </w:rPr>
        <w:t>hensively</w:t>
      </w:r>
      <w:r w:rsidRPr="00FA093E">
        <w:rPr>
          <w:rFonts w:ascii="Times New Roman" w:hAnsi="Times New Roman"/>
        </w:rPr>
        <w:t>. The cornerstone of this reform is UNDP’s new Quality Standards for programming, launched in March 2016 as prescriptive for all programmes and projects following two years of development and extensive piloting.</w:t>
      </w:r>
      <w:r w:rsidR="00442042" w:rsidRPr="00FA093E">
        <w:rPr>
          <w:rFonts w:ascii="Times New Roman" w:hAnsi="Times New Roman"/>
        </w:rPr>
        <w:t xml:space="preserve"> </w:t>
      </w:r>
      <w:r w:rsidRPr="00FA093E">
        <w:rPr>
          <w:rFonts w:ascii="Times New Roman" w:hAnsi="Times New Roman"/>
          <w:lang w:val="en-GB" w:eastAsia="en-GB"/>
        </w:rPr>
        <w:t>Given the scope of these reforms, management anticipate</w:t>
      </w:r>
      <w:r w:rsidR="00442042" w:rsidRPr="00FA093E">
        <w:rPr>
          <w:rFonts w:ascii="Times New Roman" w:hAnsi="Times New Roman"/>
          <w:lang w:val="en-GB" w:eastAsia="en-GB"/>
        </w:rPr>
        <w:t>s</w:t>
      </w:r>
      <w:r w:rsidRPr="00FA093E">
        <w:rPr>
          <w:rFonts w:ascii="Times New Roman" w:hAnsi="Times New Roman"/>
          <w:lang w:val="en-GB" w:eastAsia="en-GB"/>
        </w:rPr>
        <w:t xml:space="preserve"> a 2-3 year implementation period for offices and </w:t>
      </w:r>
      <w:r w:rsidR="00883881" w:rsidRPr="00FA093E">
        <w:rPr>
          <w:rFonts w:ascii="Times New Roman" w:hAnsi="Times New Roman"/>
          <w:lang w:val="en-GB" w:eastAsia="en-GB"/>
        </w:rPr>
        <w:t xml:space="preserve">implementing </w:t>
      </w:r>
      <w:r w:rsidRPr="00FA093E">
        <w:rPr>
          <w:rFonts w:ascii="Times New Roman" w:hAnsi="Times New Roman"/>
          <w:lang w:val="en-GB" w:eastAsia="en-GB"/>
        </w:rPr>
        <w:t>partners to fully apply them in programming.</w:t>
      </w:r>
    </w:p>
    <w:p w14:paraId="2A5B4927" w14:textId="77777777" w:rsidR="00136E12" w:rsidRPr="00FA093E" w:rsidRDefault="00136E12" w:rsidP="00FA093E">
      <w:pPr>
        <w:pStyle w:val="ListParagraph"/>
        <w:spacing w:after="0" w:line="240" w:lineRule="auto"/>
        <w:ind w:left="360"/>
        <w:jc w:val="both"/>
        <w:rPr>
          <w:rFonts w:ascii="Times New Roman" w:hAnsi="Times New Roman"/>
        </w:rPr>
      </w:pPr>
    </w:p>
    <w:p w14:paraId="0B122AB9" w14:textId="77777777" w:rsidR="00136E12" w:rsidRPr="00FA093E" w:rsidRDefault="00136E12" w:rsidP="00FA093E">
      <w:pPr>
        <w:pStyle w:val="ListParagraph"/>
        <w:numPr>
          <w:ilvl w:val="0"/>
          <w:numId w:val="3"/>
        </w:numPr>
        <w:spacing w:after="0" w:line="240" w:lineRule="auto"/>
        <w:jc w:val="both"/>
        <w:rPr>
          <w:rFonts w:ascii="Times New Roman" w:hAnsi="Times New Roman"/>
          <w:lang w:val="en-GB" w:eastAsia="en-GB"/>
        </w:rPr>
      </w:pPr>
      <w:r w:rsidRPr="00FA093E">
        <w:rPr>
          <w:rFonts w:ascii="Times New Roman" w:hAnsi="Times New Roman"/>
          <w:lang w:val="en-GB" w:eastAsia="en-GB"/>
        </w:rPr>
        <w:t>The 2014 revised HACT framework and 2015 updated operational policies aim to address some of the Implementing Partners (IP) capacity challenges.  Implementation is keenly monitored through the regional bureaus.</w:t>
      </w:r>
    </w:p>
    <w:p w14:paraId="52FDAE9B" w14:textId="77777777" w:rsidR="00136E12" w:rsidRPr="00FA093E" w:rsidRDefault="00136E12" w:rsidP="00FA093E">
      <w:pPr>
        <w:pStyle w:val="ListParagraph"/>
        <w:spacing w:after="0" w:line="240" w:lineRule="auto"/>
        <w:ind w:left="360"/>
        <w:jc w:val="both"/>
        <w:rPr>
          <w:rFonts w:ascii="Times New Roman" w:hAnsi="Times New Roman"/>
        </w:rPr>
      </w:pPr>
    </w:p>
    <w:p w14:paraId="69206160" w14:textId="77777777" w:rsidR="008D179D" w:rsidRPr="00FA093E" w:rsidRDefault="00CA7FF4" w:rsidP="00FA093E">
      <w:pPr>
        <w:pStyle w:val="xmsonormal"/>
        <w:numPr>
          <w:ilvl w:val="0"/>
          <w:numId w:val="3"/>
        </w:numPr>
        <w:shd w:val="clear" w:color="auto" w:fill="FFFFFF"/>
        <w:jc w:val="both"/>
        <w:rPr>
          <w:sz w:val="22"/>
          <w:szCs w:val="22"/>
          <w:u w:val="single"/>
        </w:rPr>
      </w:pPr>
      <w:r w:rsidRPr="00FA093E">
        <w:rPr>
          <w:sz w:val="22"/>
          <w:szCs w:val="22"/>
          <w:u w:val="single"/>
        </w:rPr>
        <w:t>Procurement, Security and General A</w:t>
      </w:r>
      <w:r w:rsidR="008D179D" w:rsidRPr="00FA093E">
        <w:rPr>
          <w:sz w:val="22"/>
          <w:szCs w:val="22"/>
          <w:u w:val="single"/>
        </w:rPr>
        <w:t>dministration (</w:t>
      </w:r>
      <w:r w:rsidR="008D179D" w:rsidRPr="00FA093E">
        <w:rPr>
          <w:i/>
          <w:sz w:val="22"/>
          <w:szCs w:val="22"/>
          <w:u w:val="single"/>
        </w:rPr>
        <w:t>22 per cent of CO recommendations</w:t>
      </w:r>
      <w:r w:rsidR="008D179D" w:rsidRPr="00FA093E">
        <w:rPr>
          <w:sz w:val="22"/>
          <w:szCs w:val="22"/>
          <w:u w:val="single"/>
        </w:rPr>
        <w:t>)</w:t>
      </w:r>
      <w:r w:rsidR="008D179D" w:rsidRPr="00FA093E">
        <w:rPr>
          <w:b/>
          <w:sz w:val="22"/>
          <w:szCs w:val="22"/>
          <w:u w:val="single"/>
        </w:rPr>
        <w:t>:</w:t>
      </w:r>
      <w:r w:rsidR="008D179D" w:rsidRPr="00FA093E">
        <w:rPr>
          <w:sz w:val="22"/>
          <w:szCs w:val="22"/>
        </w:rPr>
        <w:t xml:space="preserve"> </w:t>
      </w:r>
      <w:r w:rsidR="008D179D" w:rsidRPr="00FA093E">
        <w:rPr>
          <w:sz w:val="22"/>
          <w:szCs w:val="22"/>
          <w:lang w:val="en-GB" w:eastAsia="en-GB"/>
        </w:rPr>
        <w:t>In implementing a risk based approach to procurement planning, UNDP has established the Procurement Forecasting and Planning Policy</w:t>
      </w:r>
      <w:r w:rsidR="00A85C1E" w:rsidRPr="00FA093E">
        <w:rPr>
          <w:sz w:val="22"/>
          <w:szCs w:val="22"/>
          <w:lang w:val="en-GB" w:eastAsia="en-GB"/>
        </w:rPr>
        <w:t xml:space="preserve"> that</w:t>
      </w:r>
      <w:r w:rsidR="008D179D" w:rsidRPr="00FA093E">
        <w:rPr>
          <w:sz w:val="22"/>
          <w:szCs w:val="22"/>
          <w:lang w:val="en-GB" w:eastAsia="en-GB"/>
        </w:rPr>
        <w:t xml:space="preserve"> requires consolidated procurement plans only from </w:t>
      </w:r>
      <w:r w:rsidR="0085298F" w:rsidRPr="00FA093E">
        <w:rPr>
          <w:sz w:val="22"/>
          <w:szCs w:val="22"/>
          <w:lang w:val="en-GB" w:eastAsia="en-GB"/>
        </w:rPr>
        <w:t>projects for</w:t>
      </w:r>
      <w:r w:rsidR="009352BD" w:rsidRPr="00FA093E">
        <w:rPr>
          <w:sz w:val="22"/>
          <w:szCs w:val="22"/>
          <w:lang w:val="en-GB" w:eastAsia="en-GB"/>
        </w:rPr>
        <w:t xml:space="preserve"> </w:t>
      </w:r>
      <w:r w:rsidR="008D179D" w:rsidRPr="00FA093E">
        <w:rPr>
          <w:sz w:val="22"/>
          <w:szCs w:val="22"/>
          <w:lang w:val="en-GB" w:eastAsia="en-GB"/>
        </w:rPr>
        <w:t xml:space="preserve">which </w:t>
      </w:r>
      <w:r w:rsidR="009352BD" w:rsidRPr="00FA093E">
        <w:rPr>
          <w:sz w:val="22"/>
          <w:szCs w:val="22"/>
          <w:lang w:val="en-GB" w:eastAsia="en-GB"/>
        </w:rPr>
        <w:t>a significant portion of the total budget relates to procurement whilst supporting development objectives of the project</w:t>
      </w:r>
      <w:r w:rsidR="008D179D" w:rsidRPr="00FA093E">
        <w:rPr>
          <w:sz w:val="22"/>
          <w:szCs w:val="22"/>
          <w:lang w:val="en-GB" w:eastAsia="en-GB"/>
        </w:rPr>
        <w:t xml:space="preserve">. </w:t>
      </w:r>
      <w:r w:rsidR="00837F49" w:rsidRPr="00FA093E">
        <w:rPr>
          <w:sz w:val="22"/>
          <w:szCs w:val="22"/>
          <w:lang w:val="en-GB" w:eastAsia="en-GB"/>
        </w:rPr>
        <w:t xml:space="preserve"> Procurement certifications and policy revisions have been undertaken to address concerns raised in the audit of COs.  </w:t>
      </w:r>
      <w:r w:rsidR="008D179D" w:rsidRPr="00FA093E">
        <w:rPr>
          <w:sz w:val="22"/>
          <w:szCs w:val="22"/>
          <w:lang w:val="en-GB"/>
        </w:rPr>
        <w:t xml:space="preserve"> The </w:t>
      </w:r>
      <w:r w:rsidR="00907913" w:rsidRPr="00FA093E">
        <w:rPr>
          <w:sz w:val="22"/>
          <w:szCs w:val="22"/>
          <w:lang w:val="en-GB"/>
        </w:rPr>
        <w:t xml:space="preserve">recently conducted </w:t>
      </w:r>
      <w:r w:rsidR="008D179D" w:rsidRPr="00FA093E">
        <w:rPr>
          <w:sz w:val="22"/>
          <w:szCs w:val="22"/>
          <w:lang w:val="en-GB"/>
        </w:rPr>
        <w:t xml:space="preserve">security survey </w:t>
      </w:r>
      <w:r w:rsidR="00907913" w:rsidRPr="00FA093E">
        <w:rPr>
          <w:sz w:val="22"/>
          <w:szCs w:val="22"/>
          <w:lang w:val="en-GB"/>
        </w:rPr>
        <w:t xml:space="preserve">(Dec 2015-Jan 2016)  </w:t>
      </w:r>
      <w:r w:rsidR="008D179D" w:rsidRPr="00FA093E">
        <w:rPr>
          <w:sz w:val="22"/>
          <w:szCs w:val="22"/>
          <w:lang w:val="en-GB"/>
        </w:rPr>
        <w:t>indicated that UNDP offices highlighted in the 2015 OAI report</w:t>
      </w:r>
      <w:r w:rsidR="00907913" w:rsidRPr="00FA093E">
        <w:rPr>
          <w:sz w:val="22"/>
          <w:szCs w:val="22"/>
          <w:lang w:val="en-GB"/>
        </w:rPr>
        <w:t xml:space="preserve"> with security weaknesses</w:t>
      </w:r>
      <w:r w:rsidR="008D179D" w:rsidRPr="00FA093E">
        <w:rPr>
          <w:sz w:val="22"/>
          <w:szCs w:val="22"/>
          <w:lang w:val="en-GB"/>
        </w:rPr>
        <w:t xml:space="preserve"> are</w:t>
      </w:r>
      <w:r w:rsidR="00907913" w:rsidRPr="00FA093E">
        <w:rPr>
          <w:sz w:val="22"/>
          <w:szCs w:val="22"/>
          <w:lang w:val="en-GB"/>
        </w:rPr>
        <w:t xml:space="preserve"> now</w:t>
      </w:r>
      <w:r w:rsidR="008D179D" w:rsidRPr="00FA093E">
        <w:rPr>
          <w:sz w:val="22"/>
          <w:szCs w:val="22"/>
          <w:lang w:val="en-GB"/>
        </w:rPr>
        <w:t xml:space="preserve"> compliant </w:t>
      </w:r>
      <w:r w:rsidR="00907913" w:rsidRPr="00FA093E">
        <w:rPr>
          <w:sz w:val="22"/>
          <w:szCs w:val="22"/>
          <w:lang w:val="en-GB"/>
        </w:rPr>
        <w:t xml:space="preserve"> in line with </w:t>
      </w:r>
      <w:r w:rsidR="008D179D" w:rsidRPr="00FA093E">
        <w:rPr>
          <w:sz w:val="22"/>
          <w:szCs w:val="22"/>
          <w:lang w:val="en-GB"/>
        </w:rPr>
        <w:t>the established standards</w:t>
      </w:r>
      <w:r w:rsidR="0085298F" w:rsidRPr="00FA093E">
        <w:rPr>
          <w:sz w:val="22"/>
          <w:szCs w:val="22"/>
          <w:lang w:val="en-GB"/>
        </w:rPr>
        <w:t xml:space="preserve"> (Minimum Operating Security Standards)</w:t>
      </w:r>
      <w:r w:rsidR="00837F49" w:rsidRPr="00FA093E">
        <w:rPr>
          <w:sz w:val="22"/>
          <w:szCs w:val="22"/>
          <w:lang w:val="en-GB"/>
        </w:rPr>
        <w:t xml:space="preserve">.  </w:t>
      </w:r>
      <w:r w:rsidR="008D179D" w:rsidRPr="00FA093E">
        <w:rPr>
          <w:sz w:val="22"/>
          <w:szCs w:val="22"/>
          <w:lang w:val="en-GB"/>
        </w:rPr>
        <w:t xml:space="preserve"> </w:t>
      </w:r>
    </w:p>
    <w:p w14:paraId="1A447D63" w14:textId="77777777" w:rsidR="00837F49" w:rsidRPr="00FA093E" w:rsidRDefault="00837F49" w:rsidP="00FA093E">
      <w:pPr>
        <w:pStyle w:val="xmsonormal"/>
        <w:shd w:val="clear" w:color="auto" w:fill="FFFFFF"/>
        <w:ind w:left="360"/>
        <w:jc w:val="both"/>
        <w:rPr>
          <w:sz w:val="22"/>
          <w:szCs w:val="22"/>
          <w:u w:val="single"/>
        </w:rPr>
      </w:pPr>
    </w:p>
    <w:p w14:paraId="508B0CD1" w14:textId="77777777" w:rsidR="008D179D" w:rsidRPr="00FA093E" w:rsidRDefault="00CA7FF4" w:rsidP="00FA093E">
      <w:pPr>
        <w:pStyle w:val="ListParagraph"/>
        <w:numPr>
          <w:ilvl w:val="0"/>
          <w:numId w:val="3"/>
        </w:numPr>
        <w:spacing w:after="0" w:line="240" w:lineRule="auto"/>
        <w:jc w:val="both"/>
        <w:rPr>
          <w:rFonts w:ascii="Times New Roman" w:hAnsi="Times New Roman"/>
          <w:lang w:val="en-GB" w:eastAsia="en-GB"/>
        </w:rPr>
      </w:pPr>
      <w:r w:rsidRPr="00FA093E">
        <w:rPr>
          <w:rFonts w:ascii="Times New Roman" w:hAnsi="Times New Roman"/>
          <w:u w:val="single"/>
        </w:rPr>
        <w:lastRenderedPageBreak/>
        <w:t>Governance and Strategic M</w:t>
      </w:r>
      <w:r w:rsidR="008D179D" w:rsidRPr="00FA093E">
        <w:rPr>
          <w:rFonts w:ascii="Times New Roman" w:hAnsi="Times New Roman"/>
          <w:u w:val="single"/>
        </w:rPr>
        <w:t xml:space="preserve">anagement </w:t>
      </w:r>
      <w:r w:rsidR="008D179D" w:rsidRPr="00FA093E">
        <w:rPr>
          <w:rFonts w:ascii="Times New Roman" w:hAnsi="Times New Roman"/>
          <w:i/>
          <w:u w:val="single"/>
        </w:rPr>
        <w:t>(19 per cent of CO recommendations</w:t>
      </w:r>
      <w:r w:rsidR="008D179D" w:rsidRPr="00FA093E">
        <w:rPr>
          <w:rFonts w:ascii="Times New Roman" w:hAnsi="Times New Roman"/>
          <w:u w:val="single"/>
        </w:rPr>
        <w:t xml:space="preserve">):  </w:t>
      </w:r>
      <w:r w:rsidR="008D179D" w:rsidRPr="00FA093E">
        <w:rPr>
          <w:rFonts w:ascii="Times New Roman" w:hAnsi="Times New Roman"/>
        </w:rPr>
        <w:t>To address financial sustainability of offices and appropriateness of office organizational structures, UNDP management is review</w:t>
      </w:r>
      <w:r w:rsidR="00152C5A" w:rsidRPr="00FA093E">
        <w:rPr>
          <w:rFonts w:ascii="Times New Roman" w:hAnsi="Times New Roman"/>
        </w:rPr>
        <w:t xml:space="preserve">ing approaches to </w:t>
      </w:r>
      <w:r w:rsidR="004A70FD" w:rsidRPr="00FA093E">
        <w:rPr>
          <w:rFonts w:ascii="Times New Roman" w:hAnsi="Times New Roman"/>
        </w:rPr>
        <w:t xml:space="preserve">enhanced planning </w:t>
      </w:r>
      <w:r w:rsidR="008D179D" w:rsidRPr="00FA093E">
        <w:rPr>
          <w:rFonts w:ascii="Times New Roman" w:hAnsi="Times New Roman"/>
        </w:rPr>
        <w:t xml:space="preserve">with a view to leveraging economies of scale by consolidation at the global and regional levels and building on current and expected future trends by being flexible and adaptable to different models of delivering its mandate.  </w:t>
      </w:r>
    </w:p>
    <w:p w14:paraId="01777D34" w14:textId="77777777" w:rsidR="008D179D" w:rsidRPr="00FA093E" w:rsidRDefault="008D179D" w:rsidP="00FA093E">
      <w:pPr>
        <w:pStyle w:val="ListParagraph"/>
        <w:spacing w:after="0" w:line="240" w:lineRule="auto"/>
        <w:ind w:left="360"/>
        <w:jc w:val="both"/>
        <w:rPr>
          <w:rFonts w:ascii="Times New Roman" w:hAnsi="Times New Roman"/>
          <w:lang w:val="en-GB" w:eastAsia="en-GB"/>
        </w:rPr>
      </w:pPr>
    </w:p>
    <w:p w14:paraId="600AEE1C" w14:textId="77777777" w:rsidR="003B6E8D" w:rsidRPr="00FA093E" w:rsidRDefault="008D179D" w:rsidP="00FA093E">
      <w:pPr>
        <w:pStyle w:val="ListParagraph"/>
        <w:numPr>
          <w:ilvl w:val="0"/>
          <w:numId w:val="3"/>
        </w:numPr>
        <w:shd w:val="clear" w:color="auto" w:fill="FFFFFF"/>
        <w:spacing w:after="0" w:line="240" w:lineRule="auto"/>
        <w:jc w:val="both"/>
        <w:rPr>
          <w:rFonts w:ascii="Times New Roman" w:hAnsi="Times New Roman"/>
          <w:lang w:val="en-GB"/>
        </w:rPr>
      </w:pPr>
      <w:r w:rsidRPr="00FA093E">
        <w:rPr>
          <w:rFonts w:ascii="Times New Roman" w:hAnsi="Times New Roman"/>
          <w:u w:val="single"/>
          <w:lang w:val="en-GB" w:eastAsia="en-GB"/>
        </w:rPr>
        <w:t>Financial Management (</w:t>
      </w:r>
      <w:r w:rsidRPr="00FA093E">
        <w:rPr>
          <w:rFonts w:ascii="Times New Roman" w:hAnsi="Times New Roman"/>
          <w:i/>
          <w:u w:val="single"/>
          <w:lang w:val="en-GB" w:eastAsia="en-GB"/>
        </w:rPr>
        <w:t>13 per cent of CO recommendations</w:t>
      </w:r>
      <w:r w:rsidRPr="00FA093E">
        <w:rPr>
          <w:rFonts w:ascii="Times New Roman" w:hAnsi="Times New Roman"/>
          <w:u w:val="single"/>
          <w:lang w:val="en-GB" w:eastAsia="en-GB"/>
        </w:rPr>
        <w:t>):</w:t>
      </w:r>
      <w:r w:rsidRPr="00FA093E">
        <w:rPr>
          <w:rFonts w:ascii="Times New Roman" w:hAnsi="Times New Roman"/>
          <w:lang w:val="en-GB"/>
        </w:rPr>
        <w:t xml:space="preserve"> </w:t>
      </w:r>
      <w:r w:rsidR="00442042" w:rsidRPr="00FA093E">
        <w:rPr>
          <w:rFonts w:ascii="Times New Roman" w:hAnsi="Times New Roman"/>
          <w:lang w:val="en-GB"/>
        </w:rPr>
        <w:t>T</w:t>
      </w:r>
      <w:r w:rsidRPr="00FA093E">
        <w:rPr>
          <w:rFonts w:ascii="Times New Roman" w:hAnsi="Times New Roman"/>
          <w:lang w:val="en-GB"/>
        </w:rPr>
        <w:t xml:space="preserve">he Office of Financial Resources Management (OFRM) conducts quarterly reviews of long outstanding advances (greater than 6 months) and follows up with the respective CO and Regional Bureau to ensure that corrective action is taken.  </w:t>
      </w:r>
      <w:r w:rsidR="00837F49" w:rsidRPr="00FA093E">
        <w:rPr>
          <w:rFonts w:ascii="Times New Roman" w:hAnsi="Times New Roman"/>
          <w:lang w:val="en-GB"/>
        </w:rPr>
        <w:t xml:space="preserve">All other financial management issues highlighted in the 2015 audit reports have been addressed through </w:t>
      </w:r>
      <w:r w:rsidR="00442042" w:rsidRPr="00FA093E">
        <w:rPr>
          <w:rFonts w:ascii="Times New Roman" w:hAnsi="Times New Roman"/>
          <w:lang w:val="en-GB"/>
        </w:rPr>
        <w:t>targeted</w:t>
      </w:r>
      <w:r w:rsidR="007C7CE1" w:rsidRPr="00FA093E">
        <w:rPr>
          <w:rFonts w:ascii="Times New Roman" w:hAnsi="Times New Roman"/>
          <w:lang w:val="en-GB"/>
        </w:rPr>
        <w:t xml:space="preserve"> support to the COs. </w:t>
      </w:r>
      <w:r w:rsidR="003B6E8D" w:rsidRPr="00FA093E">
        <w:rPr>
          <w:rFonts w:ascii="Times New Roman" w:hAnsi="Times New Roman"/>
          <w:lang w:val="en-GB"/>
        </w:rPr>
        <w:t xml:space="preserve">In its efforts to improve financial management, UNDP is committed to improving the capacities of finance staff globally, </w:t>
      </w:r>
      <w:r w:rsidR="00EB5F03" w:rsidRPr="00FA093E">
        <w:rPr>
          <w:rFonts w:ascii="Times New Roman" w:hAnsi="Times New Roman"/>
          <w:lang w:val="en-GB"/>
        </w:rPr>
        <w:t xml:space="preserve"> in 2015</w:t>
      </w:r>
      <w:r w:rsidR="003B6E8D" w:rsidRPr="00FA093E">
        <w:rPr>
          <w:rFonts w:ascii="Times New Roman" w:hAnsi="Times New Roman"/>
          <w:lang w:val="en-GB"/>
        </w:rPr>
        <w:t xml:space="preserve">, </w:t>
      </w:r>
      <w:r w:rsidR="00EB5F03" w:rsidRPr="00FA093E">
        <w:rPr>
          <w:rFonts w:ascii="Times New Roman" w:hAnsi="Times New Roman"/>
          <w:lang w:val="en-GB"/>
        </w:rPr>
        <w:t xml:space="preserve"> an additional 108 </w:t>
      </w:r>
      <w:r w:rsidR="003B6E8D" w:rsidRPr="00FA093E">
        <w:rPr>
          <w:rFonts w:ascii="Times New Roman" w:hAnsi="Times New Roman"/>
          <w:lang w:val="en-GB"/>
        </w:rPr>
        <w:t>(248 in 201</w:t>
      </w:r>
      <w:r w:rsidR="00EB5F03" w:rsidRPr="00FA093E">
        <w:rPr>
          <w:rFonts w:ascii="Times New Roman" w:hAnsi="Times New Roman"/>
          <w:lang w:val="en-GB"/>
        </w:rPr>
        <w:t>4</w:t>
      </w:r>
      <w:r w:rsidR="003B6E8D" w:rsidRPr="00FA093E">
        <w:rPr>
          <w:rFonts w:ascii="Times New Roman" w:hAnsi="Times New Roman"/>
          <w:lang w:val="en-GB"/>
        </w:rPr>
        <w:t xml:space="preserve">) staff had completed Chartered Institute of Public Finance and Accountancy (CIPFA) certification programmes at various levels.  </w:t>
      </w:r>
      <w:r w:rsidR="0085298F" w:rsidRPr="00FA093E">
        <w:rPr>
          <w:rFonts w:ascii="Times New Roman" w:hAnsi="Times New Roman"/>
          <w:lang w:val="en-GB"/>
        </w:rPr>
        <w:t>Other measures being taken by management to address financial management matters include the implementation of service delivery business models and clustering of services.</w:t>
      </w:r>
    </w:p>
    <w:p w14:paraId="1E5D872F" w14:textId="77777777" w:rsidR="003B6E8D" w:rsidRPr="00FA093E" w:rsidRDefault="003B6E8D" w:rsidP="00FA093E">
      <w:pPr>
        <w:pStyle w:val="ListParagraph"/>
        <w:spacing w:after="0" w:line="240" w:lineRule="auto"/>
        <w:ind w:left="360"/>
        <w:jc w:val="both"/>
        <w:rPr>
          <w:rFonts w:ascii="Times New Roman" w:hAnsi="Times New Roman"/>
        </w:rPr>
      </w:pPr>
    </w:p>
    <w:p w14:paraId="0517E14E" w14:textId="77777777" w:rsidR="008D179D" w:rsidRPr="00FA093E" w:rsidRDefault="008D179D" w:rsidP="00FA093E">
      <w:pPr>
        <w:pStyle w:val="xmsonormal"/>
        <w:numPr>
          <w:ilvl w:val="0"/>
          <w:numId w:val="3"/>
        </w:numPr>
        <w:shd w:val="clear" w:color="auto" w:fill="FFFFFF"/>
        <w:jc w:val="both"/>
        <w:rPr>
          <w:b/>
          <w:sz w:val="22"/>
          <w:szCs w:val="22"/>
          <w:lang w:val="en-GB"/>
        </w:rPr>
      </w:pPr>
      <w:r w:rsidRPr="00FA093E">
        <w:rPr>
          <w:sz w:val="22"/>
          <w:szCs w:val="22"/>
          <w:u w:val="single"/>
        </w:rPr>
        <w:t>Human Resources (</w:t>
      </w:r>
      <w:r w:rsidRPr="00FA093E">
        <w:rPr>
          <w:i/>
          <w:sz w:val="22"/>
          <w:szCs w:val="22"/>
          <w:u w:val="single"/>
        </w:rPr>
        <w:t>11 per cent of CO recommendations</w:t>
      </w:r>
      <w:r w:rsidRPr="00FA093E">
        <w:rPr>
          <w:sz w:val="22"/>
          <w:szCs w:val="22"/>
          <w:u w:val="single"/>
        </w:rPr>
        <w:t>):</w:t>
      </w:r>
      <w:r w:rsidRPr="00FA093E">
        <w:rPr>
          <w:sz w:val="22"/>
          <w:szCs w:val="22"/>
        </w:rPr>
        <w:t xml:space="preserve"> recurring issues identified in the 2015 OAI audit report</w:t>
      </w:r>
      <w:r w:rsidRPr="00FA093E">
        <w:rPr>
          <w:color w:val="000000"/>
          <w:sz w:val="22"/>
          <w:szCs w:val="22"/>
          <w:lang w:val="en-GB" w:eastAsia="en-GB"/>
        </w:rPr>
        <w:t xml:space="preserve"> will continue to be addressed through improved compliance monitoring, escalation, and training. </w:t>
      </w:r>
      <w:r w:rsidR="00442042" w:rsidRPr="00FA093E">
        <w:rPr>
          <w:color w:val="000000"/>
          <w:sz w:val="22"/>
          <w:szCs w:val="22"/>
          <w:lang w:val="en-GB" w:eastAsia="en-GB"/>
        </w:rPr>
        <w:t xml:space="preserve">  A suite of measures are being undertaken by UNDP management in order to address issue raised under HR management.  These include but are not limited: introduction of an</w:t>
      </w:r>
      <w:r w:rsidRPr="00FA093E">
        <w:rPr>
          <w:color w:val="000000"/>
          <w:sz w:val="22"/>
          <w:szCs w:val="22"/>
          <w:lang w:val="en-GB" w:eastAsia="en-GB"/>
        </w:rPr>
        <w:t xml:space="preserve"> HR Certification in 2016</w:t>
      </w:r>
      <w:r w:rsidR="00442042" w:rsidRPr="00FA093E">
        <w:rPr>
          <w:color w:val="000000"/>
          <w:sz w:val="22"/>
          <w:szCs w:val="22"/>
          <w:lang w:val="en-GB" w:eastAsia="en-GB"/>
        </w:rPr>
        <w:t>, rollout of e</w:t>
      </w:r>
      <w:r w:rsidRPr="00FA093E">
        <w:rPr>
          <w:color w:val="000000"/>
          <w:sz w:val="22"/>
          <w:szCs w:val="22"/>
          <w:lang w:val="en-GB" w:eastAsia="en-GB"/>
        </w:rPr>
        <w:t>-Recruit, and</w:t>
      </w:r>
      <w:r w:rsidR="00442042" w:rsidRPr="00FA093E">
        <w:rPr>
          <w:color w:val="000000"/>
          <w:sz w:val="22"/>
          <w:szCs w:val="22"/>
          <w:lang w:val="en-GB" w:eastAsia="en-GB"/>
        </w:rPr>
        <w:t xml:space="preserve"> regular monitoring and reporting </w:t>
      </w:r>
      <w:r w:rsidR="00B62ACC" w:rsidRPr="00FA093E">
        <w:rPr>
          <w:color w:val="000000"/>
          <w:sz w:val="22"/>
          <w:szCs w:val="22"/>
          <w:lang w:val="en-GB" w:eastAsia="en-GB"/>
        </w:rPr>
        <w:t>on timely</w:t>
      </w:r>
      <w:r w:rsidR="00475D4A" w:rsidRPr="00FA093E">
        <w:rPr>
          <w:color w:val="000000"/>
          <w:sz w:val="22"/>
          <w:szCs w:val="22"/>
          <w:lang w:val="en-GB" w:eastAsia="en-GB"/>
        </w:rPr>
        <w:t xml:space="preserve"> completion of PMD</w:t>
      </w:r>
      <w:r w:rsidR="007C7CE1" w:rsidRPr="00FA093E">
        <w:rPr>
          <w:color w:val="000000"/>
          <w:sz w:val="22"/>
          <w:szCs w:val="22"/>
          <w:lang w:val="en-GB" w:eastAsia="en-GB"/>
        </w:rPr>
        <w:t xml:space="preserve">.   </w:t>
      </w:r>
    </w:p>
    <w:p w14:paraId="002B2EE7" w14:textId="77777777" w:rsidR="007C7CE1" w:rsidRPr="00FA093E" w:rsidRDefault="007C7CE1" w:rsidP="00FA093E">
      <w:pPr>
        <w:pStyle w:val="xmsonormal"/>
        <w:shd w:val="clear" w:color="auto" w:fill="FFFFFF"/>
        <w:ind w:left="360"/>
        <w:jc w:val="both"/>
        <w:rPr>
          <w:b/>
          <w:sz w:val="22"/>
          <w:szCs w:val="22"/>
          <w:lang w:val="en-GB"/>
        </w:rPr>
      </w:pPr>
    </w:p>
    <w:p w14:paraId="13B304ED" w14:textId="77777777" w:rsidR="008D179D" w:rsidRPr="00FA093E" w:rsidRDefault="008D179D" w:rsidP="00FA093E">
      <w:pPr>
        <w:pStyle w:val="xmsonormal"/>
        <w:numPr>
          <w:ilvl w:val="0"/>
          <w:numId w:val="3"/>
        </w:numPr>
        <w:shd w:val="clear" w:color="auto" w:fill="FFFFFF"/>
        <w:jc w:val="both"/>
        <w:rPr>
          <w:color w:val="1F497D"/>
          <w:sz w:val="22"/>
          <w:szCs w:val="22"/>
        </w:rPr>
      </w:pPr>
      <w:r w:rsidRPr="00FA093E">
        <w:rPr>
          <w:b/>
          <w:sz w:val="22"/>
          <w:szCs w:val="22"/>
          <w:u w:val="single"/>
        </w:rPr>
        <w:t>Global Fund (GF) Audits</w:t>
      </w:r>
      <w:r w:rsidRPr="00FA093E">
        <w:rPr>
          <w:b/>
          <w:sz w:val="22"/>
          <w:szCs w:val="22"/>
        </w:rPr>
        <w:t>:</w:t>
      </w:r>
      <w:r w:rsidR="007C7CE1" w:rsidRPr="00FA093E">
        <w:rPr>
          <w:b/>
          <w:sz w:val="22"/>
          <w:szCs w:val="22"/>
        </w:rPr>
        <w:t xml:space="preserve"> </w:t>
      </w:r>
      <w:r w:rsidRPr="00FA093E">
        <w:rPr>
          <w:sz w:val="22"/>
          <w:szCs w:val="22"/>
        </w:rPr>
        <w:t>UNDP is an important partner of the Global Fund (GF) in its efforts to manage risk in highly challenging operating environments and is the Principal Recipient (PR) in 24 countries, of which 11 are under the GF’s Additional Safeguards Policy (ASP).</w:t>
      </w:r>
      <w:r w:rsidRPr="00FA093E">
        <w:rPr>
          <w:rStyle w:val="FootnoteReference"/>
          <w:sz w:val="22"/>
          <w:szCs w:val="22"/>
        </w:rPr>
        <w:footnoteReference w:customMarkFollows="1" w:id="1"/>
        <w:t>[1]</w:t>
      </w:r>
      <w:r w:rsidRPr="00FA093E">
        <w:rPr>
          <w:sz w:val="22"/>
          <w:szCs w:val="22"/>
        </w:rPr>
        <w:t xml:space="preserve"> UNDP management continues to make substantial investments to continuously and systematically refine risk mitigation and prevention measures that address the operational realities that arise from working in capacity-constrained environments. These </w:t>
      </w:r>
      <w:r w:rsidR="000A1C02" w:rsidRPr="00FA093E">
        <w:rPr>
          <w:sz w:val="22"/>
          <w:szCs w:val="22"/>
        </w:rPr>
        <w:t xml:space="preserve">interventions specifically </w:t>
      </w:r>
      <w:r w:rsidRPr="00FA093E">
        <w:rPr>
          <w:sz w:val="22"/>
          <w:szCs w:val="22"/>
        </w:rPr>
        <w:t>respond to OAI audit findings and recommendations and are reviewed periodically by the OPG</w:t>
      </w:r>
      <w:r w:rsidR="007C7CE1" w:rsidRPr="00FA093E">
        <w:rPr>
          <w:sz w:val="22"/>
          <w:szCs w:val="22"/>
        </w:rPr>
        <w:t xml:space="preserve"> with the result of no unsatisfactory audit ratings in 2015.</w:t>
      </w:r>
    </w:p>
    <w:p w14:paraId="55D0A3A2" w14:textId="77777777" w:rsidR="008D179D" w:rsidRPr="00FA093E" w:rsidRDefault="008D179D" w:rsidP="00FA093E">
      <w:pPr>
        <w:spacing w:after="0" w:line="240" w:lineRule="auto"/>
        <w:jc w:val="both"/>
        <w:rPr>
          <w:rFonts w:ascii="Times New Roman" w:hAnsi="Times New Roman"/>
        </w:rPr>
      </w:pPr>
      <w:r w:rsidRPr="00FA093E">
        <w:rPr>
          <w:rFonts w:ascii="Times New Roman" w:hAnsi="Times New Roman"/>
        </w:rPr>
        <w:t xml:space="preserve">  </w:t>
      </w:r>
    </w:p>
    <w:p w14:paraId="40225427" w14:textId="77777777" w:rsidR="008D179D" w:rsidRPr="00FA093E" w:rsidRDefault="008D179D" w:rsidP="00FA093E">
      <w:pPr>
        <w:pStyle w:val="ListParagraph"/>
        <w:numPr>
          <w:ilvl w:val="0"/>
          <w:numId w:val="3"/>
        </w:numPr>
        <w:spacing w:after="0" w:line="240" w:lineRule="auto"/>
        <w:jc w:val="both"/>
        <w:rPr>
          <w:rFonts w:ascii="Times New Roman" w:hAnsi="Times New Roman"/>
          <w:lang w:val="en-GB"/>
        </w:rPr>
      </w:pPr>
      <w:r w:rsidRPr="00FA093E">
        <w:rPr>
          <w:rFonts w:ascii="Times New Roman" w:hAnsi="Times New Roman"/>
          <w:b/>
          <w:u w:val="single"/>
        </w:rPr>
        <w:t>Directly Implemented (DIM)</w:t>
      </w:r>
      <w:r w:rsidR="00697850" w:rsidRPr="00FA093E">
        <w:rPr>
          <w:rFonts w:ascii="Times New Roman" w:hAnsi="Times New Roman"/>
          <w:b/>
          <w:u w:val="single"/>
        </w:rPr>
        <w:t xml:space="preserve"> </w:t>
      </w:r>
      <w:r w:rsidRPr="00FA093E">
        <w:rPr>
          <w:rFonts w:ascii="Times New Roman" w:hAnsi="Times New Roman"/>
          <w:b/>
          <w:u w:val="single"/>
        </w:rPr>
        <w:t>Project Audits:</w:t>
      </w:r>
      <w:r w:rsidRPr="00FA093E">
        <w:rPr>
          <w:rFonts w:ascii="Times New Roman" w:hAnsi="Times New Roman"/>
          <w:u w:val="single"/>
        </w:rPr>
        <w:t xml:space="preserve"> </w:t>
      </w:r>
      <w:r w:rsidR="00D00B80" w:rsidRPr="00FA093E">
        <w:rPr>
          <w:rFonts w:ascii="Times New Roman" w:hAnsi="Times New Roman"/>
          <w:u w:val="single"/>
        </w:rPr>
        <w:t xml:space="preserve"> </w:t>
      </w:r>
      <w:r w:rsidR="00BD1F2C" w:rsidRPr="00FA093E">
        <w:rPr>
          <w:rFonts w:ascii="Times New Roman" w:hAnsi="Times New Roman"/>
        </w:rPr>
        <w:t>Management action on m</w:t>
      </w:r>
      <w:r w:rsidR="00D00B80" w:rsidRPr="00FA093E">
        <w:rPr>
          <w:rFonts w:ascii="Times New Roman" w:hAnsi="Times New Roman"/>
        </w:rPr>
        <w:t>ost of the issues under DIM project audits have already been elaborated under the CO audits section (a) of this report.  Specif</w:t>
      </w:r>
      <w:r w:rsidR="00BD1F2C" w:rsidRPr="00FA093E">
        <w:rPr>
          <w:rFonts w:ascii="Times New Roman" w:hAnsi="Times New Roman"/>
        </w:rPr>
        <w:t>ic matters</w:t>
      </w:r>
      <w:r w:rsidR="00D00B80" w:rsidRPr="00FA093E">
        <w:rPr>
          <w:rFonts w:ascii="Times New Roman" w:hAnsi="Times New Roman"/>
        </w:rPr>
        <w:t xml:space="preserve"> not responded to relate to </w:t>
      </w:r>
      <w:r w:rsidRPr="00FA093E">
        <w:rPr>
          <w:rFonts w:ascii="Times New Roman" w:hAnsi="Times New Roman"/>
          <w:lang w:val="en-GB"/>
        </w:rPr>
        <w:t xml:space="preserve">Inaccurate recording of </w:t>
      </w:r>
      <w:r w:rsidR="00D00B80" w:rsidRPr="00FA093E">
        <w:rPr>
          <w:rFonts w:ascii="Times New Roman" w:hAnsi="Times New Roman"/>
          <w:lang w:val="en-GB"/>
        </w:rPr>
        <w:t xml:space="preserve">expenditures </w:t>
      </w:r>
      <w:r w:rsidRPr="00FA093E">
        <w:rPr>
          <w:rFonts w:ascii="Times New Roman" w:hAnsi="Times New Roman"/>
          <w:lang w:val="en-GB"/>
        </w:rPr>
        <w:t xml:space="preserve">and lack of supporting documents. UNDP </w:t>
      </w:r>
      <w:r w:rsidR="00B62ACC" w:rsidRPr="00FA093E">
        <w:rPr>
          <w:rFonts w:ascii="Times New Roman" w:hAnsi="Times New Roman"/>
          <w:lang w:val="en-GB"/>
        </w:rPr>
        <w:t xml:space="preserve">management </w:t>
      </w:r>
      <w:r w:rsidRPr="00FA093E">
        <w:rPr>
          <w:rFonts w:ascii="Times New Roman" w:hAnsi="Times New Roman"/>
          <w:lang w:val="en-GB"/>
        </w:rPr>
        <w:t xml:space="preserve">has come up with key indicators in the </w:t>
      </w:r>
      <w:r w:rsidR="00450800" w:rsidRPr="00FA093E">
        <w:rPr>
          <w:rFonts w:ascii="Times New Roman" w:hAnsi="Times New Roman"/>
          <w:lang w:val="en-GB"/>
        </w:rPr>
        <w:t xml:space="preserve">program/project management </w:t>
      </w:r>
      <w:r w:rsidRPr="00FA093E">
        <w:rPr>
          <w:rFonts w:ascii="Times New Roman" w:hAnsi="Times New Roman"/>
          <w:lang w:val="en-GB"/>
        </w:rPr>
        <w:t xml:space="preserve">quality assurance (QA) standards related to financial monitoring </w:t>
      </w:r>
      <w:r w:rsidR="00450800" w:rsidRPr="00FA093E">
        <w:rPr>
          <w:rFonts w:ascii="Times New Roman" w:hAnsi="Times New Roman"/>
          <w:lang w:val="en-GB"/>
        </w:rPr>
        <w:t>in a bid</w:t>
      </w:r>
      <w:r w:rsidRPr="00FA093E">
        <w:rPr>
          <w:rFonts w:ascii="Times New Roman" w:hAnsi="Times New Roman"/>
          <w:lang w:val="en-GB"/>
        </w:rPr>
        <w:t xml:space="preserve"> to address some of the identified weaknesses under inaccurate recording and lack of documents to support expenditure.  The revised monitoring policy issued in March 2016 specifically covers aspects of operational monitoring </w:t>
      </w:r>
      <w:r w:rsidR="00A361A7" w:rsidRPr="00FA093E">
        <w:rPr>
          <w:rFonts w:ascii="Times New Roman" w:hAnsi="Times New Roman"/>
          <w:lang w:val="en-GB"/>
        </w:rPr>
        <w:t xml:space="preserve">and key monitoring activities that must be carried out </w:t>
      </w:r>
      <w:r w:rsidRPr="00FA093E">
        <w:rPr>
          <w:rFonts w:ascii="Times New Roman" w:hAnsi="Times New Roman"/>
          <w:lang w:val="en-GB"/>
        </w:rPr>
        <w:t xml:space="preserve">under procurement and finance.    </w:t>
      </w:r>
      <w:r w:rsidR="00576E4C" w:rsidRPr="00FA093E">
        <w:rPr>
          <w:rFonts w:ascii="Times New Roman" w:hAnsi="Times New Roman"/>
          <w:lang w:val="en-GB"/>
        </w:rPr>
        <w:t>It is also important to highlight that a number of DIM projects relate to projects implemented through Letters of Agreement (LOA) with National Partners and are not solely UNDP managed projects.</w:t>
      </w:r>
    </w:p>
    <w:p w14:paraId="0003211B" w14:textId="77777777" w:rsidR="008D179D" w:rsidRPr="00FA093E" w:rsidRDefault="008D179D" w:rsidP="00FA093E">
      <w:pPr>
        <w:pStyle w:val="ListParagraph"/>
        <w:spacing w:line="240" w:lineRule="auto"/>
        <w:ind w:left="360"/>
        <w:jc w:val="both"/>
        <w:rPr>
          <w:rFonts w:ascii="Times New Roman" w:hAnsi="Times New Roman"/>
          <w:lang w:val="en-GB"/>
        </w:rPr>
      </w:pPr>
    </w:p>
    <w:p w14:paraId="1319C07C" w14:textId="77777777" w:rsidR="008D179D" w:rsidRPr="00FA093E" w:rsidRDefault="008D179D" w:rsidP="00FA093E">
      <w:pPr>
        <w:pStyle w:val="ListParagraph"/>
        <w:numPr>
          <w:ilvl w:val="0"/>
          <w:numId w:val="4"/>
        </w:numPr>
        <w:spacing w:after="0" w:line="240" w:lineRule="auto"/>
        <w:jc w:val="both"/>
        <w:rPr>
          <w:rFonts w:ascii="Times New Roman" w:hAnsi="Times New Roman"/>
        </w:rPr>
      </w:pPr>
      <w:r w:rsidRPr="00FA093E">
        <w:rPr>
          <w:rFonts w:ascii="Times New Roman" w:hAnsi="Times New Roman"/>
          <w:b/>
          <w:u w:val="single"/>
        </w:rPr>
        <w:t>Inter-Agency Audits:</w:t>
      </w:r>
      <w:r w:rsidRPr="00FA093E">
        <w:rPr>
          <w:rFonts w:ascii="Times New Roman" w:hAnsi="Times New Roman"/>
          <w:u w:val="single"/>
        </w:rPr>
        <w:t xml:space="preserve"> </w:t>
      </w:r>
      <w:r w:rsidRPr="00FA093E">
        <w:rPr>
          <w:rFonts w:ascii="Times New Roman" w:hAnsi="Times New Roman"/>
        </w:rPr>
        <w:t xml:space="preserve">UNDP management notes that </w:t>
      </w:r>
      <w:r w:rsidRPr="00FA093E">
        <w:rPr>
          <w:rFonts w:ascii="Times New Roman" w:hAnsi="Times New Roman"/>
          <w:lang w:val="en-GB"/>
        </w:rPr>
        <w:t xml:space="preserve">in 2015 OAI issued four inter-agency reports as a result of joint or coordinated audit work among the internal audit services of several United Nations </w:t>
      </w:r>
      <w:r w:rsidRPr="00FA093E">
        <w:rPr>
          <w:rFonts w:ascii="Times New Roman" w:hAnsi="Times New Roman"/>
          <w:lang w:val="en-GB"/>
        </w:rPr>
        <w:lastRenderedPageBreak/>
        <w:t>organizations (FAO, UNESCO, UNFPA, UNICEF and UNIDO). In addressing the program/project management issues raised in these reports, the project quality assurance imp</w:t>
      </w:r>
      <w:r w:rsidR="0070416E" w:rsidRPr="00FA093E">
        <w:rPr>
          <w:rFonts w:ascii="Times New Roman" w:hAnsi="Times New Roman"/>
          <w:lang w:val="en-GB"/>
        </w:rPr>
        <w:t>rovements noted under section (a</w:t>
      </w:r>
      <w:r w:rsidRPr="00FA093E">
        <w:rPr>
          <w:rFonts w:ascii="Times New Roman" w:hAnsi="Times New Roman"/>
          <w:lang w:val="en-GB"/>
        </w:rPr>
        <w:t>) will address most of the issues raised</w:t>
      </w:r>
      <w:r w:rsidR="00B62ACC" w:rsidRPr="00FA093E">
        <w:rPr>
          <w:rFonts w:ascii="Times New Roman" w:hAnsi="Times New Roman"/>
          <w:lang w:val="en-GB"/>
        </w:rPr>
        <w:t xml:space="preserve"> under these audits</w:t>
      </w:r>
      <w:r w:rsidRPr="00FA093E">
        <w:rPr>
          <w:rFonts w:ascii="Times New Roman" w:hAnsi="Times New Roman"/>
          <w:lang w:val="en-GB"/>
        </w:rPr>
        <w:t>.</w:t>
      </w:r>
    </w:p>
    <w:p w14:paraId="5DFA06F3" w14:textId="77777777" w:rsidR="002A02DD" w:rsidRPr="00FA093E" w:rsidRDefault="002A02DD" w:rsidP="00FA093E">
      <w:pPr>
        <w:pStyle w:val="ListParagraph"/>
        <w:spacing w:after="0" w:line="240" w:lineRule="auto"/>
        <w:ind w:left="360"/>
        <w:jc w:val="both"/>
        <w:rPr>
          <w:rFonts w:ascii="Times New Roman" w:hAnsi="Times New Roman"/>
        </w:rPr>
      </w:pPr>
    </w:p>
    <w:p w14:paraId="5BE97EE4" w14:textId="77777777" w:rsidR="00576E4C" w:rsidRPr="00FA093E" w:rsidRDefault="00576E4C"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lang w:val="en-GB"/>
        </w:rPr>
        <w:t xml:space="preserve">Management takes note of the lessons learnt from the inter-agency audits, which highlight the challenges in harmonizing of recording, monitoring and reporting joint activities.  </w:t>
      </w:r>
      <w:r w:rsidR="0065139B" w:rsidRPr="00FA093E">
        <w:rPr>
          <w:rFonts w:ascii="Times New Roman" w:hAnsi="Times New Roman"/>
          <w:lang w:val="en-GB"/>
        </w:rPr>
        <w:t xml:space="preserve">UNDP alone cannot implement the inter-agency audit recommendations and collaboration and consensus is required from all participating agencies through the appropriate forums.  </w:t>
      </w:r>
      <w:r w:rsidRPr="00FA093E">
        <w:rPr>
          <w:rFonts w:ascii="Times New Roman" w:hAnsi="Times New Roman"/>
          <w:lang w:val="en-GB"/>
        </w:rPr>
        <w:t>In applying lessons learnt from inter-agencies audit, management is confident that there will be improvements noted in future audits</w:t>
      </w:r>
    </w:p>
    <w:p w14:paraId="27B5D47C" w14:textId="77777777" w:rsidR="008D179D" w:rsidRPr="00FA093E" w:rsidRDefault="008D179D" w:rsidP="00FA093E">
      <w:pPr>
        <w:pStyle w:val="ListParagraph"/>
        <w:spacing w:line="240" w:lineRule="auto"/>
        <w:rPr>
          <w:rFonts w:ascii="Times New Roman" w:hAnsi="Times New Roman"/>
          <w:lang w:val="en-GB"/>
        </w:rPr>
      </w:pPr>
    </w:p>
    <w:p w14:paraId="05A562DB" w14:textId="77777777" w:rsidR="008D179D" w:rsidRPr="00FA093E" w:rsidRDefault="008D179D" w:rsidP="00FA093E">
      <w:pPr>
        <w:pStyle w:val="ListParagraph"/>
        <w:numPr>
          <w:ilvl w:val="0"/>
          <w:numId w:val="4"/>
        </w:numPr>
        <w:spacing w:after="0" w:line="240" w:lineRule="auto"/>
        <w:jc w:val="both"/>
        <w:rPr>
          <w:rFonts w:ascii="Times New Roman" w:hAnsi="Times New Roman"/>
          <w:b/>
          <w:u w:val="single"/>
        </w:rPr>
      </w:pPr>
      <w:r w:rsidRPr="00FA093E">
        <w:rPr>
          <w:rFonts w:ascii="Times New Roman" w:hAnsi="Times New Roman"/>
          <w:b/>
          <w:u w:val="single"/>
        </w:rPr>
        <w:t>HQ Audits</w:t>
      </w:r>
      <w:r w:rsidR="00BD1F2C" w:rsidRPr="00FA093E">
        <w:rPr>
          <w:rFonts w:ascii="Times New Roman" w:hAnsi="Times New Roman"/>
          <w:b/>
          <w:u w:val="single"/>
        </w:rPr>
        <w:t xml:space="preserve"> </w:t>
      </w:r>
      <w:r w:rsidRPr="00FA093E">
        <w:rPr>
          <w:rFonts w:ascii="Times New Roman" w:hAnsi="Times New Roman"/>
        </w:rPr>
        <w:t>UNDP management welcomes the recommendations made in the 8 HQ audits (of which 5</w:t>
      </w:r>
      <w:r w:rsidR="00B62ACC" w:rsidRPr="00FA093E">
        <w:rPr>
          <w:rFonts w:ascii="Times New Roman" w:hAnsi="Times New Roman"/>
        </w:rPr>
        <w:t xml:space="preserve"> were performance based audits).  Whilst </w:t>
      </w:r>
      <w:r w:rsidRPr="00FA093E">
        <w:rPr>
          <w:rFonts w:ascii="Times New Roman" w:hAnsi="Times New Roman"/>
        </w:rPr>
        <w:t xml:space="preserve"> </w:t>
      </w:r>
      <w:r w:rsidR="00B62ACC" w:rsidRPr="00FA093E">
        <w:rPr>
          <w:rFonts w:ascii="Times New Roman" w:hAnsi="Times New Roman"/>
        </w:rPr>
        <w:t xml:space="preserve">recommendations for some of the audits </w:t>
      </w:r>
      <w:r w:rsidR="00BD1F2C" w:rsidRPr="00FA093E">
        <w:rPr>
          <w:rFonts w:ascii="Times New Roman" w:hAnsi="Times New Roman"/>
        </w:rPr>
        <w:t>like Electronic Funds Transfer have</w:t>
      </w:r>
      <w:r w:rsidR="00B62ACC" w:rsidRPr="00FA093E">
        <w:rPr>
          <w:rFonts w:ascii="Times New Roman" w:hAnsi="Times New Roman"/>
        </w:rPr>
        <w:t xml:space="preserve"> been fully</w:t>
      </w:r>
      <w:r w:rsidR="00BD1F2C" w:rsidRPr="00FA093E">
        <w:rPr>
          <w:rFonts w:ascii="Times New Roman" w:hAnsi="Times New Roman"/>
        </w:rPr>
        <w:t xml:space="preserve"> implemented</w:t>
      </w:r>
      <w:r w:rsidR="00B62ACC" w:rsidRPr="00FA093E">
        <w:rPr>
          <w:rFonts w:ascii="Times New Roman" w:hAnsi="Times New Roman"/>
        </w:rPr>
        <w:t>, s</w:t>
      </w:r>
      <w:r w:rsidRPr="00FA093E">
        <w:rPr>
          <w:rFonts w:ascii="Times New Roman" w:hAnsi="Times New Roman"/>
        </w:rPr>
        <w:t xml:space="preserve">everal of the recommendations are complex in nature or require significant investment of time and resources and will therefore take longer to implement (e.g., review of organizational structure of the legal office, rollout of travel and expense module to all offices, and Atlas system enhancements).     </w:t>
      </w:r>
    </w:p>
    <w:p w14:paraId="34CE1BD0" w14:textId="77777777" w:rsidR="008D179D" w:rsidRPr="00FA093E" w:rsidRDefault="008D179D" w:rsidP="00FA093E">
      <w:pPr>
        <w:pStyle w:val="ListParagraph"/>
        <w:spacing w:after="0" w:line="240" w:lineRule="auto"/>
        <w:ind w:left="360"/>
        <w:jc w:val="both"/>
        <w:rPr>
          <w:rFonts w:ascii="Times New Roman" w:hAnsi="Times New Roman"/>
        </w:rPr>
      </w:pPr>
    </w:p>
    <w:p w14:paraId="620DD380" w14:textId="77777777" w:rsidR="002A2140" w:rsidRPr="00FA093E" w:rsidRDefault="0008103E" w:rsidP="00FA093E">
      <w:pPr>
        <w:pStyle w:val="ListParagraph"/>
        <w:numPr>
          <w:ilvl w:val="0"/>
          <w:numId w:val="4"/>
        </w:numPr>
        <w:spacing w:after="0" w:line="240" w:lineRule="auto"/>
        <w:jc w:val="both"/>
        <w:rPr>
          <w:rFonts w:ascii="Times New Roman" w:hAnsi="Times New Roman"/>
        </w:rPr>
      </w:pPr>
      <w:r w:rsidRPr="00FA093E">
        <w:rPr>
          <w:rFonts w:ascii="Times New Roman" w:hAnsi="Times New Roman"/>
          <w:b/>
        </w:rPr>
        <w:t>Unsatisfactory Audit Ratings</w:t>
      </w:r>
      <w:r w:rsidRPr="00FA093E">
        <w:rPr>
          <w:rFonts w:ascii="Times New Roman" w:hAnsi="Times New Roman"/>
        </w:rPr>
        <w:t xml:space="preserve"> </w:t>
      </w:r>
    </w:p>
    <w:p w14:paraId="4777C6A4" w14:textId="77777777" w:rsidR="002A2140" w:rsidRPr="00FA093E" w:rsidRDefault="002A2140" w:rsidP="00FA093E">
      <w:pPr>
        <w:pStyle w:val="ListParagraph"/>
        <w:spacing w:after="0" w:line="240" w:lineRule="auto"/>
        <w:ind w:left="360"/>
        <w:jc w:val="both"/>
        <w:rPr>
          <w:rFonts w:ascii="Times New Roman" w:hAnsi="Times New Roman"/>
        </w:rPr>
      </w:pPr>
    </w:p>
    <w:p w14:paraId="590C660E" w14:textId="77777777" w:rsidR="00D72B18" w:rsidRPr="00FA093E" w:rsidRDefault="00453E43"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Management takes note </w:t>
      </w:r>
      <w:r w:rsidR="000B120C" w:rsidRPr="00FA093E">
        <w:rPr>
          <w:rFonts w:ascii="Times New Roman" w:hAnsi="Times New Roman"/>
        </w:rPr>
        <w:t>of the seven</w:t>
      </w:r>
      <w:r w:rsidR="009646B0" w:rsidRPr="00FA093E">
        <w:rPr>
          <w:rFonts w:ascii="Times New Roman" w:hAnsi="Times New Roman"/>
          <w:lang w:val="en-GB"/>
        </w:rPr>
        <w:t xml:space="preserve"> reports (11 per cent) </w:t>
      </w:r>
      <w:r w:rsidR="000B120C" w:rsidRPr="00FA093E">
        <w:rPr>
          <w:rFonts w:ascii="Times New Roman" w:hAnsi="Times New Roman"/>
          <w:lang w:val="en-GB"/>
        </w:rPr>
        <w:t xml:space="preserve">with </w:t>
      </w:r>
      <w:r w:rsidR="009646B0" w:rsidRPr="00FA093E">
        <w:rPr>
          <w:rFonts w:ascii="Times New Roman" w:hAnsi="Times New Roman"/>
          <w:lang w:val="en-GB"/>
        </w:rPr>
        <w:t>an ‘unsatisfactory’ rating</w:t>
      </w:r>
      <w:r w:rsidR="000B120C" w:rsidRPr="00FA093E">
        <w:rPr>
          <w:rFonts w:ascii="Times New Roman" w:hAnsi="Times New Roman"/>
          <w:lang w:val="en-GB"/>
        </w:rPr>
        <w:t xml:space="preserve"> based on the number of audit reports given an OAI rating</w:t>
      </w:r>
      <w:r w:rsidR="00074C27" w:rsidRPr="00FA093E">
        <w:rPr>
          <w:rFonts w:ascii="Times New Roman" w:hAnsi="Times New Roman"/>
        </w:rPr>
        <w:t>.</w:t>
      </w:r>
      <w:r w:rsidR="007838D2" w:rsidRPr="00FA093E">
        <w:rPr>
          <w:rFonts w:ascii="Times New Roman" w:hAnsi="Times New Roman"/>
        </w:rPr>
        <w:t xml:space="preserve">  It is important to note </w:t>
      </w:r>
      <w:r w:rsidRPr="00FA093E">
        <w:rPr>
          <w:rFonts w:ascii="Times New Roman" w:hAnsi="Times New Roman"/>
        </w:rPr>
        <w:t>that OAI uses a risk based approach to planning its audits most of which will</w:t>
      </w:r>
      <w:r w:rsidR="009646B0" w:rsidRPr="00FA093E">
        <w:rPr>
          <w:rFonts w:ascii="Times New Roman" w:hAnsi="Times New Roman"/>
        </w:rPr>
        <w:t xml:space="preserve"> inevitably</w:t>
      </w:r>
      <w:r w:rsidRPr="00FA093E">
        <w:rPr>
          <w:rFonts w:ascii="Times New Roman" w:hAnsi="Times New Roman"/>
        </w:rPr>
        <w:t xml:space="preserve"> be in </w:t>
      </w:r>
      <w:r w:rsidR="007838D2" w:rsidRPr="00FA093E">
        <w:rPr>
          <w:rFonts w:ascii="Times New Roman" w:hAnsi="Times New Roman"/>
        </w:rPr>
        <w:t xml:space="preserve">high </w:t>
      </w:r>
      <w:r w:rsidR="00D742A1" w:rsidRPr="00FA093E">
        <w:rPr>
          <w:rFonts w:ascii="Times New Roman" w:hAnsi="Times New Roman"/>
        </w:rPr>
        <w:t xml:space="preserve">risk and challenging </w:t>
      </w:r>
      <w:r w:rsidR="002D19F0" w:rsidRPr="00FA093E">
        <w:rPr>
          <w:rFonts w:ascii="Times New Roman" w:hAnsi="Times New Roman"/>
        </w:rPr>
        <w:t>environments</w:t>
      </w:r>
      <w:r w:rsidR="008D1F2F" w:rsidRPr="00FA093E">
        <w:rPr>
          <w:rFonts w:ascii="Times New Roman" w:hAnsi="Times New Roman"/>
        </w:rPr>
        <w:t xml:space="preserve"> (this applies to a number of the unsatisfactory reports)</w:t>
      </w:r>
      <w:r w:rsidR="002D19F0" w:rsidRPr="00FA093E">
        <w:rPr>
          <w:rFonts w:ascii="Times New Roman" w:hAnsi="Times New Roman"/>
        </w:rPr>
        <w:t xml:space="preserve">, </w:t>
      </w:r>
      <w:r w:rsidRPr="00FA093E">
        <w:rPr>
          <w:rFonts w:ascii="Times New Roman" w:hAnsi="Times New Roman"/>
        </w:rPr>
        <w:t xml:space="preserve">with a certain </w:t>
      </w:r>
      <w:r w:rsidR="002D19F0" w:rsidRPr="00FA093E">
        <w:rPr>
          <w:rFonts w:ascii="Times New Roman" w:hAnsi="Times New Roman"/>
        </w:rPr>
        <w:t xml:space="preserve">level of inherent risks, hence the audit </w:t>
      </w:r>
      <w:r w:rsidR="00074C27" w:rsidRPr="00FA093E">
        <w:rPr>
          <w:rFonts w:ascii="Times New Roman" w:hAnsi="Times New Roman"/>
        </w:rPr>
        <w:t>ratings</w:t>
      </w:r>
      <w:r w:rsidR="002D19F0" w:rsidRPr="00FA093E">
        <w:rPr>
          <w:rFonts w:ascii="Times New Roman" w:hAnsi="Times New Roman"/>
        </w:rPr>
        <w:t xml:space="preserve"> should be considered within this context</w:t>
      </w:r>
      <w:r w:rsidR="00074C27" w:rsidRPr="00FA093E">
        <w:rPr>
          <w:rFonts w:ascii="Times New Roman" w:hAnsi="Times New Roman"/>
        </w:rPr>
        <w:t xml:space="preserve">.  </w:t>
      </w:r>
      <w:r w:rsidR="003D19FD" w:rsidRPr="00FA093E">
        <w:rPr>
          <w:rFonts w:ascii="Times New Roman" w:hAnsi="Times New Roman"/>
        </w:rPr>
        <w:t xml:space="preserve">The </w:t>
      </w:r>
      <w:r w:rsidR="00895893" w:rsidRPr="00FA093E">
        <w:rPr>
          <w:rFonts w:ascii="Times New Roman" w:hAnsi="Times New Roman"/>
        </w:rPr>
        <w:t xml:space="preserve">management </w:t>
      </w:r>
      <w:r w:rsidR="00962D72" w:rsidRPr="00FA093E">
        <w:rPr>
          <w:rFonts w:ascii="Times New Roman" w:hAnsi="Times New Roman"/>
        </w:rPr>
        <w:t>solutions in</w:t>
      </w:r>
      <w:r w:rsidR="003D19FD" w:rsidRPr="00FA093E">
        <w:rPr>
          <w:rFonts w:ascii="Times New Roman" w:hAnsi="Times New Roman"/>
        </w:rPr>
        <w:t xml:space="preserve"> such instances </w:t>
      </w:r>
      <w:r w:rsidR="009646B0" w:rsidRPr="00FA093E">
        <w:rPr>
          <w:rFonts w:ascii="Times New Roman" w:hAnsi="Times New Roman"/>
        </w:rPr>
        <w:t xml:space="preserve">are </w:t>
      </w:r>
      <w:r w:rsidR="003D19FD" w:rsidRPr="00FA093E">
        <w:rPr>
          <w:rFonts w:ascii="Times New Roman" w:hAnsi="Times New Roman"/>
        </w:rPr>
        <w:t xml:space="preserve">targeted </w:t>
      </w:r>
      <w:r w:rsidR="00097EE0" w:rsidRPr="00FA093E">
        <w:rPr>
          <w:rFonts w:ascii="Times New Roman" w:hAnsi="Times New Roman"/>
        </w:rPr>
        <w:t xml:space="preserve">to the specific </w:t>
      </w:r>
      <w:r w:rsidR="009646B0" w:rsidRPr="00FA093E">
        <w:rPr>
          <w:rFonts w:ascii="Times New Roman" w:hAnsi="Times New Roman"/>
        </w:rPr>
        <w:t xml:space="preserve">country </w:t>
      </w:r>
      <w:r w:rsidR="00097EE0" w:rsidRPr="00FA093E">
        <w:rPr>
          <w:rFonts w:ascii="Times New Roman" w:hAnsi="Times New Roman"/>
        </w:rPr>
        <w:t>office</w:t>
      </w:r>
      <w:r w:rsidR="009646B0" w:rsidRPr="00FA093E">
        <w:rPr>
          <w:rFonts w:ascii="Times New Roman" w:hAnsi="Times New Roman"/>
        </w:rPr>
        <w:t xml:space="preserve"> (CO)</w:t>
      </w:r>
      <w:r w:rsidR="00962D72" w:rsidRPr="00FA093E">
        <w:rPr>
          <w:rFonts w:ascii="Times New Roman" w:hAnsi="Times New Roman"/>
        </w:rPr>
        <w:t xml:space="preserve"> and contextual environment</w:t>
      </w:r>
      <w:r w:rsidR="003D19FD" w:rsidRPr="00FA093E">
        <w:rPr>
          <w:rFonts w:ascii="Times New Roman" w:hAnsi="Times New Roman"/>
        </w:rPr>
        <w:t xml:space="preserve">. </w:t>
      </w:r>
      <w:r w:rsidR="004C6399" w:rsidRPr="00FA093E">
        <w:rPr>
          <w:rFonts w:ascii="Times New Roman" w:hAnsi="Times New Roman"/>
        </w:rPr>
        <w:t xml:space="preserve"> </w:t>
      </w:r>
      <w:r w:rsidR="00BD1F2C" w:rsidRPr="00FA093E">
        <w:rPr>
          <w:rFonts w:ascii="Times New Roman" w:hAnsi="Times New Roman"/>
        </w:rPr>
        <w:t xml:space="preserve"> Management has taken several measures to address the risks that were identified in the unsatisfactory audit reports including instituting a number of changes in management of projects; closing of some projects; centralizing and </w:t>
      </w:r>
      <w:r w:rsidR="005D6B71" w:rsidRPr="00FA093E">
        <w:rPr>
          <w:rFonts w:ascii="Times New Roman" w:hAnsi="Times New Roman"/>
        </w:rPr>
        <w:t>consolidating operations</w:t>
      </w:r>
      <w:r w:rsidR="00BD1F2C" w:rsidRPr="00FA093E">
        <w:rPr>
          <w:rFonts w:ascii="Times New Roman" w:hAnsi="Times New Roman"/>
        </w:rPr>
        <w:t xml:space="preserve"> and resource mobilization initiatives.</w:t>
      </w:r>
    </w:p>
    <w:p w14:paraId="4BB4172E" w14:textId="77777777" w:rsidR="000259A7" w:rsidRPr="00FA093E" w:rsidRDefault="000259A7" w:rsidP="00FA093E">
      <w:pPr>
        <w:pStyle w:val="ListParagraph"/>
        <w:spacing w:after="0" w:line="240" w:lineRule="auto"/>
        <w:ind w:left="360"/>
        <w:jc w:val="both"/>
        <w:rPr>
          <w:rFonts w:ascii="Times New Roman" w:hAnsi="Times New Roman"/>
        </w:rPr>
      </w:pPr>
    </w:p>
    <w:p w14:paraId="56EA0F5C" w14:textId="77777777" w:rsidR="00570FB7" w:rsidRPr="00FA093E" w:rsidRDefault="00570FB7" w:rsidP="00FA093E">
      <w:pPr>
        <w:pStyle w:val="ListParagraph"/>
        <w:numPr>
          <w:ilvl w:val="0"/>
          <w:numId w:val="4"/>
        </w:numPr>
        <w:spacing w:after="0" w:line="240" w:lineRule="auto"/>
        <w:jc w:val="both"/>
        <w:rPr>
          <w:rFonts w:ascii="Times New Roman" w:hAnsi="Times New Roman"/>
          <w:b/>
        </w:rPr>
      </w:pPr>
      <w:r w:rsidRPr="00FA093E">
        <w:rPr>
          <w:rFonts w:ascii="Times New Roman" w:hAnsi="Times New Roman"/>
          <w:b/>
        </w:rPr>
        <w:t>Audits of projects executed by</w:t>
      </w:r>
      <w:r w:rsidR="003B7253" w:rsidRPr="00FA093E">
        <w:rPr>
          <w:rFonts w:ascii="Times New Roman" w:hAnsi="Times New Roman"/>
          <w:b/>
        </w:rPr>
        <w:t xml:space="preserve"> </w:t>
      </w:r>
      <w:r w:rsidR="00465F8A" w:rsidRPr="00FA093E">
        <w:rPr>
          <w:rFonts w:ascii="Times New Roman" w:hAnsi="Times New Roman"/>
          <w:b/>
        </w:rPr>
        <w:t>Non-Governmental O</w:t>
      </w:r>
      <w:r w:rsidR="004C1765" w:rsidRPr="00FA093E">
        <w:rPr>
          <w:rFonts w:ascii="Times New Roman" w:hAnsi="Times New Roman"/>
          <w:b/>
        </w:rPr>
        <w:t>rganizations</w:t>
      </w:r>
      <w:r w:rsidR="00465F8A" w:rsidRPr="00FA093E">
        <w:rPr>
          <w:rFonts w:ascii="Times New Roman" w:hAnsi="Times New Roman"/>
          <w:b/>
        </w:rPr>
        <w:t xml:space="preserve"> (NGO)</w:t>
      </w:r>
      <w:r w:rsidR="004C1765" w:rsidRPr="00FA093E">
        <w:rPr>
          <w:rFonts w:ascii="Times New Roman" w:hAnsi="Times New Roman"/>
          <w:b/>
        </w:rPr>
        <w:t xml:space="preserve"> </w:t>
      </w:r>
      <w:r w:rsidRPr="00FA093E">
        <w:rPr>
          <w:rFonts w:ascii="Times New Roman" w:hAnsi="Times New Roman"/>
          <w:b/>
        </w:rPr>
        <w:t xml:space="preserve">and/or </w:t>
      </w:r>
      <w:r w:rsidR="00465F8A" w:rsidRPr="00FA093E">
        <w:rPr>
          <w:rFonts w:ascii="Times New Roman" w:hAnsi="Times New Roman"/>
          <w:b/>
        </w:rPr>
        <w:t>National G</w:t>
      </w:r>
      <w:r w:rsidR="004C1765" w:rsidRPr="00FA093E">
        <w:rPr>
          <w:rFonts w:ascii="Times New Roman" w:hAnsi="Times New Roman"/>
          <w:b/>
        </w:rPr>
        <w:t>overnments</w:t>
      </w:r>
      <w:r w:rsidR="00465F8A" w:rsidRPr="00FA093E">
        <w:rPr>
          <w:rFonts w:ascii="Times New Roman" w:hAnsi="Times New Roman"/>
          <w:b/>
        </w:rPr>
        <w:t xml:space="preserve"> </w:t>
      </w:r>
    </w:p>
    <w:p w14:paraId="6C5C197B" w14:textId="77777777" w:rsidR="00570FB7" w:rsidRPr="00FA093E" w:rsidRDefault="00570FB7" w:rsidP="00FA093E">
      <w:pPr>
        <w:pStyle w:val="ListParagraph"/>
        <w:spacing w:after="0" w:line="240" w:lineRule="auto"/>
        <w:ind w:left="360"/>
        <w:jc w:val="both"/>
        <w:rPr>
          <w:rStyle w:val="Hyperlink"/>
          <w:rFonts w:ascii="Times New Roman" w:hAnsi="Times New Roman"/>
          <w:color w:val="auto"/>
          <w:u w:val="none"/>
        </w:rPr>
      </w:pPr>
    </w:p>
    <w:p w14:paraId="244A7474" w14:textId="77777777" w:rsidR="00FA4352" w:rsidRPr="00FA093E" w:rsidRDefault="00024F3C" w:rsidP="00FA093E">
      <w:pPr>
        <w:pStyle w:val="ListParagraph"/>
        <w:numPr>
          <w:ilvl w:val="0"/>
          <w:numId w:val="3"/>
        </w:numPr>
        <w:spacing w:after="0" w:line="240" w:lineRule="auto"/>
        <w:jc w:val="both"/>
        <w:rPr>
          <w:rStyle w:val="Hyperlink"/>
          <w:rFonts w:ascii="Times New Roman" w:hAnsi="Times New Roman"/>
          <w:color w:val="auto"/>
          <w:u w:val="none"/>
        </w:rPr>
      </w:pPr>
      <w:r w:rsidRPr="00FA093E">
        <w:rPr>
          <w:rStyle w:val="Hyperlink"/>
          <w:rFonts w:ascii="Times New Roman" w:hAnsi="Times New Roman"/>
          <w:color w:val="auto"/>
          <w:u w:val="none"/>
        </w:rPr>
        <w:t xml:space="preserve"> </w:t>
      </w:r>
      <w:r w:rsidR="005554E6" w:rsidRPr="00FA093E">
        <w:rPr>
          <w:rStyle w:val="Hyperlink"/>
          <w:rFonts w:ascii="Times New Roman" w:hAnsi="Times New Roman"/>
          <w:color w:val="auto"/>
          <w:u w:val="none"/>
        </w:rPr>
        <w:t xml:space="preserve">UNDP management recognizes the importance of </w:t>
      </w:r>
      <w:r w:rsidR="00465F8A" w:rsidRPr="00FA093E">
        <w:rPr>
          <w:rStyle w:val="Hyperlink"/>
          <w:rFonts w:ascii="Times New Roman" w:hAnsi="Times New Roman"/>
          <w:color w:val="auto"/>
          <w:u w:val="none"/>
        </w:rPr>
        <w:t>National I</w:t>
      </w:r>
      <w:r w:rsidR="005554E6" w:rsidRPr="00FA093E">
        <w:rPr>
          <w:rStyle w:val="Hyperlink"/>
          <w:rFonts w:ascii="Times New Roman" w:hAnsi="Times New Roman"/>
          <w:color w:val="auto"/>
          <w:u w:val="none"/>
        </w:rPr>
        <w:t>mplementation</w:t>
      </w:r>
      <w:r w:rsidR="00465F8A" w:rsidRPr="00FA093E">
        <w:rPr>
          <w:rStyle w:val="Hyperlink"/>
          <w:rFonts w:ascii="Times New Roman" w:hAnsi="Times New Roman"/>
          <w:color w:val="auto"/>
          <w:u w:val="none"/>
        </w:rPr>
        <w:t xml:space="preserve"> (NIM)</w:t>
      </w:r>
      <w:r w:rsidR="005554E6" w:rsidRPr="00FA093E">
        <w:rPr>
          <w:rStyle w:val="Hyperlink"/>
          <w:rFonts w:ascii="Times New Roman" w:hAnsi="Times New Roman"/>
          <w:color w:val="auto"/>
          <w:u w:val="none"/>
        </w:rPr>
        <w:t xml:space="preserve"> modality as a way of ensuring national ownership and sustainability of projects at the country level.  </w:t>
      </w:r>
      <w:r w:rsidRPr="00FA093E">
        <w:rPr>
          <w:rStyle w:val="Hyperlink"/>
          <w:rFonts w:ascii="Times New Roman" w:hAnsi="Times New Roman"/>
          <w:color w:val="auto"/>
          <w:u w:val="none"/>
        </w:rPr>
        <w:t>UNDP m</w:t>
      </w:r>
      <w:r w:rsidR="00272279" w:rsidRPr="00FA093E">
        <w:rPr>
          <w:rStyle w:val="Hyperlink"/>
          <w:rFonts w:ascii="Times New Roman" w:hAnsi="Times New Roman"/>
          <w:color w:val="auto"/>
          <w:u w:val="none"/>
        </w:rPr>
        <w:t>anagement is pleased to note a</w:t>
      </w:r>
      <w:r w:rsidR="004C1765" w:rsidRPr="00FA093E">
        <w:rPr>
          <w:rStyle w:val="Hyperlink"/>
          <w:rFonts w:ascii="Times New Roman" w:hAnsi="Times New Roman"/>
          <w:color w:val="auto"/>
          <w:u w:val="none"/>
        </w:rPr>
        <w:t>n improvement in</w:t>
      </w:r>
      <w:r w:rsidR="008906E0" w:rsidRPr="00FA093E">
        <w:rPr>
          <w:rStyle w:val="Hyperlink"/>
          <w:rFonts w:ascii="Times New Roman" w:hAnsi="Times New Roman"/>
          <w:color w:val="auto"/>
          <w:u w:val="none"/>
        </w:rPr>
        <w:t xml:space="preserve"> percentage of countries receiving satisfactory ratings between 2013 and 2014 by OAI</w:t>
      </w:r>
      <w:r w:rsidR="004C1765" w:rsidRPr="00FA093E">
        <w:rPr>
          <w:rStyle w:val="Hyperlink"/>
          <w:rFonts w:ascii="Times New Roman" w:hAnsi="Times New Roman"/>
          <w:color w:val="auto"/>
          <w:u w:val="none"/>
        </w:rPr>
        <w:t xml:space="preserve"> </w:t>
      </w:r>
      <w:r w:rsidR="008906E0" w:rsidRPr="00FA093E">
        <w:rPr>
          <w:rStyle w:val="Hyperlink"/>
          <w:rFonts w:ascii="Times New Roman" w:hAnsi="Times New Roman"/>
          <w:color w:val="auto"/>
          <w:u w:val="none"/>
        </w:rPr>
        <w:t>(assessment of quality of NGO/</w:t>
      </w:r>
      <w:r w:rsidR="00465F8A" w:rsidRPr="00FA093E">
        <w:rPr>
          <w:rStyle w:val="Hyperlink"/>
          <w:rFonts w:ascii="Times New Roman" w:hAnsi="Times New Roman"/>
          <w:color w:val="auto"/>
          <w:u w:val="none"/>
        </w:rPr>
        <w:t>N</w:t>
      </w:r>
      <w:r w:rsidR="008906E0" w:rsidRPr="00FA093E">
        <w:rPr>
          <w:rStyle w:val="Hyperlink"/>
          <w:rFonts w:ascii="Times New Roman" w:hAnsi="Times New Roman"/>
          <w:color w:val="auto"/>
          <w:u w:val="none"/>
        </w:rPr>
        <w:t xml:space="preserve">IM audit reports) </w:t>
      </w:r>
      <w:r w:rsidR="004C1765" w:rsidRPr="00FA093E">
        <w:rPr>
          <w:rStyle w:val="Hyperlink"/>
          <w:rFonts w:ascii="Times New Roman" w:hAnsi="Times New Roman"/>
          <w:color w:val="auto"/>
          <w:u w:val="none"/>
        </w:rPr>
        <w:t xml:space="preserve">from 75 per </w:t>
      </w:r>
      <w:r w:rsidR="008906E0" w:rsidRPr="00FA093E">
        <w:rPr>
          <w:rStyle w:val="Hyperlink"/>
          <w:rFonts w:ascii="Times New Roman" w:hAnsi="Times New Roman"/>
          <w:color w:val="auto"/>
          <w:u w:val="none"/>
        </w:rPr>
        <w:t>cent to</w:t>
      </w:r>
      <w:r w:rsidR="004C1765" w:rsidRPr="00FA093E">
        <w:rPr>
          <w:rStyle w:val="Hyperlink"/>
          <w:rFonts w:ascii="Times New Roman" w:hAnsi="Times New Roman"/>
          <w:color w:val="auto"/>
          <w:u w:val="none"/>
        </w:rPr>
        <w:t xml:space="preserve"> 82 per cent</w:t>
      </w:r>
      <w:r w:rsidR="00754A8F" w:rsidRPr="00FA093E">
        <w:rPr>
          <w:rStyle w:val="Hyperlink"/>
          <w:rFonts w:ascii="Times New Roman" w:hAnsi="Times New Roman"/>
          <w:color w:val="auto"/>
          <w:u w:val="none"/>
        </w:rPr>
        <w:t xml:space="preserve"> and an improvement of 10 per cent of reports submitted by deadline (2013:81 per cent, 2014: 91 per cent).</w:t>
      </w:r>
      <w:r w:rsidR="008906E0" w:rsidRPr="00FA093E">
        <w:rPr>
          <w:rStyle w:val="Hyperlink"/>
          <w:rFonts w:ascii="Times New Roman" w:hAnsi="Times New Roman"/>
          <w:color w:val="auto"/>
          <w:u w:val="none"/>
        </w:rPr>
        <w:t xml:space="preserve">  By the end of the year, </w:t>
      </w:r>
      <w:r w:rsidR="0072213D" w:rsidRPr="00FA093E">
        <w:rPr>
          <w:rStyle w:val="Hyperlink"/>
          <w:rFonts w:ascii="Times New Roman" w:hAnsi="Times New Roman"/>
          <w:color w:val="auto"/>
          <w:u w:val="none"/>
        </w:rPr>
        <w:t>two country offices had pending repo</w:t>
      </w:r>
      <w:r w:rsidR="00312358" w:rsidRPr="00FA093E">
        <w:rPr>
          <w:rStyle w:val="Hyperlink"/>
          <w:rFonts w:ascii="Times New Roman" w:hAnsi="Times New Roman"/>
          <w:color w:val="auto"/>
          <w:u w:val="none"/>
        </w:rPr>
        <w:t>r</w:t>
      </w:r>
      <w:r w:rsidR="0072213D" w:rsidRPr="00FA093E">
        <w:rPr>
          <w:rStyle w:val="Hyperlink"/>
          <w:rFonts w:ascii="Times New Roman" w:hAnsi="Times New Roman"/>
          <w:color w:val="auto"/>
          <w:u w:val="none"/>
        </w:rPr>
        <w:t>ts</w:t>
      </w:r>
      <w:r w:rsidR="00312358" w:rsidRPr="00FA093E">
        <w:rPr>
          <w:rStyle w:val="Hyperlink"/>
          <w:rFonts w:ascii="Times New Roman" w:hAnsi="Times New Roman"/>
          <w:color w:val="auto"/>
          <w:u w:val="none"/>
        </w:rPr>
        <w:t>;</w:t>
      </w:r>
      <w:r w:rsidR="0072213D" w:rsidRPr="00FA093E">
        <w:rPr>
          <w:rStyle w:val="Hyperlink"/>
          <w:rFonts w:ascii="Times New Roman" w:hAnsi="Times New Roman"/>
          <w:color w:val="auto"/>
          <w:u w:val="none"/>
        </w:rPr>
        <w:t xml:space="preserve"> one due to ongoing crises and another due to </w:t>
      </w:r>
      <w:r w:rsidR="00312358" w:rsidRPr="00FA093E">
        <w:rPr>
          <w:rStyle w:val="Hyperlink"/>
          <w:rFonts w:ascii="Times New Roman" w:hAnsi="Times New Roman"/>
          <w:color w:val="auto"/>
          <w:u w:val="none"/>
        </w:rPr>
        <w:t xml:space="preserve">heavy </w:t>
      </w:r>
      <w:r w:rsidR="0072213D" w:rsidRPr="00FA093E">
        <w:rPr>
          <w:rStyle w:val="Hyperlink"/>
          <w:rFonts w:ascii="Times New Roman" w:hAnsi="Times New Roman"/>
          <w:color w:val="auto"/>
          <w:u w:val="none"/>
        </w:rPr>
        <w:t>workload of the supreme audit institution mandated to carry out the audits.</w:t>
      </w:r>
      <w:r w:rsidR="00D668B6" w:rsidRPr="00FA093E">
        <w:rPr>
          <w:rStyle w:val="Hyperlink"/>
          <w:rFonts w:ascii="Times New Roman" w:hAnsi="Times New Roman"/>
          <w:color w:val="auto"/>
          <w:u w:val="none"/>
        </w:rPr>
        <w:t xml:space="preserve">  </w:t>
      </w:r>
      <w:r w:rsidR="00DE720E" w:rsidRPr="00FA093E">
        <w:rPr>
          <w:rStyle w:val="Hyperlink"/>
          <w:rFonts w:ascii="Times New Roman" w:hAnsi="Times New Roman"/>
          <w:color w:val="auto"/>
          <w:u w:val="none"/>
        </w:rPr>
        <w:t>As of the date of reporting</w:t>
      </w:r>
      <w:r w:rsidR="00787228" w:rsidRPr="00FA093E">
        <w:rPr>
          <w:rStyle w:val="Hyperlink"/>
          <w:rFonts w:ascii="Times New Roman" w:hAnsi="Times New Roman"/>
          <w:color w:val="auto"/>
          <w:u w:val="none"/>
        </w:rPr>
        <w:t xml:space="preserve"> both these reports have been submitted</w:t>
      </w:r>
      <w:r w:rsidR="008906E0" w:rsidRPr="00FA093E">
        <w:rPr>
          <w:rStyle w:val="Hyperlink"/>
          <w:rFonts w:ascii="Times New Roman" w:hAnsi="Times New Roman"/>
          <w:color w:val="auto"/>
          <w:u w:val="none"/>
        </w:rPr>
        <w:t xml:space="preserve">. </w:t>
      </w:r>
    </w:p>
    <w:p w14:paraId="576247DA" w14:textId="77777777" w:rsidR="00FA4352" w:rsidRPr="00FA093E" w:rsidRDefault="00FA4352" w:rsidP="00FA093E">
      <w:pPr>
        <w:pStyle w:val="ListParagraph"/>
        <w:spacing w:after="0" w:line="240" w:lineRule="auto"/>
        <w:ind w:left="360"/>
        <w:jc w:val="both"/>
        <w:rPr>
          <w:rStyle w:val="Hyperlink"/>
          <w:rFonts w:ascii="Times New Roman" w:hAnsi="Times New Roman"/>
          <w:color w:val="auto"/>
          <w:u w:val="none"/>
        </w:rPr>
      </w:pPr>
    </w:p>
    <w:p w14:paraId="706B5B7F" w14:textId="77777777" w:rsidR="00921185" w:rsidRPr="00FA093E" w:rsidRDefault="00053954" w:rsidP="00FA093E">
      <w:pPr>
        <w:pStyle w:val="ListParagraph"/>
        <w:numPr>
          <w:ilvl w:val="0"/>
          <w:numId w:val="3"/>
        </w:numPr>
        <w:autoSpaceDE w:val="0"/>
        <w:autoSpaceDN w:val="0"/>
        <w:spacing w:line="240" w:lineRule="auto"/>
        <w:jc w:val="both"/>
        <w:rPr>
          <w:rFonts w:ascii="Times New Roman" w:hAnsi="Times New Roman"/>
        </w:rPr>
      </w:pPr>
      <w:r w:rsidRPr="00FA093E">
        <w:rPr>
          <w:rFonts w:ascii="Times New Roman" w:eastAsia="Batang" w:hAnsi="Times New Roman"/>
        </w:rPr>
        <w:t xml:space="preserve">All projects with modified audit opinions are required to </w:t>
      </w:r>
      <w:r w:rsidR="00805CAA" w:rsidRPr="00FA093E">
        <w:rPr>
          <w:rFonts w:ascii="Times New Roman" w:eastAsia="Batang" w:hAnsi="Times New Roman"/>
        </w:rPr>
        <w:t xml:space="preserve">have </w:t>
      </w:r>
      <w:r w:rsidRPr="00FA093E">
        <w:rPr>
          <w:rFonts w:ascii="Times New Roman" w:eastAsia="Batang" w:hAnsi="Times New Roman"/>
        </w:rPr>
        <w:t xml:space="preserve">an action plan in order to address the issues giving rise to the modified </w:t>
      </w:r>
      <w:r w:rsidR="005C5442" w:rsidRPr="00FA093E">
        <w:rPr>
          <w:rFonts w:ascii="Times New Roman" w:eastAsia="Batang" w:hAnsi="Times New Roman"/>
        </w:rPr>
        <w:t xml:space="preserve">opinion.  </w:t>
      </w:r>
      <w:r w:rsidR="00672A73" w:rsidRPr="00FA093E">
        <w:rPr>
          <w:rFonts w:ascii="Times New Roman" w:eastAsia="Batang" w:hAnsi="Times New Roman"/>
        </w:rPr>
        <w:t xml:space="preserve">  Some of the actions already taken by projects with recurring modified opinions include; </w:t>
      </w:r>
      <w:r w:rsidR="00921185" w:rsidRPr="00FA093E">
        <w:rPr>
          <w:rFonts w:ascii="Times New Roman" w:eastAsia="Batang" w:hAnsi="Times New Roman"/>
        </w:rPr>
        <w:t>strengthening national capacities and being flexible to alternate cash transfer mechanisms and implementation modalities where weaknesses are identified with Implementing Partners.</w:t>
      </w:r>
    </w:p>
    <w:p w14:paraId="61A20727" w14:textId="77777777" w:rsidR="00921185" w:rsidRPr="00FA093E" w:rsidRDefault="00921185" w:rsidP="00FA093E">
      <w:pPr>
        <w:pStyle w:val="ListParagraph"/>
        <w:spacing w:line="240" w:lineRule="auto"/>
        <w:rPr>
          <w:rFonts w:ascii="Times New Roman" w:hAnsi="Times New Roman"/>
        </w:rPr>
      </w:pPr>
    </w:p>
    <w:p w14:paraId="1FF9524A" w14:textId="77777777" w:rsidR="00D218B9" w:rsidRPr="00FA093E" w:rsidRDefault="005B7E42" w:rsidP="00FA093E">
      <w:pPr>
        <w:pStyle w:val="ListParagraph"/>
        <w:numPr>
          <w:ilvl w:val="0"/>
          <w:numId w:val="3"/>
        </w:numPr>
        <w:autoSpaceDE w:val="0"/>
        <w:autoSpaceDN w:val="0"/>
        <w:spacing w:line="240" w:lineRule="auto"/>
        <w:jc w:val="both"/>
        <w:rPr>
          <w:rFonts w:ascii="Times New Roman" w:hAnsi="Times New Roman"/>
        </w:rPr>
      </w:pPr>
      <w:r w:rsidRPr="00FA093E">
        <w:rPr>
          <w:rFonts w:ascii="Times New Roman" w:hAnsi="Times New Roman"/>
        </w:rPr>
        <w:lastRenderedPageBreak/>
        <w:t>The</w:t>
      </w:r>
      <w:r w:rsidR="00D218B9" w:rsidRPr="00FA093E">
        <w:rPr>
          <w:rFonts w:ascii="Times New Roman" w:eastAsia="Batang" w:hAnsi="Times New Roman"/>
        </w:rPr>
        <w:t xml:space="preserve"> rollout of the revised HACT framework and operational policies </w:t>
      </w:r>
      <w:r w:rsidR="00921185" w:rsidRPr="00FA093E">
        <w:rPr>
          <w:rFonts w:ascii="Times New Roman" w:eastAsia="Batang" w:hAnsi="Times New Roman"/>
        </w:rPr>
        <w:t xml:space="preserve">that became effective in 2015 </w:t>
      </w:r>
      <w:r w:rsidRPr="00FA093E">
        <w:rPr>
          <w:rFonts w:ascii="Times New Roman" w:eastAsia="Batang" w:hAnsi="Times New Roman"/>
        </w:rPr>
        <w:t>will also strengthen management</w:t>
      </w:r>
      <w:r w:rsidR="008906E0" w:rsidRPr="00FA093E">
        <w:rPr>
          <w:rFonts w:ascii="Times New Roman" w:eastAsia="Batang" w:hAnsi="Times New Roman"/>
        </w:rPr>
        <w:t xml:space="preserve"> of NIM projects</w:t>
      </w:r>
      <w:r w:rsidR="00D218B9" w:rsidRPr="00FA093E">
        <w:rPr>
          <w:rFonts w:ascii="Times New Roman" w:eastAsia="Batang" w:hAnsi="Times New Roman"/>
        </w:rPr>
        <w:t xml:space="preserve">. It is important to note that where the </w:t>
      </w:r>
      <w:r w:rsidR="0083699C" w:rsidRPr="00FA093E">
        <w:rPr>
          <w:rFonts w:ascii="Times New Roman" w:eastAsia="Batang" w:hAnsi="Times New Roman"/>
        </w:rPr>
        <w:t xml:space="preserve">Implementing Partners </w:t>
      </w:r>
      <w:r w:rsidR="00D218B9" w:rsidRPr="00FA093E">
        <w:rPr>
          <w:rFonts w:ascii="Times New Roman" w:eastAsia="Batang" w:hAnsi="Times New Roman"/>
        </w:rPr>
        <w:t xml:space="preserve">are national agencies designated by the </w:t>
      </w:r>
      <w:r w:rsidR="005554E6" w:rsidRPr="00FA093E">
        <w:rPr>
          <w:rFonts w:ascii="Times New Roman" w:eastAsia="Batang" w:hAnsi="Times New Roman"/>
        </w:rPr>
        <w:t>governments,</w:t>
      </w:r>
      <w:r w:rsidR="008E77C6" w:rsidRPr="00FA093E">
        <w:rPr>
          <w:rFonts w:ascii="Times New Roman" w:eastAsia="Batang" w:hAnsi="Times New Roman"/>
        </w:rPr>
        <w:t xml:space="preserve"> the</w:t>
      </w:r>
      <w:r w:rsidR="00D218B9" w:rsidRPr="00FA093E">
        <w:rPr>
          <w:rFonts w:ascii="Times New Roman" w:eastAsia="Batang" w:hAnsi="Times New Roman"/>
        </w:rPr>
        <w:t xml:space="preserve"> </w:t>
      </w:r>
      <w:r w:rsidR="0083699C" w:rsidRPr="00FA093E">
        <w:rPr>
          <w:rFonts w:ascii="Times New Roman" w:eastAsia="Batang" w:hAnsi="Times New Roman"/>
        </w:rPr>
        <w:t>identification and correction</w:t>
      </w:r>
      <w:r w:rsidR="00D218B9" w:rsidRPr="00FA093E">
        <w:rPr>
          <w:rFonts w:ascii="Times New Roman" w:eastAsia="Batang" w:hAnsi="Times New Roman"/>
        </w:rPr>
        <w:t xml:space="preserve"> of identified </w:t>
      </w:r>
      <w:r w:rsidR="00A53E9A" w:rsidRPr="00FA093E">
        <w:rPr>
          <w:rFonts w:ascii="Times New Roman" w:eastAsia="Batang" w:hAnsi="Times New Roman"/>
        </w:rPr>
        <w:t>weaknesses will</w:t>
      </w:r>
      <w:r w:rsidR="00D218B9" w:rsidRPr="00FA093E">
        <w:rPr>
          <w:rFonts w:ascii="Times New Roman" w:eastAsia="Batang" w:hAnsi="Times New Roman"/>
        </w:rPr>
        <w:t xml:space="preserve"> be handled with the required sensitivity.  </w:t>
      </w:r>
    </w:p>
    <w:p w14:paraId="3AD6A2AC" w14:textId="77777777" w:rsidR="00492A35" w:rsidRPr="00FA093E" w:rsidRDefault="00492A35" w:rsidP="00FA093E">
      <w:pPr>
        <w:pStyle w:val="ListParagraph"/>
        <w:spacing w:after="0" w:line="240" w:lineRule="auto"/>
        <w:ind w:left="360"/>
        <w:jc w:val="both"/>
        <w:rPr>
          <w:rFonts w:ascii="Times New Roman" w:hAnsi="Times New Roman"/>
        </w:rPr>
      </w:pPr>
    </w:p>
    <w:p w14:paraId="572B6664" w14:textId="77777777" w:rsidR="001626B4" w:rsidRPr="00FA093E" w:rsidRDefault="00E431DB" w:rsidP="00FA093E">
      <w:pPr>
        <w:pStyle w:val="ListParagraph"/>
        <w:numPr>
          <w:ilvl w:val="0"/>
          <w:numId w:val="4"/>
        </w:numPr>
        <w:spacing w:after="0" w:line="240" w:lineRule="auto"/>
        <w:jc w:val="both"/>
        <w:rPr>
          <w:rFonts w:ascii="Times New Roman" w:hAnsi="Times New Roman"/>
        </w:rPr>
      </w:pPr>
      <w:r w:rsidRPr="00FA093E">
        <w:rPr>
          <w:rFonts w:ascii="Times New Roman" w:hAnsi="Times New Roman"/>
          <w:b/>
        </w:rPr>
        <w:t>Follow up on l</w:t>
      </w:r>
      <w:r w:rsidR="00554E8D" w:rsidRPr="00FA093E">
        <w:rPr>
          <w:rFonts w:ascii="Times New Roman" w:hAnsi="Times New Roman"/>
          <w:b/>
        </w:rPr>
        <w:t>ong outstanding audit recommendations</w:t>
      </w:r>
      <w:r w:rsidR="005554E6" w:rsidRPr="00FA093E">
        <w:rPr>
          <w:rFonts w:ascii="Times New Roman" w:hAnsi="Times New Roman"/>
        </w:rPr>
        <w:t xml:space="preserve"> </w:t>
      </w:r>
    </w:p>
    <w:p w14:paraId="3703F63A" w14:textId="77777777" w:rsidR="001626B4" w:rsidRPr="00FA093E" w:rsidRDefault="001626B4" w:rsidP="00FA093E">
      <w:pPr>
        <w:pStyle w:val="ListParagraph"/>
        <w:spacing w:after="0" w:line="240" w:lineRule="auto"/>
        <w:ind w:left="360"/>
        <w:jc w:val="both"/>
        <w:rPr>
          <w:rFonts w:ascii="Times New Roman" w:hAnsi="Times New Roman"/>
        </w:rPr>
      </w:pPr>
    </w:p>
    <w:p w14:paraId="2E09D820" w14:textId="77777777" w:rsidR="00AE6D22" w:rsidRPr="00FA093E" w:rsidRDefault="00355691"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UNDP management monitors implementation of OAI audit recommendations through the OPG chaired by the Associate Administrator.  </w:t>
      </w:r>
      <w:r w:rsidR="00E431DB" w:rsidRPr="00FA093E">
        <w:rPr>
          <w:rFonts w:ascii="Times New Roman" w:hAnsi="Times New Roman"/>
        </w:rPr>
        <w:t xml:space="preserve">Management is pleased to note the 85% implementation rate of recommendations issued over the past 3 years in line with corporate targets. </w:t>
      </w:r>
      <w:r w:rsidRPr="00FA093E">
        <w:rPr>
          <w:rFonts w:ascii="Times New Roman" w:hAnsi="Times New Roman"/>
        </w:rPr>
        <w:t xml:space="preserve">As of </w:t>
      </w:r>
      <w:r w:rsidR="00184C07" w:rsidRPr="00FA093E">
        <w:rPr>
          <w:rFonts w:ascii="Times New Roman" w:hAnsi="Times New Roman"/>
        </w:rPr>
        <w:t>21</w:t>
      </w:r>
      <w:r w:rsidRPr="00FA093E">
        <w:rPr>
          <w:rFonts w:ascii="Times New Roman" w:hAnsi="Times New Roman"/>
        </w:rPr>
        <w:t xml:space="preserve"> </w:t>
      </w:r>
      <w:r w:rsidR="00151D64" w:rsidRPr="00FA093E">
        <w:rPr>
          <w:rFonts w:ascii="Times New Roman" w:hAnsi="Times New Roman"/>
        </w:rPr>
        <w:t>March</w:t>
      </w:r>
      <w:r w:rsidRPr="00FA093E">
        <w:rPr>
          <w:rFonts w:ascii="Times New Roman" w:hAnsi="Times New Roman"/>
        </w:rPr>
        <w:t xml:space="preserve"> </w:t>
      </w:r>
      <w:r w:rsidR="00E75B6F" w:rsidRPr="00FA093E">
        <w:rPr>
          <w:rFonts w:ascii="Times New Roman" w:hAnsi="Times New Roman"/>
        </w:rPr>
        <w:t>2016</w:t>
      </w:r>
      <w:r w:rsidRPr="00FA093E">
        <w:rPr>
          <w:rFonts w:ascii="Times New Roman" w:hAnsi="Times New Roman"/>
        </w:rPr>
        <w:t xml:space="preserve"> the number of recommendations older tha</w:t>
      </w:r>
      <w:r w:rsidR="00E431DB" w:rsidRPr="00FA093E">
        <w:rPr>
          <w:rFonts w:ascii="Times New Roman" w:hAnsi="Times New Roman"/>
        </w:rPr>
        <w:t xml:space="preserve">n 18 months has increased from 50 as at end of December 2015 to </w:t>
      </w:r>
      <w:r w:rsidR="00184C07" w:rsidRPr="00FA093E">
        <w:rPr>
          <w:rFonts w:ascii="Times New Roman" w:hAnsi="Times New Roman"/>
        </w:rPr>
        <w:t>77</w:t>
      </w:r>
      <w:r w:rsidR="00FD5510" w:rsidRPr="00FA093E">
        <w:rPr>
          <w:rFonts w:ascii="Times New Roman" w:hAnsi="Times New Roman"/>
        </w:rPr>
        <w:t xml:space="preserve"> </w:t>
      </w:r>
      <w:r w:rsidR="00E431DB" w:rsidRPr="00FA093E">
        <w:rPr>
          <w:rFonts w:ascii="Times New Roman" w:hAnsi="Times New Roman"/>
        </w:rPr>
        <w:t xml:space="preserve">(excluding delivering as one recommendations as did OAI in their report </w:t>
      </w:r>
      <w:r w:rsidR="00151D64" w:rsidRPr="00FA093E">
        <w:rPr>
          <w:rFonts w:ascii="Times New Roman" w:hAnsi="Times New Roman"/>
        </w:rPr>
        <w:t>(</w:t>
      </w:r>
      <w:r w:rsidR="00E75B6F" w:rsidRPr="00FA093E">
        <w:rPr>
          <w:rFonts w:ascii="Times New Roman" w:hAnsi="Times New Roman"/>
        </w:rPr>
        <w:t>2015</w:t>
      </w:r>
      <w:r w:rsidR="00151D64" w:rsidRPr="00FA093E">
        <w:rPr>
          <w:rFonts w:ascii="Times New Roman" w:hAnsi="Times New Roman"/>
        </w:rPr>
        <w:t xml:space="preserve">: </w:t>
      </w:r>
      <w:r w:rsidR="00DD6BE3" w:rsidRPr="00FA093E">
        <w:rPr>
          <w:rFonts w:ascii="Times New Roman" w:hAnsi="Times New Roman"/>
        </w:rPr>
        <w:t>47</w:t>
      </w:r>
      <w:r w:rsidR="00151D64" w:rsidRPr="00FA093E">
        <w:rPr>
          <w:rFonts w:ascii="Times New Roman" w:hAnsi="Times New Roman"/>
        </w:rPr>
        <w:t>)</w:t>
      </w:r>
      <w:r w:rsidR="00FD5510" w:rsidRPr="00FA093E">
        <w:rPr>
          <w:rFonts w:ascii="Times New Roman" w:hAnsi="Times New Roman"/>
        </w:rPr>
        <w:t xml:space="preserve">. </w:t>
      </w:r>
      <w:r w:rsidR="00E431DB" w:rsidRPr="00FA093E">
        <w:rPr>
          <w:rFonts w:ascii="Times New Roman" w:hAnsi="Times New Roman"/>
        </w:rPr>
        <w:t xml:space="preserve">  </w:t>
      </w:r>
      <w:r w:rsidR="003B5B8D" w:rsidRPr="00FA093E">
        <w:rPr>
          <w:rFonts w:ascii="Times New Roman" w:hAnsi="Times New Roman"/>
        </w:rPr>
        <w:t xml:space="preserve">An analysis of the </w:t>
      </w:r>
      <w:r w:rsidR="001A5DE2" w:rsidRPr="00FA093E">
        <w:rPr>
          <w:rFonts w:ascii="Times New Roman" w:hAnsi="Times New Roman"/>
        </w:rPr>
        <w:t>o</w:t>
      </w:r>
      <w:r w:rsidR="003B5B8D" w:rsidRPr="00FA093E">
        <w:rPr>
          <w:rFonts w:ascii="Times New Roman" w:hAnsi="Times New Roman"/>
        </w:rPr>
        <w:t xml:space="preserve">ldest recommendations pertaining to 2013 audits indicate </w:t>
      </w:r>
      <w:r w:rsidR="005A13BB" w:rsidRPr="00FA093E">
        <w:rPr>
          <w:rFonts w:ascii="Times New Roman" w:hAnsi="Times New Roman"/>
        </w:rPr>
        <w:t xml:space="preserve">unique contextual </w:t>
      </w:r>
      <w:r w:rsidR="003B5B8D" w:rsidRPr="00FA093E">
        <w:rPr>
          <w:rFonts w:ascii="Times New Roman" w:hAnsi="Times New Roman"/>
        </w:rPr>
        <w:t xml:space="preserve">factors </w:t>
      </w:r>
      <w:r w:rsidR="005A13BB" w:rsidRPr="00FA093E">
        <w:rPr>
          <w:rFonts w:ascii="Times New Roman" w:hAnsi="Times New Roman"/>
        </w:rPr>
        <w:t xml:space="preserve">that have contributed to the delays e.g. </w:t>
      </w:r>
      <w:r w:rsidR="003B5B8D" w:rsidRPr="00FA093E">
        <w:rPr>
          <w:rFonts w:ascii="Times New Roman" w:hAnsi="Times New Roman"/>
        </w:rPr>
        <w:t>inability to recover funds</w:t>
      </w:r>
      <w:r w:rsidR="005A13BB" w:rsidRPr="00FA093E">
        <w:rPr>
          <w:rFonts w:ascii="Times New Roman" w:hAnsi="Times New Roman"/>
        </w:rPr>
        <w:t xml:space="preserve"> from unsupported expenditure</w:t>
      </w:r>
      <w:r w:rsidR="003B5B8D" w:rsidRPr="00FA093E">
        <w:rPr>
          <w:rFonts w:ascii="Times New Roman" w:hAnsi="Times New Roman"/>
        </w:rPr>
        <w:t xml:space="preserve"> from implementing partners; outstanding PMDs</w:t>
      </w:r>
      <w:r w:rsidR="005A13BB" w:rsidRPr="00FA093E">
        <w:rPr>
          <w:rFonts w:ascii="Times New Roman" w:hAnsi="Times New Roman"/>
        </w:rPr>
        <w:t xml:space="preserve"> staff from staff that have separated</w:t>
      </w:r>
      <w:r w:rsidR="003B5B8D" w:rsidRPr="00FA093E">
        <w:rPr>
          <w:rFonts w:ascii="Times New Roman" w:hAnsi="Times New Roman"/>
        </w:rPr>
        <w:t>; negotiations with donors on pending refunds</w:t>
      </w:r>
      <w:r w:rsidR="000C5013" w:rsidRPr="00FA093E">
        <w:rPr>
          <w:rFonts w:ascii="Times New Roman" w:hAnsi="Times New Roman"/>
        </w:rPr>
        <w:t xml:space="preserve"> </w:t>
      </w:r>
      <w:r w:rsidR="005A13BB" w:rsidRPr="00FA093E">
        <w:rPr>
          <w:rFonts w:ascii="Times New Roman" w:hAnsi="Times New Roman"/>
        </w:rPr>
        <w:t>etc.  These recommendations may require a different approach to resolution from the initial recommendation thus dialogue and flexibility in addressing residual risks may be required from both OAI and management.</w:t>
      </w:r>
      <w:r w:rsidR="00FD5510" w:rsidRPr="00FA093E">
        <w:rPr>
          <w:rFonts w:ascii="Times New Roman" w:hAnsi="Times New Roman"/>
        </w:rPr>
        <w:t xml:space="preserve"> </w:t>
      </w:r>
      <w:r w:rsidR="005A13BB" w:rsidRPr="00FA093E">
        <w:rPr>
          <w:rFonts w:ascii="Times New Roman" w:hAnsi="Times New Roman"/>
        </w:rPr>
        <w:t>Accountability</w:t>
      </w:r>
      <w:r w:rsidR="00FD5510" w:rsidRPr="00FA093E">
        <w:rPr>
          <w:rFonts w:ascii="Times New Roman" w:hAnsi="Times New Roman"/>
        </w:rPr>
        <w:t xml:space="preserve"> for timely implementation of internal audit </w:t>
      </w:r>
      <w:r w:rsidR="005A13BB" w:rsidRPr="00FA093E">
        <w:rPr>
          <w:rFonts w:ascii="Times New Roman" w:hAnsi="Times New Roman"/>
        </w:rPr>
        <w:t xml:space="preserve">recommendations rests within the regional and central bureaus. </w:t>
      </w:r>
      <w:r w:rsidR="00AF3E7C" w:rsidRPr="00FA093E">
        <w:rPr>
          <w:rFonts w:ascii="Times New Roman" w:hAnsi="Times New Roman"/>
        </w:rPr>
        <w:t xml:space="preserve">All offices and HQ units </w:t>
      </w:r>
      <w:r w:rsidR="005B42AB" w:rsidRPr="00FA093E">
        <w:rPr>
          <w:rFonts w:ascii="Times New Roman" w:hAnsi="Times New Roman"/>
        </w:rPr>
        <w:t xml:space="preserve">with long outstanding recommendations are working </w:t>
      </w:r>
      <w:r w:rsidR="004C5A86" w:rsidRPr="00FA093E">
        <w:rPr>
          <w:rFonts w:ascii="Times New Roman" w:hAnsi="Times New Roman"/>
        </w:rPr>
        <w:t>to</w:t>
      </w:r>
      <w:r w:rsidR="005B42AB" w:rsidRPr="00FA093E">
        <w:rPr>
          <w:rFonts w:ascii="Times New Roman" w:hAnsi="Times New Roman"/>
        </w:rPr>
        <w:t xml:space="preserve"> clos</w:t>
      </w:r>
      <w:r w:rsidR="004C5A86" w:rsidRPr="00FA093E">
        <w:rPr>
          <w:rFonts w:ascii="Times New Roman" w:hAnsi="Times New Roman"/>
        </w:rPr>
        <w:t>e</w:t>
      </w:r>
      <w:r w:rsidR="005B42AB" w:rsidRPr="00FA093E">
        <w:rPr>
          <w:rFonts w:ascii="Times New Roman" w:hAnsi="Times New Roman"/>
        </w:rPr>
        <w:t xml:space="preserve"> the recommendations</w:t>
      </w:r>
      <w:r w:rsidR="00FD5510" w:rsidRPr="00FA093E">
        <w:rPr>
          <w:rFonts w:ascii="Times New Roman" w:hAnsi="Times New Roman"/>
        </w:rPr>
        <w:t xml:space="preserve"> and senior</w:t>
      </w:r>
      <w:r w:rsidR="004C5A86" w:rsidRPr="00FA093E">
        <w:rPr>
          <w:rFonts w:ascii="Times New Roman" w:hAnsi="Times New Roman"/>
        </w:rPr>
        <w:t xml:space="preserve"> </w:t>
      </w:r>
      <w:r w:rsidR="00FD5510" w:rsidRPr="00FA093E">
        <w:rPr>
          <w:rFonts w:ascii="Times New Roman" w:hAnsi="Times New Roman"/>
        </w:rPr>
        <w:t>management is keenly monitoring</w:t>
      </w:r>
      <w:r w:rsidR="004C5A86" w:rsidRPr="00FA093E">
        <w:rPr>
          <w:rFonts w:ascii="Times New Roman" w:hAnsi="Times New Roman"/>
        </w:rPr>
        <w:t xml:space="preserve"> </w:t>
      </w:r>
      <w:r w:rsidR="00FD5510" w:rsidRPr="00FA093E">
        <w:rPr>
          <w:rFonts w:ascii="Times New Roman" w:hAnsi="Times New Roman"/>
        </w:rPr>
        <w:t>implementation on a regular basis</w:t>
      </w:r>
      <w:r w:rsidR="005B42AB" w:rsidRPr="00FA093E">
        <w:rPr>
          <w:rFonts w:ascii="Times New Roman" w:hAnsi="Times New Roman"/>
        </w:rPr>
        <w:t>.</w:t>
      </w:r>
    </w:p>
    <w:p w14:paraId="4AB52149" w14:textId="77777777" w:rsidR="001626B4" w:rsidRPr="00FA093E" w:rsidRDefault="001626B4" w:rsidP="00FA093E">
      <w:pPr>
        <w:pStyle w:val="ListParagraph"/>
        <w:spacing w:after="0" w:line="240" w:lineRule="auto"/>
        <w:ind w:left="360"/>
        <w:jc w:val="both"/>
        <w:rPr>
          <w:rFonts w:ascii="Times New Roman" w:hAnsi="Times New Roman"/>
        </w:rPr>
      </w:pPr>
    </w:p>
    <w:p w14:paraId="21CAC94F" w14:textId="77777777" w:rsidR="00AE6D22" w:rsidRPr="00FA093E" w:rsidRDefault="00554E8D" w:rsidP="00FA093E">
      <w:pPr>
        <w:pStyle w:val="ListParagraph"/>
        <w:numPr>
          <w:ilvl w:val="0"/>
          <w:numId w:val="4"/>
        </w:numPr>
        <w:spacing w:after="0" w:line="240" w:lineRule="auto"/>
        <w:jc w:val="both"/>
        <w:rPr>
          <w:rFonts w:ascii="Times New Roman" w:hAnsi="Times New Roman"/>
          <w:b/>
        </w:rPr>
      </w:pPr>
      <w:r w:rsidRPr="00FA093E">
        <w:rPr>
          <w:rFonts w:ascii="Times New Roman" w:hAnsi="Times New Roman"/>
          <w:b/>
        </w:rPr>
        <w:t xml:space="preserve">Investigations and Complaints </w:t>
      </w:r>
      <w:r w:rsidR="008B664F" w:rsidRPr="00FA093E">
        <w:rPr>
          <w:rFonts w:ascii="Times New Roman" w:hAnsi="Times New Roman"/>
          <w:b/>
        </w:rPr>
        <w:t>received</w:t>
      </w:r>
      <w:r w:rsidR="00AE6D22" w:rsidRPr="00FA093E">
        <w:rPr>
          <w:rFonts w:ascii="Times New Roman" w:hAnsi="Times New Roman"/>
          <w:b/>
        </w:rPr>
        <w:t xml:space="preserve"> and response to Executive Board decision </w:t>
      </w:r>
      <w:r w:rsidR="00E75B6F" w:rsidRPr="00FA093E">
        <w:rPr>
          <w:rFonts w:ascii="Times New Roman" w:hAnsi="Times New Roman"/>
          <w:b/>
        </w:rPr>
        <w:t>201</w:t>
      </w:r>
      <w:r w:rsidR="00AF3E7C" w:rsidRPr="00FA093E">
        <w:rPr>
          <w:rFonts w:ascii="Times New Roman" w:hAnsi="Times New Roman"/>
          <w:b/>
        </w:rPr>
        <w:t>4</w:t>
      </w:r>
      <w:r w:rsidR="00AE6D22" w:rsidRPr="00FA093E">
        <w:rPr>
          <w:rFonts w:ascii="Times New Roman" w:hAnsi="Times New Roman"/>
          <w:b/>
        </w:rPr>
        <w:t>/21</w:t>
      </w:r>
      <w:r w:rsidR="00AF3E7C" w:rsidRPr="00FA093E">
        <w:rPr>
          <w:rFonts w:ascii="Times New Roman" w:hAnsi="Times New Roman"/>
          <w:b/>
        </w:rPr>
        <w:t xml:space="preserve"> and 2015/13 </w:t>
      </w:r>
      <w:r w:rsidR="00AE6D22" w:rsidRPr="00FA093E">
        <w:rPr>
          <w:rFonts w:ascii="Times New Roman" w:hAnsi="Times New Roman"/>
          <w:b/>
        </w:rPr>
        <w:t xml:space="preserve"> (requesting disclosure of financial loss recovery)</w:t>
      </w:r>
    </w:p>
    <w:p w14:paraId="7B99A2BA" w14:textId="77777777" w:rsidR="00726305" w:rsidRPr="00FA093E" w:rsidRDefault="00726305" w:rsidP="00FA093E">
      <w:pPr>
        <w:pStyle w:val="ListParagraph"/>
        <w:spacing w:after="0" w:line="240" w:lineRule="auto"/>
        <w:ind w:left="360"/>
        <w:jc w:val="both"/>
        <w:rPr>
          <w:rFonts w:ascii="Times New Roman" w:hAnsi="Times New Roman"/>
          <w:b/>
        </w:rPr>
      </w:pPr>
    </w:p>
    <w:p w14:paraId="5004C144" w14:textId="77777777" w:rsidR="00AD277C" w:rsidRPr="00FA093E" w:rsidRDefault="00726305"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The Annual Report on Disciplinary Measures and Other Actions taken in response to fraud, corruption and other wrongdoings shared by UNDP’s Administrator </w:t>
      </w:r>
      <w:r w:rsidR="00EE4035" w:rsidRPr="00FA093E">
        <w:rPr>
          <w:rFonts w:ascii="Times New Roman" w:hAnsi="Times New Roman"/>
        </w:rPr>
        <w:t xml:space="preserve"> as well as the Ethics trainings carried out on a regular basis to </w:t>
      </w:r>
      <w:r w:rsidR="00846705" w:rsidRPr="00FA093E">
        <w:rPr>
          <w:rFonts w:ascii="Times New Roman" w:hAnsi="Times New Roman"/>
        </w:rPr>
        <w:t xml:space="preserve">UNDP </w:t>
      </w:r>
      <w:r w:rsidR="00EE4035" w:rsidRPr="00FA093E">
        <w:rPr>
          <w:rFonts w:ascii="Times New Roman" w:hAnsi="Times New Roman"/>
        </w:rPr>
        <w:t xml:space="preserve">staff </w:t>
      </w:r>
      <w:r w:rsidR="00A804BD" w:rsidRPr="00FA093E">
        <w:rPr>
          <w:rFonts w:ascii="Times New Roman" w:hAnsi="Times New Roman"/>
        </w:rPr>
        <w:t xml:space="preserve"> sensitizes staff </w:t>
      </w:r>
      <w:r w:rsidRPr="00FA093E">
        <w:rPr>
          <w:rFonts w:ascii="Times New Roman" w:hAnsi="Times New Roman"/>
        </w:rPr>
        <w:t>o</w:t>
      </w:r>
      <w:r w:rsidR="00846705" w:rsidRPr="00FA093E">
        <w:rPr>
          <w:rFonts w:ascii="Times New Roman" w:hAnsi="Times New Roman"/>
        </w:rPr>
        <w:t>n</w:t>
      </w:r>
      <w:r w:rsidRPr="00FA093E">
        <w:rPr>
          <w:rFonts w:ascii="Times New Roman" w:hAnsi="Times New Roman"/>
        </w:rPr>
        <w:t xml:space="preserve"> the types of issues that staff should report</w:t>
      </w:r>
      <w:r w:rsidR="00A804BD" w:rsidRPr="00FA093E">
        <w:rPr>
          <w:rFonts w:ascii="Times New Roman" w:hAnsi="Times New Roman"/>
        </w:rPr>
        <w:t xml:space="preserve"> with</w:t>
      </w:r>
      <w:r w:rsidR="00527611" w:rsidRPr="00FA093E">
        <w:rPr>
          <w:rFonts w:ascii="Times New Roman" w:hAnsi="Times New Roman"/>
        </w:rPr>
        <w:t xml:space="preserve"> a</w:t>
      </w:r>
      <w:r w:rsidR="00A804BD" w:rsidRPr="00FA093E">
        <w:rPr>
          <w:rFonts w:ascii="Times New Roman" w:hAnsi="Times New Roman"/>
        </w:rPr>
        <w:t xml:space="preserve"> resulting increase in</w:t>
      </w:r>
      <w:r w:rsidR="00527611" w:rsidRPr="00FA093E">
        <w:rPr>
          <w:rFonts w:ascii="Times New Roman" w:hAnsi="Times New Roman"/>
        </w:rPr>
        <w:t xml:space="preserve"> the number of </w:t>
      </w:r>
      <w:r w:rsidR="00A804BD" w:rsidRPr="00FA093E">
        <w:rPr>
          <w:rFonts w:ascii="Times New Roman" w:hAnsi="Times New Roman"/>
        </w:rPr>
        <w:t xml:space="preserve"> reported cases</w:t>
      </w:r>
      <w:r w:rsidRPr="00FA093E">
        <w:rPr>
          <w:rFonts w:ascii="Times New Roman" w:hAnsi="Times New Roman"/>
        </w:rPr>
        <w:t xml:space="preserve">.  </w:t>
      </w:r>
      <w:r w:rsidR="00846705" w:rsidRPr="00FA093E">
        <w:rPr>
          <w:rFonts w:ascii="Times New Roman" w:hAnsi="Times New Roman"/>
        </w:rPr>
        <w:t>Management notes a 24% increase in number of</w:t>
      </w:r>
      <w:r w:rsidR="0065139B" w:rsidRPr="00FA093E">
        <w:rPr>
          <w:rFonts w:ascii="Times New Roman" w:hAnsi="Times New Roman"/>
        </w:rPr>
        <w:t xml:space="preserve"> presumptive fraud,</w:t>
      </w:r>
      <w:r w:rsidR="00846705" w:rsidRPr="00FA093E">
        <w:rPr>
          <w:rFonts w:ascii="Times New Roman" w:hAnsi="Times New Roman"/>
        </w:rPr>
        <w:t xml:space="preserve"> </w:t>
      </w:r>
      <w:r w:rsidR="00B36592" w:rsidRPr="00FA093E">
        <w:rPr>
          <w:rFonts w:ascii="Times New Roman" w:hAnsi="Times New Roman"/>
        </w:rPr>
        <w:t xml:space="preserve">new </w:t>
      </w:r>
      <w:r w:rsidR="00846705" w:rsidRPr="00FA093E">
        <w:rPr>
          <w:rFonts w:ascii="Times New Roman" w:hAnsi="Times New Roman"/>
        </w:rPr>
        <w:t xml:space="preserve">cases </w:t>
      </w:r>
      <w:r w:rsidR="00B36592" w:rsidRPr="00FA093E">
        <w:rPr>
          <w:rFonts w:ascii="Times New Roman" w:hAnsi="Times New Roman"/>
        </w:rPr>
        <w:t>opened f</w:t>
      </w:r>
      <w:r w:rsidR="00846705" w:rsidRPr="00FA093E">
        <w:rPr>
          <w:rFonts w:ascii="Times New Roman" w:hAnsi="Times New Roman"/>
        </w:rPr>
        <w:t>or investigations (</w:t>
      </w:r>
      <w:r w:rsidR="00527611" w:rsidRPr="00FA093E">
        <w:rPr>
          <w:rFonts w:ascii="Times New Roman" w:hAnsi="Times New Roman"/>
        </w:rPr>
        <w:t>2015:370;</w:t>
      </w:r>
      <w:r w:rsidR="00B0326C" w:rsidRPr="00FA093E">
        <w:rPr>
          <w:rFonts w:ascii="Times New Roman" w:hAnsi="Times New Roman"/>
        </w:rPr>
        <w:t xml:space="preserve"> 2014:299</w:t>
      </w:r>
      <w:r w:rsidR="00323686" w:rsidRPr="00FA093E">
        <w:rPr>
          <w:rFonts w:ascii="Times New Roman" w:hAnsi="Times New Roman"/>
        </w:rPr>
        <w:t>)</w:t>
      </w:r>
      <w:r w:rsidR="00B0326C" w:rsidRPr="00FA093E">
        <w:rPr>
          <w:rFonts w:ascii="Times New Roman" w:hAnsi="Times New Roman"/>
        </w:rPr>
        <w:t xml:space="preserve">. </w:t>
      </w:r>
      <w:r w:rsidR="00BD0361" w:rsidRPr="00FA093E">
        <w:rPr>
          <w:rFonts w:ascii="Times New Roman" w:hAnsi="Times New Roman"/>
        </w:rPr>
        <w:t xml:space="preserve"> </w:t>
      </w:r>
      <w:r w:rsidR="00527611" w:rsidRPr="00FA093E">
        <w:rPr>
          <w:rFonts w:ascii="Times New Roman" w:hAnsi="Times New Roman"/>
        </w:rPr>
        <w:t>It is important to highlight that an increase in reported new cases does not necessarily correlate with an increase in substantiated cases but reflects the openness and trust that staff have in reporting concerns.</w:t>
      </w:r>
      <w:r w:rsidR="00310459" w:rsidRPr="00FA093E">
        <w:rPr>
          <w:rFonts w:ascii="Times New Roman" w:hAnsi="Times New Roman"/>
        </w:rPr>
        <w:t xml:space="preserve"> </w:t>
      </w:r>
      <w:r w:rsidR="00FE050F" w:rsidRPr="00FA093E">
        <w:rPr>
          <w:rFonts w:ascii="Times New Roman" w:hAnsi="Times New Roman"/>
        </w:rPr>
        <w:t xml:space="preserve"> </w:t>
      </w:r>
      <w:r w:rsidR="00106ECF" w:rsidRPr="00FA093E">
        <w:rPr>
          <w:rFonts w:ascii="Times New Roman" w:hAnsi="Times New Roman"/>
        </w:rPr>
        <w:t xml:space="preserve">  </w:t>
      </w:r>
      <w:r w:rsidR="00AD171F" w:rsidRPr="00FA093E">
        <w:rPr>
          <w:rFonts w:ascii="Times New Roman" w:hAnsi="Times New Roman"/>
        </w:rPr>
        <w:t>Of the 3</w:t>
      </w:r>
      <w:r w:rsidR="00527611" w:rsidRPr="00FA093E">
        <w:rPr>
          <w:rFonts w:ascii="Times New Roman" w:hAnsi="Times New Roman"/>
        </w:rPr>
        <w:t>28</w:t>
      </w:r>
      <w:r w:rsidR="00AD171F" w:rsidRPr="00FA093E">
        <w:rPr>
          <w:rFonts w:ascii="Times New Roman" w:hAnsi="Times New Roman"/>
        </w:rPr>
        <w:t xml:space="preserve"> cases closed during the year</w:t>
      </w:r>
      <w:r w:rsidR="00527611" w:rsidRPr="00FA093E">
        <w:rPr>
          <w:rFonts w:ascii="Times New Roman" w:hAnsi="Times New Roman"/>
        </w:rPr>
        <w:t>, 50 (</w:t>
      </w:r>
      <w:r w:rsidR="00A87A9F" w:rsidRPr="00FA093E">
        <w:rPr>
          <w:rFonts w:ascii="Times New Roman" w:hAnsi="Times New Roman"/>
        </w:rPr>
        <w:t>15 per cent) were substantiated in 2015 (2014-</w:t>
      </w:r>
      <w:r w:rsidR="00106ECF" w:rsidRPr="00FA093E">
        <w:rPr>
          <w:rFonts w:ascii="Times New Roman" w:hAnsi="Times New Roman"/>
        </w:rPr>
        <w:t xml:space="preserve">59 </w:t>
      </w:r>
      <w:r w:rsidR="00A87A9F" w:rsidRPr="00FA093E">
        <w:rPr>
          <w:rFonts w:ascii="Times New Roman" w:hAnsi="Times New Roman"/>
        </w:rPr>
        <w:t>cases; 18</w:t>
      </w:r>
      <w:r w:rsidR="00323686" w:rsidRPr="00FA093E">
        <w:rPr>
          <w:rFonts w:ascii="Times New Roman" w:hAnsi="Times New Roman"/>
        </w:rPr>
        <w:t xml:space="preserve"> </w:t>
      </w:r>
      <w:r w:rsidR="00A87A9F" w:rsidRPr="00FA093E">
        <w:rPr>
          <w:rFonts w:ascii="Times New Roman" w:hAnsi="Times New Roman"/>
        </w:rPr>
        <w:t>per</w:t>
      </w:r>
      <w:r w:rsidR="00F34247" w:rsidRPr="00FA093E">
        <w:rPr>
          <w:rFonts w:ascii="Times New Roman" w:hAnsi="Times New Roman"/>
        </w:rPr>
        <w:t xml:space="preserve"> cent</w:t>
      </w:r>
      <w:r w:rsidR="00AD171F" w:rsidRPr="00FA093E">
        <w:rPr>
          <w:rFonts w:ascii="Times New Roman" w:hAnsi="Times New Roman"/>
        </w:rPr>
        <w:t>)</w:t>
      </w:r>
      <w:r w:rsidR="0065139B" w:rsidRPr="00FA093E">
        <w:rPr>
          <w:rFonts w:ascii="Times New Roman" w:hAnsi="Times New Roman"/>
        </w:rPr>
        <w:t>, reflecting a decrease of 3% in substantiated cases from 2014 to 2015</w:t>
      </w:r>
      <w:r w:rsidR="00AD171F" w:rsidRPr="00FA093E">
        <w:rPr>
          <w:rFonts w:ascii="Times New Roman" w:hAnsi="Times New Roman"/>
        </w:rPr>
        <w:t>.</w:t>
      </w:r>
      <w:r w:rsidR="000A6E5C" w:rsidRPr="00FA093E">
        <w:rPr>
          <w:rFonts w:ascii="Times New Roman" w:hAnsi="Times New Roman"/>
        </w:rPr>
        <w:t xml:space="preserve">  An increase in</w:t>
      </w:r>
      <w:r w:rsidR="00A87A9F" w:rsidRPr="00FA093E">
        <w:rPr>
          <w:rFonts w:ascii="Times New Roman" w:hAnsi="Times New Roman"/>
        </w:rPr>
        <w:t xml:space="preserve"> new investigations cases should therefore be viewed as a positive indicator of confidence by staff in reporting cases</w:t>
      </w:r>
      <w:r w:rsidR="00A92C58" w:rsidRPr="00FA093E">
        <w:rPr>
          <w:rFonts w:ascii="Times New Roman" w:hAnsi="Times New Roman"/>
        </w:rPr>
        <w:t>.</w:t>
      </w:r>
      <w:r w:rsidR="00A87A9F" w:rsidRPr="00FA093E">
        <w:rPr>
          <w:rFonts w:ascii="Times New Roman" w:hAnsi="Times New Roman"/>
        </w:rPr>
        <w:t xml:space="preserve">  This is supported by the last Global Staff survey carried out (2014) in which 71% of staff indicated that they would feel comfortable reporting unethical behavior.</w:t>
      </w:r>
      <w:r w:rsidR="00AD277C" w:rsidRPr="00FA093E">
        <w:rPr>
          <w:rFonts w:ascii="Times New Roman" w:hAnsi="Times New Roman"/>
        </w:rPr>
        <w:t xml:space="preserve"> </w:t>
      </w:r>
    </w:p>
    <w:p w14:paraId="617725BE" w14:textId="77777777" w:rsidR="00AD277C" w:rsidRPr="00FA093E" w:rsidRDefault="00AD277C" w:rsidP="00FA093E">
      <w:pPr>
        <w:pStyle w:val="ListParagraph"/>
        <w:spacing w:after="0" w:line="240" w:lineRule="auto"/>
        <w:ind w:left="360"/>
        <w:jc w:val="both"/>
        <w:rPr>
          <w:rFonts w:ascii="Times New Roman" w:hAnsi="Times New Roman"/>
        </w:rPr>
      </w:pPr>
    </w:p>
    <w:p w14:paraId="32EFD446" w14:textId="77777777" w:rsidR="00AD277C" w:rsidRPr="00FA093E" w:rsidRDefault="00787651"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Procurement </w:t>
      </w:r>
      <w:r w:rsidR="00A05322" w:rsidRPr="00FA093E">
        <w:rPr>
          <w:rFonts w:ascii="Times New Roman" w:hAnsi="Times New Roman"/>
        </w:rPr>
        <w:t>f</w:t>
      </w:r>
      <w:r w:rsidRPr="00FA093E">
        <w:rPr>
          <w:rFonts w:ascii="Times New Roman" w:hAnsi="Times New Roman"/>
        </w:rPr>
        <w:t xml:space="preserve">raud remains the highest category </w:t>
      </w:r>
      <w:r w:rsidR="000B782B" w:rsidRPr="00FA093E">
        <w:rPr>
          <w:rFonts w:ascii="Times New Roman" w:hAnsi="Times New Roman"/>
        </w:rPr>
        <w:t xml:space="preserve">of </w:t>
      </w:r>
      <w:r w:rsidR="00A87A9F" w:rsidRPr="00FA093E">
        <w:rPr>
          <w:rFonts w:ascii="Times New Roman" w:hAnsi="Times New Roman"/>
        </w:rPr>
        <w:t xml:space="preserve">newly </w:t>
      </w:r>
      <w:r w:rsidR="000B782B" w:rsidRPr="00FA093E">
        <w:rPr>
          <w:rFonts w:ascii="Times New Roman" w:hAnsi="Times New Roman"/>
        </w:rPr>
        <w:t>reported</w:t>
      </w:r>
      <w:r w:rsidR="00A92C58" w:rsidRPr="00FA093E">
        <w:rPr>
          <w:rFonts w:ascii="Times New Roman" w:hAnsi="Times New Roman"/>
        </w:rPr>
        <w:t xml:space="preserve"> </w:t>
      </w:r>
      <w:r w:rsidR="00A87A9F" w:rsidRPr="00FA093E">
        <w:rPr>
          <w:rFonts w:ascii="Times New Roman" w:hAnsi="Times New Roman"/>
        </w:rPr>
        <w:t>(31%) as well as substantiated cases (</w:t>
      </w:r>
      <w:r w:rsidR="00CD5412" w:rsidRPr="00FA093E">
        <w:rPr>
          <w:rFonts w:ascii="Times New Roman" w:hAnsi="Times New Roman"/>
        </w:rPr>
        <w:t xml:space="preserve">18 </w:t>
      </w:r>
      <w:r w:rsidR="00323686" w:rsidRPr="00FA093E">
        <w:rPr>
          <w:rFonts w:ascii="Times New Roman" w:hAnsi="Times New Roman"/>
        </w:rPr>
        <w:t>cases; 36</w:t>
      </w:r>
      <w:r w:rsidR="00CD5412" w:rsidRPr="00FA093E">
        <w:rPr>
          <w:rFonts w:ascii="Times New Roman" w:hAnsi="Times New Roman"/>
        </w:rPr>
        <w:t xml:space="preserve"> per cent</w:t>
      </w:r>
      <w:r w:rsidR="00A87A9F" w:rsidRPr="00FA093E">
        <w:rPr>
          <w:rFonts w:ascii="Times New Roman" w:hAnsi="Times New Roman"/>
        </w:rPr>
        <w:t>)</w:t>
      </w:r>
      <w:r w:rsidR="00CD5412" w:rsidRPr="00FA093E">
        <w:rPr>
          <w:rFonts w:ascii="Times New Roman" w:hAnsi="Times New Roman"/>
        </w:rPr>
        <w:t xml:space="preserve">. </w:t>
      </w:r>
      <w:r w:rsidR="003D2F2B" w:rsidRPr="00FA093E">
        <w:rPr>
          <w:rFonts w:ascii="Times New Roman" w:hAnsi="Times New Roman"/>
        </w:rPr>
        <w:t xml:space="preserve">The introduction of eTendering will </w:t>
      </w:r>
      <w:r w:rsidR="00323686" w:rsidRPr="00FA093E">
        <w:rPr>
          <w:rFonts w:ascii="Times New Roman" w:hAnsi="Times New Roman"/>
        </w:rPr>
        <w:t>assist in</w:t>
      </w:r>
      <w:r w:rsidR="003D2F2B" w:rsidRPr="00FA093E">
        <w:rPr>
          <w:rFonts w:ascii="Times New Roman" w:hAnsi="Times New Roman"/>
        </w:rPr>
        <w:t xml:space="preserve"> reducing instances of procurement fraud due to </w:t>
      </w:r>
      <w:r w:rsidR="00E431DB" w:rsidRPr="00FA093E">
        <w:rPr>
          <w:rFonts w:ascii="Times New Roman" w:hAnsi="Times New Roman"/>
        </w:rPr>
        <w:t xml:space="preserve">the </w:t>
      </w:r>
      <w:r w:rsidR="003D2F2B" w:rsidRPr="00FA093E">
        <w:rPr>
          <w:rFonts w:ascii="Times New Roman" w:hAnsi="Times New Roman"/>
        </w:rPr>
        <w:t>visibility provided through the system audit trail</w:t>
      </w:r>
      <w:r w:rsidR="00CD5412" w:rsidRPr="00FA093E">
        <w:rPr>
          <w:rFonts w:ascii="Times New Roman" w:hAnsi="Times New Roman"/>
        </w:rPr>
        <w:t>.</w:t>
      </w:r>
      <w:r w:rsidR="00F12D06" w:rsidRPr="00FA093E">
        <w:rPr>
          <w:rFonts w:ascii="Times New Roman" w:hAnsi="Times New Roman"/>
        </w:rPr>
        <w:t xml:space="preserve"> In 2015,</w:t>
      </w:r>
      <w:r w:rsidR="00CD5412" w:rsidRPr="00FA093E">
        <w:rPr>
          <w:rFonts w:ascii="Times New Roman" w:hAnsi="Times New Roman"/>
        </w:rPr>
        <w:t xml:space="preserve"> </w:t>
      </w:r>
      <w:r w:rsidR="003D2F2B" w:rsidRPr="00FA093E">
        <w:rPr>
          <w:rFonts w:ascii="Times New Roman" w:hAnsi="Times New Roman"/>
        </w:rPr>
        <w:t>UNDP successfully conducted proactive investigations to mitigate risk of procurement related fraud</w:t>
      </w:r>
      <w:r w:rsidR="00F12D06" w:rsidRPr="00FA093E">
        <w:rPr>
          <w:rFonts w:ascii="Times New Roman" w:hAnsi="Times New Roman"/>
        </w:rPr>
        <w:t xml:space="preserve"> with resulting identification of </w:t>
      </w:r>
      <w:r w:rsidR="00CD5412" w:rsidRPr="00FA093E">
        <w:rPr>
          <w:rFonts w:ascii="Times New Roman" w:hAnsi="Times New Roman"/>
        </w:rPr>
        <w:t>alleged procurement.</w:t>
      </w:r>
      <w:r w:rsidR="003D2F2B" w:rsidRPr="00FA093E">
        <w:rPr>
          <w:rFonts w:ascii="Times New Roman" w:hAnsi="Times New Roman"/>
        </w:rPr>
        <w:t xml:space="preserve">  Actions taken by the Vendor Review Committee against vendors with substantiated frauds also act as a deterrent.</w:t>
      </w:r>
      <w:r w:rsidR="00AD277C" w:rsidRPr="00FA093E">
        <w:rPr>
          <w:rFonts w:ascii="Times New Roman" w:hAnsi="Times New Roman"/>
        </w:rPr>
        <w:t xml:space="preserve">  Management has taken steps towards bringing procurement support and oversight closer to the country offices through the recent structural change whereby regional hubs and centralized teams based in Copenhagen support offices in conducting high risk, high value procurements.  </w:t>
      </w:r>
      <w:r w:rsidR="00F12D06" w:rsidRPr="00FA093E">
        <w:rPr>
          <w:rFonts w:ascii="Times New Roman" w:hAnsi="Times New Roman"/>
        </w:rPr>
        <w:t>M</w:t>
      </w:r>
      <w:r w:rsidR="00AD277C" w:rsidRPr="00FA093E">
        <w:rPr>
          <w:rFonts w:ascii="Times New Roman" w:hAnsi="Times New Roman"/>
        </w:rPr>
        <w:t>anagement has taken a risk-based approach in identifying countries that nee</w:t>
      </w:r>
      <w:r w:rsidR="004F79CD" w:rsidRPr="00FA093E">
        <w:rPr>
          <w:rFonts w:ascii="Times New Roman" w:hAnsi="Times New Roman"/>
        </w:rPr>
        <w:t xml:space="preserve">d closer monitoring and support </w:t>
      </w:r>
      <w:r w:rsidR="001A5DE2" w:rsidRPr="00FA093E">
        <w:rPr>
          <w:rFonts w:ascii="Times New Roman" w:hAnsi="Times New Roman"/>
        </w:rPr>
        <w:t>and is looking</w:t>
      </w:r>
      <w:r w:rsidR="00790013" w:rsidRPr="00FA093E">
        <w:rPr>
          <w:rFonts w:ascii="Times New Roman" w:hAnsi="Times New Roman"/>
        </w:rPr>
        <w:t xml:space="preserve"> into the option of recentralization of </w:t>
      </w:r>
      <w:r w:rsidR="00790013" w:rsidRPr="00FA093E">
        <w:rPr>
          <w:rFonts w:ascii="Times New Roman" w:hAnsi="Times New Roman"/>
        </w:rPr>
        <w:lastRenderedPageBreak/>
        <w:t xml:space="preserve">procurement to the Procurement Support Unit (PSU) New York until remedial actions have been undertaken by the country office </w:t>
      </w:r>
      <w:r w:rsidR="00CA7FF4" w:rsidRPr="00FA093E">
        <w:rPr>
          <w:rFonts w:ascii="Times New Roman" w:hAnsi="Times New Roman"/>
        </w:rPr>
        <w:t>with negative</w:t>
      </w:r>
      <w:r w:rsidR="00790013" w:rsidRPr="00FA093E">
        <w:rPr>
          <w:rFonts w:ascii="Times New Roman" w:hAnsi="Times New Roman"/>
        </w:rPr>
        <w:t xml:space="preserve"> audit ratings and substantiated investigations on procurement.</w:t>
      </w:r>
      <w:r w:rsidR="00790013" w:rsidRPr="00FA093E">
        <w:rPr>
          <w:rFonts w:ascii="Times New Roman" w:hAnsi="Times New Roman"/>
          <w:color w:val="1F497D"/>
          <w:lang w:val="fr-FR"/>
        </w:rPr>
        <w:t xml:space="preserve"> </w:t>
      </w:r>
    </w:p>
    <w:p w14:paraId="35AF4AA3" w14:textId="77777777" w:rsidR="003D2F2B" w:rsidRPr="00FA093E" w:rsidRDefault="003D2F2B" w:rsidP="00FA093E">
      <w:pPr>
        <w:pStyle w:val="ListParagraph"/>
        <w:spacing w:after="0" w:line="240" w:lineRule="auto"/>
        <w:ind w:left="360"/>
        <w:jc w:val="both"/>
        <w:rPr>
          <w:rFonts w:ascii="Times New Roman" w:hAnsi="Times New Roman"/>
          <w:color w:val="2F5597"/>
        </w:rPr>
      </w:pPr>
    </w:p>
    <w:p w14:paraId="20CF1473" w14:textId="77777777" w:rsidR="00802442" w:rsidRPr="00FA093E" w:rsidRDefault="00802442"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There are a number of challenges in seeking recovery of funds. In cases of proven fraud involving staff members, deductions can be made from their final emoluments to recover the amount defrauded, provided that those final emoluments are sufficient. If not (or if the ex-staff member has already received his/her emoluments), it is difficult to make full recovery without the ex-staff member’s consent. UN</w:t>
      </w:r>
      <w:r w:rsidR="00241D5B" w:rsidRPr="00FA093E">
        <w:rPr>
          <w:rFonts w:ascii="Times New Roman" w:hAnsi="Times New Roman"/>
        </w:rPr>
        <w:t xml:space="preserve"> </w:t>
      </w:r>
      <w:r w:rsidRPr="00FA093E">
        <w:rPr>
          <w:rFonts w:ascii="Times New Roman" w:hAnsi="Times New Roman"/>
        </w:rPr>
        <w:t>J</w:t>
      </w:r>
      <w:r w:rsidR="00241D5B" w:rsidRPr="00FA093E">
        <w:rPr>
          <w:rFonts w:ascii="Times New Roman" w:hAnsi="Times New Roman"/>
        </w:rPr>
        <w:t xml:space="preserve">oint </w:t>
      </w:r>
      <w:r w:rsidRPr="00FA093E">
        <w:rPr>
          <w:rFonts w:ascii="Times New Roman" w:hAnsi="Times New Roman"/>
        </w:rPr>
        <w:t>S</w:t>
      </w:r>
      <w:r w:rsidR="00241D5B" w:rsidRPr="00FA093E">
        <w:rPr>
          <w:rFonts w:ascii="Times New Roman" w:hAnsi="Times New Roman"/>
        </w:rPr>
        <w:t xml:space="preserve">taff </w:t>
      </w:r>
      <w:r w:rsidRPr="00FA093E">
        <w:rPr>
          <w:rFonts w:ascii="Times New Roman" w:hAnsi="Times New Roman"/>
        </w:rPr>
        <w:t>P</w:t>
      </w:r>
      <w:r w:rsidR="00241D5B" w:rsidRPr="00FA093E">
        <w:rPr>
          <w:rFonts w:ascii="Times New Roman" w:hAnsi="Times New Roman"/>
        </w:rPr>
        <w:t xml:space="preserve">ension </w:t>
      </w:r>
      <w:r w:rsidRPr="00FA093E">
        <w:rPr>
          <w:rFonts w:ascii="Times New Roman" w:hAnsi="Times New Roman"/>
        </w:rPr>
        <w:t>F</w:t>
      </w:r>
      <w:r w:rsidR="00241D5B" w:rsidRPr="00FA093E">
        <w:rPr>
          <w:rFonts w:ascii="Times New Roman" w:hAnsi="Times New Roman"/>
        </w:rPr>
        <w:t>und</w:t>
      </w:r>
      <w:r w:rsidRPr="00FA093E">
        <w:rPr>
          <w:rFonts w:ascii="Times New Roman" w:hAnsi="Times New Roman"/>
        </w:rPr>
        <w:t xml:space="preserve"> entitlements are not automatically available to UNDP to satisfy the amount owing. For fraud involving non-staff and companies, recovery is wholly reliant on the assistance of national governments concerned and UNDP has no means of its own to recover the amounts defrauded.</w:t>
      </w:r>
      <w:r w:rsidR="00B0326C" w:rsidRPr="00FA093E">
        <w:rPr>
          <w:rFonts w:ascii="Times New Roman" w:hAnsi="Times New Roman"/>
        </w:rPr>
        <w:t xml:space="preserve">  UNDP management has established a task force to look into ways of increasing recovery of funds from substantiated losses on a timely basis and the group has already began its deliberations.</w:t>
      </w:r>
    </w:p>
    <w:p w14:paraId="43505353" w14:textId="77777777" w:rsidR="0031038A" w:rsidRPr="00FA093E" w:rsidRDefault="0031038A" w:rsidP="00FA093E">
      <w:pPr>
        <w:pStyle w:val="ListParagraph"/>
        <w:spacing w:line="240" w:lineRule="auto"/>
        <w:rPr>
          <w:rFonts w:ascii="Times New Roman" w:hAnsi="Times New Roman"/>
        </w:rPr>
      </w:pPr>
    </w:p>
    <w:p w14:paraId="7B995EEE" w14:textId="77777777" w:rsidR="006D5049" w:rsidRPr="00FA093E" w:rsidRDefault="006D5049"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iCs/>
          <w:u w:val="single"/>
        </w:rPr>
        <w:t>OAIs overall audit opinion</w:t>
      </w:r>
      <w:r w:rsidRPr="00FA093E">
        <w:rPr>
          <w:rFonts w:ascii="Times New Roman" w:hAnsi="Times New Roman"/>
          <w:iCs/>
        </w:rPr>
        <w:t xml:space="preserve"> -2015: </w:t>
      </w:r>
      <w:r w:rsidR="00E91DBA" w:rsidRPr="00FA093E">
        <w:rPr>
          <w:rFonts w:ascii="Times New Roman" w:hAnsi="Times New Roman"/>
          <w:iCs/>
        </w:rPr>
        <w:t>In June 2015, the executive board requested the</w:t>
      </w:r>
      <w:r w:rsidR="00E91DBA" w:rsidRPr="00FA093E">
        <w:rPr>
          <w:rFonts w:ascii="Times New Roman" w:hAnsi="Times New Roman"/>
        </w:rPr>
        <w:t xml:space="preserve"> internal audit and investigation offices to include in future annual reports</w:t>
      </w:r>
      <w:r w:rsidR="00E91DBA" w:rsidRPr="00FA093E">
        <w:rPr>
          <w:rFonts w:ascii="Times New Roman" w:hAnsi="Times New Roman"/>
          <w:i/>
        </w:rPr>
        <w:t>:</w:t>
      </w:r>
      <w:r w:rsidR="00323686" w:rsidRPr="00FA093E">
        <w:rPr>
          <w:rFonts w:ascii="Times New Roman" w:hAnsi="Times New Roman"/>
          <w:i/>
        </w:rPr>
        <w:t>”</w:t>
      </w:r>
      <w:r w:rsidR="00E91DBA" w:rsidRPr="00FA093E">
        <w:rPr>
          <w:rFonts w:ascii="Times New Roman" w:hAnsi="Times New Roman"/>
          <w:i/>
        </w:rPr>
        <w:t xml:space="preserve"> (a) an opinion, based on the scope of work undertaken, on the adequacy and effectiveness of the organizations’ framework of governance, risk management and control; (b) a concise summary of work and the criteria that support the opinion;   and (c) a statement of conformance with the internal audit standards being adhered to</w:t>
      </w:r>
      <w:r w:rsidR="00323686" w:rsidRPr="00FA093E">
        <w:rPr>
          <w:rFonts w:ascii="Times New Roman" w:hAnsi="Times New Roman"/>
        </w:rPr>
        <w:t>….”</w:t>
      </w:r>
    </w:p>
    <w:p w14:paraId="45DBD11D" w14:textId="77777777" w:rsidR="006D5049" w:rsidRPr="00FA093E" w:rsidRDefault="006D5049" w:rsidP="00FA093E">
      <w:pPr>
        <w:pStyle w:val="ListParagraph"/>
        <w:spacing w:line="240" w:lineRule="auto"/>
        <w:rPr>
          <w:rFonts w:ascii="Times New Roman" w:hAnsi="Times New Roman"/>
        </w:rPr>
      </w:pPr>
    </w:p>
    <w:p w14:paraId="1CF21ABB" w14:textId="77777777" w:rsidR="00E91DBA" w:rsidRPr="00FA093E" w:rsidRDefault="00E91DBA"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Noting that this</w:t>
      </w:r>
      <w:r w:rsidR="00323686" w:rsidRPr="00FA093E">
        <w:rPr>
          <w:rFonts w:ascii="Times New Roman" w:hAnsi="Times New Roman"/>
        </w:rPr>
        <w:t xml:space="preserve"> </w:t>
      </w:r>
      <w:r w:rsidR="001A5DE2" w:rsidRPr="00FA093E">
        <w:rPr>
          <w:rFonts w:ascii="Times New Roman" w:hAnsi="Times New Roman"/>
        </w:rPr>
        <w:t xml:space="preserve">requirement was based on a June </w:t>
      </w:r>
      <w:r w:rsidR="007C64F3" w:rsidRPr="00FA093E">
        <w:rPr>
          <w:rFonts w:ascii="Times New Roman" w:hAnsi="Times New Roman"/>
        </w:rPr>
        <w:t>2015</w:t>
      </w:r>
      <w:r w:rsidR="001A5DE2" w:rsidRPr="00FA093E">
        <w:rPr>
          <w:rFonts w:ascii="Times New Roman" w:hAnsi="Times New Roman"/>
        </w:rPr>
        <w:t xml:space="preserve"> EB decision</w:t>
      </w:r>
      <w:r w:rsidR="007C64F3" w:rsidRPr="00FA093E">
        <w:rPr>
          <w:rFonts w:ascii="Times New Roman" w:hAnsi="Times New Roman"/>
        </w:rPr>
        <w:t xml:space="preserve"> at a time </w:t>
      </w:r>
      <w:r w:rsidR="00323686" w:rsidRPr="00FA093E">
        <w:rPr>
          <w:rFonts w:ascii="Times New Roman" w:hAnsi="Times New Roman"/>
        </w:rPr>
        <w:t>that</w:t>
      </w:r>
      <w:r w:rsidR="007C64F3" w:rsidRPr="00FA093E">
        <w:rPr>
          <w:rFonts w:ascii="Times New Roman" w:hAnsi="Times New Roman"/>
        </w:rPr>
        <w:t xml:space="preserve"> OAI had finalized its work plan for the year</w:t>
      </w:r>
      <w:r w:rsidR="00F12D06" w:rsidRPr="00FA093E">
        <w:rPr>
          <w:rFonts w:ascii="Times New Roman" w:hAnsi="Times New Roman"/>
        </w:rPr>
        <w:t xml:space="preserve"> with a leaning towards COs and Projects with high risk in line with its risk planning methodology, management is of the view that the basis of the 2015 audit opinion may not have been representative of UNDP</w:t>
      </w:r>
      <w:r w:rsidR="00506ECD" w:rsidRPr="00FA093E">
        <w:rPr>
          <w:rFonts w:ascii="Times New Roman" w:hAnsi="Times New Roman"/>
        </w:rPr>
        <w:t>’</w:t>
      </w:r>
      <w:r w:rsidR="00F12D06" w:rsidRPr="00FA093E">
        <w:rPr>
          <w:rFonts w:ascii="Times New Roman" w:hAnsi="Times New Roman"/>
        </w:rPr>
        <w:t xml:space="preserve">s holistic risk profile.  </w:t>
      </w:r>
      <w:r w:rsidR="007C64F3" w:rsidRPr="00FA093E">
        <w:rPr>
          <w:rFonts w:ascii="Times New Roman" w:hAnsi="Times New Roman"/>
        </w:rPr>
        <w:t>Nevertheless, management has had discussions and deliberations with OAI and welcome their opinion, noting that there is room for improvement in the methodology and approach of arriving at this opinion in the coming year</w:t>
      </w:r>
      <w:r w:rsidR="001A5DE2" w:rsidRPr="00FA093E">
        <w:rPr>
          <w:rFonts w:ascii="Times New Roman" w:hAnsi="Times New Roman"/>
        </w:rPr>
        <w:t>s.</w:t>
      </w:r>
    </w:p>
    <w:p w14:paraId="0EF83F92" w14:textId="77777777" w:rsidR="00E91DBA" w:rsidRPr="00FA093E" w:rsidRDefault="00E91DBA" w:rsidP="00FA093E">
      <w:pPr>
        <w:pStyle w:val="Default"/>
        <w:jc w:val="both"/>
        <w:rPr>
          <w:sz w:val="22"/>
          <w:szCs w:val="22"/>
        </w:rPr>
      </w:pPr>
    </w:p>
    <w:p w14:paraId="64AB6A07" w14:textId="77777777" w:rsidR="0031038A" w:rsidRPr="00FA093E" w:rsidRDefault="0031038A" w:rsidP="00FA093E">
      <w:pPr>
        <w:pStyle w:val="ListParagraph"/>
        <w:spacing w:after="0" w:line="240" w:lineRule="auto"/>
        <w:ind w:left="360"/>
        <w:jc w:val="both"/>
        <w:rPr>
          <w:rFonts w:ascii="Times New Roman" w:hAnsi="Times New Roman"/>
        </w:rPr>
      </w:pPr>
    </w:p>
    <w:p w14:paraId="1F0F6BE8" w14:textId="77777777" w:rsidR="00966DC3" w:rsidRPr="00FA093E" w:rsidRDefault="00966DC3" w:rsidP="00FA093E">
      <w:pPr>
        <w:pStyle w:val="ListParagraph"/>
        <w:numPr>
          <w:ilvl w:val="0"/>
          <w:numId w:val="37"/>
        </w:numPr>
        <w:spacing w:after="0" w:line="240" w:lineRule="auto"/>
        <w:jc w:val="both"/>
        <w:rPr>
          <w:rFonts w:ascii="Times New Roman" w:hAnsi="Times New Roman"/>
          <w:b/>
          <w:color w:val="FF0000"/>
        </w:rPr>
      </w:pPr>
      <w:r w:rsidRPr="00FA093E">
        <w:rPr>
          <w:rFonts w:ascii="Times New Roman" w:hAnsi="Times New Roman"/>
          <w:b/>
        </w:rPr>
        <w:t xml:space="preserve">Management </w:t>
      </w:r>
      <w:r w:rsidR="00601736" w:rsidRPr="00FA093E">
        <w:rPr>
          <w:rFonts w:ascii="Times New Roman" w:hAnsi="Times New Roman"/>
          <w:b/>
        </w:rPr>
        <w:t xml:space="preserve">commentaries </w:t>
      </w:r>
      <w:r w:rsidR="00686DD1" w:rsidRPr="00FA093E">
        <w:rPr>
          <w:rFonts w:ascii="Times New Roman" w:hAnsi="Times New Roman"/>
          <w:b/>
        </w:rPr>
        <w:t xml:space="preserve">on </w:t>
      </w:r>
      <w:r w:rsidRPr="00FA093E">
        <w:rPr>
          <w:rFonts w:ascii="Times New Roman" w:hAnsi="Times New Roman"/>
          <w:b/>
        </w:rPr>
        <w:t>the 2015 Annual  Report on Evaluation</w:t>
      </w:r>
    </w:p>
    <w:p w14:paraId="2DAB6332" w14:textId="77777777" w:rsidR="00686DD1" w:rsidRPr="00FA093E" w:rsidRDefault="00686DD1" w:rsidP="00FA093E">
      <w:pPr>
        <w:spacing w:after="0" w:line="240" w:lineRule="auto"/>
        <w:rPr>
          <w:rFonts w:ascii="Times New Roman" w:eastAsia="Batang" w:hAnsi="Times New Roman"/>
          <w:lang w:eastAsia="ko-KR"/>
        </w:rPr>
      </w:pPr>
    </w:p>
    <w:p w14:paraId="23094CAF" w14:textId="77777777" w:rsidR="00B71791" w:rsidRPr="00FA093E" w:rsidRDefault="00B71791" w:rsidP="00FA093E">
      <w:pPr>
        <w:spacing w:after="0" w:line="240" w:lineRule="auto"/>
        <w:rPr>
          <w:rFonts w:ascii="Times New Roman" w:eastAsia="Batang" w:hAnsi="Times New Roman"/>
          <w:b/>
          <w:lang w:eastAsia="ko-KR"/>
        </w:rPr>
      </w:pPr>
      <w:r w:rsidRPr="00FA093E">
        <w:rPr>
          <w:rFonts w:ascii="Times New Roman" w:eastAsia="Batang" w:hAnsi="Times New Roman"/>
          <w:b/>
          <w:lang w:eastAsia="ko-KR"/>
        </w:rPr>
        <w:t>Background</w:t>
      </w:r>
    </w:p>
    <w:p w14:paraId="36CF8F0C" w14:textId="0E3C1ECF" w:rsidR="00B71791" w:rsidRPr="00FA093E" w:rsidRDefault="00B71791" w:rsidP="00FA093E">
      <w:pPr>
        <w:numPr>
          <w:ilvl w:val="0"/>
          <w:numId w:val="3"/>
        </w:numPr>
        <w:tabs>
          <w:tab w:val="left" w:pos="360"/>
        </w:tabs>
        <w:spacing w:before="160" w:after="160" w:line="240" w:lineRule="auto"/>
        <w:jc w:val="both"/>
        <w:rPr>
          <w:rFonts w:ascii="Times New Roman" w:eastAsia="Batang" w:hAnsi="Times New Roman"/>
          <w:lang w:eastAsia="ko-KR"/>
        </w:rPr>
      </w:pPr>
      <w:r w:rsidRPr="00FA093E">
        <w:rPr>
          <w:rFonts w:ascii="Times New Roman" w:eastAsia="Batang" w:hAnsi="Times New Roman"/>
          <w:lang w:eastAsia="ko-KR"/>
        </w:rPr>
        <w:t>The commentaries submitted herewith provide a UNDP management perspective on the results presented in the 2015 Annual Report on Evaluation in UNDP (DP/2016/</w:t>
      </w:r>
      <w:r w:rsidR="00481D00">
        <w:rPr>
          <w:rFonts w:ascii="Times New Roman" w:eastAsia="Batang" w:hAnsi="Times New Roman"/>
          <w:lang w:eastAsia="ko-KR"/>
        </w:rPr>
        <w:t>13</w:t>
      </w:r>
      <w:bookmarkStart w:id="0" w:name="_GoBack"/>
      <w:bookmarkEnd w:id="0"/>
      <w:r w:rsidRPr="00FA093E">
        <w:rPr>
          <w:rFonts w:ascii="Times New Roman" w:eastAsia="Batang" w:hAnsi="Times New Roman"/>
          <w:lang w:eastAsia="ko-KR"/>
        </w:rPr>
        <w:t>). Additionally, these commentaries also present a summary of the activity of decentralized evaluation and an update on the implementation status of related management responses.</w:t>
      </w:r>
    </w:p>
    <w:p w14:paraId="53AF7F0C" w14:textId="77777777" w:rsidR="00AD0A39" w:rsidRPr="00FA093E" w:rsidRDefault="00AD0A39" w:rsidP="00FA093E">
      <w:pPr>
        <w:numPr>
          <w:ilvl w:val="0"/>
          <w:numId w:val="3"/>
        </w:numPr>
        <w:tabs>
          <w:tab w:val="left" w:pos="360"/>
        </w:tabs>
        <w:spacing w:before="160" w:after="160" w:line="240" w:lineRule="auto"/>
        <w:jc w:val="both"/>
        <w:rPr>
          <w:rFonts w:ascii="Times New Roman" w:eastAsia="Batang" w:hAnsi="Times New Roman"/>
          <w:lang w:eastAsia="ko-KR"/>
        </w:rPr>
      </w:pPr>
      <w:r w:rsidRPr="00FA093E">
        <w:rPr>
          <w:rFonts w:ascii="Times New Roman" w:eastAsia="Batang" w:hAnsi="Times New Roman"/>
          <w:lang w:eastAsia="ko-KR"/>
        </w:rPr>
        <w:t>In September 2014, the Executive Board adopted decision 2014/14 on the Annual Report on Evaluation, 2013, urging UNDP to “address in a timely manner the findings and recommendations from the annual report on evaluation, with a view towards improving programme performance, effectiveness and efficiency”.  The Board also recognized “the progress of UNDP in developing management responses for all evaluations carried out by the Independent Evaluation Office of UNDP, and requests UNDP to explain the level of completed actions in the future management commentaries on the annual report on evaluation”.</w:t>
      </w:r>
    </w:p>
    <w:p w14:paraId="0EA9D856" w14:textId="77777777" w:rsidR="00B71791" w:rsidRPr="00FA093E" w:rsidRDefault="00B71791" w:rsidP="00FA093E">
      <w:pPr>
        <w:numPr>
          <w:ilvl w:val="0"/>
          <w:numId w:val="3"/>
        </w:numPr>
        <w:tabs>
          <w:tab w:val="left" w:pos="360"/>
        </w:tabs>
        <w:spacing w:after="0" w:line="240" w:lineRule="auto"/>
        <w:jc w:val="both"/>
        <w:rPr>
          <w:rFonts w:ascii="Times New Roman" w:eastAsia="Batang" w:hAnsi="Times New Roman"/>
          <w:i/>
          <w:lang w:eastAsia="ko-KR"/>
        </w:rPr>
      </w:pPr>
      <w:r w:rsidRPr="00FA093E">
        <w:rPr>
          <w:rFonts w:ascii="Times New Roman" w:eastAsia="Batang" w:hAnsi="Times New Roman"/>
          <w:lang w:eastAsia="ko-KR"/>
        </w:rPr>
        <w:t xml:space="preserve">The evaluations conducted by the Evaluation Office and by UNDP programme units in 2015, and the related management responses, as well as the status updates on implementation of commitments made in those responses are available through the </w:t>
      </w:r>
      <w:hyperlink r:id="rId11" w:history="1">
        <w:r w:rsidRPr="00FA093E">
          <w:rPr>
            <w:rFonts w:ascii="Times New Roman" w:eastAsia="Batang" w:hAnsi="Times New Roman"/>
            <w:color w:val="0000FF"/>
            <w:u w:val="single"/>
            <w:lang w:eastAsia="ko-KR"/>
          </w:rPr>
          <w:t>Evaluation Resource Centre</w:t>
        </w:r>
      </w:hyperlink>
      <w:r w:rsidRPr="00FA093E">
        <w:rPr>
          <w:rFonts w:ascii="Times New Roman" w:eastAsia="Batang" w:hAnsi="Times New Roman"/>
          <w:lang w:eastAsia="ko-KR"/>
        </w:rPr>
        <w:t xml:space="preserve"> database (ERC).  </w:t>
      </w:r>
    </w:p>
    <w:p w14:paraId="24DD2114" w14:textId="77777777" w:rsidR="00B71791" w:rsidRPr="00FA093E" w:rsidRDefault="00B71791" w:rsidP="00FA093E">
      <w:pPr>
        <w:tabs>
          <w:tab w:val="left" w:pos="360"/>
        </w:tabs>
        <w:spacing w:after="0" w:line="240" w:lineRule="auto"/>
        <w:jc w:val="both"/>
        <w:rPr>
          <w:rFonts w:ascii="Times New Roman" w:eastAsia="Batang" w:hAnsi="Times New Roman"/>
          <w:i/>
          <w:lang w:eastAsia="ko-KR"/>
        </w:rPr>
      </w:pPr>
    </w:p>
    <w:p w14:paraId="524ABAD4" w14:textId="77777777" w:rsidR="008215C0" w:rsidRPr="00FA093E" w:rsidRDefault="008215C0" w:rsidP="00FA093E">
      <w:pPr>
        <w:pStyle w:val="ListParagraph"/>
        <w:numPr>
          <w:ilvl w:val="0"/>
          <w:numId w:val="45"/>
        </w:numPr>
        <w:tabs>
          <w:tab w:val="left" w:pos="0"/>
        </w:tabs>
        <w:spacing w:after="0" w:line="240" w:lineRule="auto"/>
        <w:jc w:val="both"/>
        <w:rPr>
          <w:rFonts w:ascii="Times New Roman" w:eastAsia="Batang" w:hAnsi="Times New Roman"/>
          <w:b/>
          <w:bCs/>
          <w:lang w:eastAsia="ko-KR"/>
        </w:rPr>
      </w:pPr>
      <w:r w:rsidRPr="00FA093E">
        <w:rPr>
          <w:rFonts w:ascii="Times New Roman" w:eastAsia="Batang" w:hAnsi="Times New Roman"/>
          <w:b/>
          <w:bCs/>
          <w:lang w:eastAsia="ko-KR"/>
        </w:rPr>
        <w:t xml:space="preserve">Status of Evaluation recommendations and </w:t>
      </w:r>
      <w:r w:rsidR="00DF525E" w:rsidRPr="00FA093E">
        <w:rPr>
          <w:rFonts w:ascii="Times New Roman" w:eastAsia="Batang" w:hAnsi="Times New Roman"/>
          <w:b/>
          <w:bCs/>
          <w:lang w:eastAsia="ko-KR"/>
        </w:rPr>
        <w:t>M</w:t>
      </w:r>
      <w:r w:rsidRPr="00FA093E">
        <w:rPr>
          <w:rFonts w:ascii="Times New Roman" w:eastAsia="Batang" w:hAnsi="Times New Roman"/>
          <w:b/>
          <w:bCs/>
          <w:lang w:eastAsia="ko-KR"/>
        </w:rPr>
        <w:t xml:space="preserve">anagement </w:t>
      </w:r>
      <w:r w:rsidR="00DF525E" w:rsidRPr="00FA093E">
        <w:rPr>
          <w:rFonts w:ascii="Times New Roman" w:eastAsia="Batang" w:hAnsi="Times New Roman"/>
          <w:b/>
          <w:bCs/>
          <w:lang w:eastAsia="ko-KR"/>
        </w:rPr>
        <w:t>R</w:t>
      </w:r>
      <w:r w:rsidRPr="00FA093E">
        <w:rPr>
          <w:rFonts w:ascii="Times New Roman" w:eastAsia="Batang" w:hAnsi="Times New Roman"/>
          <w:b/>
          <w:bCs/>
          <w:lang w:eastAsia="ko-KR"/>
        </w:rPr>
        <w:t>esponses</w:t>
      </w:r>
    </w:p>
    <w:p w14:paraId="17EE4A8F" w14:textId="77777777" w:rsidR="008215C0" w:rsidRPr="00FA093E" w:rsidRDefault="008215C0" w:rsidP="00FA093E">
      <w:pPr>
        <w:tabs>
          <w:tab w:val="left" w:pos="360"/>
        </w:tabs>
        <w:spacing w:after="0" w:line="240" w:lineRule="auto"/>
        <w:contextualSpacing/>
        <w:jc w:val="both"/>
        <w:rPr>
          <w:rFonts w:ascii="Times New Roman" w:eastAsia="Batang" w:hAnsi="Times New Roman"/>
          <w:b/>
          <w:lang w:val="en-GB" w:eastAsia="ko-KR"/>
        </w:rPr>
      </w:pPr>
    </w:p>
    <w:p w14:paraId="2BAF06E0" w14:textId="77777777" w:rsidR="008215C0" w:rsidRPr="00FA093E" w:rsidRDefault="008215C0"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Overall, UNDP notes that progress continues to be made, with the comparison of data from the Evaluation Resource Center showing a higher rate of compliance with management response requirement (86% of evaluations had a management response in 2015 as compared to 78% in 2014).  </w:t>
      </w:r>
      <w:r w:rsidR="008F36EE" w:rsidRPr="00FA093E">
        <w:rPr>
          <w:rFonts w:ascii="Times New Roman" w:eastAsia="Batang" w:hAnsi="Times New Roman"/>
          <w:lang w:eastAsia="ko-KR"/>
        </w:rPr>
        <w:t>The i</w:t>
      </w:r>
      <w:r w:rsidRPr="00FA093E">
        <w:rPr>
          <w:rFonts w:ascii="Times New Roman" w:eastAsia="Batang" w:hAnsi="Times New Roman"/>
          <w:lang w:eastAsia="ko-KR"/>
        </w:rPr>
        <w:t>ntegrated results review exercise undertaken by UNDP in 2015 to improve quality of evidence across all country offices, in part contributed to this increase in submission of management responses. Implementation of management response</w:t>
      </w:r>
      <w:r w:rsidR="006024CF" w:rsidRPr="00FA093E">
        <w:rPr>
          <w:rFonts w:ascii="Times New Roman" w:eastAsia="Batang" w:hAnsi="Times New Roman"/>
          <w:lang w:eastAsia="ko-KR"/>
        </w:rPr>
        <w:t>s</w:t>
      </w:r>
      <w:r w:rsidRPr="00FA093E">
        <w:rPr>
          <w:rFonts w:ascii="Times New Roman" w:eastAsia="Batang" w:hAnsi="Times New Roman"/>
          <w:lang w:eastAsia="ko-KR"/>
        </w:rPr>
        <w:t xml:space="preserve"> has also improved, with only 15 per cent of the planned key actions that passed the indicated due dates in 2015 as compared to 29 percent of overdue actions in 2014.</w:t>
      </w:r>
    </w:p>
    <w:p w14:paraId="74A77851" w14:textId="77777777" w:rsidR="008215C0" w:rsidRPr="00FA093E" w:rsidRDefault="008215C0" w:rsidP="00FA093E">
      <w:pPr>
        <w:tabs>
          <w:tab w:val="left" w:pos="360"/>
        </w:tabs>
        <w:spacing w:after="0" w:line="240" w:lineRule="auto"/>
        <w:contextualSpacing/>
        <w:jc w:val="both"/>
        <w:rPr>
          <w:rFonts w:ascii="Times New Roman" w:eastAsia="Batang" w:hAnsi="Times New Roman"/>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50"/>
        <w:gridCol w:w="965"/>
        <w:gridCol w:w="707"/>
        <w:gridCol w:w="1075"/>
        <w:gridCol w:w="1823"/>
        <w:gridCol w:w="1180"/>
        <w:gridCol w:w="929"/>
        <w:gridCol w:w="896"/>
      </w:tblGrid>
      <w:tr w:rsidR="008215C0" w:rsidRPr="00FA093E" w14:paraId="71D2DE21" w14:textId="77777777" w:rsidTr="006024CF">
        <w:trPr>
          <w:trHeight w:val="278"/>
        </w:trPr>
        <w:tc>
          <w:tcPr>
            <w:tcW w:w="5000" w:type="pct"/>
            <w:gridSpan w:val="9"/>
            <w:shd w:val="clear" w:color="auto" w:fill="323E4F"/>
            <w:noWrap/>
          </w:tcPr>
          <w:p w14:paraId="57BFBD6D"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 xml:space="preserve">FOLLOW-UP TO DECENTRALIZED EVALUATIONS </w:t>
            </w:r>
          </w:p>
        </w:tc>
      </w:tr>
      <w:tr w:rsidR="008215C0" w:rsidRPr="00FA093E" w14:paraId="160898D7" w14:textId="77777777" w:rsidTr="006024CF">
        <w:trPr>
          <w:trHeight w:val="278"/>
        </w:trPr>
        <w:tc>
          <w:tcPr>
            <w:tcW w:w="334" w:type="pct"/>
            <w:vMerge w:val="restart"/>
            <w:shd w:val="clear" w:color="auto" w:fill="D9D9D9"/>
            <w:noWrap/>
          </w:tcPr>
          <w:p w14:paraId="41A08888" w14:textId="77777777" w:rsidR="008215C0" w:rsidRPr="00FA093E" w:rsidRDefault="008215C0" w:rsidP="00FA093E">
            <w:pPr>
              <w:spacing w:after="0" w:line="240" w:lineRule="auto"/>
              <w:rPr>
                <w:rFonts w:ascii="Times New Roman" w:hAnsi="Times New Roman"/>
                <w:b/>
                <w:bCs/>
              </w:rPr>
            </w:pPr>
          </w:p>
          <w:p w14:paraId="46A29CA7" w14:textId="77777777" w:rsidR="008215C0" w:rsidRPr="00FA093E" w:rsidRDefault="008215C0" w:rsidP="00FA093E">
            <w:pPr>
              <w:spacing w:after="0" w:line="240" w:lineRule="auto"/>
              <w:rPr>
                <w:rFonts w:ascii="Times New Roman" w:hAnsi="Times New Roman"/>
                <w:b/>
                <w:bCs/>
              </w:rPr>
            </w:pPr>
            <w:r w:rsidRPr="00FA093E">
              <w:rPr>
                <w:rFonts w:ascii="Times New Roman" w:hAnsi="Times New Roman"/>
                <w:b/>
                <w:bCs/>
              </w:rPr>
              <w:t xml:space="preserve">Year </w:t>
            </w:r>
          </w:p>
        </w:tc>
        <w:tc>
          <w:tcPr>
            <w:tcW w:w="615" w:type="pct"/>
            <w:vMerge w:val="restart"/>
            <w:shd w:val="clear" w:color="auto" w:fill="D9D9D9"/>
            <w:noWrap/>
          </w:tcPr>
          <w:p w14:paraId="676084F0" w14:textId="77777777" w:rsidR="008215C0" w:rsidRPr="00FA093E" w:rsidRDefault="008215C0" w:rsidP="00FA093E">
            <w:pPr>
              <w:spacing w:after="0" w:line="240" w:lineRule="auto"/>
              <w:jc w:val="center"/>
              <w:rPr>
                <w:rFonts w:ascii="Times New Roman" w:hAnsi="Times New Roman"/>
                <w:b/>
                <w:bCs/>
              </w:rPr>
            </w:pPr>
          </w:p>
          <w:p w14:paraId="7CD8D5F5"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No. of Evaluations</w:t>
            </w:r>
          </w:p>
        </w:tc>
        <w:tc>
          <w:tcPr>
            <w:tcW w:w="516" w:type="pct"/>
            <w:vMerge w:val="restart"/>
            <w:shd w:val="clear" w:color="auto" w:fill="D9D9D9"/>
            <w:noWrap/>
          </w:tcPr>
          <w:p w14:paraId="259511FD" w14:textId="77777777" w:rsidR="008215C0" w:rsidRPr="00FA093E" w:rsidRDefault="008215C0" w:rsidP="00FA093E">
            <w:pPr>
              <w:spacing w:after="0" w:line="240" w:lineRule="auto"/>
              <w:jc w:val="center"/>
              <w:rPr>
                <w:rFonts w:ascii="Times New Roman" w:hAnsi="Times New Roman"/>
                <w:b/>
                <w:bCs/>
              </w:rPr>
            </w:pPr>
          </w:p>
          <w:p w14:paraId="62DFE5A8"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Mgmt. Response Status</w:t>
            </w:r>
          </w:p>
        </w:tc>
        <w:tc>
          <w:tcPr>
            <w:tcW w:w="378" w:type="pct"/>
            <w:vMerge w:val="restart"/>
            <w:shd w:val="clear" w:color="auto" w:fill="D9D9D9"/>
            <w:noWrap/>
          </w:tcPr>
          <w:p w14:paraId="427A5A90" w14:textId="77777777" w:rsidR="008215C0" w:rsidRPr="00FA093E" w:rsidRDefault="008215C0" w:rsidP="00FA093E">
            <w:pPr>
              <w:spacing w:after="0" w:line="240" w:lineRule="auto"/>
              <w:jc w:val="center"/>
              <w:rPr>
                <w:rFonts w:ascii="Times New Roman" w:hAnsi="Times New Roman"/>
                <w:b/>
                <w:bCs/>
              </w:rPr>
            </w:pPr>
          </w:p>
          <w:p w14:paraId="6AF11BCE"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No. of Key Actions</w:t>
            </w:r>
          </w:p>
        </w:tc>
        <w:tc>
          <w:tcPr>
            <w:tcW w:w="3157" w:type="pct"/>
            <w:gridSpan w:val="5"/>
            <w:shd w:val="clear" w:color="auto" w:fill="D9D9D9"/>
            <w:noWrap/>
          </w:tcPr>
          <w:p w14:paraId="3EC49157"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STATUS OF KEY ACTIONS</w:t>
            </w:r>
          </w:p>
        </w:tc>
      </w:tr>
      <w:tr w:rsidR="008215C0" w:rsidRPr="00FA093E" w14:paraId="5569232C" w14:textId="77777777" w:rsidTr="006024CF">
        <w:trPr>
          <w:trHeight w:val="278"/>
        </w:trPr>
        <w:tc>
          <w:tcPr>
            <w:tcW w:w="334" w:type="pct"/>
            <w:vMerge/>
            <w:shd w:val="clear" w:color="auto" w:fill="D9D9D9"/>
            <w:noWrap/>
            <w:hideMark/>
          </w:tcPr>
          <w:p w14:paraId="62DC2899" w14:textId="77777777" w:rsidR="008215C0" w:rsidRPr="00FA093E" w:rsidRDefault="008215C0" w:rsidP="00FA093E">
            <w:pPr>
              <w:spacing w:after="0" w:line="240" w:lineRule="auto"/>
              <w:rPr>
                <w:rFonts w:ascii="Times New Roman" w:hAnsi="Times New Roman"/>
                <w:b/>
                <w:bCs/>
              </w:rPr>
            </w:pPr>
          </w:p>
        </w:tc>
        <w:tc>
          <w:tcPr>
            <w:tcW w:w="615" w:type="pct"/>
            <w:vMerge/>
            <w:shd w:val="clear" w:color="auto" w:fill="D9D9D9"/>
            <w:noWrap/>
            <w:hideMark/>
          </w:tcPr>
          <w:p w14:paraId="330E7423" w14:textId="77777777" w:rsidR="008215C0" w:rsidRPr="00FA093E" w:rsidRDefault="008215C0" w:rsidP="00FA093E">
            <w:pPr>
              <w:spacing w:after="0" w:line="240" w:lineRule="auto"/>
              <w:jc w:val="center"/>
              <w:rPr>
                <w:rFonts w:ascii="Times New Roman" w:hAnsi="Times New Roman"/>
                <w:b/>
                <w:bCs/>
              </w:rPr>
            </w:pPr>
          </w:p>
        </w:tc>
        <w:tc>
          <w:tcPr>
            <w:tcW w:w="516" w:type="pct"/>
            <w:vMerge/>
            <w:shd w:val="clear" w:color="auto" w:fill="D9D9D9"/>
            <w:noWrap/>
            <w:hideMark/>
          </w:tcPr>
          <w:p w14:paraId="4C8A3489" w14:textId="77777777" w:rsidR="008215C0" w:rsidRPr="00FA093E" w:rsidRDefault="008215C0" w:rsidP="00FA093E">
            <w:pPr>
              <w:spacing w:after="0" w:line="240" w:lineRule="auto"/>
              <w:jc w:val="center"/>
              <w:rPr>
                <w:rFonts w:ascii="Times New Roman" w:hAnsi="Times New Roman"/>
                <w:b/>
                <w:bCs/>
              </w:rPr>
            </w:pPr>
          </w:p>
        </w:tc>
        <w:tc>
          <w:tcPr>
            <w:tcW w:w="378" w:type="pct"/>
            <w:vMerge/>
            <w:shd w:val="clear" w:color="auto" w:fill="D9D9D9"/>
            <w:noWrap/>
            <w:hideMark/>
          </w:tcPr>
          <w:p w14:paraId="6D0E5318" w14:textId="77777777" w:rsidR="008215C0" w:rsidRPr="00FA093E" w:rsidRDefault="008215C0" w:rsidP="00FA093E">
            <w:pPr>
              <w:spacing w:after="0" w:line="240" w:lineRule="auto"/>
              <w:jc w:val="center"/>
              <w:rPr>
                <w:rFonts w:ascii="Times New Roman" w:hAnsi="Times New Roman"/>
                <w:b/>
                <w:bCs/>
              </w:rPr>
            </w:pPr>
          </w:p>
        </w:tc>
        <w:tc>
          <w:tcPr>
            <w:tcW w:w="575" w:type="pct"/>
            <w:shd w:val="clear" w:color="auto" w:fill="D9D9D9"/>
            <w:noWrap/>
            <w:hideMark/>
          </w:tcPr>
          <w:p w14:paraId="5996AC10"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Sum of Completed</w:t>
            </w:r>
          </w:p>
        </w:tc>
        <w:tc>
          <w:tcPr>
            <w:tcW w:w="975" w:type="pct"/>
            <w:shd w:val="clear" w:color="auto" w:fill="D9D9D9"/>
            <w:noWrap/>
            <w:hideMark/>
          </w:tcPr>
          <w:p w14:paraId="0453D4D5"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Sum of Ongoing</w:t>
            </w:r>
          </w:p>
          <w:p w14:paraId="1F189BE3" w14:textId="77777777" w:rsidR="008215C0" w:rsidRPr="00FA093E" w:rsidRDefault="008215C0" w:rsidP="00FA093E">
            <w:pPr>
              <w:spacing w:after="0" w:line="240" w:lineRule="auto"/>
              <w:jc w:val="center"/>
              <w:rPr>
                <w:rFonts w:ascii="Times New Roman" w:hAnsi="Times New Roman"/>
                <w:b/>
                <w:bCs/>
              </w:rPr>
            </w:pPr>
          </w:p>
        </w:tc>
        <w:tc>
          <w:tcPr>
            <w:tcW w:w="631" w:type="pct"/>
            <w:shd w:val="clear" w:color="auto" w:fill="D9D9D9"/>
            <w:noWrap/>
            <w:hideMark/>
          </w:tcPr>
          <w:p w14:paraId="0E212943"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Sum of No Longer Applicable</w:t>
            </w:r>
          </w:p>
        </w:tc>
        <w:tc>
          <w:tcPr>
            <w:tcW w:w="497" w:type="pct"/>
            <w:shd w:val="clear" w:color="auto" w:fill="D9D9D9"/>
            <w:noWrap/>
            <w:hideMark/>
          </w:tcPr>
          <w:p w14:paraId="2938A1FE"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Sum of Overdue</w:t>
            </w:r>
          </w:p>
        </w:tc>
        <w:tc>
          <w:tcPr>
            <w:tcW w:w="479" w:type="pct"/>
            <w:shd w:val="clear" w:color="auto" w:fill="D9D9D9"/>
            <w:noWrap/>
            <w:hideMark/>
          </w:tcPr>
          <w:p w14:paraId="7CAB5F04"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Sum of Not Initiated</w:t>
            </w:r>
          </w:p>
        </w:tc>
      </w:tr>
      <w:tr w:rsidR="008215C0" w:rsidRPr="00FA093E" w14:paraId="677CBC60" w14:textId="77777777" w:rsidTr="006024CF">
        <w:trPr>
          <w:trHeight w:val="278"/>
        </w:trPr>
        <w:tc>
          <w:tcPr>
            <w:tcW w:w="334" w:type="pct"/>
            <w:shd w:val="clear" w:color="auto" w:fill="auto"/>
            <w:noWrap/>
            <w:hideMark/>
          </w:tcPr>
          <w:p w14:paraId="3D773F9A"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2014</w:t>
            </w:r>
          </w:p>
        </w:tc>
        <w:tc>
          <w:tcPr>
            <w:tcW w:w="615" w:type="pct"/>
            <w:shd w:val="clear" w:color="auto" w:fill="auto"/>
            <w:noWrap/>
            <w:hideMark/>
          </w:tcPr>
          <w:p w14:paraId="22CFD103"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228</w:t>
            </w:r>
          </w:p>
        </w:tc>
        <w:tc>
          <w:tcPr>
            <w:tcW w:w="516" w:type="pct"/>
            <w:shd w:val="clear" w:color="auto" w:fill="auto"/>
            <w:noWrap/>
            <w:hideMark/>
          </w:tcPr>
          <w:p w14:paraId="1992204E"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180</w:t>
            </w:r>
          </w:p>
        </w:tc>
        <w:tc>
          <w:tcPr>
            <w:tcW w:w="378" w:type="pct"/>
            <w:shd w:val="clear" w:color="auto" w:fill="auto"/>
            <w:noWrap/>
            <w:hideMark/>
          </w:tcPr>
          <w:p w14:paraId="15EE1D5D"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1,379</w:t>
            </w:r>
          </w:p>
        </w:tc>
        <w:tc>
          <w:tcPr>
            <w:tcW w:w="575" w:type="pct"/>
            <w:shd w:val="clear" w:color="auto" w:fill="auto"/>
            <w:noWrap/>
            <w:hideMark/>
          </w:tcPr>
          <w:p w14:paraId="6AE94822"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305</w:t>
            </w:r>
          </w:p>
        </w:tc>
        <w:tc>
          <w:tcPr>
            <w:tcW w:w="975" w:type="pct"/>
            <w:shd w:val="clear" w:color="auto" w:fill="auto"/>
            <w:noWrap/>
            <w:hideMark/>
          </w:tcPr>
          <w:p w14:paraId="128127E8"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456</w:t>
            </w:r>
          </w:p>
        </w:tc>
        <w:tc>
          <w:tcPr>
            <w:tcW w:w="631" w:type="pct"/>
            <w:shd w:val="clear" w:color="auto" w:fill="auto"/>
            <w:noWrap/>
            <w:hideMark/>
          </w:tcPr>
          <w:p w14:paraId="7FE4A3F4"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16</w:t>
            </w:r>
          </w:p>
        </w:tc>
        <w:tc>
          <w:tcPr>
            <w:tcW w:w="497" w:type="pct"/>
            <w:shd w:val="clear" w:color="auto" w:fill="auto"/>
            <w:noWrap/>
            <w:hideMark/>
          </w:tcPr>
          <w:p w14:paraId="0172BC15"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403</w:t>
            </w:r>
          </w:p>
        </w:tc>
        <w:tc>
          <w:tcPr>
            <w:tcW w:w="479" w:type="pct"/>
            <w:shd w:val="clear" w:color="auto" w:fill="auto"/>
            <w:noWrap/>
            <w:hideMark/>
          </w:tcPr>
          <w:p w14:paraId="29A62F99"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199</w:t>
            </w:r>
          </w:p>
        </w:tc>
      </w:tr>
      <w:tr w:rsidR="008215C0" w:rsidRPr="00FA093E" w14:paraId="2C250D5C" w14:textId="77777777" w:rsidTr="006024CF">
        <w:trPr>
          <w:trHeight w:val="278"/>
        </w:trPr>
        <w:tc>
          <w:tcPr>
            <w:tcW w:w="334" w:type="pct"/>
            <w:shd w:val="clear" w:color="auto" w:fill="auto"/>
            <w:noWrap/>
          </w:tcPr>
          <w:p w14:paraId="37539245"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2015</w:t>
            </w:r>
          </w:p>
        </w:tc>
        <w:tc>
          <w:tcPr>
            <w:tcW w:w="615" w:type="pct"/>
            <w:shd w:val="clear" w:color="auto" w:fill="auto"/>
            <w:noWrap/>
          </w:tcPr>
          <w:p w14:paraId="1C1F25B4"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241</w:t>
            </w:r>
          </w:p>
        </w:tc>
        <w:tc>
          <w:tcPr>
            <w:tcW w:w="516" w:type="pct"/>
            <w:shd w:val="clear" w:color="auto" w:fill="auto"/>
            <w:noWrap/>
          </w:tcPr>
          <w:p w14:paraId="71F62C8D"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207</w:t>
            </w:r>
          </w:p>
        </w:tc>
        <w:tc>
          <w:tcPr>
            <w:tcW w:w="378" w:type="pct"/>
            <w:shd w:val="clear" w:color="auto" w:fill="auto"/>
            <w:noWrap/>
          </w:tcPr>
          <w:p w14:paraId="0C1805FA"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1,805</w:t>
            </w:r>
          </w:p>
        </w:tc>
        <w:tc>
          <w:tcPr>
            <w:tcW w:w="575" w:type="pct"/>
            <w:shd w:val="clear" w:color="auto" w:fill="auto"/>
            <w:noWrap/>
          </w:tcPr>
          <w:p w14:paraId="10A9F8E7"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379</w:t>
            </w:r>
          </w:p>
        </w:tc>
        <w:tc>
          <w:tcPr>
            <w:tcW w:w="975" w:type="pct"/>
            <w:shd w:val="clear" w:color="auto" w:fill="auto"/>
            <w:noWrap/>
          </w:tcPr>
          <w:p w14:paraId="63BE686B"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901</w:t>
            </w:r>
          </w:p>
        </w:tc>
        <w:tc>
          <w:tcPr>
            <w:tcW w:w="631" w:type="pct"/>
            <w:shd w:val="clear" w:color="auto" w:fill="auto"/>
            <w:noWrap/>
          </w:tcPr>
          <w:p w14:paraId="1AB8BB0C"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18</w:t>
            </w:r>
          </w:p>
        </w:tc>
        <w:tc>
          <w:tcPr>
            <w:tcW w:w="497" w:type="pct"/>
            <w:shd w:val="clear" w:color="auto" w:fill="auto"/>
            <w:noWrap/>
          </w:tcPr>
          <w:p w14:paraId="3BEC7D99"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271</w:t>
            </w:r>
          </w:p>
        </w:tc>
        <w:tc>
          <w:tcPr>
            <w:tcW w:w="479" w:type="pct"/>
            <w:shd w:val="clear" w:color="auto" w:fill="auto"/>
            <w:noWrap/>
          </w:tcPr>
          <w:p w14:paraId="7A9B1FEF" w14:textId="77777777" w:rsidR="008215C0" w:rsidRPr="00FA093E" w:rsidRDefault="008215C0" w:rsidP="00FA093E">
            <w:pPr>
              <w:spacing w:after="0" w:line="240" w:lineRule="auto"/>
              <w:jc w:val="center"/>
              <w:rPr>
                <w:rFonts w:ascii="Times New Roman" w:hAnsi="Times New Roman"/>
                <w:b/>
                <w:bCs/>
              </w:rPr>
            </w:pPr>
            <w:r w:rsidRPr="00FA093E">
              <w:rPr>
                <w:rFonts w:ascii="Times New Roman" w:hAnsi="Times New Roman"/>
                <w:b/>
                <w:bCs/>
              </w:rPr>
              <w:t>253</w:t>
            </w:r>
          </w:p>
        </w:tc>
      </w:tr>
      <w:tr w:rsidR="008215C0" w:rsidRPr="00FA093E" w14:paraId="1C7E60D8" w14:textId="77777777" w:rsidTr="006024CF">
        <w:trPr>
          <w:trHeight w:val="278"/>
        </w:trPr>
        <w:tc>
          <w:tcPr>
            <w:tcW w:w="5000" w:type="pct"/>
            <w:gridSpan w:val="9"/>
            <w:shd w:val="clear" w:color="auto" w:fill="auto"/>
            <w:noWrap/>
          </w:tcPr>
          <w:p w14:paraId="247E4DE0" w14:textId="77777777" w:rsidR="008215C0" w:rsidRPr="00FA093E" w:rsidRDefault="008215C0" w:rsidP="00FA093E">
            <w:pPr>
              <w:spacing w:after="0" w:line="240" w:lineRule="auto"/>
              <w:rPr>
                <w:rFonts w:ascii="Times New Roman" w:hAnsi="Times New Roman"/>
                <w:b/>
                <w:bCs/>
                <w:i/>
              </w:rPr>
            </w:pPr>
            <w:r w:rsidRPr="00FA093E">
              <w:rPr>
                <w:rFonts w:ascii="Times New Roman" w:hAnsi="Times New Roman"/>
                <w:b/>
                <w:bCs/>
                <w:i/>
              </w:rPr>
              <w:t xml:space="preserve">*based on data reported in Evaluation Resource Centre </w:t>
            </w:r>
          </w:p>
        </w:tc>
      </w:tr>
    </w:tbl>
    <w:p w14:paraId="37560979" w14:textId="77777777" w:rsidR="008215C0" w:rsidRPr="00FA093E" w:rsidRDefault="008215C0" w:rsidP="00FA093E">
      <w:pPr>
        <w:tabs>
          <w:tab w:val="left" w:pos="360"/>
        </w:tabs>
        <w:spacing w:after="0" w:line="240" w:lineRule="auto"/>
        <w:contextualSpacing/>
        <w:jc w:val="both"/>
        <w:rPr>
          <w:rFonts w:ascii="Times New Roman" w:eastAsia="Batang" w:hAnsi="Times New Roman"/>
          <w:b/>
          <w:lang w:val="en-GB" w:eastAsia="ko-KR"/>
        </w:rPr>
      </w:pPr>
    </w:p>
    <w:p w14:paraId="7AB639F9" w14:textId="77777777" w:rsidR="008215C0" w:rsidRPr="00FA093E" w:rsidRDefault="008215C0"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UNDP reaffirms its commitment to address in a timely manner the findings and recommendations from the annual report on evaluation and to achieve full evaluation compliance across all units. UNDP management further commits to undertaking sustained efforts to tackle the implementation of management response key actions, in particular the overdue key management response actions. </w:t>
      </w:r>
    </w:p>
    <w:p w14:paraId="3BDB0F8D" w14:textId="77777777" w:rsidR="008215C0" w:rsidRPr="00FA093E" w:rsidRDefault="008215C0" w:rsidP="00FA093E">
      <w:pPr>
        <w:tabs>
          <w:tab w:val="left" w:pos="360"/>
        </w:tabs>
        <w:spacing w:after="0" w:line="240" w:lineRule="auto"/>
        <w:jc w:val="both"/>
        <w:rPr>
          <w:rFonts w:ascii="Times New Roman" w:eastAsia="Batang" w:hAnsi="Times New Roman"/>
          <w:i/>
          <w:lang w:eastAsia="ko-KR"/>
        </w:rPr>
      </w:pPr>
    </w:p>
    <w:p w14:paraId="5DF06512" w14:textId="77777777" w:rsidR="00B71791" w:rsidRPr="00FA093E" w:rsidRDefault="000920E4" w:rsidP="00FA093E">
      <w:pPr>
        <w:tabs>
          <w:tab w:val="left" w:pos="0"/>
        </w:tabs>
        <w:spacing w:line="240" w:lineRule="auto"/>
        <w:ind w:left="360"/>
        <w:contextualSpacing/>
        <w:rPr>
          <w:rFonts w:ascii="Times New Roman" w:eastAsia="Batang" w:hAnsi="Times New Roman"/>
          <w:b/>
          <w:bCs/>
          <w:lang w:eastAsia="ko-KR"/>
        </w:rPr>
      </w:pPr>
      <w:r w:rsidRPr="00FA093E">
        <w:rPr>
          <w:rFonts w:ascii="Times New Roman" w:eastAsia="Batang" w:hAnsi="Times New Roman"/>
          <w:b/>
          <w:bCs/>
          <w:lang w:eastAsia="ko-KR"/>
        </w:rPr>
        <w:t xml:space="preserve">B. </w:t>
      </w:r>
      <w:r w:rsidR="00B71791" w:rsidRPr="00FA093E">
        <w:rPr>
          <w:rFonts w:ascii="Times New Roman" w:eastAsia="Batang" w:hAnsi="Times New Roman"/>
          <w:b/>
          <w:bCs/>
          <w:lang w:eastAsia="ko-KR"/>
        </w:rPr>
        <w:t xml:space="preserve">Decentralized evaluation </w:t>
      </w:r>
    </w:p>
    <w:p w14:paraId="6A623D00" w14:textId="77777777" w:rsidR="00562FDC" w:rsidRPr="00FA093E" w:rsidRDefault="00562FDC" w:rsidP="00FA093E">
      <w:pPr>
        <w:tabs>
          <w:tab w:val="left" w:pos="360"/>
        </w:tabs>
        <w:spacing w:after="0" w:line="240" w:lineRule="auto"/>
        <w:contextualSpacing/>
        <w:jc w:val="both"/>
        <w:rPr>
          <w:rFonts w:ascii="Times New Roman" w:eastAsia="Batang" w:hAnsi="Times New Roman"/>
          <w:b/>
          <w:bCs/>
          <w:lang w:eastAsia="ko-KR"/>
        </w:rPr>
      </w:pPr>
    </w:p>
    <w:p w14:paraId="55CB248E" w14:textId="77777777" w:rsidR="00445160" w:rsidRPr="00FA093E" w:rsidRDefault="00445160" w:rsidP="00FA093E">
      <w:pPr>
        <w:tabs>
          <w:tab w:val="left" w:pos="360"/>
        </w:tabs>
        <w:spacing w:after="0" w:line="240" w:lineRule="auto"/>
        <w:contextualSpacing/>
        <w:jc w:val="both"/>
        <w:rPr>
          <w:rFonts w:ascii="Times New Roman" w:eastAsia="Batang" w:hAnsi="Times New Roman"/>
          <w:lang w:val="en-GB" w:eastAsia="ko-KR"/>
        </w:rPr>
      </w:pPr>
      <w:r w:rsidRPr="00FA093E">
        <w:rPr>
          <w:rFonts w:ascii="Times New Roman" w:eastAsia="Batang" w:hAnsi="Times New Roman"/>
          <w:b/>
          <w:bCs/>
          <w:lang w:eastAsia="ko-KR"/>
        </w:rPr>
        <w:t>Focus on the quality of decentralized evaluations</w:t>
      </w:r>
    </w:p>
    <w:p w14:paraId="6D464994" w14:textId="77777777" w:rsidR="00445160" w:rsidRPr="00FA093E" w:rsidRDefault="00445160" w:rsidP="00FA093E">
      <w:pPr>
        <w:tabs>
          <w:tab w:val="left" w:pos="360"/>
        </w:tabs>
        <w:spacing w:after="0" w:line="240" w:lineRule="auto"/>
        <w:contextualSpacing/>
        <w:jc w:val="both"/>
        <w:rPr>
          <w:rFonts w:ascii="Times New Roman" w:eastAsia="Batang" w:hAnsi="Times New Roman"/>
          <w:b/>
          <w:lang w:val="en-GB" w:eastAsia="ko-KR"/>
        </w:rPr>
      </w:pPr>
    </w:p>
    <w:p w14:paraId="3C81A57B" w14:textId="77777777" w:rsidR="00445160" w:rsidRPr="00FA093E" w:rsidRDefault="00445160" w:rsidP="00FA093E">
      <w:pPr>
        <w:tabs>
          <w:tab w:val="left" w:pos="360"/>
        </w:tabs>
        <w:spacing w:after="0" w:line="240" w:lineRule="auto"/>
        <w:contextualSpacing/>
        <w:jc w:val="both"/>
        <w:rPr>
          <w:rFonts w:ascii="Times New Roman" w:eastAsia="Batang" w:hAnsi="Times New Roman"/>
          <w:b/>
          <w:lang w:val="en-GB" w:eastAsia="ko-KR"/>
        </w:rPr>
      </w:pPr>
      <w:r w:rsidRPr="00FA093E">
        <w:rPr>
          <w:rFonts w:ascii="Times New Roman" w:eastAsia="Batang" w:hAnsi="Times New Roman"/>
          <w:b/>
          <w:i/>
          <w:lang w:val="en-GB" w:eastAsia="ko-KR"/>
        </w:rPr>
        <w:t>Evaluation capacities of Country offices and Headquarters Units</w:t>
      </w:r>
      <w:r w:rsidRPr="00FA093E">
        <w:rPr>
          <w:rFonts w:ascii="Times New Roman" w:eastAsia="Batang" w:hAnsi="Times New Roman"/>
          <w:b/>
          <w:lang w:val="en-GB" w:eastAsia="ko-KR"/>
        </w:rPr>
        <w:t xml:space="preserve"> </w:t>
      </w:r>
    </w:p>
    <w:p w14:paraId="54B63D1E" w14:textId="77777777" w:rsidR="00445160" w:rsidRPr="00FA093E" w:rsidRDefault="00445160" w:rsidP="00FA093E">
      <w:pPr>
        <w:tabs>
          <w:tab w:val="left" w:pos="360"/>
        </w:tabs>
        <w:spacing w:after="0" w:line="240" w:lineRule="auto"/>
        <w:ind w:left="540"/>
        <w:contextualSpacing/>
        <w:rPr>
          <w:rFonts w:ascii="Times New Roman" w:eastAsia="Batang" w:hAnsi="Times New Roman"/>
          <w:lang w:eastAsia="ko-KR"/>
        </w:rPr>
      </w:pPr>
    </w:p>
    <w:p w14:paraId="6E539524" w14:textId="4E99EDA4" w:rsidR="00445160" w:rsidRPr="00FA093E" w:rsidRDefault="00445160" w:rsidP="00FA093E">
      <w:pPr>
        <w:pStyle w:val="ListParagraph"/>
        <w:numPr>
          <w:ilvl w:val="0"/>
          <w:numId w:val="3"/>
        </w:numPr>
        <w:spacing w:after="160" w:line="240" w:lineRule="auto"/>
        <w:jc w:val="both"/>
        <w:rPr>
          <w:rFonts w:ascii="Times New Roman" w:eastAsia="Batang" w:hAnsi="Times New Roman"/>
          <w:lang w:eastAsia="ko-KR"/>
        </w:rPr>
      </w:pPr>
      <w:r w:rsidRPr="00FA093E">
        <w:rPr>
          <w:rFonts w:ascii="Times New Roman" w:eastAsia="Batang" w:hAnsi="Times New Roman"/>
          <w:lang w:eastAsia="ko-KR"/>
        </w:rPr>
        <w:t xml:space="preserve">In 2015, 56 per cent of country offices reported the presence of at least one M&amp;E specialist. Based on the data from the Results-Oriented Annual Report, 84% of country offices report measures to improve data collection and monitoring. 35% of country offices recruited short term external support to provide evaluation expertise, 26% of country offices strengthened role of evaluation staff for country office, and 27% of country offices established collaborations and/ or working modalities with international, national, sub- national evaluation associations and entities, to benefit from their capacities. </w:t>
      </w:r>
    </w:p>
    <w:p w14:paraId="4267CE10" w14:textId="77777777" w:rsidR="00495527" w:rsidRPr="00FA093E" w:rsidRDefault="00495527" w:rsidP="00FA093E">
      <w:pPr>
        <w:pStyle w:val="ListParagraph"/>
        <w:spacing w:after="160" w:line="240" w:lineRule="auto"/>
        <w:ind w:left="360"/>
        <w:jc w:val="both"/>
        <w:rPr>
          <w:rFonts w:ascii="Times New Roman" w:eastAsia="Batang" w:hAnsi="Times New Roman"/>
          <w:lang w:eastAsia="ko-KR"/>
        </w:rPr>
      </w:pPr>
    </w:p>
    <w:p w14:paraId="2A6E1507" w14:textId="77777777" w:rsidR="0023483B" w:rsidRPr="00FA093E" w:rsidRDefault="007657DA" w:rsidP="00FA093E">
      <w:pPr>
        <w:pStyle w:val="ListParagraph"/>
        <w:numPr>
          <w:ilvl w:val="0"/>
          <w:numId w:val="3"/>
        </w:numPr>
        <w:spacing w:after="160" w:line="240" w:lineRule="auto"/>
        <w:jc w:val="both"/>
        <w:rPr>
          <w:rFonts w:ascii="Times New Roman" w:eastAsia="Batang" w:hAnsi="Times New Roman"/>
          <w:lang w:eastAsia="ko-KR"/>
        </w:rPr>
      </w:pPr>
      <w:r w:rsidRPr="00FA093E">
        <w:rPr>
          <w:rFonts w:ascii="Times New Roman" w:eastAsia="Batang" w:hAnsi="Times New Roman"/>
          <w:lang w:eastAsia="ko-KR"/>
        </w:rPr>
        <w:t xml:space="preserve">The Joint Inspection Unit Review of the Evaluation Function in the UN system released in January 2015 </w:t>
      </w:r>
      <w:r w:rsidR="0023483B" w:rsidRPr="00FA093E">
        <w:rPr>
          <w:rFonts w:ascii="Times New Roman" w:eastAsia="Batang" w:hAnsi="Times New Roman"/>
          <w:lang w:eastAsia="ko-KR"/>
        </w:rPr>
        <w:t>rated</w:t>
      </w:r>
      <w:r w:rsidRPr="00FA093E">
        <w:rPr>
          <w:rFonts w:ascii="Times New Roman" w:eastAsia="Batang" w:hAnsi="Times New Roman"/>
          <w:lang w:eastAsia="ko-KR"/>
        </w:rPr>
        <w:t xml:space="preserve"> UNDP a</w:t>
      </w:r>
      <w:r w:rsidR="0023483B" w:rsidRPr="00FA093E">
        <w:rPr>
          <w:rFonts w:ascii="Times New Roman" w:eastAsia="Batang" w:hAnsi="Times New Roman"/>
          <w:lang w:eastAsia="ko-KR"/>
        </w:rPr>
        <w:t>s</w:t>
      </w:r>
      <w:r w:rsidRPr="00FA093E">
        <w:rPr>
          <w:rFonts w:ascii="Times New Roman" w:eastAsia="Batang" w:hAnsi="Times New Roman"/>
          <w:lang w:eastAsia="ko-KR"/>
        </w:rPr>
        <w:t xml:space="preserve"> top performer on all five parameters including independence, reliability, relevance, enabling environment and utility of evaluations, with the latter scoring slightly lower than the other four. To improve utility of decentralized evaluations, the ROAR added in 2015 a dedicated </w:t>
      </w:r>
      <w:r w:rsidRPr="00FA093E">
        <w:rPr>
          <w:rFonts w:ascii="Times New Roman" w:eastAsia="Batang" w:hAnsi="Times New Roman"/>
          <w:lang w:eastAsia="ko-KR"/>
        </w:rPr>
        <w:lastRenderedPageBreak/>
        <w:t xml:space="preserve">section to this purpose, giving COs the possibility to </w:t>
      </w:r>
      <w:r w:rsidR="00C20B4E" w:rsidRPr="00FA093E">
        <w:rPr>
          <w:rFonts w:ascii="Times New Roman" w:eastAsia="Batang" w:hAnsi="Times New Roman"/>
          <w:lang w:eastAsia="ko-KR"/>
        </w:rPr>
        <w:t xml:space="preserve">reflect on the evaluation recommendations and their relevance to future programming. </w:t>
      </w:r>
      <w:r w:rsidR="0023483B" w:rsidRPr="00FA093E">
        <w:rPr>
          <w:rFonts w:ascii="Times New Roman" w:eastAsia="Batang" w:hAnsi="Times New Roman"/>
          <w:lang w:eastAsia="ko-KR"/>
        </w:rPr>
        <w:t xml:space="preserve">According to the data reported, out of the </w:t>
      </w:r>
      <w:r w:rsidR="0023483B" w:rsidRPr="00FA093E">
        <w:rPr>
          <w:rFonts w:ascii="Times New Roman" w:eastAsia="Batang" w:hAnsi="Times New Roman"/>
          <w:b/>
          <w:lang w:eastAsia="ko-KR"/>
        </w:rPr>
        <w:t>3,762</w:t>
      </w:r>
      <w:r w:rsidR="0023483B" w:rsidRPr="00FA093E">
        <w:rPr>
          <w:rFonts w:ascii="Times New Roman" w:eastAsia="Batang" w:hAnsi="Times New Roman"/>
          <w:lang w:eastAsia="ko-KR"/>
        </w:rPr>
        <w:t xml:space="preserve"> recommendations given by independent evaluators to project and outcome evaluation</w:t>
      </w:r>
      <w:r w:rsidR="001A041A" w:rsidRPr="00FA093E">
        <w:rPr>
          <w:rFonts w:ascii="Times New Roman" w:eastAsia="Batang" w:hAnsi="Times New Roman"/>
          <w:lang w:eastAsia="ko-KR"/>
        </w:rPr>
        <w:t>s</w:t>
      </w:r>
      <w:r w:rsidR="0023483B" w:rsidRPr="00FA093E">
        <w:rPr>
          <w:rFonts w:ascii="Times New Roman" w:eastAsia="Batang" w:hAnsi="Times New Roman"/>
          <w:lang w:eastAsia="ko-KR"/>
        </w:rPr>
        <w:t xml:space="preserve"> in 2014 and 2015, </w:t>
      </w:r>
      <w:r w:rsidR="0023483B" w:rsidRPr="00FA093E">
        <w:rPr>
          <w:rFonts w:ascii="Times New Roman" w:eastAsia="Batang" w:hAnsi="Times New Roman"/>
          <w:b/>
          <w:lang w:eastAsia="ko-KR"/>
        </w:rPr>
        <w:t>68 % (2,564)</w:t>
      </w:r>
      <w:r w:rsidR="0023483B" w:rsidRPr="00FA093E">
        <w:rPr>
          <w:rFonts w:ascii="Times New Roman" w:eastAsia="Batang" w:hAnsi="Times New Roman"/>
          <w:lang w:eastAsia="ko-KR"/>
        </w:rPr>
        <w:t xml:space="preserve"> were viewed as supported by an evidential basis, credible and practical, only half of them being action-oriented, and with potential to be used in decision making. The remaining </w:t>
      </w:r>
      <w:r w:rsidR="0023483B" w:rsidRPr="00FA093E">
        <w:rPr>
          <w:rFonts w:ascii="Times New Roman" w:eastAsia="Batang" w:hAnsi="Times New Roman"/>
          <w:b/>
          <w:bCs/>
          <w:lang w:eastAsia="ko-KR"/>
        </w:rPr>
        <w:t xml:space="preserve">32% (1,198) </w:t>
      </w:r>
      <w:r w:rsidR="0023483B" w:rsidRPr="00FA093E">
        <w:rPr>
          <w:rFonts w:ascii="Times New Roman" w:eastAsia="Batang" w:hAnsi="Times New Roman"/>
          <w:lang w:eastAsia="ko-KR"/>
        </w:rPr>
        <w:t xml:space="preserve">of recommendations were </w:t>
      </w:r>
      <w:r w:rsidR="006A09AC" w:rsidRPr="00FA093E">
        <w:rPr>
          <w:rFonts w:ascii="Times New Roman" w:eastAsia="Batang" w:hAnsi="Times New Roman"/>
          <w:lang w:eastAsia="ko-KR"/>
        </w:rPr>
        <w:t xml:space="preserve">assessed as </w:t>
      </w:r>
      <w:r w:rsidR="0023483B" w:rsidRPr="00FA093E">
        <w:rPr>
          <w:rFonts w:ascii="Times New Roman" w:eastAsia="Batang" w:hAnsi="Times New Roman"/>
          <w:lang w:eastAsia="ko-KR"/>
        </w:rPr>
        <w:t xml:space="preserve">not </w:t>
      </w:r>
      <w:r w:rsidR="006A09AC" w:rsidRPr="00FA093E">
        <w:rPr>
          <w:rFonts w:ascii="Times New Roman" w:eastAsia="Batang" w:hAnsi="Times New Roman"/>
          <w:lang w:eastAsia="ko-KR"/>
        </w:rPr>
        <w:t>b</w:t>
      </w:r>
      <w:r w:rsidR="0023483B" w:rsidRPr="00FA093E">
        <w:rPr>
          <w:rFonts w:ascii="Times New Roman" w:eastAsia="Batang" w:hAnsi="Times New Roman"/>
          <w:lang w:eastAsia="ko-KR"/>
        </w:rPr>
        <w:t xml:space="preserve">eing supported by an evidential basis, and not being credible enough to be used in decision making, </w:t>
      </w:r>
      <w:r w:rsidR="003A6DC0" w:rsidRPr="00FA093E">
        <w:rPr>
          <w:rFonts w:ascii="Times New Roman" w:eastAsia="Batang" w:hAnsi="Times New Roman"/>
          <w:lang w:eastAsia="ko-KR"/>
        </w:rPr>
        <w:t>which points to the importance of continuing efforts to strengthen the quality of decentralized evaluations.</w:t>
      </w:r>
      <w:r w:rsidR="0023483B" w:rsidRPr="00FA093E">
        <w:rPr>
          <w:rFonts w:ascii="Times New Roman" w:eastAsia="Batang" w:hAnsi="Times New Roman"/>
          <w:lang w:eastAsia="ko-KR"/>
        </w:rPr>
        <w:t xml:space="preserve">. </w:t>
      </w:r>
    </w:p>
    <w:p w14:paraId="5C2970AD" w14:textId="77777777" w:rsidR="00562FDC" w:rsidRPr="00FA093E" w:rsidRDefault="00562FDC" w:rsidP="00FA093E">
      <w:pPr>
        <w:pStyle w:val="ListParagraph"/>
        <w:tabs>
          <w:tab w:val="left" w:pos="360"/>
        </w:tabs>
        <w:spacing w:after="0" w:line="240" w:lineRule="auto"/>
        <w:ind w:left="360"/>
        <w:jc w:val="both"/>
        <w:rPr>
          <w:rFonts w:ascii="Times New Roman" w:eastAsia="Batang" w:hAnsi="Times New Roman"/>
          <w:lang w:eastAsia="ko-KR"/>
        </w:rPr>
      </w:pPr>
    </w:p>
    <w:p w14:paraId="3CD49376"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Starting from 2014, decentralized evaluation capacities at country level are being further enhanced by dedicated results-based management advisors placed in UNDP regional service centers. UNDP reaffirms its commitment to further strengthen the country office and Headquarters Bureau evaluation capacities through training, certification and development of quality assurance and support systems for decentralized evaluation.</w:t>
      </w:r>
    </w:p>
    <w:p w14:paraId="4229DDF3"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p>
    <w:p w14:paraId="5B348313" w14:textId="77777777" w:rsidR="00B71791" w:rsidRPr="00FA093E" w:rsidRDefault="009B039A"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UNDP management welcomes the IEO commitment to resume the quality assessment system in 2016 </w:t>
      </w:r>
      <w:r w:rsidR="008268D3" w:rsidRPr="00FA093E">
        <w:rPr>
          <w:rFonts w:ascii="Times New Roman" w:eastAsia="Batang" w:hAnsi="Times New Roman"/>
          <w:lang w:eastAsia="ko-KR"/>
        </w:rPr>
        <w:t xml:space="preserve">(currently suspended) </w:t>
      </w:r>
      <w:r w:rsidRPr="00FA093E">
        <w:rPr>
          <w:rFonts w:ascii="Times New Roman" w:eastAsia="Batang" w:hAnsi="Times New Roman"/>
          <w:lang w:eastAsia="ko-KR"/>
        </w:rPr>
        <w:t>in order to strengthen the monitoring of UNDP’s efforts</w:t>
      </w:r>
      <w:r w:rsidR="008268D3" w:rsidRPr="00FA093E">
        <w:rPr>
          <w:rFonts w:ascii="Times New Roman" w:eastAsia="Batang" w:hAnsi="Times New Roman"/>
          <w:lang w:eastAsia="ko-KR"/>
        </w:rPr>
        <w:t xml:space="preserve">.  </w:t>
      </w:r>
      <w:r w:rsidR="00B71791" w:rsidRPr="00FA093E">
        <w:rPr>
          <w:rFonts w:ascii="Times New Roman" w:eastAsia="Batang" w:hAnsi="Times New Roman"/>
          <w:lang w:eastAsia="ko-KR"/>
        </w:rPr>
        <w:t xml:space="preserve">Information from previous years showed a steady increase in the quality of decentralized evaluations since the quality ratings were first introduced in 2011. The number of reports rated as moderately unsatisfactory has been cut in half since 2011, and the number of evaluations judged to be satisfactory has increased every year. </w:t>
      </w:r>
      <w:r w:rsidR="008268D3" w:rsidRPr="00FA093E">
        <w:rPr>
          <w:rFonts w:ascii="Times New Roman" w:eastAsia="Batang" w:hAnsi="Times New Roman"/>
          <w:lang w:eastAsia="ko-KR"/>
        </w:rPr>
        <w:t xml:space="preserve">Resumption of the quality assessment will help </w:t>
      </w:r>
      <w:r w:rsidR="002A11A3" w:rsidRPr="00FA093E">
        <w:rPr>
          <w:rFonts w:ascii="Times New Roman" w:eastAsia="Batang" w:hAnsi="Times New Roman"/>
          <w:lang w:eastAsia="ko-KR"/>
        </w:rPr>
        <w:t xml:space="preserve">support the </w:t>
      </w:r>
      <w:r w:rsidR="008268D3" w:rsidRPr="00FA093E">
        <w:rPr>
          <w:rFonts w:ascii="Times New Roman" w:eastAsia="Batang" w:hAnsi="Times New Roman"/>
          <w:lang w:eastAsia="ko-KR"/>
        </w:rPr>
        <w:t>continu</w:t>
      </w:r>
      <w:r w:rsidR="002A11A3" w:rsidRPr="00FA093E">
        <w:rPr>
          <w:rFonts w:ascii="Times New Roman" w:eastAsia="Batang" w:hAnsi="Times New Roman"/>
          <w:lang w:eastAsia="ko-KR"/>
        </w:rPr>
        <w:t xml:space="preserve">ation of this </w:t>
      </w:r>
      <w:r w:rsidR="008268D3" w:rsidRPr="00FA093E">
        <w:rPr>
          <w:rFonts w:ascii="Times New Roman" w:eastAsia="Batang" w:hAnsi="Times New Roman"/>
          <w:lang w:eastAsia="ko-KR"/>
        </w:rPr>
        <w:t>positive trend in the steady improvement of decentralized evaluations.</w:t>
      </w:r>
    </w:p>
    <w:p w14:paraId="08955AE7" w14:textId="77777777" w:rsidR="008F36EE" w:rsidRPr="00FA093E" w:rsidRDefault="008F36EE" w:rsidP="00FA093E">
      <w:pPr>
        <w:pStyle w:val="ListParagraph"/>
        <w:tabs>
          <w:tab w:val="left" w:pos="360"/>
        </w:tabs>
        <w:spacing w:after="0" w:line="240" w:lineRule="auto"/>
        <w:ind w:left="360"/>
        <w:jc w:val="both"/>
        <w:rPr>
          <w:rFonts w:ascii="Times New Roman" w:eastAsia="Batang" w:hAnsi="Times New Roman"/>
          <w:lang w:eastAsia="ko-KR"/>
        </w:rPr>
      </w:pPr>
    </w:p>
    <w:p w14:paraId="64CD1214" w14:textId="77777777" w:rsidR="00B71791" w:rsidRPr="00FA093E" w:rsidRDefault="00B71791" w:rsidP="00FA093E">
      <w:pPr>
        <w:tabs>
          <w:tab w:val="left" w:pos="360"/>
        </w:tabs>
        <w:spacing w:line="240" w:lineRule="auto"/>
        <w:ind w:left="720" w:hanging="360"/>
        <w:contextualSpacing/>
        <w:jc w:val="both"/>
        <w:rPr>
          <w:rFonts w:ascii="Times New Roman" w:eastAsia="Batang" w:hAnsi="Times New Roman"/>
          <w:b/>
          <w:lang w:eastAsia="ko-KR"/>
        </w:rPr>
      </w:pPr>
      <w:r w:rsidRPr="00FA093E">
        <w:rPr>
          <w:rFonts w:ascii="Times New Roman" w:eastAsia="Batang" w:hAnsi="Times New Roman"/>
          <w:b/>
          <w:lang w:eastAsia="ko-KR"/>
        </w:rPr>
        <w:t>Quality of decentralized evaluations vs. total number of decentralized evaluations</w:t>
      </w:r>
      <w:r w:rsidRPr="00FA093E">
        <w:rPr>
          <w:rFonts w:ascii="Times New Roman" w:eastAsia="Batang" w:hAnsi="Times New Roman"/>
          <w:b/>
          <w:vertAlign w:val="superscript"/>
          <w:lang w:eastAsia="ko-KR"/>
        </w:rPr>
        <w:footnoteReference w:id="2"/>
      </w:r>
    </w:p>
    <w:p w14:paraId="2A3B7204" w14:textId="77777777" w:rsidR="00B71791" w:rsidRPr="00FA093E" w:rsidRDefault="00B71791" w:rsidP="00FA093E">
      <w:pPr>
        <w:tabs>
          <w:tab w:val="left" w:pos="360"/>
        </w:tabs>
        <w:spacing w:after="0" w:line="240" w:lineRule="auto"/>
        <w:ind w:left="720"/>
        <w:contextualSpacing/>
        <w:jc w:val="both"/>
        <w:rPr>
          <w:rFonts w:ascii="Times New Roman" w:eastAsia="Batang" w:hAnsi="Times New Roman"/>
          <w:lang w:eastAsia="ko-KR"/>
        </w:rPr>
      </w:pPr>
    </w:p>
    <w:p w14:paraId="4591DABF" w14:textId="77777777" w:rsidR="00B71791" w:rsidRPr="00FA093E" w:rsidRDefault="00B71791" w:rsidP="00FA093E">
      <w:pPr>
        <w:tabs>
          <w:tab w:val="left" w:pos="360"/>
        </w:tabs>
        <w:spacing w:after="0" w:line="240" w:lineRule="auto"/>
        <w:ind w:left="720"/>
        <w:contextualSpacing/>
        <w:jc w:val="both"/>
        <w:rPr>
          <w:rFonts w:ascii="Times New Roman" w:eastAsia="Batang" w:hAnsi="Times New Roman"/>
          <w:lang w:eastAsia="ko-KR"/>
        </w:rPr>
      </w:pPr>
      <w:r w:rsidRPr="00FA093E">
        <w:rPr>
          <w:rFonts w:ascii="Times New Roman" w:eastAsia="Batang" w:hAnsi="Times New Roman"/>
          <w:noProof/>
        </w:rPr>
        <w:drawing>
          <wp:inline distT="0" distB="0" distL="0" distR="0" wp14:anchorId="2349D55C" wp14:editId="628AEB62">
            <wp:extent cx="4338320" cy="1846580"/>
            <wp:effectExtent l="0" t="0" r="30480" b="3302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819C52" w14:textId="77777777" w:rsidR="00B71791" w:rsidRPr="00FA093E" w:rsidRDefault="00B71791" w:rsidP="00FA093E">
      <w:pPr>
        <w:tabs>
          <w:tab w:val="left" w:pos="360"/>
        </w:tabs>
        <w:spacing w:after="0" w:line="240" w:lineRule="auto"/>
        <w:contextualSpacing/>
        <w:jc w:val="both"/>
        <w:rPr>
          <w:rFonts w:ascii="Times New Roman" w:eastAsia="Batang" w:hAnsi="Times New Roman"/>
          <w:b/>
          <w:bCs/>
          <w:lang w:eastAsia="ko-KR"/>
        </w:rPr>
      </w:pPr>
    </w:p>
    <w:p w14:paraId="12569B7B" w14:textId="77777777" w:rsidR="000F14DE" w:rsidRPr="00FA093E" w:rsidRDefault="000F14DE"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The measures that UNDP has identified as critical for improving the quality of evaluations include the following: (a) a consistent management demand for and better use of evaluations; (b) better oversight and support by regional bureaus, resulting in improved adherence by country offices to evaluation plans, and improved evaluation management; and (c) leveraging accumulated experience in conducting evaluations.   Through these steps, UNDP will continue to demonstrate its firm commitment to improve the quality of decentralized evaluations, as well as to strengthen their utility for organizational performance and the relevance of UNDP support. </w:t>
      </w:r>
    </w:p>
    <w:p w14:paraId="18028093" w14:textId="2458E4E1" w:rsidR="00C810D2" w:rsidRPr="00FA093E" w:rsidRDefault="00D34C75" w:rsidP="00FA093E">
      <w:pPr>
        <w:pStyle w:val="ListParagraph"/>
        <w:numPr>
          <w:ilvl w:val="0"/>
          <w:numId w:val="3"/>
        </w:numPr>
        <w:tabs>
          <w:tab w:val="decimal" w:pos="450"/>
        </w:tabs>
        <w:spacing w:before="120" w:after="120" w:line="240" w:lineRule="auto"/>
        <w:contextualSpacing w:val="0"/>
        <w:jc w:val="both"/>
        <w:rPr>
          <w:rFonts w:ascii="Times New Roman" w:hAnsi="Times New Roman"/>
          <w:bCs/>
          <w:lang w:val="en-GB"/>
        </w:rPr>
      </w:pPr>
      <w:r w:rsidRPr="00FA093E">
        <w:rPr>
          <w:rFonts w:ascii="Times New Roman" w:eastAsia="Batang" w:hAnsi="Times New Roman"/>
          <w:lang w:eastAsia="ko-KR"/>
        </w:rPr>
        <w:lastRenderedPageBreak/>
        <w:t>UNDP notes the IEO statement that UNDP should reach a 1 per cent threshold for total evaluation expenditures</w:t>
      </w:r>
      <w:r w:rsidR="0030725A" w:rsidRPr="00FA093E">
        <w:rPr>
          <w:rFonts w:ascii="Times New Roman" w:eastAsia="Batang" w:hAnsi="Times New Roman"/>
          <w:lang w:eastAsia="ko-KR"/>
        </w:rPr>
        <w:t>, in line with the commitments being set by other United Nations organisations</w:t>
      </w:r>
      <w:r w:rsidR="00107CA5" w:rsidRPr="00FA093E">
        <w:rPr>
          <w:rFonts w:ascii="Times New Roman" w:eastAsia="Batang" w:hAnsi="Times New Roman"/>
          <w:lang w:eastAsia="ko-KR"/>
        </w:rPr>
        <w:t>, and advise</w:t>
      </w:r>
      <w:r w:rsidR="002D1769" w:rsidRPr="00FA093E">
        <w:rPr>
          <w:rFonts w:ascii="Times New Roman" w:eastAsia="Batang" w:hAnsi="Times New Roman"/>
          <w:lang w:eastAsia="ko-KR"/>
        </w:rPr>
        <w:t>s</w:t>
      </w:r>
      <w:r w:rsidR="00107CA5" w:rsidRPr="00FA093E">
        <w:rPr>
          <w:rFonts w:ascii="Times New Roman" w:eastAsia="Batang" w:hAnsi="Times New Roman"/>
          <w:lang w:eastAsia="ko-KR"/>
        </w:rPr>
        <w:t xml:space="preserve"> that </w:t>
      </w:r>
      <w:r w:rsidR="00C810D2" w:rsidRPr="00FA093E">
        <w:rPr>
          <w:rFonts w:ascii="Times New Roman" w:eastAsia="Batang" w:hAnsi="Times New Roman"/>
          <w:lang w:eastAsia="ko-KR"/>
        </w:rPr>
        <w:t xml:space="preserve">UNDP’s </w:t>
      </w:r>
      <w:r w:rsidR="002E046B" w:rsidRPr="00FA093E">
        <w:rPr>
          <w:rFonts w:ascii="Times New Roman" w:eastAsia="Batang" w:hAnsi="Times New Roman"/>
          <w:lang w:eastAsia="ko-KR"/>
        </w:rPr>
        <w:t>revised programme and project m</w:t>
      </w:r>
      <w:r w:rsidR="00695878" w:rsidRPr="00FA093E">
        <w:rPr>
          <w:rFonts w:ascii="Times New Roman" w:eastAsia="Batang" w:hAnsi="Times New Roman"/>
          <w:lang w:eastAsia="ko-KR"/>
        </w:rPr>
        <w:t xml:space="preserve">onitoring </w:t>
      </w:r>
      <w:r w:rsidR="00C810D2" w:rsidRPr="00FA093E">
        <w:rPr>
          <w:rFonts w:ascii="Times New Roman" w:eastAsia="Batang" w:hAnsi="Times New Roman"/>
          <w:lang w:eastAsia="ko-KR"/>
        </w:rPr>
        <w:t>policy, approved in February 201</w:t>
      </w:r>
      <w:r w:rsidR="00852F9D" w:rsidRPr="00FA093E">
        <w:rPr>
          <w:rFonts w:ascii="Times New Roman" w:eastAsia="Batang" w:hAnsi="Times New Roman"/>
          <w:lang w:eastAsia="ko-KR"/>
        </w:rPr>
        <w:t>6</w:t>
      </w:r>
      <w:r w:rsidR="00C810D2" w:rsidRPr="00FA093E">
        <w:rPr>
          <w:rFonts w:ascii="Times New Roman" w:eastAsia="Batang" w:hAnsi="Times New Roman"/>
          <w:lang w:eastAsia="ko-KR"/>
        </w:rPr>
        <w:t xml:space="preserve">, specifies that a </w:t>
      </w:r>
      <w:r w:rsidR="00C810D2" w:rsidRPr="00FA093E">
        <w:rPr>
          <w:rFonts w:ascii="Times New Roman" w:hAnsi="Times New Roman"/>
          <w:bCs/>
        </w:rPr>
        <w:t>minimum of 1% of annual programme expenditures must be spent on monitoring and evaluation.</w:t>
      </w:r>
      <w:r w:rsidR="000012B8" w:rsidRPr="00FA093E">
        <w:rPr>
          <w:rFonts w:ascii="Times New Roman" w:hAnsi="Times New Roman"/>
          <w:bCs/>
        </w:rPr>
        <w:t xml:space="preserve">  </w:t>
      </w:r>
      <w:r w:rsidR="000012B8" w:rsidRPr="00FA093E">
        <w:rPr>
          <w:rFonts w:ascii="Times New Roman" w:eastAsia="Batang" w:hAnsi="Times New Roman"/>
          <w:lang w:eastAsia="ko-KR"/>
        </w:rPr>
        <w:t>Based on data from the Results-Oriented Annual Report,</w:t>
      </w:r>
      <w:r w:rsidR="00230BB6" w:rsidRPr="00FA093E">
        <w:rPr>
          <w:rFonts w:ascii="Times New Roman" w:eastAsia="Batang" w:hAnsi="Times New Roman"/>
          <w:lang w:eastAsia="ko-KR"/>
        </w:rPr>
        <w:t xml:space="preserve"> preceding the new policy, </w:t>
      </w:r>
      <w:r w:rsidR="000012B8" w:rsidRPr="00FA093E">
        <w:rPr>
          <w:rFonts w:ascii="Times New Roman" w:eastAsia="Batang" w:hAnsi="Times New Roman"/>
          <w:lang w:eastAsia="ko-KR"/>
        </w:rPr>
        <w:t>64% of country offices spent from 1 to 3% of their 2015 budget on activities related to monitoring and evaluation</w:t>
      </w:r>
    </w:p>
    <w:p w14:paraId="1F977F2C" w14:textId="77777777" w:rsidR="000F14DE" w:rsidRPr="00FA093E" w:rsidRDefault="000F14DE" w:rsidP="00FA093E">
      <w:pPr>
        <w:pStyle w:val="ListParagraph"/>
        <w:tabs>
          <w:tab w:val="left" w:pos="0"/>
        </w:tabs>
        <w:spacing w:line="240" w:lineRule="auto"/>
        <w:ind w:left="1080"/>
        <w:rPr>
          <w:rFonts w:ascii="Times New Roman" w:eastAsia="Batang" w:hAnsi="Times New Roman"/>
          <w:b/>
          <w:lang w:eastAsia="ko-KR"/>
        </w:rPr>
      </w:pPr>
    </w:p>
    <w:p w14:paraId="11F68B63" w14:textId="77777777" w:rsidR="00F86758" w:rsidRPr="00FA093E" w:rsidRDefault="00D53F9A" w:rsidP="00FA093E">
      <w:pPr>
        <w:pStyle w:val="ListParagraph"/>
        <w:numPr>
          <w:ilvl w:val="0"/>
          <w:numId w:val="48"/>
        </w:numPr>
        <w:tabs>
          <w:tab w:val="left" w:pos="0"/>
        </w:tabs>
        <w:spacing w:line="240" w:lineRule="auto"/>
        <w:rPr>
          <w:rFonts w:ascii="Times New Roman" w:eastAsia="Batang" w:hAnsi="Times New Roman"/>
          <w:b/>
          <w:lang w:eastAsia="ko-KR"/>
        </w:rPr>
      </w:pPr>
      <w:r w:rsidRPr="00FA093E">
        <w:rPr>
          <w:rFonts w:ascii="Times New Roman" w:eastAsia="Batang" w:hAnsi="Times New Roman"/>
          <w:b/>
          <w:lang w:eastAsia="ko-KR"/>
        </w:rPr>
        <w:t xml:space="preserve">Other </w:t>
      </w:r>
      <w:r w:rsidR="00F86758" w:rsidRPr="00FA093E">
        <w:rPr>
          <w:rFonts w:ascii="Times New Roman" w:eastAsia="Batang" w:hAnsi="Times New Roman"/>
          <w:b/>
          <w:lang w:eastAsia="ko-KR"/>
        </w:rPr>
        <w:t xml:space="preserve">Evaluation Activities </w:t>
      </w:r>
    </w:p>
    <w:p w14:paraId="3A4E049F" w14:textId="77777777" w:rsidR="00F86758" w:rsidRPr="00FA093E" w:rsidRDefault="00F86758" w:rsidP="00FA093E">
      <w:pPr>
        <w:spacing w:line="240" w:lineRule="auto"/>
        <w:contextualSpacing/>
        <w:rPr>
          <w:rFonts w:ascii="Times New Roman" w:eastAsia="Batang" w:hAnsi="Times New Roman"/>
          <w:i/>
          <w:lang w:eastAsia="ko-KR"/>
        </w:rPr>
      </w:pPr>
      <w:r w:rsidRPr="00FA093E">
        <w:rPr>
          <w:rFonts w:ascii="Times New Roman" w:eastAsia="Batang" w:hAnsi="Times New Roman"/>
          <w:i/>
          <w:lang w:eastAsia="ko-KR"/>
        </w:rPr>
        <w:t>ADRs</w:t>
      </w:r>
    </w:p>
    <w:p w14:paraId="5E140F51" w14:textId="77777777" w:rsidR="00F86758" w:rsidRPr="00FA093E" w:rsidRDefault="00F86758" w:rsidP="00FA093E">
      <w:pPr>
        <w:tabs>
          <w:tab w:val="left" w:pos="360"/>
        </w:tabs>
        <w:spacing w:after="0" w:line="240" w:lineRule="auto"/>
        <w:contextualSpacing/>
        <w:jc w:val="both"/>
        <w:rPr>
          <w:rFonts w:ascii="Times New Roman" w:eastAsia="Batang" w:hAnsi="Times New Roman"/>
          <w:lang w:eastAsia="ko-KR"/>
        </w:rPr>
      </w:pPr>
    </w:p>
    <w:p w14:paraId="429C822C" w14:textId="4C16A920" w:rsidR="00F86758" w:rsidRPr="00FA093E" w:rsidRDefault="00F86758" w:rsidP="00FA093E">
      <w:pPr>
        <w:pStyle w:val="ListParagraph"/>
        <w:numPr>
          <w:ilvl w:val="0"/>
          <w:numId w:val="3"/>
        </w:numPr>
        <w:spacing w:line="240" w:lineRule="auto"/>
        <w:rPr>
          <w:rFonts w:ascii="Times New Roman" w:eastAsia="Batang" w:hAnsi="Times New Roman"/>
          <w:lang w:eastAsia="ko-KR"/>
        </w:rPr>
      </w:pPr>
      <w:r w:rsidRPr="00FA093E">
        <w:rPr>
          <w:rFonts w:ascii="Times New Roman" w:eastAsia="Batang" w:hAnsi="Times New Roman"/>
          <w:lang w:eastAsia="ko-KR"/>
        </w:rPr>
        <w:t>UNDP places high importance o</w:t>
      </w:r>
      <w:r w:rsidR="00654CF1" w:rsidRPr="00FA093E">
        <w:rPr>
          <w:rFonts w:ascii="Times New Roman" w:eastAsia="Batang" w:hAnsi="Times New Roman"/>
          <w:lang w:eastAsia="ko-KR"/>
        </w:rPr>
        <w:t>n</w:t>
      </w:r>
      <w:r w:rsidRPr="00FA093E">
        <w:rPr>
          <w:rFonts w:ascii="Times New Roman" w:eastAsia="Batang" w:hAnsi="Times New Roman"/>
          <w:lang w:eastAsia="ko-KR"/>
        </w:rPr>
        <w:t xml:space="preserve"> the Assessment of Development Results (ADRs) which provide a comprehensive assessment of UNDP’s work at the country level and inform the preparation of subsequent country programmes.  UNDP welcomes the finding that overall the assessments undertaken in 2015 confirmed that UNDP interventions were relevant and aligned with national development priorities.  </w:t>
      </w:r>
      <w:r w:rsidR="00103C43" w:rsidRPr="00FA093E">
        <w:rPr>
          <w:rFonts w:ascii="Times New Roman" w:eastAsia="Batang" w:hAnsi="Times New Roman"/>
          <w:lang w:eastAsia="ko-KR"/>
        </w:rPr>
        <w:t xml:space="preserve">UNDP notes, however, that </w:t>
      </w:r>
      <w:r w:rsidR="00103C43" w:rsidRPr="00FA093E">
        <w:rPr>
          <w:rFonts w:ascii="Times New Roman" w:hAnsi="Times New Roman"/>
        </w:rPr>
        <w:t xml:space="preserve">only </w:t>
      </w:r>
      <w:r w:rsidR="00D61E41" w:rsidRPr="00FA093E">
        <w:rPr>
          <w:rFonts w:ascii="Times New Roman" w:hAnsi="Times New Roman"/>
        </w:rPr>
        <w:t>two</w:t>
      </w:r>
      <w:r w:rsidR="00103C43" w:rsidRPr="00FA093E">
        <w:rPr>
          <w:rFonts w:ascii="Times New Roman" w:hAnsi="Times New Roman"/>
        </w:rPr>
        <w:t xml:space="preserve"> of the ADR processes for 2015 have resulted in the full completion of the ADR reports.  </w:t>
      </w:r>
      <w:r w:rsidRPr="00FA093E">
        <w:rPr>
          <w:rFonts w:ascii="Times New Roman" w:eastAsia="Batang" w:hAnsi="Times New Roman"/>
          <w:lang w:eastAsia="ko-KR"/>
        </w:rPr>
        <w:t>In order to strengthen future Assessments for Development Results, UNDP looks forward to the further development of the methodology for efficiency analysis, noting that the methodology should be consistent with UNDP’s Quality Standards for Programming</w:t>
      </w:r>
      <w:r w:rsidR="00407C33" w:rsidRPr="00FA093E">
        <w:rPr>
          <w:rFonts w:ascii="Times New Roman" w:eastAsia="Batang" w:hAnsi="Times New Roman"/>
          <w:lang w:eastAsia="ko-KR"/>
        </w:rPr>
        <w:t xml:space="preserve"> and follow Decision 2015/8 requesting the IEO to “develop a practical strategy for improved evaluation coverage of country programmes at their conclusion to inform the preparation of subsequent country programmes, to be included in the annual costed programme of work for the consideration of the members of the Executive Board;”</w:t>
      </w:r>
      <w:r w:rsidRPr="00FA093E">
        <w:rPr>
          <w:rFonts w:ascii="Times New Roman" w:eastAsia="Batang" w:hAnsi="Times New Roman"/>
          <w:lang w:eastAsia="ko-KR"/>
        </w:rPr>
        <w:t>.</w:t>
      </w:r>
      <w:r w:rsidR="00407C33" w:rsidRPr="00FA093E">
        <w:rPr>
          <w:rFonts w:ascii="Times New Roman" w:eastAsia="Batang" w:hAnsi="Times New Roman"/>
          <w:lang w:eastAsia="ko-KR"/>
        </w:rPr>
        <w:t xml:space="preserve"> </w:t>
      </w:r>
    </w:p>
    <w:p w14:paraId="2C03C222" w14:textId="77777777" w:rsidR="00F86758" w:rsidRPr="00FA093E" w:rsidRDefault="00F86758"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 xml:space="preserve">Joint evaluations </w:t>
      </w:r>
    </w:p>
    <w:p w14:paraId="273B6D64" w14:textId="77777777" w:rsidR="00F86758" w:rsidRPr="00FA093E" w:rsidRDefault="00F86758" w:rsidP="00FA093E">
      <w:pPr>
        <w:spacing w:line="240" w:lineRule="auto"/>
        <w:contextualSpacing/>
        <w:rPr>
          <w:rFonts w:ascii="Times New Roman" w:eastAsia="Batang" w:hAnsi="Times New Roman"/>
          <w:b/>
          <w:lang w:eastAsia="ko-KR"/>
        </w:rPr>
      </w:pPr>
    </w:p>
    <w:p w14:paraId="2DE06368" w14:textId="77777777" w:rsidR="00F86758" w:rsidRPr="00FA093E" w:rsidRDefault="00F86758" w:rsidP="00FA093E">
      <w:pPr>
        <w:numPr>
          <w:ilvl w:val="0"/>
          <w:numId w:val="3"/>
        </w:numPr>
        <w:tabs>
          <w:tab w:val="left" w:pos="360"/>
        </w:tabs>
        <w:spacing w:after="0" w:line="240" w:lineRule="auto"/>
        <w:contextualSpacing/>
        <w:jc w:val="both"/>
        <w:rPr>
          <w:rFonts w:ascii="Times New Roman" w:eastAsia="Batang" w:hAnsi="Times New Roman"/>
          <w:b/>
          <w:lang w:eastAsia="ko-KR"/>
        </w:rPr>
      </w:pPr>
      <w:r w:rsidRPr="00FA093E">
        <w:rPr>
          <w:rFonts w:ascii="Times New Roman" w:eastAsia="Batang" w:hAnsi="Times New Roman"/>
          <w:lang w:eastAsia="ko-KR"/>
        </w:rPr>
        <w:t>UNDP management notes with satisfaction that the IEO is conducting joint evaluations with key partners. Such evaluations are important instruments for assessing the effectiveness of joint approaches to achieving results, and should be continued to foster coherence and synergies among the agencies, funds and programmes of the United Nations development system.</w:t>
      </w:r>
    </w:p>
    <w:p w14:paraId="14524A9A" w14:textId="77777777" w:rsidR="00F86758" w:rsidRPr="00FA093E" w:rsidRDefault="00F86758" w:rsidP="00FA093E">
      <w:pPr>
        <w:spacing w:line="240" w:lineRule="auto"/>
        <w:contextualSpacing/>
        <w:rPr>
          <w:rFonts w:ascii="Times New Roman" w:eastAsia="Batang" w:hAnsi="Times New Roman"/>
          <w:b/>
          <w:lang w:eastAsia="ko-KR"/>
        </w:rPr>
      </w:pPr>
    </w:p>
    <w:p w14:paraId="3404A3CD" w14:textId="77777777" w:rsidR="00F86758" w:rsidRPr="00FA093E" w:rsidRDefault="00F86758" w:rsidP="00FA093E">
      <w:pPr>
        <w:spacing w:line="240" w:lineRule="auto"/>
        <w:contextualSpacing/>
        <w:rPr>
          <w:rFonts w:ascii="Times New Roman" w:eastAsia="Batang" w:hAnsi="Times New Roman"/>
          <w:i/>
          <w:lang w:eastAsia="ko-KR"/>
        </w:rPr>
      </w:pPr>
      <w:r w:rsidRPr="00FA093E">
        <w:rPr>
          <w:rFonts w:ascii="Times New Roman" w:eastAsia="Batang" w:hAnsi="Times New Roman"/>
          <w:i/>
          <w:lang w:eastAsia="ko-KR"/>
        </w:rPr>
        <w:t>Evaluation Advisory Panel</w:t>
      </w:r>
    </w:p>
    <w:p w14:paraId="310CCF9B" w14:textId="77777777" w:rsidR="00F86758" w:rsidRPr="00FA093E" w:rsidRDefault="00F86758" w:rsidP="00FA093E">
      <w:pPr>
        <w:spacing w:line="240" w:lineRule="auto"/>
        <w:contextualSpacing/>
        <w:rPr>
          <w:rFonts w:ascii="Times New Roman" w:eastAsia="Batang" w:hAnsi="Times New Roman"/>
          <w:b/>
          <w:lang w:eastAsia="ko-KR"/>
        </w:rPr>
      </w:pPr>
    </w:p>
    <w:p w14:paraId="538548DF" w14:textId="77777777" w:rsidR="00F86758" w:rsidRPr="00FA093E" w:rsidRDefault="00F86758" w:rsidP="00FA093E">
      <w:pPr>
        <w:numPr>
          <w:ilvl w:val="0"/>
          <w:numId w:val="3"/>
        </w:numPr>
        <w:tabs>
          <w:tab w:val="left" w:pos="360"/>
        </w:tabs>
        <w:spacing w:after="0" w:line="240" w:lineRule="auto"/>
        <w:contextualSpacing/>
        <w:jc w:val="both"/>
        <w:rPr>
          <w:rFonts w:ascii="Times New Roman" w:eastAsia="Batang" w:hAnsi="Times New Roman"/>
          <w:b/>
          <w:lang w:eastAsia="ko-KR"/>
        </w:rPr>
      </w:pPr>
      <w:r w:rsidRPr="00FA093E">
        <w:rPr>
          <w:rFonts w:ascii="Times New Roman" w:eastAsia="Batang" w:hAnsi="Times New Roman"/>
          <w:lang w:eastAsia="ko-KR"/>
        </w:rPr>
        <w:t>UNDP management welcomes the initiative by the Evaluation Office in 2013 to establish an Evaluation Advisory Panel. Consistent with the increasing emphasis on evaluation quality, UNDP would welcome opportunities to share and discuss the results of the panel’s work, particularly the reports and observations that directly relate to UNDP’s evaluations</w:t>
      </w:r>
      <w:r w:rsidR="000920E4" w:rsidRPr="00FA093E">
        <w:rPr>
          <w:rFonts w:ascii="Times New Roman" w:eastAsia="Batang" w:hAnsi="Times New Roman"/>
          <w:lang w:eastAsia="ko-KR"/>
        </w:rPr>
        <w:t xml:space="preserve">. </w:t>
      </w:r>
      <w:r w:rsidRPr="00FA093E">
        <w:rPr>
          <w:rFonts w:ascii="Times New Roman" w:eastAsia="Batang" w:hAnsi="Times New Roman"/>
          <w:lang w:eastAsia="ko-KR"/>
        </w:rPr>
        <w:t xml:space="preserve"> </w:t>
      </w:r>
    </w:p>
    <w:p w14:paraId="3B496B81" w14:textId="77777777" w:rsidR="000920E4" w:rsidRPr="00FA093E" w:rsidRDefault="000920E4" w:rsidP="00FA093E">
      <w:pPr>
        <w:tabs>
          <w:tab w:val="left" w:pos="360"/>
        </w:tabs>
        <w:spacing w:after="0" w:line="240" w:lineRule="auto"/>
        <w:ind w:left="360"/>
        <w:contextualSpacing/>
        <w:jc w:val="both"/>
        <w:rPr>
          <w:rFonts w:ascii="Times New Roman" w:eastAsia="Batang" w:hAnsi="Times New Roman"/>
          <w:b/>
          <w:lang w:eastAsia="ko-KR"/>
        </w:rPr>
      </w:pPr>
    </w:p>
    <w:p w14:paraId="0AADFB33" w14:textId="77777777" w:rsidR="00F86758" w:rsidRPr="00FA093E" w:rsidRDefault="00F86758" w:rsidP="00FA093E">
      <w:pPr>
        <w:spacing w:line="240" w:lineRule="auto"/>
        <w:contextualSpacing/>
        <w:rPr>
          <w:rFonts w:ascii="Times New Roman" w:eastAsia="Batang" w:hAnsi="Times New Roman"/>
          <w:i/>
          <w:lang w:eastAsia="ko-KR"/>
        </w:rPr>
      </w:pPr>
      <w:r w:rsidRPr="00FA093E">
        <w:rPr>
          <w:rFonts w:ascii="Times New Roman" w:eastAsia="Batang" w:hAnsi="Times New Roman"/>
          <w:i/>
          <w:lang w:eastAsia="ko-KR"/>
        </w:rPr>
        <w:t xml:space="preserve">Support to regional and national evaluation capacity </w:t>
      </w:r>
    </w:p>
    <w:p w14:paraId="4F8A8401" w14:textId="77777777" w:rsidR="00F86758" w:rsidRPr="00FA093E" w:rsidRDefault="00F86758" w:rsidP="00FA093E">
      <w:pPr>
        <w:spacing w:line="240" w:lineRule="auto"/>
        <w:contextualSpacing/>
        <w:rPr>
          <w:rFonts w:ascii="Times New Roman" w:eastAsia="Batang" w:hAnsi="Times New Roman"/>
          <w:b/>
          <w:lang w:eastAsia="ko-KR"/>
        </w:rPr>
      </w:pPr>
    </w:p>
    <w:p w14:paraId="0FF70836" w14:textId="77777777" w:rsidR="00F86758" w:rsidRPr="00FA093E" w:rsidRDefault="00F86758" w:rsidP="00FA093E">
      <w:pPr>
        <w:numPr>
          <w:ilvl w:val="0"/>
          <w:numId w:val="3"/>
        </w:numPr>
        <w:tabs>
          <w:tab w:val="left" w:pos="360"/>
        </w:tabs>
        <w:spacing w:after="0" w:line="240" w:lineRule="auto"/>
        <w:contextualSpacing/>
        <w:jc w:val="both"/>
        <w:rPr>
          <w:rFonts w:ascii="Times New Roman" w:eastAsia="Batang" w:hAnsi="Times New Roman"/>
          <w:lang w:val="en-GB" w:eastAsia="ko-KR"/>
        </w:rPr>
      </w:pPr>
      <w:r w:rsidRPr="00FA093E">
        <w:rPr>
          <w:rFonts w:ascii="Times New Roman" w:eastAsia="Batang" w:hAnsi="Times New Roman"/>
          <w:lang w:eastAsia="ko-KR"/>
        </w:rPr>
        <w:t xml:space="preserve">In 2015, UNDP country offices continued to actively engage with national counterparts in a range of activities to support national capacity for results-based management, including national capacities to collect, collate and analyze evaluative evidence. Together with the IEO UNDP launched a global project to strengthen the evaluation function and support programme countries in building their national evaluation capacities. </w:t>
      </w:r>
    </w:p>
    <w:p w14:paraId="1565F5EB" w14:textId="77777777" w:rsidR="00127796" w:rsidRPr="00FA093E" w:rsidRDefault="00127796" w:rsidP="00FA093E">
      <w:pPr>
        <w:tabs>
          <w:tab w:val="left" w:pos="360"/>
        </w:tabs>
        <w:spacing w:after="0" w:line="240" w:lineRule="auto"/>
        <w:contextualSpacing/>
        <w:jc w:val="both"/>
        <w:rPr>
          <w:rFonts w:ascii="Times New Roman" w:eastAsia="Batang" w:hAnsi="Times New Roman"/>
          <w:lang w:eastAsia="ko-KR"/>
        </w:rPr>
      </w:pPr>
    </w:p>
    <w:p w14:paraId="0397EFBF" w14:textId="77777777" w:rsidR="00127796" w:rsidRPr="00FA093E" w:rsidRDefault="00127796" w:rsidP="00FA093E">
      <w:pPr>
        <w:tabs>
          <w:tab w:val="left" w:pos="360"/>
        </w:tabs>
        <w:spacing w:after="0" w:line="240" w:lineRule="auto"/>
        <w:contextualSpacing/>
        <w:jc w:val="both"/>
        <w:rPr>
          <w:rFonts w:ascii="Times New Roman" w:eastAsia="Batang" w:hAnsi="Times New Roman"/>
          <w:lang w:val="en-GB" w:eastAsia="ko-KR"/>
        </w:rPr>
      </w:pPr>
    </w:p>
    <w:p w14:paraId="1302BE09" w14:textId="77777777" w:rsidR="00B71791" w:rsidRPr="00FA093E" w:rsidRDefault="00B71791" w:rsidP="00FA093E">
      <w:pPr>
        <w:tabs>
          <w:tab w:val="left" w:pos="360"/>
        </w:tabs>
        <w:spacing w:after="0" w:line="240" w:lineRule="auto"/>
        <w:contextualSpacing/>
        <w:jc w:val="both"/>
        <w:rPr>
          <w:rFonts w:ascii="Times New Roman" w:eastAsia="Batang" w:hAnsi="Times New Roman"/>
          <w:b/>
          <w:i/>
          <w:lang w:eastAsia="ko-KR"/>
        </w:rPr>
      </w:pPr>
    </w:p>
    <w:p w14:paraId="6B411E82" w14:textId="77777777" w:rsidR="00B20681" w:rsidRPr="00FA093E" w:rsidRDefault="00B20681" w:rsidP="00FA093E">
      <w:pPr>
        <w:pStyle w:val="ListParagraph"/>
        <w:numPr>
          <w:ilvl w:val="0"/>
          <w:numId w:val="47"/>
        </w:numPr>
        <w:tabs>
          <w:tab w:val="left" w:pos="360"/>
        </w:tabs>
        <w:spacing w:after="0" w:line="240" w:lineRule="auto"/>
        <w:jc w:val="both"/>
        <w:rPr>
          <w:rFonts w:ascii="Times New Roman" w:eastAsia="Batang" w:hAnsi="Times New Roman"/>
          <w:b/>
          <w:lang w:eastAsia="ko-KR"/>
        </w:rPr>
      </w:pPr>
      <w:r w:rsidRPr="00FA093E">
        <w:rPr>
          <w:rFonts w:ascii="Times New Roman" w:eastAsia="Batang" w:hAnsi="Times New Roman"/>
          <w:b/>
          <w:lang w:eastAsia="ko-KR"/>
        </w:rPr>
        <w:lastRenderedPageBreak/>
        <w:t xml:space="preserve">Status of implementation of Management Response commitments for independent evaluations completed in 2012, 2013 and 2014: </w:t>
      </w:r>
    </w:p>
    <w:p w14:paraId="3C3C46C1" w14:textId="77777777" w:rsidR="00B20681" w:rsidRPr="00FA093E" w:rsidRDefault="00B20681" w:rsidP="00FA093E">
      <w:pPr>
        <w:tabs>
          <w:tab w:val="left" w:pos="360"/>
        </w:tabs>
        <w:spacing w:after="0" w:line="240" w:lineRule="auto"/>
        <w:contextualSpacing/>
        <w:jc w:val="both"/>
        <w:rPr>
          <w:rFonts w:ascii="Times New Roman" w:eastAsia="Batang" w:hAnsi="Times New Roman"/>
          <w:lang w:eastAsia="ko-KR"/>
        </w:rPr>
      </w:pPr>
    </w:p>
    <w:p w14:paraId="6F7338BF"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The status of management response actions committed to within independent evaluations is briefly summarized below. Details of UNDP commitments to address issues identified in these evaluations can be found in the full management response reports available in the Evaluation Resource Center.</w:t>
      </w:r>
    </w:p>
    <w:p w14:paraId="3254E109"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7D49F49A"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b/>
          <w:lang w:eastAsia="ko-KR"/>
        </w:rPr>
        <w:t xml:space="preserve">The Evaluation of the UNDP strategic plan, 2008-2013. </w:t>
      </w:r>
      <w:r w:rsidRPr="00FA093E">
        <w:rPr>
          <w:rFonts w:ascii="Times New Roman" w:eastAsia="Batang" w:hAnsi="Times New Roman"/>
          <w:i/>
          <w:lang w:eastAsia="ko-KR"/>
        </w:rPr>
        <w:t>(</w:t>
      </w:r>
      <w:r w:rsidR="001F525F" w:rsidRPr="00FA093E">
        <w:rPr>
          <w:rFonts w:ascii="Times New Roman" w:eastAsia="Batang" w:hAnsi="Times New Roman"/>
          <w:i/>
          <w:lang w:eastAsia="ko-KR"/>
        </w:rPr>
        <w:t>Completed</w:t>
      </w:r>
      <w:r w:rsidRPr="00FA093E">
        <w:rPr>
          <w:rFonts w:ascii="Times New Roman" w:eastAsia="Batang" w:hAnsi="Times New Roman"/>
          <w:i/>
          <w:lang w:eastAsia="ko-KR"/>
        </w:rPr>
        <w:t xml:space="preserve"> in 2012) </w:t>
      </w:r>
      <w:r w:rsidRPr="00FA093E">
        <w:rPr>
          <w:rFonts w:ascii="Times New Roman" w:eastAsia="Batang" w:hAnsi="Times New Roman"/>
          <w:lang w:eastAsia="ko-KR"/>
        </w:rPr>
        <w:t xml:space="preserve">The UNDP strategic plan set a clear direction for UNDP and provided a stronger results framework against which to monitor and report UNDP results. UNDP built on the significant efforts to date with regard to key areas such as sustainable development, inclusive governance, resilience building, gender and capacity development, to ensure that lessons from mainstreaming and integrated programming, including for more sustainable results, are fully absorbed and factored into new programming.  UNDP committed to implement 11 key actions, of which 9 were completed or are ongoing with no due date as of end of March 2016 With the adoption of the new quality assurance system for programmes and projects, monitoring policy, strategy for strengthening the decentralized evaluation function and revised results reporting tools, UNDP is now sharing its expertise with other funds and programmes. UNDP’s approach explicitly recognized critical trade-offs related inter alia to being demand-driven, decentralized, and focused on national ownership, results and sustainability, and designed internal strategies to address those trade-offs. UNDP also uses the new Integrated Results and Resources Framework (IRRF) of the new Strategic Plan to produce annually a progress Report Card that uses traffic lights and integrates development results with expenditures. In the preparation of the Mid Term Review of the Strategic Plan, UNDP produced a performance factor analysis and compiled lessons from ROARs and evaluations to support learning in the organization and more effective interventions for development. </w:t>
      </w:r>
    </w:p>
    <w:p w14:paraId="1939AC16" w14:textId="77777777" w:rsidR="0077529C" w:rsidRPr="00FA093E" w:rsidRDefault="0077529C" w:rsidP="00FA093E">
      <w:pPr>
        <w:tabs>
          <w:tab w:val="left" w:pos="360"/>
        </w:tabs>
        <w:spacing w:after="0" w:line="240" w:lineRule="auto"/>
        <w:contextualSpacing/>
        <w:jc w:val="both"/>
        <w:rPr>
          <w:rFonts w:ascii="Times New Roman" w:eastAsia="Batang" w:hAnsi="Times New Roman"/>
          <w:b/>
          <w:lang w:eastAsia="ko-KR"/>
        </w:rPr>
      </w:pPr>
    </w:p>
    <w:p w14:paraId="548B9072" w14:textId="77777777" w:rsidR="0077529C" w:rsidRPr="00FA093E" w:rsidRDefault="0077529C" w:rsidP="00FA093E">
      <w:pPr>
        <w:tabs>
          <w:tab w:val="left" w:pos="360"/>
        </w:tabs>
        <w:spacing w:after="0" w:line="240" w:lineRule="auto"/>
        <w:contextualSpacing/>
        <w:jc w:val="both"/>
        <w:rPr>
          <w:rFonts w:ascii="Times New Roman" w:eastAsia="Batang" w:hAnsi="Times New Roman"/>
          <w:b/>
          <w:lang w:eastAsia="ko-KR"/>
        </w:rPr>
      </w:pPr>
    </w:p>
    <w:p w14:paraId="0931580F"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r w:rsidRPr="00FA093E">
        <w:rPr>
          <w:rFonts w:ascii="Times New Roman" w:eastAsia="Batang" w:hAnsi="Times New Roman"/>
          <w:b/>
          <w:lang w:eastAsia="ko-KR"/>
        </w:rPr>
        <w:t>Thematic Evaluations</w:t>
      </w:r>
    </w:p>
    <w:p w14:paraId="450BE77A"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 xml:space="preserve"> </w:t>
      </w:r>
    </w:p>
    <w:p w14:paraId="74BC1DB7" w14:textId="77777777" w:rsidR="00B71791" w:rsidRPr="00FA093E" w:rsidRDefault="00B71791"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Status of Management Response commitments for thematic evaluations completed in 2012:</w:t>
      </w:r>
    </w:p>
    <w:p w14:paraId="6FCCF2FC"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249290FB"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The </w:t>
      </w:r>
      <w:r w:rsidRPr="00FA093E">
        <w:rPr>
          <w:rFonts w:ascii="Times New Roman" w:eastAsia="Batang" w:hAnsi="Times New Roman"/>
          <w:b/>
          <w:lang w:eastAsia="ko-KR"/>
        </w:rPr>
        <w:t>Evaluation of UNDP support to strengthening electoral systems and processes</w:t>
      </w:r>
      <w:r w:rsidRPr="00FA093E">
        <w:rPr>
          <w:rFonts w:ascii="Times New Roman" w:eastAsia="Batang" w:hAnsi="Times New Roman"/>
          <w:lang w:eastAsia="ko-KR"/>
        </w:rPr>
        <w:t xml:space="preserve"> provided a comprehensive and positive review of UNDP’s role and achievements in electoral assistance. At the same time, the evaluation pointed to certain areas where UNDP needed to strengthen its impact. UNDP committed to implementing 26 key actions, of which 23 had been completed or ongoing with no due date as of end March 2016. UNDP has taken several steps to address the recommendations, including measures to improve coordination and lessons learned between regional and country levels and across regional bureaux, ensure the availability of electoral policies and guidance, as well as provide induction courses that include sessions on electoral assistance and the role of the UN Department for Political Affairs. Two lessons learned studies were completed on the longer-term impact of UNDP electoral assistance and on gender mainstreaming in electoral assistance, along with encouraging South-South peer exchanges. </w:t>
      </w:r>
    </w:p>
    <w:p w14:paraId="25D0A229"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4FE9C27B"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The </w:t>
      </w:r>
      <w:r w:rsidRPr="00FA093E">
        <w:rPr>
          <w:rFonts w:ascii="Times New Roman" w:eastAsia="Batang" w:hAnsi="Times New Roman"/>
          <w:b/>
          <w:lang w:eastAsia="ko-KR"/>
        </w:rPr>
        <w:t>Evaluation of UNDP partnerships with global funds and philanthropic foundations</w:t>
      </w:r>
      <w:r w:rsidRPr="00FA093E">
        <w:rPr>
          <w:rFonts w:ascii="Times New Roman" w:eastAsia="Batang" w:hAnsi="Times New Roman"/>
          <w:lang w:eastAsia="ko-KR"/>
        </w:rPr>
        <w:t xml:space="preserve"> recognized that partnering with global funds is strategically important to UNDP in budgetary and substantive terms. It established that UNDP had demonstrated its ability to perform effectively, to meet the rigorous standards set by funds, and to develop innovative approaches to development and administrative challenges.  In the management response, UNDP committed to implementing 17 key actions, of which 17 (or 100%) have been completed or ongoing with no due date as of end March </w:t>
      </w:r>
      <w:r w:rsidRPr="00FA093E">
        <w:rPr>
          <w:rFonts w:ascii="Times New Roman" w:eastAsia="Batang" w:hAnsi="Times New Roman"/>
          <w:lang w:eastAsia="ko-KR"/>
        </w:rPr>
        <w:lastRenderedPageBreak/>
        <w:t>2016. Following up on the action plan for the UNDP strategy for engagement with philanthropic organizations, the Bureau for External Relations and Advocacy (BERA) and B</w:t>
      </w:r>
      <w:r w:rsidR="00BE4F69" w:rsidRPr="00FA093E">
        <w:rPr>
          <w:rFonts w:ascii="Times New Roman" w:eastAsia="Batang" w:hAnsi="Times New Roman"/>
          <w:lang w:eastAsia="ko-KR"/>
        </w:rPr>
        <w:t>PPS</w:t>
      </w:r>
      <w:r w:rsidRPr="00FA093E">
        <w:rPr>
          <w:rFonts w:ascii="Times New Roman" w:eastAsia="Batang" w:hAnsi="Times New Roman"/>
          <w:lang w:eastAsia="ko-KR"/>
        </w:rPr>
        <w:t>, initiated a strategic dialogue, in line with the evaluation’s recommendations, and in consultation with partners such as UN DESA, OECD, Worldwide Initiatives for Grant</w:t>
      </w:r>
      <w:r w:rsidR="003D5550" w:rsidRPr="00FA093E">
        <w:rPr>
          <w:rFonts w:ascii="Times New Roman" w:eastAsia="Batang" w:hAnsi="Times New Roman"/>
          <w:lang w:eastAsia="ko-KR"/>
        </w:rPr>
        <w:t xml:space="preserve"> </w:t>
      </w:r>
      <w:r w:rsidRPr="00FA093E">
        <w:rPr>
          <w:rFonts w:ascii="Times New Roman" w:eastAsia="Batang" w:hAnsi="Times New Roman"/>
          <w:lang w:eastAsia="ko-KR"/>
        </w:rPr>
        <w:t xml:space="preserve">maker Support (WINGS) and the Rockefeller Foundation. </w:t>
      </w:r>
    </w:p>
    <w:p w14:paraId="55D6BC61"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2A05AAF5" w14:textId="77777777" w:rsidR="00B71791" w:rsidRPr="00FA093E" w:rsidRDefault="00B71791"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Status of Management Response commitments for thematic evaluations completed in 2013:</w:t>
      </w:r>
    </w:p>
    <w:p w14:paraId="367C4B0D"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59580797"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In response to the 10 recommendations of the </w:t>
      </w:r>
      <w:r w:rsidRPr="00FA093E">
        <w:rPr>
          <w:rFonts w:ascii="Times New Roman" w:eastAsia="Batang" w:hAnsi="Times New Roman"/>
          <w:b/>
          <w:lang w:eastAsia="ko-KR"/>
        </w:rPr>
        <w:t>Evaluation of UNDP support to conflict-affected countries in the context of United Nations peace operations</w:t>
      </w:r>
      <w:r w:rsidRPr="00FA093E">
        <w:rPr>
          <w:rFonts w:ascii="Times New Roman" w:eastAsia="Batang" w:hAnsi="Times New Roman"/>
          <w:lang w:eastAsia="ko-KR"/>
        </w:rPr>
        <w:t xml:space="preserve">, UNDP committed to implementing 35 key actions, of which 30 have been completed or ongoing with no due date, and 3 are no longer applicable as of end March 2016. UNDP has revised its conflict-related development analysis (CDA) tool and piloted its application in crisis-affected countries. UNDP undertook systematic conflict analysis in Myanmar, Yemen, Afghanistan, and established Early Warning/Early Action systems. UNDP reached out to UN agencies and partners to forge synergies between the CDA and other conflict analysis and assessment tools such as post-conflict needs assessments and the New Deal fragility assessments. Also, UNDP contributed to the revision of guidelines on the UN Integrated Mission Planning underlining UNDP’s central role in planning processes. Based on lessons learned in 15 countries, UNDP has developed guidance notes with practical suggestions for the design, planning and implementation of post-crisis recovery programmes. The Multi-Partner Trust Fund Office, in cooperation with the Peacebuilding Support Office, conducted a mapping exercise of the UN pooled/inter-agency financing mechanisms available in transition countries. The UN-wide policy on integrated mission transition was finalized in February 2013. </w:t>
      </w:r>
    </w:p>
    <w:p w14:paraId="21280BD7"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185B04BC"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The </w:t>
      </w:r>
      <w:r w:rsidRPr="00FA093E">
        <w:rPr>
          <w:rFonts w:ascii="Times New Roman" w:eastAsia="Batang" w:hAnsi="Times New Roman"/>
          <w:b/>
          <w:lang w:eastAsia="ko-KR"/>
        </w:rPr>
        <w:t>Evaluation of UNDP contribution to poverty reduction</w:t>
      </w:r>
      <w:r w:rsidRPr="00FA093E">
        <w:rPr>
          <w:rFonts w:ascii="Times New Roman" w:eastAsia="Batang" w:hAnsi="Times New Roman"/>
          <w:lang w:eastAsia="ko-KR"/>
        </w:rPr>
        <w:t xml:space="preserve"> found that UNDP took a pragmatic, flexible approach to poverty reduction. It found that, overall UNDP’s approach had advanced the poverty eradication agenda by being country-specific, and had influenced the poverty eradication agenda by introducing a multidimensional human development perspective. The evaluation cited evidence that, “when given the opportunity”, UNDP “effectively supported national efforts aimed at capacity development for evidence-based pro-poor policy making.” In response to 4 recommendations, UNDP committed to implementing 15 key actions, of which 13 have been completed as of end March 2016. Results-oriented Annual Reports increasingly captured partnerships with civil society and academia, for instance on the occasions of the rollout of the MDG Acceleration Framework (MAF) or in the context of the post-2015 development framework discussions, in particular in the national, thematic and global consultations and outreach efforts through the </w:t>
      </w:r>
      <w:r w:rsidR="003D5550" w:rsidRPr="00FA093E">
        <w:rPr>
          <w:rFonts w:ascii="Times New Roman" w:eastAsia="Batang" w:hAnsi="Times New Roman"/>
          <w:lang w:eastAsia="ko-KR"/>
        </w:rPr>
        <w:t>My World</w:t>
      </w:r>
      <w:r w:rsidRPr="00FA093E">
        <w:rPr>
          <w:rFonts w:ascii="Times New Roman" w:eastAsia="Batang" w:hAnsi="Times New Roman"/>
          <w:lang w:eastAsia="ko-KR"/>
        </w:rPr>
        <w:t xml:space="preserve"> initiative. According to the Strategic Plan (2014-2017) and the Integrated Results and Resources Framework (IRRF), UNDP committed itself to supporting through all its work global efforts deployed for simultaneous eradication of poverty and significant reduction in inequality and exclusion.   </w:t>
      </w:r>
    </w:p>
    <w:p w14:paraId="76D15AAA" w14:textId="77777777" w:rsidR="0077529C" w:rsidRPr="00FA093E" w:rsidRDefault="0077529C" w:rsidP="00FA093E">
      <w:pPr>
        <w:pStyle w:val="ListParagraph"/>
        <w:tabs>
          <w:tab w:val="left" w:pos="360"/>
        </w:tabs>
        <w:spacing w:after="0" w:line="240" w:lineRule="auto"/>
        <w:ind w:left="360"/>
        <w:jc w:val="both"/>
        <w:rPr>
          <w:rFonts w:ascii="Times New Roman" w:eastAsia="Batang" w:hAnsi="Times New Roman"/>
          <w:lang w:eastAsia="ko-KR"/>
        </w:rPr>
      </w:pPr>
    </w:p>
    <w:p w14:paraId="589018B4"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b/>
          <w:lang w:eastAsia="ko-KR"/>
        </w:rPr>
        <w:t xml:space="preserve"> Evaluation of UNDP contribution to South-South and Triangular Cooperation</w:t>
      </w:r>
      <w:r w:rsidRPr="00FA093E">
        <w:rPr>
          <w:rFonts w:ascii="Times New Roman" w:eastAsia="Batang" w:hAnsi="Times New Roman"/>
          <w:lang w:eastAsia="ko-KR"/>
        </w:rPr>
        <w:t xml:space="preserve">: </w:t>
      </w:r>
      <w:r w:rsidRPr="00FA093E">
        <w:rPr>
          <w:rFonts w:ascii="Times New Roman" w:hAnsi="Times New Roman"/>
          <w:lang w:eastAsia="ko-KR"/>
        </w:rPr>
        <w:t xml:space="preserve">As a follow-up to UNDP’s Management Response to the Evaluation of UNDP Contribution to South-South and Triangular Cooperation (2008-2011) report, UNDP has addressed all of five recommendations in the report. </w:t>
      </w:r>
      <w:r w:rsidRPr="00FA093E">
        <w:rPr>
          <w:rFonts w:ascii="Times New Roman" w:eastAsia="Batang" w:hAnsi="Times New Roman"/>
          <w:lang w:eastAsia="ko-KR"/>
        </w:rPr>
        <w:t xml:space="preserve">UNDP committed to implementing 21 key actions, of which 21 (or 100%) have been completed or are ongoing with no due date as of end March 2016. </w:t>
      </w:r>
      <w:r w:rsidRPr="00FA093E">
        <w:rPr>
          <w:rFonts w:ascii="Times New Roman" w:hAnsi="Times New Roman"/>
          <w:lang w:val="en-GB" w:eastAsia="ko-KR"/>
        </w:rPr>
        <w:t xml:space="preserve">UNDP’s Strategic Plan (2014-2017) has prioritized South-South and Triangular Cooperation (SSC and TrC) as a core way of working within UNDP’s programmes and operations at the global, regional and country levels, based on their guiding principles and without substituting other partnership options.  UNDP’s strategic roles in support of SSC </w:t>
      </w:r>
      <w:r w:rsidRPr="00FA093E">
        <w:rPr>
          <w:rFonts w:ascii="Times New Roman" w:hAnsi="Times New Roman"/>
          <w:lang w:val="en-GB" w:eastAsia="ko-KR"/>
        </w:rPr>
        <w:lastRenderedPageBreak/>
        <w:t xml:space="preserve">and TrC are seen as that of a knowledge broker, builder of capacities and facilitator of exchanges driven primarily by programme countries themselves.  </w:t>
      </w:r>
    </w:p>
    <w:p w14:paraId="2B108F6D" w14:textId="77777777" w:rsidR="005F48A8" w:rsidRPr="00FA093E" w:rsidRDefault="005F48A8" w:rsidP="00FA093E">
      <w:pPr>
        <w:tabs>
          <w:tab w:val="left" w:pos="360"/>
        </w:tabs>
        <w:spacing w:after="0" w:line="240" w:lineRule="auto"/>
        <w:jc w:val="both"/>
        <w:rPr>
          <w:rFonts w:ascii="Times New Roman" w:eastAsia="Batang" w:hAnsi="Times New Roman"/>
          <w:lang w:eastAsia="ko-KR"/>
        </w:rPr>
      </w:pPr>
    </w:p>
    <w:p w14:paraId="355B20DD"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val="en-GB" w:eastAsia="ko-KR"/>
        </w:rPr>
      </w:pPr>
      <w:r w:rsidRPr="00FA093E">
        <w:rPr>
          <w:rFonts w:ascii="Times New Roman" w:eastAsia="Batang" w:hAnsi="Times New Roman"/>
          <w:lang w:val="en-GB" w:eastAsia="ko-KR"/>
        </w:rPr>
        <w:t xml:space="preserve">UNDP developed a draft corporate strategy on South-South and Triangular Cooperation (SSC and TrC) as part of its Strategic Plan (2014-2017), and in response to the Joint Inspection Unit Report and to the Independent Evaluation of UNDP’s Contribution to South-South and Triangular Cooperation (2008-2011).   The Strategy re-thinks UNDP’s corporate approach to SSC and TrC, recognizing the critical role of national capacity to engage in SSC and the importance of universal access to knowledge as a development multiplier for accelerating the achievement of the 2030 Agenda and bridging needs with available development solutions while supporting their implementation.  </w:t>
      </w:r>
    </w:p>
    <w:p w14:paraId="04089714" w14:textId="77777777" w:rsidR="00153A9F" w:rsidRPr="00FA093E" w:rsidRDefault="00153A9F" w:rsidP="00FA093E">
      <w:pPr>
        <w:pStyle w:val="ListParagraph"/>
        <w:tabs>
          <w:tab w:val="left" w:pos="360"/>
        </w:tabs>
        <w:spacing w:after="0" w:line="240" w:lineRule="auto"/>
        <w:ind w:left="360"/>
        <w:jc w:val="both"/>
        <w:rPr>
          <w:rFonts w:ascii="Times New Roman" w:eastAsia="Batang" w:hAnsi="Times New Roman"/>
          <w:lang w:val="en-GB" w:eastAsia="ko-KR"/>
        </w:rPr>
      </w:pPr>
    </w:p>
    <w:p w14:paraId="5898971B"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r w:rsidRPr="00FA093E">
        <w:rPr>
          <w:rFonts w:ascii="Times New Roman" w:eastAsia="Batang" w:hAnsi="Times New Roman"/>
          <w:b/>
          <w:lang w:eastAsia="ko-KR"/>
        </w:rPr>
        <w:t>Evaluation of Global Programme</w:t>
      </w:r>
    </w:p>
    <w:p w14:paraId="70E9D387"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5564D163"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b/>
          <w:lang w:eastAsia="ko-KR"/>
        </w:rPr>
      </w:pPr>
      <w:r w:rsidRPr="00FA093E">
        <w:rPr>
          <w:rFonts w:ascii="Times New Roman" w:eastAsia="Batang" w:hAnsi="Times New Roman"/>
          <w:b/>
          <w:lang w:eastAsia="ko-KR"/>
        </w:rPr>
        <w:t xml:space="preserve"> The Evaluation of the fourth UNDP Global Programme</w:t>
      </w:r>
      <w:r w:rsidRPr="00FA093E">
        <w:rPr>
          <w:rFonts w:ascii="Times New Roman" w:eastAsia="Batang" w:hAnsi="Times New Roman"/>
          <w:lang w:eastAsia="ko-KR"/>
        </w:rPr>
        <w:t xml:space="preserve"> </w:t>
      </w:r>
      <w:r w:rsidRPr="00FA093E">
        <w:rPr>
          <w:rFonts w:ascii="Times New Roman" w:eastAsia="Batang" w:hAnsi="Times New Roman"/>
          <w:i/>
          <w:lang w:eastAsia="ko-KR"/>
        </w:rPr>
        <w:t xml:space="preserve">(completed in 2012) </w:t>
      </w:r>
      <w:r w:rsidRPr="00FA093E">
        <w:rPr>
          <w:rFonts w:ascii="Times New Roman" w:eastAsia="Batang" w:hAnsi="Times New Roman"/>
          <w:lang w:eastAsia="ko-KR"/>
        </w:rPr>
        <w:t xml:space="preserve">acknowledges that the contribution of the programme was important for global policy debates and for shaping multilateral forums, using cross-country evidence and articulating proposals for the 2010 High-Level Plenary Meeting of the General Assembly. The evaluation found that cross-practice work had improved in the key thematic areas, despite some limitations in systematically promoting and institutionalizing such work. As the evaluation noted, some activities lent more to cross-practice collaboration than others. The new Global Programme provides better and more integrated programme-focused policy advice to be more effective in helping countries respond to increasingly complex and interconnected development challenges. </w:t>
      </w:r>
      <w:r w:rsidR="00464220" w:rsidRPr="00FA093E">
        <w:rPr>
          <w:rFonts w:ascii="Times New Roman" w:eastAsia="Batang" w:hAnsi="Times New Roman"/>
          <w:lang w:eastAsia="ko-KR"/>
        </w:rPr>
        <w:t>Mid-term</w:t>
      </w:r>
      <w:r w:rsidRPr="00FA093E">
        <w:rPr>
          <w:rFonts w:ascii="Times New Roman" w:eastAsia="Batang" w:hAnsi="Times New Roman"/>
          <w:lang w:eastAsia="ko-KR"/>
        </w:rPr>
        <w:t xml:space="preserve"> review of the Global Programme (2014-2017), </w:t>
      </w:r>
      <w:r w:rsidRPr="00FA093E">
        <w:rPr>
          <w:rFonts w:ascii="Times New Roman" w:hAnsi="Times New Roman"/>
        </w:rPr>
        <w:t>notes</w:t>
      </w:r>
      <w:r w:rsidRPr="00FA093E">
        <w:rPr>
          <w:rFonts w:ascii="Times New Roman" w:hAnsi="Times New Roman"/>
          <w:bCs/>
        </w:rPr>
        <w:t xml:space="preserve"> that the new programme pays attention to recommendation 4, with focus on </w:t>
      </w:r>
      <w:r w:rsidRPr="00FA093E">
        <w:rPr>
          <w:rFonts w:ascii="Times New Roman" w:hAnsi="Times New Roman"/>
        </w:rPr>
        <w:t xml:space="preserve">UNDP meeting its commitments under the Gender Equality Strategy 2014-2017 along with strengthening integrated policy and programme support to COs (recommendation 5). </w:t>
      </w:r>
    </w:p>
    <w:p w14:paraId="17C199CF"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p>
    <w:p w14:paraId="793661AD"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 xml:space="preserve">UNDP committed to implementing 24 key actions, of which 24 (or 100%) have been completed or ongoing with no due date as of end March 2016. </w:t>
      </w:r>
    </w:p>
    <w:p w14:paraId="364E34FE"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7153B396"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r w:rsidRPr="00FA093E">
        <w:rPr>
          <w:rFonts w:ascii="Times New Roman" w:eastAsia="Batang" w:hAnsi="Times New Roman"/>
          <w:b/>
          <w:lang w:eastAsia="ko-KR"/>
        </w:rPr>
        <w:t xml:space="preserve">Evaluation of Regional Programmes </w:t>
      </w:r>
    </w:p>
    <w:p w14:paraId="331D6DFD"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0B115D5A" w14:textId="77777777" w:rsidR="00B71791" w:rsidRPr="00FA093E" w:rsidRDefault="00B71791"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Status of Management Response commitments for evaluations of Regional Programmes completed in 2012:</w:t>
      </w:r>
    </w:p>
    <w:p w14:paraId="34370263"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3D636EC0"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b/>
          <w:lang w:eastAsia="ko-KR"/>
        </w:rPr>
        <w:t xml:space="preserve"> The Evaluation of the regional programme for Asia and the Pacific</w:t>
      </w:r>
      <w:r w:rsidRPr="00FA093E">
        <w:rPr>
          <w:rFonts w:ascii="Times New Roman" w:eastAsia="Batang" w:hAnsi="Times New Roman"/>
          <w:lang w:eastAsia="ko-KR"/>
        </w:rPr>
        <w:t xml:space="preserve"> concluded that the programme was highly relevant, had addressed critical regional development challenges and had made important strides to incorporate gender mainstreaming into policy, programming and implementation. In line with the evaluation recommendations, the new regional programme is implemented through a more institutionalized cross-practice approach, drawing from opportunities such as South-South cooperation. At the policy level the regional </w:t>
      </w:r>
      <w:r w:rsidR="003D5550" w:rsidRPr="00FA093E">
        <w:rPr>
          <w:rFonts w:ascii="Times New Roman" w:eastAsia="Batang" w:hAnsi="Times New Roman"/>
          <w:lang w:eastAsia="ko-KR"/>
        </w:rPr>
        <w:t>programme</w:t>
      </w:r>
      <w:r w:rsidRPr="00FA093E">
        <w:rPr>
          <w:rFonts w:ascii="Times New Roman" w:eastAsia="Batang" w:hAnsi="Times New Roman"/>
          <w:lang w:eastAsia="ko-KR"/>
        </w:rPr>
        <w:t xml:space="preserve"> has supported South countries to have stronger negotiating power when defining the parameters and targets of the SDGs and is developing new mechanisms for South-South cooperation. </w:t>
      </w:r>
      <w:r w:rsidRPr="00FA093E">
        <w:rPr>
          <w:rFonts w:ascii="Times New Roman" w:hAnsi="Times New Roman"/>
        </w:rPr>
        <w:t>The Regional Programme has also provided support to governments in managing the complexity of development finance flows through the application of newly updated methodology for Development Finance Assessments (DFAs), with DFAs initiated or completed in 2015 in Lao PDR, Bangladesh, Fiji and Myanmar, alongside DFAs already completed in Papua New Guinea, Philippines and Viet Nam.</w:t>
      </w:r>
    </w:p>
    <w:p w14:paraId="2A9C8CF9"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p>
    <w:p w14:paraId="52D90266"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 xml:space="preserve">UNDP committed to implementing 22 key actions, of which all 22 (or 100%) have been completed as of end March 2016. </w:t>
      </w:r>
    </w:p>
    <w:p w14:paraId="6A3DEA01"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6447183B"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b/>
          <w:lang w:eastAsia="ko-KR"/>
        </w:rPr>
        <w:t>The Evaluation of the Regional Programme for Europe and the Commonwealth of Independent States</w:t>
      </w:r>
      <w:r w:rsidRPr="00FA093E">
        <w:rPr>
          <w:rFonts w:ascii="Times New Roman" w:eastAsia="Batang" w:hAnsi="Times New Roman"/>
          <w:lang w:eastAsia="ko-KR"/>
        </w:rPr>
        <w:t xml:space="preserve"> concluded that the programme had tangible results in the areas of climate change, social inclusion and local development. The new regional programme is more focused with a limited number of thematic areas, tailored to specific sub-regional and country needs. The recommendation related to funding gaps is regarded as partially relevant</w:t>
      </w:r>
      <w:r w:rsidR="003E422D" w:rsidRPr="00FA093E">
        <w:rPr>
          <w:rFonts w:ascii="Times New Roman" w:eastAsia="Batang" w:hAnsi="Times New Roman"/>
          <w:lang w:eastAsia="ko-KR"/>
        </w:rPr>
        <w:t>, as i</w:t>
      </w:r>
      <w:r w:rsidRPr="00FA093E">
        <w:rPr>
          <w:rFonts w:ascii="Times New Roman" w:eastAsia="Batang" w:hAnsi="Times New Roman"/>
          <w:lang w:eastAsia="ko-KR"/>
        </w:rPr>
        <w:t xml:space="preserve">n 2014-15, the Istanbul Regional Hub has mobilized more than US $57.9 million for various regional initiatives, which formally exceeds the non-core target for the whole RP 2014-17 set at the level of US$40 million. </w:t>
      </w:r>
      <w:r w:rsidRPr="00FA093E">
        <w:rPr>
          <w:rFonts w:ascii="Times New Roman" w:hAnsi="Times New Roman"/>
          <w:lang w:val="en-GB"/>
        </w:rPr>
        <w:t>In 2015, the regional bureaux</w:t>
      </w:r>
      <w:r w:rsidR="00143295" w:rsidRPr="00FA093E">
        <w:rPr>
          <w:rFonts w:ascii="Times New Roman" w:hAnsi="Times New Roman"/>
          <w:lang w:val="en-GB"/>
        </w:rPr>
        <w:t xml:space="preserve"> </w:t>
      </w:r>
      <w:r w:rsidR="00143295" w:rsidRPr="00FA093E">
        <w:rPr>
          <w:rFonts w:ascii="Times New Roman" w:hAnsi="Times New Roman"/>
          <w:bCs/>
        </w:rPr>
        <w:t>and Bureau of External Relations and Advocacy (BERA) worked together to</w:t>
      </w:r>
      <w:r w:rsidRPr="00FA093E">
        <w:rPr>
          <w:rFonts w:ascii="Times New Roman" w:hAnsi="Times New Roman"/>
          <w:lang w:val="en-GB"/>
        </w:rPr>
        <w:t xml:space="preserve">  </w:t>
      </w:r>
      <w:r w:rsidRPr="00FA093E">
        <w:rPr>
          <w:rFonts w:ascii="Times New Roman" w:hAnsi="Times New Roman"/>
        </w:rPr>
        <w:t>develop a new service line on resource mobilization support for country offices, including a regional partnerships newsletter; on-demand donor landscape mappings; support to proposal development and finalization; advisory services on access to funding opportunities and liaison with emerging donors, especially the Russian Federation, Slovakia, Romania, Czech Republic and the Turkey-UNDP Partnership in Development Programme.</w:t>
      </w:r>
    </w:p>
    <w:p w14:paraId="1679708B"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p>
    <w:p w14:paraId="4BDF478E"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 xml:space="preserve">UNDP committed to implementing 19 key actions, of which all 19 (or 100%) have been completed or initiated as of end March 2016. </w:t>
      </w:r>
    </w:p>
    <w:p w14:paraId="4FC9023A"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 xml:space="preserve"> </w:t>
      </w:r>
    </w:p>
    <w:p w14:paraId="6D675DA2"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b/>
          <w:lang w:eastAsia="ko-KR"/>
        </w:rPr>
        <w:t xml:space="preserve"> The Evaluation of the regional programme for Latin America and the Caribbean</w:t>
      </w:r>
      <w:r w:rsidRPr="00FA093E">
        <w:rPr>
          <w:rFonts w:ascii="Times New Roman" w:eastAsia="Batang" w:hAnsi="Times New Roman"/>
          <w:lang w:eastAsia="ko-KR"/>
        </w:rPr>
        <w:t xml:space="preserve"> concluded the programme to be relevant and effective in terms of contributions made in the region, generation of knowledge, positioning for South-South cooperation and mobilization of resources for country offices. The new regional programme focuses on a limited number of strategic issues related to sustainable development and resilience, with the main emphasis on increasing policy and technical advice, capacity development, knowledge brokering and partnership building. Country Offices were provided </w:t>
      </w:r>
      <w:r w:rsidRPr="00FA093E">
        <w:rPr>
          <w:rFonts w:ascii="Times New Roman" w:hAnsi="Times New Roman"/>
          <w:lang w:eastAsia="ja-JP"/>
        </w:rPr>
        <w:t xml:space="preserve">policy advice on gender-sensitive social protection </w:t>
      </w:r>
      <w:r w:rsidR="00DE720E" w:rsidRPr="00FA093E">
        <w:rPr>
          <w:rFonts w:ascii="Times New Roman" w:hAnsi="Times New Roman"/>
          <w:lang w:eastAsia="ja-JP"/>
        </w:rPr>
        <w:t>floors and</w:t>
      </w:r>
      <w:r w:rsidRPr="00FA093E">
        <w:rPr>
          <w:rFonts w:ascii="Times New Roman" w:hAnsi="Times New Roman"/>
          <w:lang w:eastAsia="ja-JP"/>
        </w:rPr>
        <w:t xml:space="preserve"> policy development on the care economy. Direct support was also given in policy development and capacity building for government officials was also provided with regards to gender mainstreaming in the areas of disaster risk reduction, climate change adaptation, and environment. </w:t>
      </w:r>
      <w:r w:rsidRPr="00FA093E">
        <w:rPr>
          <w:rFonts w:ascii="Times New Roman" w:hAnsi="Times New Roman"/>
        </w:rPr>
        <w:t>With regards to sustainable development, UNDP was a key partner in the region. USD 135 million were mobilized for country offices, and support was provided to climate change public policies in 22 countries, 14 normative frameworks, and 31 national and local plans.</w:t>
      </w:r>
    </w:p>
    <w:p w14:paraId="318005A4"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17652CBD"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UNDP committed to implementing 17 key actions, of which 5 have been completed as of end March 2016.</w:t>
      </w:r>
    </w:p>
    <w:p w14:paraId="1F71FF11"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7352EFB0"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b/>
          <w:lang w:eastAsia="ko-KR"/>
        </w:rPr>
        <w:t xml:space="preserve"> The</w:t>
      </w:r>
      <w:r w:rsidRPr="00FA093E">
        <w:rPr>
          <w:rFonts w:ascii="Times New Roman" w:eastAsia="Batang" w:hAnsi="Times New Roman"/>
          <w:lang w:eastAsia="ko-KR"/>
        </w:rPr>
        <w:t xml:space="preserve"> </w:t>
      </w:r>
      <w:r w:rsidRPr="00FA093E">
        <w:rPr>
          <w:rFonts w:ascii="Times New Roman" w:eastAsia="Batang" w:hAnsi="Times New Roman"/>
          <w:b/>
          <w:lang w:eastAsia="ko-KR"/>
        </w:rPr>
        <w:t>Evaluation of the regional programme for Africa</w:t>
      </w:r>
      <w:r w:rsidRPr="00FA093E">
        <w:rPr>
          <w:rFonts w:ascii="Times New Roman" w:eastAsia="Batang" w:hAnsi="Times New Roman"/>
          <w:lang w:eastAsia="ko-KR"/>
        </w:rPr>
        <w:t xml:space="preserve"> concluded the programme to be relevant, effective, strategically positioned and responsive to emerging issues such as the food crisis. In line with evaluation recommendations, in the medium term, RBA has committed to developing innovative ways to support collaboration between regional and global advisory functions that are responsive to African priorities; giving more attention to African knowledge products during project formulation; designing a knowledge management and communication strategy to capture good practices in Africa; and using successful African pilot projects as the basis for scaling-up global initiatives. To ensure sustainability, specific projects are anchored in relevant continental regional institutions, but with prior agreement to a single entry point; (b) situated in a country office, especially for multi-country initiatives; and (c) located within the Regional Bureau for Africa, especially for thematic-related issues such as knowledge management and learning initiatives associated with the production and launch of Africa human development reports, and regional MDG Acceleration Framework-related work.</w:t>
      </w:r>
    </w:p>
    <w:p w14:paraId="4FC21BD6" w14:textId="77777777" w:rsidR="00B71791" w:rsidRPr="00FA093E" w:rsidRDefault="00B71791" w:rsidP="00FA093E">
      <w:pPr>
        <w:tabs>
          <w:tab w:val="left" w:pos="360"/>
        </w:tabs>
        <w:spacing w:after="0" w:line="240" w:lineRule="auto"/>
        <w:contextualSpacing/>
        <w:jc w:val="both"/>
        <w:rPr>
          <w:rFonts w:ascii="Times New Roman" w:eastAsia="Batang" w:hAnsi="Times New Roman"/>
          <w:b/>
          <w:lang w:eastAsia="ko-KR"/>
        </w:rPr>
      </w:pPr>
    </w:p>
    <w:p w14:paraId="64B2C5F8"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lang w:eastAsia="ko-KR"/>
        </w:rPr>
        <w:t xml:space="preserve">UNDP committed to implementing 20 key actions, of which 18 have been completed or are ongoing with no due date, as of end March 2016. </w:t>
      </w:r>
    </w:p>
    <w:p w14:paraId="3961A425"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71E2EC3D" w14:textId="77777777" w:rsidR="00B71791" w:rsidRPr="00FA093E" w:rsidRDefault="00B71791" w:rsidP="00FA093E">
      <w:pPr>
        <w:pStyle w:val="ListParagraph"/>
        <w:widowControl w:val="0"/>
        <w:numPr>
          <w:ilvl w:val="0"/>
          <w:numId w:val="3"/>
        </w:numPr>
        <w:autoSpaceDE w:val="0"/>
        <w:autoSpaceDN w:val="0"/>
        <w:adjustRightInd w:val="0"/>
        <w:spacing w:line="240" w:lineRule="auto"/>
        <w:jc w:val="both"/>
        <w:rPr>
          <w:rFonts w:ascii="Times New Roman" w:hAnsi="Times New Roman"/>
          <w:color w:val="000000"/>
        </w:rPr>
      </w:pPr>
      <w:r w:rsidRPr="00FA093E">
        <w:rPr>
          <w:rFonts w:ascii="Times New Roman" w:eastAsia="Batang" w:hAnsi="Times New Roman"/>
          <w:lang w:eastAsia="ko-KR"/>
        </w:rPr>
        <w:lastRenderedPageBreak/>
        <w:t xml:space="preserve"> The </w:t>
      </w:r>
      <w:r w:rsidRPr="00FA093E">
        <w:rPr>
          <w:rFonts w:ascii="Times New Roman" w:eastAsia="Batang" w:hAnsi="Times New Roman"/>
          <w:b/>
          <w:lang w:eastAsia="ko-KR"/>
        </w:rPr>
        <w:t>Evaluation of the regional programme for the Arab States</w:t>
      </w:r>
      <w:r w:rsidRPr="00FA093E">
        <w:rPr>
          <w:rFonts w:ascii="Times New Roman" w:eastAsia="Batang" w:hAnsi="Times New Roman"/>
          <w:lang w:eastAsia="ko-KR"/>
        </w:rPr>
        <w:t xml:space="preserve"> acknowledged that the programme had been implemented during a challenging time in the region’s history, with UNDP being among the few aid organizations trying to promote good governance in the region. In line with evaluation recommendation to adapt to regional transformations, participatory approaches informed the 2014-2017 regional programme and built upon successfully established networks between governmental and non-governmental stakeholders (e.g. the Arab anti-corruption and integrity network). Resilience is a cross-cutting theme, and inclusion (targeting of youth and gender) is emphasized in all focus areas of the new regional programme. Midterm review of the Regional Programme of Arab States (2014-2017) notes that new emerging challenges of migrations and conflicts can be properly addressed only from a regional perspective, focused on concerted initiatives among countries of the region. The establishment of the Regional Hub </w:t>
      </w:r>
      <w:r w:rsidR="00E52514" w:rsidRPr="00FA093E">
        <w:rPr>
          <w:rFonts w:ascii="Times New Roman" w:eastAsia="Batang" w:hAnsi="Times New Roman"/>
          <w:lang w:eastAsia="ko-KR"/>
        </w:rPr>
        <w:t xml:space="preserve">contributed </w:t>
      </w:r>
      <w:r w:rsidRPr="00FA093E">
        <w:rPr>
          <w:rFonts w:ascii="Times New Roman" w:eastAsia="Batang" w:hAnsi="Times New Roman"/>
          <w:lang w:eastAsia="ko-KR"/>
        </w:rPr>
        <w:t>towards the achievement of positive results in capacity development, information sharing and policy dialogue. The UNDP sub-regional Facility played a critical role in thought leadership and policy advocacy around the resilience approach, and integrating it as part of humanitarian-development response by national governments to refugee and IDP crisis.</w:t>
      </w:r>
    </w:p>
    <w:p w14:paraId="298DE755" w14:textId="77777777" w:rsidR="00B71791" w:rsidRPr="00FA093E" w:rsidRDefault="00B71791" w:rsidP="00FA093E">
      <w:pPr>
        <w:widowControl w:val="0"/>
        <w:autoSpaceDE w:val="0"/>
        <w:autoSpaceDN w:val="0"/>
        <w:adjustRightInd w:val="0"/>
        <w:spacing w:line="240" w:lineRule="auto"/>
        <w:rPr>
          <w:rFonts w:ascii="Times New Roman" w:eastAsia="Batang" w:hAnsi="Times New Roman"/>
          <w:lang w:eastAsia="ko-KR"/>
        </w:rPr>
      </w:pPr>
      <w:r w:rsidRPr="00FA093E">
        <w:rPr>
          <w:rFonts w:ascii="Times New Roman" w:eastAsia="Batang" w:hAnsi="Times New Roman"/>
          <w:lang w:eastAsia="ko-KR"/>
        </w:rPr>
        <w:t>UNDP committed to implementing 12 key actions, of which all 9 have been completed and 2 have been initiated as of end March 2016.</w:t>
      </w:r>
    </w:p>
    <w:p w14:paraId="43F0756E"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r w:rsidRPr="00FA093E">
        <w:rPr>
          <w:rFonts w:ascii="Times New Roman" w:eastAsia="Batang" w:hAnsi="Times New Roman"/>
          <w:b/>
          <w:lang w:eastAsia="ko-KR"/>
        </w:rPr>
        <w:t>Assessments of Development Results (ADR)</w:t>
      </w:r>
    </w:p>
    <w:p w14:paraId="7AD5D6B9"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789B6845" w14:textId="77777777" w:rsidR="00B71791" w:rsidRPr="00FA093E" w:rsidRDefault="00B71791"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Status of Management Response commitments for ADRs completed in 2012: (Egypt, Sri Lanka, Paraguay, DRC, UAE, Djibouti, Tunisia, Costa Rica, India, Moldova, Nepal, Pacific Islands)</w:t>
      </w:r>
    </w:p>
    <w:p w14:paraId="7CFC2303" w14:textId="77777777" w:rsidR="00B71791" w:rsidRPr="00FA093E" w:rsidRDefault="00B71791" w:rsidP="00FA093E">
      <w:pPr>
        <w:pStyle w:val="ListParagraph"/>
        <w:numPr>
          <w:ilvl w:val="0"/>
          <w:numId w:val="3"/>
        </w:numPr>
        <w:tabs>
          <w:tab w:val="left" w:pos="360"/>
        </w:tabs>
        <w:spacing w:before="240" w:after="0" w:line="240" w:lineRule="auto"/>
        <w:jc w:val="both"/>
        <w:rPr>
          <w:rFonts w:ascii="Times New Roman" w:eastAsia="Batang" w:hAnsi="Times New Roman"/>
          <w:lang w:eastAsia="ko-KR"/>
        </w:rPr>
      </w:pPr>
      <w:r w:rsidRPr="00FA093E">
        <w:rPr>
          <w:rFonts w:ascii="Times New Roman" w:eastAsia="Batang" w:hAnsi="Times New Roman"/>
          <w:lang w:eastAsia="ko-KR"/>
        </w:rPr>
        <w:t xml:space="preserve"> Details of how each country office has responded to the ADR recommendations can be found in their respective management responses, which are uploaded in the Evaluation Resource Center database. UNDP management is pleased to note that the ADRs affirm partner perceptions of UNDP as “a valued, respected and key development partner supporting government”, as well as the relevance of the work of the organization to national priorities and development challenges. UNDP notes in particular the positive findings related to UNDP’s contributions to the achievement of the MDGs, and the work of the organization to integrate gender and human rights in programming. With regard to weaknesses and challenges, UNDP management has taken concrete steps over the past three years to address these issues in line with partner government priorities.</w:t>
      </w:r>
    </w:p>
    <w:p w14:paraId="6FD82558"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521D9987" w14:textId="77777777" w:rsidR="00B71791" w:rsidRPr="00FA093E" w:rsidRDefault="00B71791"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Status of Management Response commitments for ADRs completed in 2013: (Sierra Leone, Timor-Leste, Afghanistan, Kenya, Algeria, Angola, Croatia, Côte d’Ivoire, Niger)</w:t>
      </w:r>
    </w:p>
    <w:p w14:paraId="5497B3EC" w14:textId="77777777" w:rsidR="00B71791" w:rsidRPr="00FA093E" w:rsidRDefault="00B71791" w:rsidP="00FA093E">
      <w:pPr>
        <w:pStyle w:val="ListParagraph"/>
        <w:numPr>
          <w:ilvl w:val="0"/>
          <w:numId w:val="3"/>
        </w:numPr>
        <w:tabs>
          <w:tab w:val="left" w:pos="360"/>
        </w:tabs>
        <w:spacing w:before="240" w:after="0" w:line="240" w:lineRule="auto"/>
        <w:jc w:val="both"/>
        <w:rPr>
          <w:rFonts w:ascii="Times New Roman" w:eastAsia="Batang" w:hAnsi="Times New Roman"/>
          <w:i/>
          <w:lang w:eastAsia="ko-KR"/>
        </w:rPr>
      </w:pPr>
      <w:r w:rsidRPr="00FA093E">
        <w:rPr>
          <w:rFonts w:ascii="Times New Roman" w:eastAsia="Batang" w:hAnsi="Times New Roman"/>
          <w:lang w:eastAsia="ko-KR"/>
        </w:rPr>
        <w:t xml:space="preserve">Details of how each country office has responded to the ADR recommendations can be found in their respective management responses, which are uploaded in the Evaluation Resource Center database. UNDP management is pleased to note that the ADRs indicated that UNDP’s response to national priorities, in the four of those countries that recently witnessed political and social instability, was “strategic and relevant in the transition from post-conflict scenarios to national context, and from peace-building to development”. UNDP management notes in particular the positive findings related to the ability of the organization to “adapt to the recurrence of conflict by repositioning its support to align with immediate and emerging needs”. This confirms that the organization’s efforts to make UNDP more nimble and flexible are bearing fruits. </w:t>
      </w:r>
    </w:p>
    <w:p w14:paraId="5ADE4371" w14:textId="77777777" w:rsidR="00B71791" w:rsidRPr="00FA093E" w:rsidRDefault="00B71791" w:rsidP="00FA093E">
      <w:pPr>
        <w:spacing w:after="0" w:line="240" w:lineRule="auto"/>
        <w:rPr>
          <w:rFonts w:ascii="Times New Roman" w:eastAsia="Batang" w:hAnsi="Times New Roman"/>
          <w:i/>
          <w:lang w:eastAsia="ko-KR"/>
        </w:rPr>
      </w:pPr>
    </w:p>
    <w:p w14:paraId="1BCE36AC" w14:textId="77777777" w:rsidR="00B71791" w:rsidRPr="00FA093E" w:rsidRDefault="00B71791" w:rsidP="00FA093E">
      <w:pPr>
        <w:spacing w:after="0" w:line="240" w:lineRule="auto"/>
        <w:rPr>
          <w:rFonts w:ascii="Times New Roman" w:eastAsia="Batang" w:hAnsi="Times New Roman"/>
          <w:i/>
          <w:lang w:eastAsia="ko-KR"/>
        </w:rPr>
      </w:pPr>
      <w:r w:rsidRPr="00FA093E">
        <w:rPr>
          <w:rFonts w:ascii="Times New Roman" w:eastAsia="Batang" w:hAnsi="Times New Roman"/>
          <w:i/>
          <w:lang w:eastAsia="ko-KR"/>
        </w:rPr>
        <w:t>Status of Management Response commitments for ADRs completed in 2014: (Armenia)</w:t>
      </w:r>
    </w:p>
    <w:p w14:paraId="5114182F" w14:textId="77777777" w:rsidR="00B71791" w:rsidRPr="00FA093E" w:rsidRDefault="00B71791" w:rsidP="00FA093E">
      <w:pPr>
        <w:tabs>
          <w:tab w:val="left" w:pos="360"/>
        </w:tabs>
        <w:spacing w:after="0" w:line="240" w:lineRule="auto"/>
        <w:contextualSpacing/>
        <w:jc w:val="both"/>
        <w:rPr>
          <w:rFonts w:ascii="Times New Roman" w:eastAsia="Batang" w:hAnsi="Times New Roman"/>
          <w:lang w:eastAsia="ko-KR"/>
        </w:rPr>
      </w:pPr>
    </w:p>
    <w:p w14:paraId="0AF0A9A8" w14:textId="77777777" w:rsidR="00B71791" w:rsidRPr="00FA093E" w:rsidRDefault="00B71791" w:rsidP="00FA093E">
      <w:pPr>
        <w:pStyle w:val="ListParagraph"/>
        <w:numPr>
          <w:ilvl w:val="0"/>
          <w:numId w:val="3"/>
        </w:numPr>
        <w:tabs>
          <w:tab w:val="left" w:pos="360"/>
        </w:tabs>
        <w:spacing w:after="0" w:line="240" w:lineRule="auto"/>
        <w:jc w:val="both"/>
        <w:rPr>
          <w:rFonts w:ascii="Times New Roman" w:eastAsia="Batang" w:hAnsi="Times New Roman"/>
          <w:lang w:eastAsia="ko-KR"/>
        </w:rPr>
      </w:pPr>
      <w:r w:rsidRPr="00FA093E">
        <w:rPr>
          <w:rFonts w:ascii="Times New Roman" w:eastAsia="Batang" w:hAnsi="Times New Roman"/>
          <w:lang w:eastAsia="ko-KR"/>
        </w:rPr>
        <w:lastRenderedPageBreak/>
        <w:t xml:space="preserve"> As per the Annual Report on evaluation, only one independent evaluation was completed in 2014, namely the </w:t>
      </w:r>
      <w:r w:rsidRPr="00FA093E">
        <w:rPr>
          <w:rFonts w:ascii="Times New Roman" w:eastAsia="Batang" w:hAnsi="Times New Roman"/>
          <w:b/>
          <w:lang w:eastAsia="ko-KR"/>
        </w:rPr>
        <w:t>Assessment for Development Results in Armenia</w:t>
      </w:r>
      <w:r w:rsidRPr="00FA093E">
        <w:rPr>
          <w:rFonts w:ascii="Times New Roman" w:eastAsia="Batang" w:hAnsi="Times New Roman"/>
          <w:lang w:eastAsia="ko-KR"/>
        </w:rPr>
        <w:t>. UNDP management is pleased to note that the ADR has indicated that UNDP has made relevant contributions to national development outcomes in Armenia and worked well with national stakeholders. UNDP took note of the ADR recommendations to: i) hold further discussions with Government to redefine a more consultative relationship with regard to strategic prioritization of resources, selection of programme themes and beneficiaries; ii) define ways to ensure UNDP’s neutrality, efficiency and effectiveness is not compromised; and iii) to allow UNDP to have the flexibility needed to continue to foster innovation, to ensure value for money and to make timely and efficient contributions to sustainable development in Armenia. The country programme for Armenia is responding to the ADR recommendations.</w:t>
      </w:r>
    </w:p>
    <w:p w14:paraId="4DA938B2" w14:textId="77777777" w:rsidR="005A2F7A" w:rsidRPr="00FA093E" w:rsidRDefault="005A2F7A" w:rsidP="00FA093E">
      <w:pPr>
        <w:tabs>
          <w:tab w:val="left" w:pos="360"/>
        </w:tabs>
        <w:spacing w:after="0" w:line="240" w:lineRule="auto"/>
        <w:contextualSpacing/>
        <w:jc w:val="both"/>
        <w:rPr>
          <w:rFonts w:ascii="Times New Roman" w:eastAsia="Batang" w:hAnsi="Times New Roman"/>
          <w:i/>
          <w:lang w:eastAsia="ko-KR"/>
        </w:rPr>
      </w:pPr>
    </w:p>
    <w:p w14:paraId="6FF0D403" w14:textId="560343DB" w:rsidR="00B71791" w:rsidRPr="00FA093E" w:rsidRDefault="00B71791" w:rsidP="00FA093E">
      <w:pPr>
        <w:tabs>
          <w:tab w:val="left" w:pos="360"/>
        </w:tabs>
        <w:spacing w:after="0" w:line="240" w:lineRule="auto"/>
        <w:contextualSpacing/>
        <w:jc w:val="both"/>
        <w:rPr>
          <w:rFonts w:ascii="Times New Roman" w:eastAsia="Batang" w:hAnsi="Times New Roman"/>
          <w:i/>
          <w:lang w:eastAsia="ko-KR"/>
        </w:rPr>
      </w:pPr>
      <w:r w:rsidRPr="00FA093E">
        <w:rPr>
          <w:rFonts w:ascii="Times New Roman" w:eastAsia="Batang" w:hAnsi="Times New Roman"/>
          <w:i/>
          <w:lang w:eastAsia="ko-KR"/>
        </w:rPr>
        <w:t xml:space="preserve">Status of Management Response commitments for ADRs </w:t>
      </w:r>
      <w:r w:rsidR="00407C33" w:rsidRPr="00FA093E">
        <w:rPr>
          <w:rFonts w:ascii="Times New Roman" w:eastAsia="Batang" w:hAnsi="Times New Roman"/>
          <w:i/>
          <w:lang w:eastAsia="ko-KR"/>
        </w:rPr>
        <w:t xml:space="preserve">conducted </w:t>
      </w:r>
      <w:r w:rsidRPr="00FA093E">
        <w:rPr>
          <w:rFonts w:ascii="Times New Roman" w:eastAsia="Batang" w:hAnsi="Times New Roman"/>
          <w:i/>
          <w:lang w:eastAsia="ko-KR"/>
        </w:rPr>
        <w:t>in 2015: (Ethiopia,</w:t>
      </w:r>
      <w:r w:rsidR="0009352D" w:rsidRPr="00FA093E">
        <w:rPr>
          <w:rFonts w:ascii="Times New Roman" w:eastAsia="Batang" w:hAnsi="Times New Roman"/>
          <w:i/>
          <w:lang w:eastAsia="ko-KR"/>
        </w:rPr>
        <w:t xml:space="preserve"> </w:t>
      </w:r>
      <w:r w:rsidRPr="00FA093E">
        <w:rPr>
          <w:rFonts w:ascii="Times New Roman" w:eastAsia="Batang" w:hAnsi="Times New Roman"/>
          <w:i/>
          <w:lang w:eastAsia="ko-KR"/>
        </w:rPr>
        <w:t>Zimbabwe)</w:t>
      </w:r>
    </w:p>
    <w:p w14:paraId="46F5949E" w14:textId="61942626" w:rsidR="00153A9F" w:rsidRPr="00FA093E" w:rsidRDefault="00B71791" w:rsidP="00FA093E">
      <w:pPr>
        <w:pStyle w:val="ListParagraph"/>
        <w:numPr>
          <w:ilvl w:val="0"/>
          <w:numId w:val="3"/>
        </w:numPr>
        <w:tabs>
          <w:tab w:val="left" w:pos="360"/>
        </w:tabs>
        <w:spacing w:before="240" w:after="0" w:line="240" w:lineRule="auto"/>
        <w:jc w:val="both"/>
        <w:rPr>
          <w:rFonts w:ascii="Times New Roman" w:hAnsi="Times New Roman"/>
        </w:rPr>
      </w:pPr>
      <w:r w:rsidRPr="00FA093E">
        <w:rPr>
          <w:rFonts w:ascii="Times New Roman" w:eastAsia="Batang" w:hAnsi="Times New Roman"/>
          <w:lang w:eastAsia="ko-KR"/>
        </w:rPr>
        <w:t xml:space="preserve">Details of how each country office has responded to the ADR recommendations can be found in their respective management responses, which are uploaded in the Evaluation Resource Center database. UNDP management is pleased to note that the ADRs indicated that UNDP interventions were in full alignment with the national and sectoral development plans and policies. The ADR also noted that UNDP has made significant contributions to results in the environment, energy and climate change sectors in these countries. </w:t>
      </w:r>
    </w:p>
    <w:p w14:paraId="56533F79" w14:textId="77777777" w:rsidR="00153A9F" w:rsidRPr="00FA093E" w:rsidRDefault="00153A9F" w:rsidP="00FA093E">
      <w:pPr>
        <w:pStyle w:val="ListParagraph"/>
        <w:spacing w:after="0" w:line="240" w:lineRule="auto"/>
        <w:ind w:left="360"/>
        <w:jc w:val="both"/>
        <w:rPr>
          <w:rFonts w:ascii="Times New Roman" w:hAnsi="Times New Roman"/>
        </w:rPr>
      </w:pPr>
    </w:p>
    <w:p w14:paraId="52B6E923" w14:textId="77777777" w:rsidR="009050B4" w:rsidRPr="00FA093E" w:rsidRDefault="00966DC3" w:rsidP="00FA093E">
      <w:pPr>
        <w:pStyle w:val="ListParagraph"/>
        <w:numPr>
          <w:ilvl w:val="0"/>
          <w:numId w:val="37"/>
        </w:numPr>
        <w:spacing w:after="0" w:line="240" w:lineRule="auto"/>
        <w:jc w:val="both"/>
        <w:rPr>
          <w:rFonts w:ascii="Times New Roman" w:hAnsi="Times New Roman"/>
          <w:b/>
          <w:color w:val="FF0000"/>
        </w:rPr>
      </w:pPr>
      <w:r w:rsidRPr="00FA093E">
        <w:rPr>
          <w:rFonts w:ascii="Times New Roman" w:hAnsi="Times New Roman"/>
          <w:b/>
        </w:rPr>
        <w:t>Management response to strategic advice of the Audit Advisory Committee (AAC)</w:t>
      </w:r>
      <w:r w:rsidR="009050B4" w:rsidRPr="00FA093E">
        <w:rPr>
          <w:rFonts w:ascii="Times New Roman" w:hAnsi="Times New Roman"/>
          <w:b/>
        </w:rPr>
        <w:t xml:space="preserve">- </w:t>
      </w:r>
    </w:p>
    <w:p w14:paraId="4E1AB7EF" w14:textId="77777777" w:rsidR="000C7B6E" w:rsidRPr="00FA093E" w:rsidRDefault="000C7B6E" w:rsidP="00FA093E">
      <w:pPr>
        <w:pStyle w:val="ListParagraph"/>
        <w:spacing w:line="240" w:lineRule="auto"/>
        <w:rPr>
          <w:rFonts w:ascii="Times New Roman" w:hAnsi="Times New Roman"/>
          <w:b/>
          <w:color w:val="FF0000"/>
        </w:rPr>
      </w:pPr>
    </w:p>
    <w:p w14:paraId="720F2BF4" w14:textId="77777777" w:rsidR="000C7B6E" w:rsidRPr="00FA093E" w:rsidRDefault="000C7B6E"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The Administrator of UNDP and the senior management offer their appreciation on the comprehensive and incisive 2015 AAC report.  The regular advice provided by the AAC is also truly valued. UNDP management appreciates the strategic advice provided by the AAC and has carefully reviewed the 2015 Annual Report and advice provided in the various areas identified in the report.  There are a number of common issues identified in the OAI and AAC reports and hence the management solutions have already been elaborated in the preceding sections on the management response to the OAI report.</w:t>
      </w:r>
    </w:p>
    <w:p w14:paraId="4B163191" w14:textId="77777777" w:rsidR="00E72CAA" w:rsidRPr="00FA093E" w:rsidRDefault="00E72CAA" w:rsidP="00FA093E">
      <w:pPr>
        <w:pStyle w:val="ListParagraph"/>
        <w:spacing w:after="0" w:line="240" w:lineRule="auto"/>
        <w:ind w:left="360"/>
        <w:jc w:val="both"/>
        <w:rPr>
          <w:rFonts w:ascii="Times New Roman" w:hAnsi="Times New Roman"/>
        </w:rPr>
      </w:pPr>
    </w:p>
    <w:p w14:paraId="2D786051" w14:textId="77777777" w:rsidR="000C7B6E" w:rsidRPr="00FA093E" w:rsidRDefault="000C7B6E" w:rsidP="00FA093E">
      <w:pPr>
        <w:pStyle w:val="ListParagraph"/>
        <w:numPr>
          <w:ilvl w:val="0"/>
          <w:numId w:val="3"/>
        </w:numPr>
        <w:spacing w:after="0" w:line="240" w:lineRule="auto"/>
        <w:jc w:val="both"/>
        <w:rPr>
          <w:rFonts w:ascii="Times New Roman" w:hAnsi="Times New Roman"/>
          <w:b/>
        </w:rPr>
      </w:pPr>
      <w:r w:rsidRPr="00FA093E">
        <w:rPr>
          <w:rFonts w:ascii="Times New Roman" w:hAnsi="Times New Roman"/>
        </w:rPr>
        <w:t xml:space="preserve">UNDP management takes note of the strategic advice given to management with regards to the structural change; Enterprise Risk Management (ERM) and other operational areas. Management has fully noted AACs comments and recommendations under paragraphs 10 and 33 of the report and appropriate actions will be taken.   </w:t>
      </w:r>
    </w:p>
    <w:p w14:paraId="7E13D8B1" w14:textId="77777777" w:rsidR="000C7B6E" w:rsidRPr="00FA093E" w:rsidRDefault="000C7B6E" w:rsidP="00FA093E">
      <w:pPr>
        <w:pStyle w:val="ListParagraph"/>
        <w:spacing w:after="0" w:line="240" w:lineRule="auto"/>
        <w:ind w:left="360"/>
        <w:jc w:val="both"/>
        <w:rPr>
          <w:rFonts w:ascii="Times New Roman" w:hAnsi="Times New Roman"/>
          <w:b/>
        </w:rPr>
      </w:pPr>
    </w:p>
    <w:p w14:paraId="5A6CF343" w14:textId="77777777" w:rsidR="000C7B6E" w:rsidRPr="00FA093E" w:rsidRDefault="000C7B6E"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Appropriate funding arrangements have been made with respect to the 2016 OAI budget to underscore OAIs independence.   In line with the overall decline of core resources available for the institutional budget, UNDP management units reduced their budgets by 15% during 2015, whilst the oversight units </w:t>
      </w:r>
      <w:r w:rsidR="00B23BB4" w:rsidRPr="00FA093E">
        <w:rPr>
          <w:rFonts w:ascii="Times New Roman" w:hAnsi="Times New Roman"/>
          <w:bCs/>
        </w:rPr>
        <w:t>were protected through a smaller reduction of 4%.</w:t>
      </w:r>
      <w:r w:rsidR="00B23BB4" w:rsidRPr="00FA093E">
        <w:rPr>
          <w:rFonts w:ascii="Times New Roman" w:hAnsi="Times New Roman"/>
          <w:b/>
          <w:bCs/>
        </w:rPr>
        <w:t xml:space="preserve"> </w:t>
      </w:r>
      <w:r w:rsidRPr="00FA093E">
        <w:rPr>
          <w:rFonts w:ascii="Times New Roman" w:hAnsi="Times New Roman"/>
        </w:rPr>
        <w:t>.  Management assures the AAC that a strategy is being formulated to address issues related to fraud prevention and recovery of funds by a cross-functional taskforce.  Intensive efforts are ongoing to address long outstanding OAI audit recommendations including inclusion in the 2016 integrated work plans and regular reviews by OPG and EG. Management takes note of the positive comments and advice related to the other internal oversight offices i.e. the Ethics Office and Independent Evaluation Office.</w:t>
      </w:r>
    </w:p>
    <w:p w14:paraId="20BD4003" w14:textId="77777777" w:rsidR="00A938A0" w:rsidRPr="00FA093E" w:rsidRDefault="00A938A0" w:rsidP="00FA093E">
      <w:pPr>
        <w:pStyle w:val="ListParagraph"/>
        <w:spacing w:after="0" w:line="240" w:lineRule="auto"/>
        <w:ind w:left="360"/>
        <w:jc w:val="both"/>
        <w:rPr>
          <w:rFonts w:ascii="Times New Roman" w:hAnsi="Times New Roman"/>
          <w:b/>
        </w:rPr>
      </w:pPr>
    </w:p>
    <w:p w14:paraId="174D716F" w14:textId="77777777" w:rsidR="000C7B6E" w:rsidRPr="00FA093E" w:rsidRDefault="000C7B6E" w:rsidP="00FA093E">
      <w:pPr>
        <w:pStyle w:val="ListParagraph"/>
        <w:numPr>
          <w:ilvl w:val="0"/>
          <w:numId w:val="3"/>
        </w:numPr>
        <w:spacing w:after="0" w:line="240" w:lineRule="auto"/>
        <w:jc w:val="both"/>
        <w:rPr>
          <w:rFonts w:ascii="Times New Roman" w:hAnsi="Times New Roman"/>
          <w:b/>
        </w:rPr>
      </w:pPr>
      <w:r w:rsidRPr="00FA093E">
        <w:rPr>
          <w:rFonts w:ascii="Times New Roman" w:hAnsi="Times New Roman"/>
        </w:rPr>
        <w:t xml:space="preserve">Regarding the advice of the AAC to the UN Board of Auditors (UNBOA) and the concern of the AAC on issues related to programme and project management becoming a common trend in both internal and external audit reports, UNDP recently launched a new approach to programme and project management and it is envisioned that it will take two to three years for all offices to fully implement </w:t>
      </w:r>
      <w:r w:rsidRPr="00FA093E">
        <w:rPr>
          <w:rFonts w:ascii="Times New Roman" w:hAnsi="Times New Roman"/>
        </w:rPr>
        <w:lastRenderedPageBreak/>
        <w:t xml:space="preserve">the reforms. On the new international auditing standard on the audit report, and the advice of the AAC for UNDP to consider piloting the standard with the 2015 audit report, UNDP management initiated a discussion with the UNBOA. The UNBOA is still assessing whether the standard is applicable to UN entities including UNDP. UNDP awaits a response/direction from the UNBOA in this regard and as such will not yet pilot the standard. </w:t>
      </w:r>
    </w:p>
    <w:p w14:paraId="11056799" w14:textId="77777777" w:rsidR="000C7B6E" w:rsidRPr="00FA093E" w:rsidRDefault="000C7B6E" w:rsidP="00FA093E">
      <w:pPr>
        <w:pStyle w:val="ListParagraph"/>
        <w:spacing w:after="0" w:line="240" w:lineRule="auto"/>
        <w:ind w:left="360"/>
        <w:jc w:val="both"/>
        <w:rPr>
          <w:rFonts w:ascii="Times New Roman" w:hAnsi="Times New Roman"/>
          <w:b/>
        </w:rPr>
      </w:pPr>
    </w:p>
    <w:p w14:paraId="17641BDF" w14:textId="77777777" w:rsidR="000C7B6E" w:rsidRPr="00FA093E" w:rsidRDefault="000C7B6E" w:rsidP="00FA093E">
      <w:pPr>
        <w:pStyle w:val="ListParagraph"/>
        <w:spacing w:after="0" w:line="240" w:lineRule="auto"/>
        <w:jc w:val="both"/>
        <w:rPr>
          <w:rFonts w:ascii="Times New Roman" w:hAnsi="Times New Roman"/>
          <w:b/>
          <w:color w:val="FF0000"/>
        </w:rPr>
      </w:pPr>
    </w:p>
    <w:p w14:paraId="768DF1D5" w14:textId="77777777" w:rsidR="00966DC3" w:rsidRPr="00FA093E" w:rsidRDefault="00966DC3" w:rsidP="00FA093E">
      <w:pPr>
        <w:pStyle w:val="ListParagraph"/>
        <w:numPr>
          <w:ilvl w:val="0"/>
          <w:numId w:val="37"/>
        </w:numPr>
        <w:spacing w:after="0" w:line="240" w:lineRule="auto"/>
        <w:jc w:val="both"/>
        <w:rPr>
          <w:rFonts w:ascii="Times New Roman" w:hAnsi="Times New Roman"/>
          <w:b/>
        </w:rPr>
      </w:pPr>
      <w:r w:rsidRPr="00FA093E">
        <w:rPr>
          <w:rFonts w:ascii="Times New Roman" w:hAnsi="Times New Roman"/>
          <w:b/>
        </w:rPr>
        <w:t xml:space="preserve">Management response to Matters highlighted in the 2015 Annual Report of the Ethics Office </w:t>
      </w:r>
    </w:p>
    <w:p w14:paraId="3E835E95" w14:textId="77777777" w:rsidR="00966DC3" w:rsidRPr="00FA093E" w:rsidRDefault="00966DC3" w:rsidP="00FA093E">
      <w:pPr>
        <w:pStyle w:val="ListParagraph"/>
        <w:spacing w:after="0" w:line="240" w:lineRule="auto"/>
        <w:ind w:left="360"/>
        <w:jc w:val="both"/>
        <w:rPr>
          <w:rFonts w:ascii="Times New Roman" w:hAnsi="Times New Roman"/>
        </w:rPr>
      </w:pPr>
    </w:p>
    <w:p w14:paraId="50D04AAD" w14:textId="77777777" w:rsidR="00945380" w:rsidRPr="00FA093E" w:rsidRDefault="00945380"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UNDP management takes note of the 2015 achievements of the Ethics Office, and commends the office for its innovative use of technology to reach a wider audience to conduct i</w:t>
      </w:r>
      <w:r w:rsidR="002A2DB8" w:rsidRPr="00FA093E">
        <w:rPr>
          <w:rFonts w:ascii="Times New Roman" w:hAnsi="Times New Roman"/>
        </w:rPr>
        <w:t>t</w:t>
      </w:r>
      <w:r w:rsidRPr="00FA093E">
        <w:rPr>
          <w:rFonts w:ascii="Times New Roman" w:hAnsi="Times New Roman"/>
        </w:rPr>
        <w:t xml:space="preserve">s ethics awareness training. </w:t>
      </w:r>
    </w:p>
    <w:p w14:paraId="61CDB2CD" w14:textId="77777777" w:rsidR="00945380" w:rsidRPr="00FA093E" w:rsidRDefault="00945380" w:rsidP="00FA093E">
      <w:pPr>
        <w:pStyle w:val="ListParagraph"/>
        <w:spacing w:after="0" w:line="240" w:lineRule="auto"/>
        <w:ind w:left="360"/>
        <w:jc w:val="both"/>
        <w:rPr>
          <w:rFonts w:ascii="Times New Roman" w:hAnsi="Times New Roman"/>
          <w:iCs/>
        </w:rPr>
      </w:pPr>
    </w:p>
    <w:p w14:paraId="2B514827" w14:textId="77777777" w:rsidR="00945380" w:rsidRPr="00FA093E" w:rsidRDefault="00945380" w:rsidP="00FA093E">
      <w:pPr>
        <w:pStyle w:val="ListParagraph"/>
        <w:numPr>
          <w:ilvl w:val="0"/>
          <w:numId w:val="3"/>
        </w:numPr>
        <w:spacing w:line="240" w:lineRule="auto"/>
        <w:jc w:val="both"/>
        <w:rPr>
          <w:rFonts w:ascii="Times New Roman" w:hAnsi="Times New Roman"/>
        </w:rPr>
      </w:pPr>
      <w:r w:rsidRPr="00FA093E">
        <w:rPr>
          <w:rFonts w:ascii="Times New Roman" w:hAnsi="Times New Roman"/>
        </w:rPr>
        <w:t>In line with the overall decline of core resources available for the institutional budget, UNDP management units reduced their budgets by 15% during 2015, whilst the oversight units were reduced by a smaller amount of 4% to ensure adequate budget was available for staffing.  However, during the year, there were vacant positions which the Ethics office was allowed to monetize in order to avail itself temporary assistance.  Since then, UNDP management has supported the ethics office in recruitment of the vacant positions.  UNDP management lauds the creativity that the Ethics Office brings to its work within the constrained funding environment.</w:t>
      </w:r>
    </w:p>
    <w:p w14:paraId="6849C64C" w14:textId="77777777" w:rsidR="00945380" w:rsidRPr="00FA093E" w:rsidRDefault="00945380" w:rsidP="00FA093E">
      <w:pPr>
        <w:pStyle w:val="ListParagraph"/>
        <w:spacing w:after="0" w:line="240" w:lineRule="auto"/>
        <w:ind w:left="360"/>
        <w:jc w:val="both"/>
        <w:rPr>
          <w:rFonts w:ascii="Times New Roman" w:eastAsia="Batang" w:hAnsi="Times New Roman"/>
          <w:lang w:eastAsia="ko-KR"/>
        </w:rPr>
      </w:pPr>
    </w:p>
    <w:p w14:paraId="71495269" w14:textId="77777777" w:rsidR="00945380" w:rsidRPr="00FA093E" w:rsidRDefault="00945380" w:rsidP="00FA093E">
      <w:pPr>
        <w:pStyle w:val="ListParagraph"/>
        <w:numPr>
          <w:ilvl w:val="0"/>
          <w:numId w:val="3"/>
        </w:numPr>
        <w:spacing w:after="0" w:line="240" w:lineRule="auto"/>
        <w:jc w:val="both"/>
        <w:rPr>
          <w:rFonts w:ascii="Times New Roman" w:hAnsi="Times New Roman"/>
        </w:rPr>
      </w:pPr>
      <w:r w:rsidRPr="00FA093E">
        <w:rPr>
          <w:rFonts w:ascii="Times New Roman" w:hAnsi="Times New Roman"/>
        </w:rPr>
        <w:t xml:space="preserve">In response to the first recommendation, work is ongoing within </w:t>
      </w:r>
      <w:r w:rsidR="002A2DB8" w:rsidRPr="00FA093E">
        <w:rPr>
          <w:rFonts w:ascii="Times New Roman" w:hAnsi="Times New Roman"/>
        </w:rPr>
        <w:t>t</w:t>
      </w:r>
      <w:r w:rsidRPr="00FA093E">
        <w:rPr>
          <w:rFonts w:ascii="Times New Roman" w:hAnsi="Times New Roman"/>
        </w:rPr>
        <w:t>he Bureau for Management Services with a lead role played by the OHR</w:t>
      </w:r>
      <w:r w:rsidR="009050B4" w:rsidRPr="00FA093E">
        <w:rPr>
          <w:rFonts w:ascii="Times New Roman" w:hAnsi="Times New Roman"/>
        </w:rPr>
        <w:t>, to</w:t>
      </w:r>
      <w:r w:rsidRPr="00FA093E">
        <w:rPr>
          <w:rFonts w:ascii="Times New Roman" w:hAnsi="Times New Roman"/>
        </w:rPr>
        <w:t xml:space="preserve"> finalize a guidance </w:t>
      </w:r>
      <w:r w:rsidR="009050B4" w:rsidRPr="00FA093E">
        <w:rPr>
          <w:rFonts w:ascii="Times New Roman" w:hAnsi="Times New Roman"/>
        </w:rPr>
        <w:t xml:space="preserve">note to </w:t>
      </w:r>
      <w:r w:rsidRPr="00FA093E">
        <w:rPr>
          <w:rFonts w:ascii="Times New Roman" w:hAnsi="Times New Roman"/>
        </w:rPr>
        <w:t>HR practitioners on the various modalities for cooperation with governmental authorities concerning loaned staff or individuals with a government affiliation. In addition, the Service Contract guidelines (for project personnel) will also be amended to include this guidance.  Additionally, revised Non-Reimbursable Loan Agreements (NRLA) are scheduled to be released in 2016.  In line with UNDP</w:t>
      </w:r>
      <w:r w:rsidR="00506ECD" w:rsidRPr="00FA093E">
        <w:rPr>
          <w:rFonts w:ascii="Times New Roman" w:hAnsi="Times New Roman"/>
        </w:rPr>
        <w:t>’</w:t>
      </w:r>
      <w:r w:rsidRPr="00FA093E">
        <w:rPr>
          <w:rFonts w:ascii="Times New Roman" w:hAnsi="Times New Roman"/>
        </w:rPr>
        <w:t>s corporate accountability framework, compliance will be monitored through the senior management of country offices, regional and central bureaus.</w:t>
      </w:r>
    </w:p>
    <w:p w14:paraId="24EB6934" w14:textId="77777777" w:rsidR="00945380" w:rsidRPr="00FA093E" w:rsidRDefault="00945380" w:rsidP="00FA093E">
      <w:pPr>
        <w:pStyle w:val="ListParagraph"/>
        <w:spacing w:after="0" w:line="240" w:lineRule="auto"/>
        <w:ind w:left="360"/>
        <w:jc w:val="both"/>
        <w:rPr>
          <w:rFonts w:ascii="Times New Roman" w:hAnsi="Times New Roman"/>
        </w:rPr>
      </w:pPr>
    </w:p>
    <w:p w14:paraId="762FA875" w14:textId="77777777" w:rsidR="00945380" w:rsidRPr="00FA093E" w:rsidRDefault="009050B4" w:rsidP="00FA093E">
      <w:pPr>
        <w:pStyle w:val="ListParagraph"/>
        <w:numPr>
          <w:ilvl w:val="0"/>
          <w:numId w:val="3"/>
        </w:numPr>
        <w:spacing w:line="240" w:lineRule="auto"/>
        <w:jc w:val="both"/>
        <w:rPr>
          <w:rFonts w:ascii="Times New Roman" w:hAnsi="Times New Roman"/>
        </w:rPr>
      </w:pPr>
      <w:r w:rsidRPr="00FA093E">
        <w:rPr>
          <w:rFonts w:ascii="Times New Roman" w:hAnsi="Times New Roman"/>
        </w:rPr>
        <w:t xml:space="preserve">On the second Recommendation, </w:t>
      </w:r>
      <w:r w:rsidR="00945380" w:rsidRPr="00FA093E">
        <w:rPr>
          <w:rFonts w:ascii="Times New Roman" w:hAnsi="Times New Roman"/>
        </w:rPr>
        <w:t>UNDP Management continues its commitment for a strong engagement with the Ethics Office, and the Associate Administrator continues to have regular meetings with the Ethics Director.  The reshaped Organizational Performance Group (OPG) has improved the focus on internal performance while ensuring an enhanced focus on oversight issues, including ethics, through</w:t>
      </w:r>
      <w:r w:rsidR="00350B6B" w:rsidRPr="00FA093E">
        <w:rPr>
          <w:rFonts w:ascii="Times New Roman" w:hAnsi="Times New Roman"/>
        </w:rPr>
        <w:t xml:space="preserve"> regular </w:t>
      </w:r>
      <w:r w:rsidR="00945380" w:rsidRPr="00FA093E">
        <w:rPr>
          <w:rFonts w:ascii="Times New Roman" w:hAnsi="Times New Roman"/>
        </w:rPr>
        <w:t>dedicated meetings.  The Director of the Ethics Office has a standing invitation to participate in any OPG meetings on issues of concern</w:t>
      </w:r>
      <w:r w:rsidR="000C4CF3" w:rsidRPr="00FA093E">
        <w:rPr>
          <w:rFonts w:ascii="Times New Roman" w:hAnsi="Times New Roman"/>
        </w:rPr>
        <w:t xml:space="preserve">.  </w:t>
      </w:r>
      <w:r w:rsidR="00945380" w:rsidRPr="00FA093E">
        <w:rPr>
          <w:rFonts w:ascii="Times New Roman" w:hAnsi="Times New Roman"/>
        </w:rPr>
        <w:t xml:space="preserve">      </w:t>
      </w:r>
    </w:p>
    <w:p w14:paraId="1D5E9607" w14:textId="77777777" w:rsidR="00F33122" w:rsidRPr="00FA093E" w:rsidRDefault="00F33122" w:rsidP="00FA093E">
      <w:pPr>
        <w:spacing w:after="0" w:line="240" w:lineRule="auto"/>
        <w:jc w:val="both"/>
        <w:rPr>
          <w:rFonts w:ascii="Times New Roman" w:hAnsi="Times New Roman"/>
        </w:rPr>
      </w:pPr>
    </w:p>
    <w:p w14:paraId="50AE5865" w14:textId="77777777" w:rsidR="00843359" w:rsidRPr="00FA093E" w:rsidRDefault="00843359" w:rsidP="00FA093E">
      <w:pPr>
        <w:pStyle w:val="ListParagraph"/>
        <w:numPr>
          <w:ilvl w:val="0"/>
          <w:numId w:val="37"/>
        </w:numPr>
        <w:spacing w:after="0" w:line="240" w:lineRule="auto"/>
        <w:jc w:val="both"/>
        <w:rPr>
          <w:rFonts w:ascii="Times New Roman" w:hAnsi="Times New Roman"/>
          <w:b/>
        </w:rPr>
      </w:pPr>
      <w:r w:rsidRPr="00FA093E">
        <w:rPr>
          <w:rFonts w:ascii="Times New Roman" w:hAnsi="Times New Roman"/>
          <w:b/>
        </w:rPr>
        <w:t>Conclusion</w:t>
      </w:r>
    </w:p>
    <w:p w14:paraId="4B81E9F7" w14:textId="77777777" w:rsidR="00B4709C" w:rsidRPr="00FA093E" w:rsidRDefault="00B4709C" w:rsidP="00FA093E">
      <w:pPr>
        <w:spacing w:after="0" w:line="240" w:lineRule="auto"/>
        <w:contextualSpacing/>
        <w:jc w:val="both"/>
        <w:rPr>
          <w:rFonts w:ascii="Times New Roman" w:hAnsi="Times New Roman"/>
          <w:b/>
        </w:rPr>
      </w:pPr>
    </w:p>
    <w:p w14:paraId="51F98950" w14:textId="4ADE0CC1" w:rsidR="00F30717" w:rsidRPr="006C36C7" w:rsidRDefault="00B4709C" w:rsidP="006C36C7">
      <w:pPr>
        <w:pStyle w:val="ListParagraph"/>
        <w:numPr>
          <w:ilvl w:val="0"/>
          <w:numId w:val="3"/>
        </w:numPr>
        <w:spacing w:after="0" w:line="240" w:lineRule="auto"/>
        <w:jc w:val="both"/>
        <w:rPr>
          <w:rFonts w:ascii="Times New Roman" w:hAnsi="Times New Roman"/>
        </w:rPr>
      </w:pPr>
      <w:r w:rsidRPr="006C36C7">
        <w:rPr>
          <w:rFonts w:ascii="Times New Roman" w:hAnsi="Times New Roman"/>
        </w:rPr>
        <w:t xml:space="preserve">In line with the revised </w:t>
      </w:r>
      <w:r w:rsidR="002A7126" w:rsidRPr="006C36C7">
        <w:rPr>
          <w:rFonts w:ascii="Times New Roman" w:hAnsi="Times New Roman"/>
        </w:rPr>
        <w:t xml:space="preserve">internal management </w:t>
      </w:r>
      <w:r w:rsidRPr="006C36C7">
        <w:rPr>
          <w:rFonts w:ascii="Times New Roman" w:hAnsi="Times New Roman"/>
        </w:rPr>
        <w:t xml:space="preserve">accountability framework and the last EB approved accountability </w:t>
      </w:r>
      <w:r w:rsidR="00F02045" w:rsidRPr="006C36C7">
        <w:rPr>
          <w:rFonts w:ascii="Times New Roman" w:hAnsi="Times New Roman"/>
        </w:rPr>
        <w:t xml:space="preserve">and oversight policy (DP/2008/16/Rev. 1), UNDP is fully committed to ensuring management accountability in the use of funds in </w:t>
      </w:r>
      <w:r w:rsidR="001B6A19" w:rsidRPr="006C36C7">
        <w:rPr>
          <w:rFonts w:ascii="Times New Roman" w:hAnsi="Times New Roman"/>
        </w:rPr>
        <w:t xml:space="preserve">implementing programmes and managing its offices. </w:t>
      </w:r>
      <w:r w:rsidR="009050B4" w:rsidRPr="006C36C7">
        <w:rPr>
          <w:rFonts w:ascii="Times New Roman" w:hAnsi="Times New Roman"/>
        </w:rPr>
        <w:t xml:space="preserve">  Management values the recommendations made by the independent oversight units and the role that they play in ensuring issues that require management attention are highlighted on a timely basis Strong</w:t>
      </w:r>
      <w:r w:rsidR="002C0BC1" w:rsidRPr="006C36C7">
        <w:rPr>
          <w:rFonts w:ascii="Times New Roman" w:hAnsi="Times New Roman"/>
        </w:rPr>
        <w:t xml:space="preserve"> accountability </w:t>
      </w:r>
      <w:r w:rsidR="00891EA6" w:rsidRPr="006C36C7">
        <w:rPr>
          <w:rFonts w:ascii="Times New Roman" w:hAnsi="Times New Roman"/>
        </w:rPr>
        <w:t xml:space="preserve">and </w:t>
      </w:r>
      <w:r w:rsidR="002C0BC1" w:rsidRPr="006C36C7">
        <w:rPr>
          <w:rFonts w:ascii="Times New Roman" w:hAnsi="Times New Roman"/>
        </w:rPr>
        <w:t>oversight provide an effective foundation for achieving the results of the</w:t>
      </w:r>
      <w:r w:rsidR="00891EA6" w:rsidRPr="006C36C7">
        <w:rPr>
          <w:rFonts w:ascii="Times New Roman" w:hAnsi="Times New Roman"/>
        </w:rPr>
        <w:t xml:space="preserve"> </w:t>
      </w:r>
      <w:r w:rsidR="00E75B6F" w:rsidRPr="006C36C7">
        <w:rPr>
          <w:rFonts w:ascii="Times New Roman" w:hAnsi="Times New Roman"/>
        </w:rPr>
        <w:t>2015</w:t>
      </w:r>
      <w:r w:rsidR="00891EA6" w:rsidRPr="006C36C7">
        <w:rPr>
          <w:rFonts w:ascii="Times New Roman" w:hAnsi="Times New Roman"/>
        </w:rPr>
        <w:t>-</w:t>
      </w:r>
      <w:r w:rsidR="000532C1" w:rsidRPr="006C36C7">
        <w:rPr>
          <w:rFonts w:ascii="Times New Roman" w:hAnsi="Times New Roman"/>
        </w:rPr>
        <w:t>20</w:t>
      </w:r>
      <w:r w:rsidR="00891EA6" w:rsidRPr="006C36C7">
        <w:rPr>
          <w:rFonts w:ascii="Times New Roman" w:hAnsi="Times New Roman"/>
        </w:rPr>
        <w:t xml:space="preserve">17 </w:t>
      </w:r>
      <w:r w:rsidR="00550940" w:rsidRPr="006C36C7">
        <w:rPr>
          <w:rFonts w:ascii="Times New Roman" w:hAnsi="Times New Roman"/>
        </w:rPr>
        <w:t>S</w:t>
      </w:r>
      <w:r w:rsidR="00891EA6" w:rsidRPr="006C36C7">
        <w:rPr>
          <w:rFonts w:ascii="Times New Roman" w:hAnsi="Times New Roman"/>
        </w:rPr>
        <w:t xml:space="preserve">trategic </w:t>
      </w:r>
      <w:r w:rsidR="00550940" w:rsidRPr="006C36C7">
        <w:rPr>
          <w:rFonts w:ascii="Times New Roman" w:hAnsi="Times New Roman"/>
        </w:rPr>
        <w:t>P</w:t>
      </w:r>
      <w:r w:rsidR="00891EA6" w:rsidRPr="006C36C7">
        <w:rPr>
          <w:rFonts w:ascii="Times New Roman" w:hAnsi="Times New Roman"/>
        </w:rPr>
        <w:t>lan in an efficient and effective manner</w:t>
      </w:r>
      <w:r w:rsidR="002C0BC1" w:rsidRPr="006C36C7">
        <w:rPr>
          <w:rFonts w:ascii="Times New Roman" w:hAnsi="Times New Roman"/>
        </w:rPr>
        <w:t>,</w:t>
      </w:r>
      <w:r w:rsidR="00891EA6" w:rsidRPr="006C36C7">
        <w:rPr>
          <w:rFonts w:ascii="Times New Roman" w:hAnsi="Times New Roman"/>
        </w:rPr>
        <w:t xml:space="preserve"> while </w:t>
      </w:r>
      <w:r w:rsidR="00550940" w:rsidRPr="006C36C7">
        <w:rPr>
          <w:rFonts w:ascii="Times New Roman" w:hAnsi="Times New Roman"/>
        </w:rPr>
        <w:t>appropriately</w:t>
      </w:r>
      <w:r w:rsidR="00891EA6" w:rsidRPr="006C36C7">
        <w:rPr>
          <w:rFonts w:ascii="Times New Roman" w:hAnsi="Times New Roman"/>
        </w:rPr>
        <w:t xml:space="preserve"> managing</w:t>
      </w:r>
      <w:r w:rsidR="00550940" w:rsidRPr="006C36C7">
        <w:rPr>
          <w:rFonts w:ascii="Times New Roman" w:hAnsi="Times New Roman"/>
        </w:rPr>
        <w:t xml:space="preserve"> </w:t>
      </w:r>
      <w:r w:rsidR="00891EA6" w:rsidRPr="006C36C7">
        <w:rPr>
          <w:rFonts w:ascii="Times New Roman" w:hAnsi="Times New Roman"/>
        </w:rPr>
        <w:t>risks</w:t>
      </w:r>
      <w:r w:rsidR="002C0BC1" w:rsidRPr="006C36C7">
        <w:rPr>
          <w:rFonts w:ascii="Times New Roman" w:hAnsi="Times New Roman"/>
        </w:rPr>
        <w:t xml:space="preserve"> </w:t>
      </w:r>
      <w:r w:rsidR="00891EA6" w:rsidRPr="006C36C7">
        <w:rPr>
          <w:rFonts w:ascii="Times New Roman" w:hAnsi="Times New Roman"/>
        </w:rPr>
        <w:t xml:space="preserve">in some of the </w:t>
      </w:r>
      <w:r w:rsidR="002C0BC1" w:rsidRPr="006C36C7">
        <w:rPr>
          <w:rFonts w:ascii="Times New Roman" w:hAnsi="Times New Roman"/>
        </w:rPr>
        <w:t>world’s most challenging operating</w:t>
      </w:r>
      <w:r w:rsidR="00891EA6" w:rsidRPr="006C36C7">
        <w:rPr>
          <w:rFonts w:ascii="Times New Roman" w:hAnsi="Times New Roman"/>
        </w:rPr>
        <w:t xml:space="preserve"> environments</w:t>
      </w:r>
      <w:r w:rsidR="00C94D50" w:rsidRPr="006C36C7">
        <w:rPr>
          <w:rFonts w:ascii="Times New Roman" w:hAnsi="Times New Roman"/>
        </w:rPr>
        <w:t xml:space="preserve">. </w:t>
      </w:r>
    </w:p>
    <w:sectPr w:rsidR="00F30717" w:rsidRPr="006C36C7" w:rsidSect="005C1FD9">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274C" w14:textId="77777777" w:rsidR="00391FF5" w:rsidRDefault="00391FF5" w:rsidP="00396007">
      <w:pPr>
        <w:spacing w:after="0" w:line="240" w:lineRule="auto"/>
      </w:pPr>
      <w:r>
        <w:separator/>
      </w:r>
    </w:p>
  </w:endnote>
  <w:endnote w:type="continuationSeparator" w:id="0">
    <w:p w14:paraId="72078266" w14:textId="77777777" w:rsidR="00391FF5" w:rsidRDefault="00391FF5"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ndale Mono"/>
    <w:panose1 w:val="020B0503030403020204"/>
    <w:charset w:val="00"/>
    <w:family w:val="swiss"/>
    <w:notTrueType/>
    <w:pitch w:val="variable"/>
    <w:sig w:usb0="A00002A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5536" w14:textId="77777777" w:rsidR="003A6DC0" w:rsidRDefault="003A6DC0">
    <w:pPr>
      <w:pStyle w:val="Footer"/>
      <w:jc w:val="center"/>
    </w:pPr>
    <w:r>
      <w:fldChar w:fldCharType="begin"/>
    </w:r>
    <w:r>
      <w:instrText xml:space="preserve"> PAGE   \* MERGEFORMAT </w:instrText>
    </w:r>
    <w:r>
      <w:fldChar w:fldCharType="separate"/>
    </w:r>
    <w:r w:rsidR="00336DFB">
      <w:rPr>
        <w:noProof/>
      </w:rPr>
      <w:t>2</w:t>
    </w:r>
    <w:r>
      <w:rPr>
        <w:noProof/>
      </w:rPr>
      <w:fldChar w:fldCharType="end"/>
    </w:r>
  </w:p>
  <w:p w14:paraId="0516E531" w14:textId="77777777" w:rsidR="003A6DC0" w:rsidRDefault="003A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3645" w14:textId="77777777" w:rsidR="00391FF5" w:rsidRDefault="00391FF5" w:rsidP="00396007">
      <w:pPr>
        <w:spacing w:after="0" w:line="240" w:lineRule="auto"/>
      </w:pPr>
      <w:r>
        <w:separator/>
      </w:r>
    </w:p>
  </w:footnote>
  <w:footnote w:type="continuationSeparator" w:id="0">
    <w:p w14:paraId="490669D4" w14:textId="77777777" w:rsidR="00391FF5" w:rsidRDefault="00391FF5" w:rsidP="00396007">
      <w:pPr>
        <w:spacing w:after="0" w:line="240" w:lineRule="auto"/>
      </w:pPr>
      <w:r>
        <w:continuationSeparator/>
      </w:r>
    </w:p>
  </w:footnote>
  <w:footnote w:id="1">
    <w:p w14:paraId="3592663B" w14:textId="77777777" w:rsidR="003A6DC0" w:rsidRDefault="003A6DC0" w:rsidP="008D179D">
      <w:pPr>
        <w:pStyle w:val="FootnoteText"/>
        <w:jc w:val="both"/>
      </w:pPr>
      <w:r>
        <w:rPr>
          <w:rStyle w:val="FootnoteReference"/>
          <w:lang w:val="en-GB"/>
        </w:rPr>
        <w:t>[1]</w:t>
      </w:r>
      <w:r>
        <w:rPr>
          <w:lang w:val="en-GB"/>
        </w:rPr>
        <w:t>  ASP countries are those where the existing systems to ensure accountable use of Global Fund monies are not strong and require additional measures to mitigate risk.</w:t>
      </w:r>
    </w:p>
  </w:footnote>
  <w:footnote w:id="2">
    <w:p w14:paraId="4C68C8B7" w14:textId="77777777" w:rsidR="003A6DC0" w:rsidRPr="00B01755" w:rsidRDefault="003A6DC0" w:rsidP="00B71791">
      <w:pPr>
        <w:pStyle w:val="FootnoteText"/>
        <w:jc w:val="both"/>
        <w:rPr>
          <w:rFonts w:ascii="Times New Roman" w:hAnsi="Times New Roman"/>
          <w:sz w:val="16"/>
          <w:szCs w:val="16"/>
        </w:rPr>
      </w:pPr>
      <w:r w:rsidRPr="00B01755">
        <w:rPr>
          <w:rStyle w:val="FootnoteReference"/>
          <w:rFonts w:ascii="Times New Roman" w:hAnsi="Times New Roman"/>
          <w:sz w:val="16"/>
          <w:szCs w:val="16"/>
        </w:rPr>
        <w:footnoteRef/>
      </w:r>
      <w:r>
        <w:rPr>
          <w:rFonts w:ascii="Times New Roman" w:hAnsi="Times New Roman"/>
          <w:sz w:val="16"/>
          <w:szCs w:val="16"/>
        </w:rPr>
        <w:t xml:space="preserve"> Source:</w:t>
      </w:r>
      <w:r w:rsidRPr="00B01755">
        <w:rPr>
          <w:rFonts w:ascii="Times New Roman" w:hAnsi="Times New Roman"/>
          <w:sz w:val="16"/>
          <w:szCs w:val="16"/>
        </w:rPr>
        <w:t xml:space="preserve"> Annual </w:t>
      </w:r>
      <w:r>
        <w:rPr>
          <w:rFonts w:ascii="Times New Roman" w:hAnsi="Times New Roman"/>
          <w:sz w:val="16"/>
          <w:szCs w:val="16"/>
        </w:rPr>
        <w:t>r</w:t>
      </w:r>
      <w:r w:rsidRPr="00B01755">
        <w:rPr>
          <w:rFonts w:ascii="Times New Roman" w:hAnsi="Times New Roman"/>
          <w:sz w:val="16"/>
          <w:szCs w:val="16"/>
        </w:rPr>
        <w:t>eport</w:t>
      </w:r>
      <w:r>
        <w:rPr>
          <w:rFonts w:ascii="Times New Roman" w:hAnsi="Times New Roman"/>
          <w:sz w:val="16"/>
          <w:szCs w:val="16"/>
        </w:rPr>
        <w:t>s</w:t>
      </w:r>
      <w:r w:rsidRPr="00B01755">
        <w:rPr>
          <w:rFonts w:ascii="Times New Roman" w:hAnsi="Times New Roman"/>
          <w:sz w:val="16"/>
          <w:szCs w:val="16"/>
        </w:rPr>
        <w:t xml:space="preserve"> on </w:t>
      </w:r>
      <w:r>
        <w:rPr>
          <w:rFonts w:ascii="Times New Roman" w:hAnsi="Times New Roman"/>
          <w:sz w:val="16"/>
          <w:szCs w:val="16"/>
        </w:rPr>
        <w:t>e</w:t>
      </w:r>
      <w:r w:rsidRPr="00B01755">
        <w:rPr>
          <w:rFonts w:ascii="Times New Roman" w:hAnsi="Times New Roman"/>
          <w:sz w:val="16"/>
          <w:szCs w:val="16"/>
        </w:rPr>
        <w:t>valuation 2011, 2012,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C4B4" w14:textId="77777777" w:rsidR="003A6DC0" w:rsidRDefault="003A6DC0">
    <w:pPr>
      <w:pStyle w:val="Header"/>
    </w:pPr>
    <w:r>
      <w:tab/>
    </w:r>
    <w:r>
      <w:tab/>
    </w:r>
    <w:r w:rsidRPr="00614F74">
      <w:rPr>
        <w:noProof/>
        <w:sz w:val="28"/>
        <w:szCs w:val="28"/>
      </w:rPr>
      <w:drawing>
        <wp:inline distT="0" distB="0" distL="0" distR="0" wp14:anchorId="4A6E0E01" wp14:editId="7B1C2C3A">
          <wp:extent cx="485775" cy="904875"/>
          <wp:effectExtent l="0" t="0" r="0" b="0"/>
          <wp:docPr id="1"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9468" w14:textId="77777777" w:rsidR="003A6DC0" w:rsidRDefault="003A6DC0" w:rsidP="00993C82">
    <w:pPr>
      <w:pStyle w:val="Header"/>
      <w:jc w:val="right"/>
    </w:pPr>
    <w:r w:rsidRPr="00614F74">
      <w:rPr>
        <w:noProof/>
        <w:sz w:val="28"/>
        <w:szCs w:val="28"/>
      </w:rPr>
      <w:drawing>
        <wp:inline distT="0" distB="0" distL="0" distR="0" wp14:anchorId="02D9B48B" wp14:editId="74EFFB8E">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5FC"/>
    <w:multiLevelType w:val="hybridMultilevel"/>
    <w:tmpl w:val="61C6521C"/>
    <w:lvl w:ilvl="0" w:tplc="389C4BF0">
      <w:start w:val="1"/>
      <w:numFmt w:val="decimal"/>
      <w:lvlText w:val="%1."/>
      <w:lvlJc w:val="left"/>
      <w:pPr>
        <w:ind w:left="3600" w:hanging="360"/>
      </w:pPr>
      <w:rPr>
        <w:rFonts w:ascii="Times New Roman" w:hAnsi="Times New Roman" w:cs="Times New Roman" w:hint="default"/>
        <w:color w:val="auto"/>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A6D74"/>
    <w:multiLevelType w:val="hybridMultilevel"/>
    <w:tmpl w:val="A45E3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48"/>
    <w:multiLevelType w:val="hybridMultilevel"/>
    <w:tmpl w:val="937EE408"/>
    <w:lvl w:ilvl="0" w:tplc="DABAC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37851"/>
    <w:multiLevelType w:val="hybridMultilevel"/>
    <w:tmpl w:val="01EC2894"/>
    <w:lvl w:ilvl="0" w:tplc="B40E3194">
      <w:start w:val="1"/>
      <w:numFmt w:val="decimal"/>
      <w:lvlText w:val="%1."/>
      <w:lvlJc w:val="left"/>
      <w:pPr>
        <w:ind w:left="387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8E1"/>
    <w:multiLevelType w:val="hybridMultilevel"/>
    <w:tmpl w:val="C0B80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511B7C"/>
    <w:multiLevelType w:val="hybridMultilevel"/>
    <w:tmpl w:val="25801226"/>
    <w:lvl w:ilvl="0" w:tplc="04FECC40">
      <w:start w:val="1"/>
      <w:numFmt w:val="lowerLetter"/>
      <w:lvlText w:val="(%1)"/>
      <w:lvlJc w:val="left"/>
      <w:pPr>
        <w:ind w:left="1080" w:hanging="360"/>
      </w:pPr>
      <w:rPr>
        <w:rFonts w:ascii="Calibri" w:eastAsia="Times New Roman" w:hAnsi="Calibri" w:cs="Myriad Pr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33227"/>
    <w:multiLevelType w:val="hybridMultilevel"/>
    <w:tmpl w:val="F15615B2"/>
    <w:lvl w:ilvl="0" w:tplc="7B04E88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0D570D5"/>
    <w:multiLevelType w:val="hybridMultilevel"/>
    <w:tmpl w:val="319EF26E"/>
    <w:lvl w:ilvl="0" w:tplc="79B20C1E">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C96F5E"/>
    <w:multiLevelType w:val="hybridMultilevel"/>
    <w:tmpl w:val="7DC42B12"/>
    <w:lvl w:ilvl="0" w:tplc="04090017">
      <w:start w:val="1"/>
      <w:numFmt w:val="lowerLetter"/>
      <w:lvlText w:val="%1)"/>
      <w:lvlJc w:val="left"/>
      <w:pPr>
        <w:ind w:left="360" w:hanging="360"/>
      </w:pPr>
      <w:rPr>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40DDA"/>
    <w:multiLevelType w:val="hybridMultilevel"/>
    <w:tmpl w:val="22B0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61BDE"/>
    <w:multiLevelType w:val="hybridMultilevel"/>
    <w:tmpl w:val="C03A1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73C62"/>
    <w:multiLevelType w:val="hybridMultilevel"/>
    <w:tmpl w:val="9DC64A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37FEC"/>
    <w:multiLevelType w:val="hybridMultilevel"/>
    <w:tmpl w:val="8CB8D3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9A155B"/>
    <w:multiLevelType w:val="hybridMultilevel"/>
    <w:tmpl w:val="FF867A1E"/>
    <w:lvl w:ilvl="0" w:tplc="04FECC40">
      <w:start w:val="1"/>
      <w:numFmt w:val="lowerLetter"/>
      <w:lvlText w:val="(%1)"/>
      <w:lvlJc w:val="left"/>
      <w:pPr>
        <w:ind w:left="1080" w:hanging="360"/>
      </w:pPr>
      <w:rPr>
        <w:rFonts w:ascii="Calibri" w:eastAsia="Times New Roman" w:hAnsi="Calibri" w:cs="Myriad Pr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FB146B"/>
    <w:multiLevelType w:val="hybridMultilevel"/>
    <w:tmpl w:val="7C26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86A36"/>
    <w:multiLevelType w:val="hybridMultilevel"/>
    <w:tmpl w:val="7BC0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C1BF8"/>
    <w:multiLevelType w:val="hybridMultilevel"/>
    <w:tmpl w:val="1C10DDFC"/>
    <w:lvl w:ilvl="0" w:tplc="6C80CF9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2780E"/>
    <w:multiLevelType w:val="hybridMultilevel"/>
    <w:tmpl w:val="582E434A"/>
    <w:lvl w:ilvl="0" w:tplc="0409000F">
      <w:start w:val="1"/>
      <w:numFmt w:val="decimal"/>
      <w:lvlText w:val="%1."/>
      <w:lvlJc w:val="left"/>
      <w:pPr>
        <w:ind w:left="504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121D"/>
    <w:multiLevelType w:val="hybridMultilevel"/>
    <w:tmpl w:val="F42E130E"/>
    <w:lvl w:ilvl="0" w:tplc="9650F12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8A05B5"/>
    <w:multiLevelType w:val="hybridMultilevel"/>
    <w:tmpl w:val="2D0A60F2"/>
    <w:lvl w:ilvl="0" w:tplc="18969E44">
      <w:start w:val="1"/>
      <w:numFmt w:val="decimal"/>
      <w:lvlText w:val="%1."/>
      <w:lvlJc w:val="left"/>
      <w:pPr>
        <w:tabs>
          <w:tab w:val="num" w:pos="1620"/>
        </w:tabs>
        <w:ind w:left="1332" w:hanging="72"/>
      </w:pPr>
      <w:rPr>
        <w:rFonts w:ascii="Times New Roman" w:hAnsi="Times New Roman" w:cs="Times New Roman" w:hint="default"/>
        <w:b w:val="0"/>
        <w:i w:val="0"/>
        <w:sz w:val="20"/>
        <w:szCs w:val="20"/>
      </w:rPr>
    </w:lvl>
    <w:lvl w:ilvl="1" w:tplc="A1E8ADEA">
      <w:start w:val="1"/>
      <w:numFmt w:val="lowerLetter"/>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0" w15:restartNumberingAfterBreak="0">
    <w:nsid w:val="36395D30"/>
    <w:multiLevelType w:val="hybridMultilevel"/>
    <w:tmpl w:val="AB4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A6E2A"/>
    <w:multiLevelType w:val="hybridMultilevel"/>
    <w:tmpl w:val="5A40E038"/>
    <w:lvl w:ilvl="0" w:tplc="525E71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363297"/>
    <w:multiLevelType w:val="hybridMultilevel"/>
    <w:tmpl w:val="F28687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A211251"/>
    <w:multiLevelType w:val="hybridMultilevel"/>
    <w:tmpl w:val="BA6C4176"/>
    <w:lvl w:ilvl="0" w:tplc="DA323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84362"/>
    <w:multiLevelType w:val="hybridMultilevel"/>
    <w:tmpl w:val="72CA4E14"/>
    <w:lvl w:ilvl="0" w:tplc="04090013">
      <w:start w:val="1"/>
      <w:numFmt w:val="upperRoman"/>
      <w:lvlText w:val="%1."/>
      <w:lvlJc w:val="right"/>
      <w:pPr>
        <w:ind w:left="72"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553765"/>
    <w:multiLevelType w:val="hybridMultilevel"/>
    <w:tmpl w:val="F17018B0"/>
    <w:lvl w:ilvl="0" w:tplc="B40E3194">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67745"/>
    <w:multiLevelType w:val="hybridMultilevel"/>
    <w:tmpl w:val="F93E6836"/>
    <w:lvl w:ilvl="0" w:tplc="204EC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03917"/>
    <w:multiLevelType w:val="hybridMultilevel"/>
    <w:tmpl w:val="BD46D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74115A"/>
    <w:multiLevelType w:val="hybridMultilevel"/>
    <w:tmpl w:val="F550C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892FDA"/>
    <w:multiLevelType w:val="hybridMultilevel"/>
    <w:tmpl w:val="E2EAE65A"/>
    <w:lvl w:ilvl="0" w:tplc="04090017">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A51ED"/>
    <w:multiLevelType w:val="hybridMultilevel"/>
    <w:tmpl w:val="F74A67F0"/>
    <w:lvl w:ilvl="0" w:tplc="04090015">
      <w:start w:val="1"/>
      <w:numFmt w:val="upperLetter"/>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C50799"/>
    <w:multiLevelType w:val="hybridMultilevel"/>
    <w:tmpl w:val="DC98735C"/>
    <w:lvl w:ilvl="0" w:tplc="E63E988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CF7337"/>
    <w:multiLevelType w:val="hybridMultilevel"/>
    <w:tmpl w:val="465A6226"/>
    <w:lvl w:ilvl="0" w:tplc="C24C9568">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A5604"/>
    <w:multiLevelType w:val="hybridMultilevel"/>
    <w:tmpl w:val="3880DCEC"/>
    <w:lvl w:ilvl="0" w:tplc="F7C01590">
      <w:start w:val="1"/>
      <w:numFmt w:val="bullet"/>
      <w:lvlText w:val=""/>
      <w:lvlJc w:val="left"/>
      <w:pPr>
        <w:ind w:left="540" w:hanging="360"/>
      </w:pPr>
      <w:rPr>
        <w:rFonts w:ascii="Symbol" w:hAnsi="Symbol"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4" w15:restartNumberingAfterBreak="0">
    <w:nsid w:val="619310FF"/>
    <w:multiLevelType w:val="hybridMultilevel"/>
    <w:tmpl w:val="F0408834"/>
    <w:lvl w:ilvl="0" w:tplc="6520FF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D91D01"/>
    <w:multiLevelType w:val="hybridMultilevel"/>
    <w:tmpl w:val="52445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F77592"/>
    <w:multiLevelType w:val="hybridMultilevel"/>
    <w:tmpl w:val="519AE3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2F472F"/>
    <w:multiLevelType w:val="hybridMultilevel"/>
    <w:tmpl w:val="F40621D6"/>
    <w:lvl w:ilvl="0" w:tplc="87A424B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96515D"/>
    <w:multiLevelType w:val="hybridMultilevel"/>
    <w:tmpl w:val="8CFAE740"/>
    <w:lvl w:ilvl="0" w:tplc="32100F5C">
      <w:start w:val="1"/>
      <w:numFmt w:val="decimal"/>
      <w:lvlText w:val="%1."/>
      <w:lvlJc w:val="left"/>
      <w:pPr>
        <w:ind w:left="360" w:hanging="360"/>
      </w:pPr>
      <w:rPr>
        <w:rFonts w:ascii="Times New Roman" w:hAnsi="Times New Roman" w:cs="Times New Roman" w:hint="default"/>
        <w:b w:val="0"/>
        <w:i w:val="0"/>
        <w:color w:val="auto"/>
      </w:rPr>
    </w:lvl>
    <w:lvl w:ilvl="1" w:tplc="41F0EB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873488"/>
    <w:multiLevelType w:val="hybridMultilevel"/>
    <w:tmpl w:val="09F2D514"/>
    <w:lvl w:ilvl="0" w:tplc="F1A4A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87F36"/>
    <w:multiLevelType w:val="hybridMultilevel"/>
    <w:tmpl w:val="34C4D3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1E6584C"/>
    <w:multiLevelType w:val="hybridMultilevel"/>
    <w:tmpl w:val="263E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67C33"/>
    <w:multiLevelType w:val="hybridMultilevel"/>
    <w:tmpl w:val="B4B29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256B5E"/>
    <w:multiLevelType w:val="hybridMultilevel"/>
    <w:tmpl w:val="C15C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2153E"/>
    <w:multiLevelType w:val="hybridMultilevel"/>
    <w:tmpl w:val="4A3EC414"/>
    <w:lvl w:ilvl="0" w:tplc="531E000E">
      <w:start w:val="1"/>
      <w:numFmt w:val="decimal"/>
      <w:lvlText w:val="%1."/>
      <w:lvlJc w:val="left"/>
      <w:pPr>
        <w:ind w:left="72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EC172C"/>
    <w:multiLevelType w:val="hybridMultilevel"/>
    <w:tmpl w:val="5D9C9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9225A"/>
    <w:multiLevelType w:val="hybridMultilevel"/>
    <w:tmpl w:val="0A14F05A"/>
    <w:lvl w:ilvl="0" w:tplc="766A517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8"/>
  </w:num>
  <w:num w:numId="4">
    <w:abstractNumId w:val="37"/>
  </w:num>
  <w:num w:numId="5">
    <w:abstractNumId w:val="29"/>
  </w:num>
  <w:num w:numId="6">
    <w:abstractNumId w:val="1"/>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8"/>
  </w:num>
  <w:num w:numId="11">
    <w:abstractNumId w:val="23"/>
  </w:num>
  <w:num w:numId="12">
    <w:abstractNumId w:val="45"/>
  </w:num>
  <w:num w:numId="13">
    <w:abstractNumId w:val="20"/>
  </w:num>
  <w:num w:numId="14">
    <w:abstractNumId w:val="16"/>
  </w:num>
  <w:num w:numId="15">
    <w:abstractNumId w:val="9"/>
  </w:num>
  <w:num w:numId="16">
    <w:abstractNumId w:val="19"/>
  </w:num>
  <w:num w:numId="17">
    <w:abstractNumId w:val="0"/>
  </w:num>
  <w:num w:numId="18">
    <w:abstractNumId w:val="26"/>
  </w:num>
  <w:num w:numId="19">
    <w:abstractNumId w:val="34"/>
  </w:num>
  <w:num w:numId="20">
    <w:abstractNumId w:val="40"/>
  </w:num>
  <w:num w:numId="21">
    <w:abstractNumId w:val="2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
  </w:num>
  <w:num w:numId="30">
    <w:abstractNumId w:val="13"/>
  </w:num>
  <w:num w:numId="31">
    <w:abstractNumId w:val="42"/>
  </w:num>
  <w:num w:numId="32">
    <w:abstractNumId w:val="15"/>
  </w:num>
  <w:num w:numId="33">
    <w:abstractNumId w:val="5"/>
  </w:num>
  <w:num w:numId="34">
    <w:abstractNumId w:val="1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6"/>
  </w:num>
  <w:num w:numId="38">
    <w:abstractNumId w:val="28"/>
  </w:num>
  <w:num w:numId="39">
    <w:abstractNumId w:val="39"/>
  </w:num>
  <w:num w:numId="40">
    <w:abstractNumId w:val="25"/>
  </w:num>
  <w:num w:numId="41">
    <w:abstractNumId w:val="30"/>
  </w:num>
  <w:num w:numId="42">
    <w:abstractNumId w:val="7"/>
  </w:num>
  <w:num w:numId="43">
    <w:abstractNumId w:val="32"/>
  </w:num>
  <w:num w:numId="44">
    <w:abstractNumId w:val="3"/>
  </w:num>
  <w:num w:numId="45">
    <w:abstractNumId w:val="10"/>
  </w:num>
  <w:num w:numId="46">
    <w:abstractNumId w:val="31"/>
  </w:num>
  <w:num w:numId="47">
    <w:abstractNumId w:val="11"/>
  </w:num>
  <w:num w:numId="48">
    <w:abstractNumId w:val="18"/>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E6"/>
    <w:rsid w:val="000012B8"/>
    <w:rsid w:val="000019E1"/>
    <w:rsid w:val="000020AA"/>
    <w:rsid w:val="00005561"/>
    <w:rsid w:val="00007F8B"/>
    <w:rsid w:val="00011360"/>
    <w:rsid w:val="00011894"/>
    <w:rsid w:val="00016080"/>
    <w:rsid w:val="00017116"/>
    <w:rsid w:val="00021556"/>
    <w:rsid w:val="00021EA1"/>
    <w:rsid w:val="000244A8"/>
    <w:rsid w:val="00024CD4"/>
    <w:rsid w:val="00024F3C"/>
    <w:rsid w:val="000259A7"/>
    <w:rsid w:val="000263D4"/>
    <w:rsid w:val="00032F29"/>
    <w:rsid w:val="00036276"/>
    <w:rsid w:val="00037597"/>
    <w:rsid w:val="00041703"/>
    <w:rsid w:val="000418E6"/>
    <w:rsid w:val="00041B23"/>
    <w:rsid w:val="00042FCF"/>
    <w:rsid w:val="00044AFD"/>
    <w:rsid w:val="00046C54"/>
    <w:rsid w:val="000532C1"/>
    <w:rsid w:val="000534B8"/>
    <w:rsid w:val="00053954"/>
    <w:rsid w:val="00061BCE"/>
    <w:rsid w:val="000703D0"/>
    <w:rsid w:val="0007096E"/>
    <w:rsid w:val="000712C1"/>
    <w:rsid w:val="00072FE8"/>
    <w:rsid w:val="00073267"/>
    <w:rsid w:val="00074A63"/>
    <w:rsid w:val="00074C27"/>
    <w:rsid w:val="000757A2"/>
    <w:rsid w:val="0008103E"/>
    <w:rsid w:val="000920E4"/>
    <w:rsid w:val="0009352D"/>
    <w:rsid w:val="00097EE0"/>
    <w:rsid w:val="000A1C02"/>
    <w:rsid w:val="000A4EF1"/>
    <w:rsid w:val="000A6E5C"/>
    <w:rsid w:val="000B120C"/>
    <w:rsid w:val="000B26DA"/>
    <w:rsid w:val="000B556C"/>
    <w:rsid w:val="000B701E"/>
    <w:rsid w:val="000B782B"/>
    <w:rsid w:val="000C4AB1"/>
    <w:rsid w:val="000C4CF3"/>
    <w:rsid w:val="000C5013"/>
    <w:rsid w:val="000C5F17"/>
    <w:rsid w:val="000C62ED"/>
    <w:rsid w:val="000C76B3"/>
    <w:rsid w:val="000C77F9"/>
    <w:rsid w:val="000C7B6E"/>
    <w:rsid w:val="000C7DB1"/>
    <w:rsid w:val="000D2118"/>
    <w:rsid w:val="000D253C"/>
    <w:rsid w:val="000D42F4"/>
    <w:rsid w:val="000D7059"/>
    <w:rsid w:val="000E60CE"/>
    <w:rsid w:val="000E7233"/>
    <w:rsid w:val="000F14DE"/>
    <w:rsid w:val="000F32B5"/>
    <w:rsid w:val="000F69D1"/>
    <w:rsid w:val="000F7E55"/>
    <w:rsid w:val="00100220"/>
    <w:rsid w:val="00103C43"/>
    <w:rsid w:val="001040DE"/>
    <w:rsid w:val="00105C48"/>
    <w:rsid w:val="00106ECF"/>
    <w:rsid w:val="001072EA"/>
    <w:rsid w:val="00107CA5"/>
    <w:rsid w:val="0011034F"/>
    <w:rsid w:val="00110F72"/>
    <w:rsid w:val="00112AA0"/>
    <w:rsid w:val="00112E9C"/>
    <w:rsid w:val="001149A6"/>
    <w:rsid w:val="001232C9"/>
    <w:rsid w:val="001249EE"/>
    <w:rsid w:val="00125A33"/>
    <w:rsid w:val="00125E00"/>
    <w:rsid w:val="00125EF1"/>
    <w:rsid w:val="00127796"/>
    <w:rsid w:val="00136E12"/>
    <w:rsid w:val="00141C80"/>
    <w:rsid w:val="00142A89"/>
    <w:rsid w:val="00143295"/>
    <w:rsid w:val="00145DBD"/>
    <w:rsid w:val="00146282"/>
    <w:rsid w:val="0014735F"/>
    <w:rsid w:val="0014784E"/>
    <w:rsid w:val="00150D6D"/>
    <w:rsid w:val="00151D64"/>
    <w:rsid w:val="00152C5A"/>
    <w:rsid w:val="0015323C"/>
    <w:rsid w:val="00153A9F"/>
    <w:rsid w:val="00154379"/>
    <w:rsid w:val="00155DCE"/>
    <w:rsid w:val="00156A72"/>
    <w:rsid w:val="00157B3D"/>
    <w:rsid w:val="001614F4"/>
    <w:rsid w:val="00161867"/>
    <w:rsid w:val="00162554"/>
    <w:rsid w:val="001626B4"/>
    <w:rsid w:val="00163F55"/>
    <w:rsid w:val="0016507C"/>
    <w:rsid w:val="0017042D"/>
    <w:rsid w:val="00171992"/>
    <w:rsid w:val="00173FD4"/>
    <w:rsid w:val="001767E7"/>
    <w:rsid w:val="00177293"/>
    <w:rsid w:val="00177540"/>
    <w:rsid w:val="00181669"/>
    <w:rsid w:val="00181994"/>
    <w:rsid w:val="00182CE8"/>
    <w:rsid w:val="001832C5"/>
    <w:rsid w:val="00183D44"/>
    <w:rsid w:val="00184C07"/>
    <w:rsid w:val="0018514F"/>
    <w:rsid w:val="00186CDE"/>
    <w:rsid w:val="00191057"/>
    <w:rsid w:val="001917FC"/>
    <w:rsid w:val="00191914"/>
    <w:rsid w:val="001A041A"/>
    <w:rsid w:val="001A48CD"/>
    <w:rsid w:val="001A52D6"/>
    <w:rsid w:val="001A5DE2"/>
    <w:rsid w:val="001B00DD"/>
    <w:rsid w:val="001B29F1"/>
    <w:rsid w:val="001B3DF4"/>
    <w:rsid w:val="001B423B"/>
    <w:rsid w:val="001B50E5"/>
    <w:rsid w:val="001B5B18"/>
    <w:rsid w:val="001B6989"/>
    <w:rsid w:val="001B6A19"/>
    <w:rsid w:val="001C107A"/>
    <w:rsid w:val="001C6674"/>
    <w:rsid w:val="001D173E"/>
    <w:rsid w:val="001D2BE1"/>
    <w:rsid w:val="001D7A19"/>
    <w:rsid w:val="001E3D43"/>
    <w:rsid w:val="001E6860"/>
    <w:rsid w:val="001F18E4"/>
    <w:rsid w:val="001F2D29"/>
    <w:rsid w:val="001F3731"/>
    <w:rsid w:val="001F525F"/>
    <w:rsid w:val="002011FB"/>
    <w:rsid w:val="00203668"/>
    <w:rsid w:val="00203D4E"/>
    <w:rsid w:val="00210909"/>
    <w:rsid w:val="00214840"/>
    <w:rsid w:val="00214990"/>
    <w:rsid w:val="002169FD"/>
    <w:rsid w:val="0022250E"/>
    <w:rsid w:val="002273D7"/>
    <w:rsid w:val="00227ADE"/>
    <w:rsid w:val="00230BB6"/>
    <w:rsid w:val="0023483B"/>
    <w:rsid w:val="0023559D"/>
    <w:rsid w:val="00240F42"/>
    <w:rsid w:val="00241A22"/>
    <w:rsid w:val="00241D5B"/>
    <w:rsid w:val="00247E30"/>
    <w:rsid w:val="0025763A"/>
    <w:rsid w:val="00261D9E"/>
    <w:rsid w:val="00272279"/>
    <w:rsid w:val="00277EC7"/>
    <w:rsid w:val="00280F5A"/>
    <w:rsid w:val="0028297E"/>
    <w:rsid w:val="002841E7"/>
    <w:rsid w:val="00284C17"/>
    <w:rsid w:val="00284F8D"/>
    <w:rsid w:val="002861A5"/>
    <w:rsid w:val="00286E06"/>
    <w:rsid w:val="002923A1"/>
    <w:rsid w:val="00293DB7"/>
    <w:rsid w:val="00295AC8"/>
    <w:rsid w:val="002964E2"/>
    <w:rsid w:val="00297FF8"/>
    <w:rsid w:val="002A02DD"/>
    <w:rsid w:val="002A11A3"/>
    <w:rsid w:val="002A157E"/>
    <w:rsid w:val="002A2140"/>
    <w:rsid w:val="002A2295"/>
    <w:rsid w:val="002A2AF6"/>
    <w:rsid w:val="002A2DB8"/>
    <w:rsid w:val="002A7126"/>
    <w:rsid w:val="002B2BDD"/>
    <w:rsid w:val="002B7E30"/>
    <w:rsid w:val="002C0BC1"/>
    <w:rsid w:val="002C455E"/>
    <w:rsid w:val="002C5303"/>
    <w:rsid w:val="002C7CDD"/>
    <w:rsid w:val="002D13E7"/>
    <w:rsid w:val="002D1769"/>
    <w:rsid w:val="002D19F0"/>
    <w:rsid w:val="002D2F38"/>
    <w:rsid w:val="002D5045"/>
    <w:rsid w:val="002E046B"/>
    <w:rsid w:val="002E36E7"/>
    <w:rsid w:val="002E3C0F"/>
    <w:rsid w:val="002E5E1A"/>
    <w:rsid w:val="002E6AC4"/>
    <w:rsid w:val="002F1F3E"/>
    <w:rsid w:val="002F4628"/>
    <w:rsid w:val="002F698B"/>
    <w:rsid w:val="00301EB6"/>
    <w:rsid w:val="00303375"/>
    <w:rsid w:val="003056CA"/>
    <w:rsid w:val="0030725A"/>
    <w:rsid w:val="00307EE7"/>
    <w:rsid w:val="0031038A"/>
    <w:rsid w:val="00310459"/>
    <w:rsid w:val="00311A63"/>
    <w:rsid w:val="00312358"/>
    <w:rsid w:val="00315387"/>
    <w:rsid w:val="00315FC5"/>
    <w:rsid w:val="00316BAB"/>
    <w:rsid w:val="00317B39"/>
    <w:rsid w:val="0032185E"/>
    <w:rsid w:val="00323686"/>
    <w:rsid w:val="00324395"/>
    <w:rsid w:val="00325E6E"/>
    <w:rsid w:val="003311D0"/>
    <w:rsid w:val="00333819"/>
    <w:rsid w:val="00336DFB"/>
    <w:rsid w:val="003416BC"/>
    <w:rsid w:val="0034354A"/>
    <w:rsid w:val="003474F8"/>
    <w:rsid w:val="00350B6B"/>
    <w:rsid w:val="00353244"/>
    <w:rsid w:val="00353F4C"/>
    <w:rsid w:val="00355691"/>
    <w:rsid w:val="003572D3"/>
    <w:rsid w:val="00357E1E"/>
    <w:rsid w:val="00360DAF"/>
    <w:rsid w:val="00361712"/>
    <w:rsid w:val="003632BF"/>
    <w:rsid w:val="00367E40"/>
    <w:rsid w:val="0037349A"/>
    <w:rsid w:val="003738D6"/>
    <w:rsid w:val="00375976"/>
    <w:rsid w:val="00381FBD"/>
    <w:rsid w:val="00381FEE"/>
    <w:rsid w:val="003869B5"/>
    <w:rsid w:val="00387408"/>
    <w:rsid w:val="003875DB"/>
    <w:rsid w:val="00390E05"/>
    <w:rsid w:val="0039114A"/>
    <w:rsid w:val="00391FF5"/>
    <w:rsid w:val="00392E95"/>
    <w:rsid w:val="00395B6F"/>
    <w:rsid w:val="00396007"/>
    <w:rsid w:val="00397C2B"/>
    <w:rsid w:val="003A0B7B"/>
    <w:rsid w:val="003A2494"/>
    <w:rsid w:val="003A4BE9"/>
    <w:rsid w:val="003A5E68"/>
    <w:rsid w:val="003A6DC0"/>
    <w:rsid w:val="003B1EF6"/>
    <w:rsid w:val="003B4200"/>
    <w:rsid w:val="003B5B8D"/>
    <w:rsid w:val="003B6E8D"/>
    <w:rsid w:val="003B7253"/>
    <w:rsid w:val="003C03D6"/>
    <w:rsid w:val="003C32C7"/>
    <w:rsid w:val="003C3EA0"/>
    <w:rsid w:val="003C4A69"/>
    <w:rsid w:val="003C563B"/>
    <w:rsid w:val="003C58A4"/>
    <w:rsid w:val="003C7878"/>
    <w:rsid w:val="003C7AD7"/>
    <w:rsid w:val="003D19FD"/>
    <w:rsid w:val="003D2F2B"/>
    <w:rsid w:val="003D3FFA"/>
    <w:rsid w:val="003D4F6E"/>
    <w:rsid w:val="003D5550"/>
    <w:rsid w:val="003D5E8D"/>
    <w:rsid w:val="003D771B"/>
    <w:rsid w:val="003E34D4"/>
    <w:rsid w:val="003E39BE"/>
    <w:rsid w:val="003E422D"/>
    <w:rsid w:val="003E46CF"/>
    <w:rsid w:val="003E48A3"/>
    <w:rsid w:val="003E550A"/>
    <w:rsid w:val="003E60DB"/>
    <w:rsid w:val="003E70CD"/>
    <w:rsid w:val="003F2B77"/>
    <w:rsid w:val="003F5293"/>
    <w:rsid w:val="003F5F81"/>
    <w:rsid w:val="003F6899"/>
    <w:rsid w:val="003F75E3"/>
    <w:rsid w:val="00403398"/>
    <w:rsid w:val="00404A68"/>
    <w:rsid w:val="00405D42"/>
    <w:rsid w:val="0040646D"/>
    <w:rsid w:val="00407C33"/>
    <w:rsid w:val="00410615"/>
    <w:rsid w:val="00410AED"/>
    <w:rsid w:val="00410E5D"/>
    <w:rsid w:val="004111CF"/>
    <w:rsid w:val="00412F4C"/>
    <w:rsid w:val="004176F0"/>
    <w:rsid w:val="00417DD1"/>
    <w:rsid w:val="0042038F"/>
    <w:rsid w:val="004208E6"/>
    <w:rsid w:val="00425075"/>
    <w:rsid w:val="00426E13"/>
    <w:rsid w:val="00430752"/>
    <w:rsid w:val="00432763"/>
    <w:rsid w:val="00435893"/>
    <w:rsid w:val="00442042"/>
    <w:rsid w:val="00443A63"/>
    <w:rsid w:val="004446D7"/>
    <w:rsid w:val="00445160"/>
    <w:rsid w:val="0044557E"/>
    <w:rsid w:val="00446D34"/>
    <w:rsid w:val="00447EB1"/>
    <w:rsid w:val="00450800"/>
    <w:rsid w:val="0045141E"/>
    <w:rsid w:val="00453E43"/>
    <w:rsid w:val="004542FE"/>
    <w:rsid w:val="004603E0"/>
    <w:rsid w:val="0046044F"/>
    <w:rsid w:val="00464220"/>
    <w:rsid w:val="00464E68"/>
    <w:rsid w:val="00465F8A"/>
    <w:rsid w:val="004727B0"/>
    <w:rsid w:val="004732DA"/>
    <w:rsid w:val="00474575"/>
    <w:rsid w:val="004747D5"/>
    <w:rsid w:val="00475213"/>
    <w:rsid w:val="00475D4A"/>
    <w:rsid w:val="00477C16"/>
    <w:rsid w:val="00477D4B"/>
    <w:rsid w:val="00481D00"/>
    <w:rsid w:val="004834DC"/>
    <w:rsid w:val="00483F53"/>
    <w:rsid w:val="004851BC"/>
    <w:rsid w:val="00485449"/>
    <w:rsid w:val="00492A35"/>
    <w:rsid w:val="00492F2C"/>
    <w:rsid w:val="0049426F"/>
    <w:rsid w:val="0049519D"/>
    <w:rsid w:val="00495527"/>
    <w:rsid w:val="00495C4A"/>
    <w:rsid w:val="00497981"/>
    <w:rsid w:val="004A1831"/>
    <w:rsid w:val="004A2748"/>
    <w:rsid w:val="004A4223"/>
    <w:rsid w:val="004A496D"/>
    <w:rsid w:val="004A5B90"/>
    <w:rsid w:val="004A70FD"/>
    <w:rsid w:val="004B3640"/>
    <w:rsid w:val="004B57AE"/>
    <w:rsid w:val="004B6B51"/>
    <w:rsid w:val="004C0035"/>
    <w:rsid w:val="004C09BC"/>
    <w:rsid w:val="004C0D52"/>
    <w:rsid w:val="004C1765"/>
    <w:rsid w:val="004C411E"/>
    <w:rsid w:val="004C463E"/>
    <w:rsid w:val="004C5969"/>
    <w:rsid w:val="004C5A86"/>
    <w:rsid w:val="004C6316"/>
    <w:rsid w:val="004C6399"/>
    <w:rsid w:val="004E13DF"/>
    <w:rsid w:val="004E1C0C"/>
    <w:rsid w:val="004E2C24"/>
    <w:rsid w:val="004E3618"/>
    <w:rsid w:val="004E4E53"/>
    <w:rsid w:val="004E735A"/>
    <w:rsid w:val="004F035A"/>
    <w:rsid w:val="004F107D"/>
    <w:rsid w:val="004F1E27"/>
    <w:rsid w:val="004F3976"/>
    <w:rsid w:val="004F5232"/>
    <w:rsid w:val="004F5B84"/>
    <w:rsid w:val="004F5EBE"/>
    <w:rsid w:val="004F65C1"/>
    <w:rsid w:val="004F79CD"/>
    <w:rsid w:val="00502334"/>
    <w:rsid w:val="00505F65"/>
    <w:rsid w:val="00505F74"/>
    <w:rsid w:val="00506ECD"/>
    <w:rsid w:val="0051045A"/>
    <w:rsid w:val="00510886"/>
    <w:rsid w:val="00511662"/>
    <w:rsid w:val="00512AA4"/>
    <w:rsid w:val="0051671C"/>
    <w:rsid w:val="0051799F"/>
    <w:rsid w:val="00520061"/>
    <w:rsid w:val="00521001"/>
    <w:rsid w:val="0052637B"/>
    <w:rsid w:val="00526A6B"/>
    <w:rsid w:val="00527611"/>
    <w:rsid w:val="00527A41"/>
    <w:rsid w:val="00532A8D"/>
    <w:rsid w:val="00540808"/>
    <w:rsid w:val="005442D2"/>
    <w:rsid w:val="005453AF"/>
    <w:rsid w:val="00546CE5"/>
    <w:rsid w:val="00550940"/>
    <w:rsid w:val="00551D69"/>
    <w:rsid w:val="00554E8D"/>
    <w:rsid w:val="005554E6"/>
    <w:rsid w:val="00562DE8"/>
    <w:rsid w:val="00562FDC"/>
    <w:rsid w:val="00570F27"/>
    <w:rsid w:val="00570FB7"/>
    <w:rsid w:val="00574186"/>
    <w:rsid w:val="00576E4C"/>
    <w:rsid w:val="00577F66"/>
    <w:rsid w:val="005804B8"/>
    <w:rsid w:val="00580B4C"/>
    <w:rsid w:val="00581057"/>
    <w:rsid w:val="00584DF1"/>
    <w:rsid w:val="00586427"/>
    <w:rsid w:val="0059035C"/>
    <w:rsid w:val="00592EE4"/>
    <w:rsid w:val="005934B8"/>
    <w:rsid w:val="00597B53"/>
    <w:rsid w:val="005A13BB"/>
    <w:rsid w:val="005A2F7A"/>
    <w:rsid w:val="005A6D95"/>
    <w:rsid w:val="005A7D8D"/>
    <w:rsid w:val="005B2AE8"/>
    <w:rsid w:val="005B42AB"/>
    <w:rsid w:val="005B4A24"/>
    <w:rsid w:val="005B60D0"/>
    <w:rsid w:val="005B7E42"/>
    <w:rsid w:val="005C050D"/>
    <w:rsid w:val="005C1FD9"/>
    <w:rsid w:val="005C5442"/>
    <w:rsid w:val="005C5EC9"/>
    <w:rsid w:val="005C6688"/>
    <w:rsid w:val="005D16B9"/>
    <w:rsid w:val="005D2A28"/>
    <w:rsid w:val="005D2C18"/>
    <w:rsid w:val="005D3000"/>
    <w:rsid w:val="005D6B71"/>
    <w:rsid w:val="005E0B85"/>
    <w:rsid w:val="005E11BA"/>
    <w:rsid w:val="005E28BD"/>
    <w:rsid w:val="005E30F8"/>
    <w:rsid w:val="005E3943"/>
    <w:rsid w:val="005E7B3C"/>
    <w:rsid w:val="005F09A8"/>
    <w:rsid w:val="005F178E"/>
    <w:rsid w:val="005F351D"/>
    <w:rsid w:val="005F48A8"/>
    <w:rsid w:val="005F6081"/>
    <w:rsid w:val="005F7032"/>
    <w:rsid w:val="00601736"/>
    <w:rsid w:val="006024CF"/>
    <w:rsid w:val="00602A40"/>
    <w:rsid w:val="00603B52"/>
    <w:rsid w:val="00604B8E"/>
    <w:rsid w:val="00605226"/>
    <w:rsid w:val="00606E93"/>
    <w:rsid w:val="0061198C"/>
    <w:rsid w:val="006121E5"/>
    <w:rsid w:val="006141B8"/>
    <w:rsid w:val="00614754"/>
    <w:rsid w:val="00614F74"/>
    <w:rsid w:val="0061579F"/>
    <w:rsid w:val="00621F25"/>
    <w:rsid w:val="00626568"/>
    <w:rsid w:val="0063464B"/>
    <w:rsid w:val="006453B0"/>
    <w:rsid w:val="00646DFC"/>
    <w:rsid w:val="0065139B"/>
    <w:rsid w:val="00652ED1"/>
    <w:rsid w:val="00653DAD"/>
    <w:rsid w:val="00654CF1"/>
    <w:rsid w:val="00656091"/>
    <w:rsid w:val="00662819"/>
    <w:rsid w:val="00666C71"/>
    <w:rsid w:val="006676D2"/>
    <w:rsid w:val="00671A91"/>
    <w:rsid w:val="00672A73"/>
    <w:rsid w:val="00673CBB"/>
    <w:rsid w:val="006776ED"/>
    <w:rsid w:val="00677DE9"/>
    <w:rsid w:val="00685592"/>
    <w:rsid w:val="0068651E"/>
    <w:rsid w:val="00686DD1"/>
    <w:rsid w:val="006918DE"/>
    <w:rsid w:val="0069255D"/>
    <w:rsid w:val="0069345F"/>
    <w:rsid w:val="00694522"/>
    <w:rsid w:val="00695878"/>
    <w:rsid w:val="00697850"/>
    <w:rsid w:val="00697DCB"/>
    <w:rsid w:val="006A0307"/>
    <w:rsid w:val="006A09AC"/>
    <w:rsid w:val="006A0E96"/>
    <w:rsid w:val="006A1F27"/>
    <w:rsid w:val="006A5B42"/>
    <w:rsid w:val="006B5B55"/>
    <w:rsid w:val="006B6F5B"/>
    <w:rsid w:val="006B78FF"/>
    <w:rsid w:val="006B7AD6"/>
    <w:rsid w:val="006C1080"/>
    <w:rsid w:val="006C36C7"/>
    <w:rsid w:val="006C73B3"/>
    <w:rsid w:val="006D4024"/>
    <w:rsid w:val="006D5049"/>
    <w:rsid w:val="006D7041"/>
    <w:rsid w:val="006E04F1"/>
    <w:rsid w:val="006E1C99"/>
    <w:rsid w:val="006E2408"/>
    <w:rsid w:val="006E473D"/>
    <w:rsid w:val="006E6E7F"/>
    <w:rsid w:val="006F025D"/>
    <w:rsid w:val="006F19CB"/>
    <w:rsid w:val="006F1F40"/>
    <w:rsid w:val="007013FA"/>
    <w:rsid w:val="00703B47"/>
    <w:rsid w:val="0070416E"/>
    <w:rsid w:val="007050D3"/>
    <w:rsid w:val="0071176B"/>
    <w:rsid w:val="00714450"/>
    <w:rsid w:val="00715D71"/>
    <w:rsid w:val="00715EEC"/>
    <w:rsid w:val="00716C27"/>
    <w:rsid w:val="007179C1"/>
    <w:rsid w:val="0072062E"/>
    <w:rsid w:val="0072213D"/>
    <w:rsid w:val="0072534B"/>
    <w:rsid w:val="00725D20"/>
    <w:rsid w:val="00726305"/>
    <w:rsid w:val="007332DD"/>
    <w:rsid w:val="00741AD7"/>
    <w:rsid w:val="007461A6"/>
    <w:rsid w:val="00754533"/>
    <w:rsid w:val="00754A8F"/>
    <w:rsid w:val="00755A35"/>
    <w:rsid w:val="00763365"/>
    <w:rsid w:val="007657DA"/>
    <w:rsid w:val="00766A94"/>
    <w:rsid w:val="00770F67"/>
    <w:rsid w:val="00773115"/>
    <w:rsid w:val="00774DC0"/>
    <w:rsid w:val="0077522E"/>
    <w:rsid w:val="0077529C"/>
    <w:rsid w:val="007772B0"/>
    <w:rsid w:val="00777429"/>
    <w:rsid w:val="0077752E"/>
    <w:rsid w:val="007838D2"/>
    <w:rsid w:val="00783E1C"/>
    <w:rsid w:val="00785F6D"/>
    <w:rsid w:val="0078614B"/>
    <w:rsid w:val="00787228"/>
    <w:rsid w:val="00787651"/>
    <w:rsid w:val="007877F8"/>
    <w:rsid w:val="00787AB3"/>
    <w:rsid w:val="00790013"/>
    <w:rsid w:val="007926B8"/>
    <w:rsid w:val="007A11BC"/>
    <w:rsid w:val="007C64F3"/>
    <w:rsid w:val="007C6506"/>
    <w:rsid w:val="007C7A14"/>
    <w:rsid w:val="007C7CE1"/>
    <w:rsid w:val="007C7F33"/>
    <w:rsid w:val="007F3DCF"/>
    <w:rsid w:val="007F5CF8"/>
    <w:rsid w:val="007F6EA4"/>
    <w:rsid w:val="007F70C5"/>
    <w:rsid w:val="00800684"/>
    <w:rsid w:val="00802442"/>
    <w:rsid w:val="00803D6F"/>
    <w:rsid w:val="00805CAA"/>
    <w:rsid w:val="0081194C"/>
    <w:rsid w:val="00813DD2"/>
    <w:rsid w:val="00813F07"/>
    <w:rsid w:val="008156CF"/>
    <w:rsid w:val="00815B2E"/>
    <w:rsid w:val="008215C0"/>
    <w:rsid w:val="00821F1A"/>
    <w:rsid w:val="00823509"/>
    <w:rsid w:val="008251EE"/>
    <w:rsid w:val="008268D3"/>
    <w:rsid w:val="00831A04"/>
    <w:rsid w:val="0083427F"/>
    <w:rsid w:val="008350B9"/>
    <w:rsid w:val="0083699C"/>
    <w:rsid w:val="00837F49"/>
    <w:rsid w:val="0084302D"/>
    <w:rsid w:val="00843359"/>
    <w:rsid w:val="00846705"/>
    <w:rsid w:val="00850671"/>
    <w:rsid w:val="00851AE8"/>
    <w:rsid w:val="0085298F"/>
    <w:rsid w:val="00852D27"/>
    <w:rsid w:val="00852F9D"/>
    <w:rsid w:val="00861AB4"/>
    <w:rsid w:val="00861E1F"/>
    <w:rsid w:val="00870123"/>
    <w:rsid w:val="0087220A"/>
    <w:rsid w:val="008809E5"/>
    <w:rsid w:val="0088125A"/>
    <w:rsid w:val="00883881"/>
    <w:rsid w:val="00883B35"/>
    <w:rsid w:val="008869C2"/>
    <w:rsid w:val="00887F65"/>
    <w:rsid w:val="00890155"/>
    <w:rsid w:val="008906E0"/>
    <w:rsid w:val="0089185C"/>
    <w:rsid w:val="00891EA6"/>
    <w:rsid w:val="00893460"/>
    <w:rsid w:val="00894E4B"/>
    <w:rsid w:val="00895893"/>
    <w:rsid w:val="00896434"/>
    <w:rsid w:val="008974AE"/>
    <w:rsid w:val="008A14AF"/>
    <w:rsid w:val="008A4DB6"/>
    <w:rsid w:val="008B076E"/>
    <w:rsid w:val="008B0CAA"/>
    <w:rsid w:val="008B0DF3"/>
    <w:rsid w:val="008B2776"/>
    <w:rsid w:val="008B3688"/>
    <w:rsid w:val="008B3D6C"/>
    <w:rsid w:val="008B6318"/>
    <w:rsid w:val="008B664F"/>
    <w:rsid w:val="008B6A8E"/>
    <w:rsid w:val="008C3D83"/>
    <w:rsid w:val="008C7B07"/>
    <w:rsid w:val="008D15AC"/>
    <w:rsid w:val="008D179D"/>
    <w:rsid w:val="008D1F2F"/>
    <w:rsid w:val="008D280D"/>
    <w:rsid w:val="008D2825"/>
    <w:rsid w:val="008D50AC"/>
    <w:rsid w:val="008D5FB5"/>
    <w:rsid w:val="008D6067"/>
    <w:rsid w:val="008D6A21"/>
    <w:rsid w:val="008D6DDD"/>
    <w:rsid w:val="008E145E"/>
    <w:rsid w:val="008E20DE"/>
    <w:rsid w:val="008E4064"/>
    <w:rsid w:val="008E59FB"/>
    <w:rsid w:val="008E77C6"/>
    <w:rsid w:val="008F0C8B"/>
    <w:rsid w:val="008F304F"/>
    <w:rsid w:val="008F36EE"/>
    <w:rsid w:val="0090065E"/>
    <w:rsid w:val="009020F7"/>
    <w:rsid w:val="00904037"/>
    <w:rsid w:val="0090413D"/>
    <w:rsid w:val="009050B4"/>
    <w:rsid w:val="00907268"/>
    <w:rsid w:val="00907913"/>
    <w:rsid w:val="00910BBE"/>
    <w:rsid w:val="00911030"/>
    <w:rsid w:val="009124E1"/>
    <w:rsid w:val="009133D3"/>
    <w:rsid w:val="00913801"/>
    <w:rsid w:val="009153A4"/>
    <w:rsid w:val="00915683"/>
    <w:rsid w:val="00916222"/>
    <w:rsid w:val="00920A09"/>
    <w:rsid w:val="00920B95"/>
    <w:rsid w:val="00921069"/>
    <w:rsid w:val="00921185"/>
    <w:rsid w:val="00922546"/>
    <w:rsid w:val="00924CD3"/>
    <w:rsid w:val="00926891"/>
    <w:rsid w:val="00926DB5"/>
    <w:rsid w:val="009352BD"/>
    <w:rsid w:val="00936B9B"/>
    <w:rsid w:val="00937523"/>
    <w:rsid w:val="00937D75"/>
    <w:rsid w:val="00944EAB"/>
    <w:rsid w:val="00945380"/>
    <w:rsid w:val="009473EA"/>
    <w:rsid w:val="00947FB6"/>
    <w:rsid w:val="00952574"/>
    <w:rsid w:val="00953F6E"/>
    <w:rsid w:val="00954BBE"/>
    <w:rsid w:val="00955FEC"/>
    <w:rsid w:val="009564A0"/>
    <w:rsid w:val="00960D64"/>
    <w:rsid w:val="00961EA5"/>
    <w:rsid w:val="00962C24"/>
    <w:rsid w:val="00962D72"/>
    <w:rsid w:val="009646B0"/>
    <w:rsid w:val="00964A20"/>
    <w:rsid w:val="00966DC3"/>
    <w:rsid w:val="0096749D"/>
    <w:rsid w:val="0097167F"/>
    <w:rsid w:val="009735FA"/>
    <w:rsid w:val="009736CB"/>
    <w:rsid w:val="00974DE8"/>
    <w:rsid w:val="009809BC"/>
    <w:rsid w:val="009809DA"/>
    <w:rsid w:val="009827F7"/>
    <w:rsid w:val="009832E0"/>
    <w:rsid w:val="00983ED0"/>
    <w:rsid w:val="009846FF"/>
    <w:rsid w:val="0098716C"/>
    <w:rsid w:val="009920D8"/>
    <w:rsid w:val="00993C82"/>
    <w:rsid w:val="00994527"/>
    <w:rsid w:val="00996BC7"/>
    <w:rsid w:val="009A0F1A"/>
    <w:rsid w:val="009A1387"/>
    <w:rsid w:val="009A35A0"/>
    <w:rsid w:val="009A461C"/>
    <w:rsid w:val="009A52AD"/>
    <w:rsid w:val="009B039A"/>
    <w:rsid w:val="009B0CF3"/>
    <w:rsid w:val="009B200B"/>
    <w:rsid w:val="009C352D"/>
    <w:rsid w:val="009C3E71"/>
    <w:rsid w:val="009C4A22"/>
    <w:rsid w:val="009C5552"/>
    <w:rsid w:val="009C5B8F"/>
    <w:rsid w:val="009C7A5D"/>
    <w:rsid w:val="009D25C2"/>
    <w:rsid w:val="009D3E0F"/>
    <w:rsid w:val="009D5288"/>
    <w:rsid w:val="009D6670"/>
    <w:rsid w:val="009D77E0"/>
    <w:rsid w:val="009E01C4"/>
    <w:rsid w:val="009E2F55"/>
    <w:rsid w:val="009F1C7B"/>
    <w:rsid w:val="009F387B"/>
    <w:rsid w:val="009F7A96"/>
    <w:rsid w:val="009F7E78"/>
    <w:rsid w:val="00A00376"/>
    <w:rsid w:val="00A00480"/>
    <w:rsid w:val="00A0415C"/>
    <w:rsid w:val="00A05322"/>
    <w:rsid w:val="00A06792"/>
    <w:rsid w:val="00A10EF2"/>
    <w:rsid w:val="00A12116"/>
    <w:rsid w:val="00A12E87"/>
    <w:rsid w:val="00A17BA9"/>
    <w:rsid w:val="00A23585"/>
    <w:rsid w:val="00A25911"/>
    <w:rsid w:val="00A31FFB"/>
    <w:rsid w:val="00A361A7"/>
    <w:rsid w:val="00A37B6C"/>
    <w:rsid w:val="00A42F94"/>
    <w:rsid w:val="00A45A15"/>
    <w:rsid w:val="00A5058A"/>
    <w:rsid w:val="00A539C3"/>
    <w:rsid w:val="00A53BA5"/>
    <w:rsid w:val="00A53E9A"/>
    <w:rsid w:val="00A556C2"/>
    <w:rsid w:val="00A5701D"/>
    <w:rsid w:val="00A61BFA"/>
    <w:rsid w:val="00A6520E"/>
    <w:rsid w:val="00A67B62"/>
    <w:rsid w:val="00A73E0D"/>
    <w:rsid w:val="00A748FF"/>
    <w:rsid w:val="00A75818"/>
    <w:rsid w:val="00A804BD"/>
    <w:rsid w:val="00A8362D"/>
    <w:rsid w:val="00A85C1E"/>
    <w:rsid w:val="00A86229"/>
    <w:rsid w:val="00A87A9F"/>
    <w:rsid w:val="00A901D9"/>
    <w:rsid w:val="00A92C58"/>
    <w:rsid w:val="00A93292"/>
    <w:rsid w:val="00A938A0"/>
    <w:rsid w:val="00A94254"/>
    <w:rsid w:val="00A96CF8"/>
    <w:rsid w:val="00A974CE"/>
    <w:rsid w:val="00A97CDE"/>
    <w:rsid w:val="00AA0CDF"/>
    <w:rsid w:val="00AB15D9"/>
    <w:rsid w:val="00AB42A1"/>
    <w:rsid w:val="00AB509F"/>
    <w:rsid w:val="00AB7842"/>
    <w:rsid w:val="00AC2684"/>
    <w:rsid w:val="00AC67DB"/>
    <w:rsid w:val="00AD0A39"/>
    <w:rsid w:val="00AD0E2C"/>
    <w:rsid w:val="00AD1331"/>
    <w:rsid w:val="00AD171F"/>
    <w:rsid w:val="00AD277C"/>
    <w:rsid w:val="00AD2969"/>
    <w:rsid w:val="00AD55C1"/>
    <w:rsid w:val="00AD5B98"/>
    <w:rsid w:val="00AD79C7"/>
    <w:rsid w:val="00AE1A6F"/>
    <w:rsid w:val="00AE3E6D"/>
    <w:rsid w:val="00AE6D22"/>
    <w:rsid w:val="00AF246C"/>
    <w:rsid w:val="00AF3E7C"/>
    <w:rsid w:val="00AF6AB4"/>
    <w:rsid w:val="00AF6EB1"/>
    <w:rsid w:val="00B01D45"/>
    <w:rsid w:val="00B0326C"/>
    <w:rsid w:val="00B119D9"/>
    <w:rsid w:val="00B11D04"/>
    <w:rsid w:val="00B17E73"/>
    <w:rsid w:val="00B20681"/>
    <w:rsid w:val="00B21590"/>
    <w:rsid w:val="00B216C9"/>
    <w:rsid w:val="00B22D07"/>
    <w:rsid w:val="00B23BB4"/>
    <w:rsid w:val="00B347D7"/>
    <w:rsid w:val="00B350AA"/>
    <w:rsid w:val="00B36592"/>
    <w:rsid w:val="00B41446"/>
    <w:rsid w:val="00B44551"/>
    <w:rsid w:val="00B4709C"/>
    <w:rsid w:val="00B4722B"/>
    <w:rsid w:val="00B5625E"/>
    <w:rsid w:val="00B62ACC"/>
    <w:rsid w:val="00B664C0"/>
    <w:rsid w:val="00B71791"/>
    <w:rsid w:val="00B73858"/>
    <w:rsid w:val="00B7724F"/>
    <w:rsid w:val="00B812FF"/>
    <w:rsid w:val="00B82DC7"/>
    <w:rsid w:val="00BA178E"/>
    <w:rsid w:val="00BA39CA"/>
    <w:rsid w:val="00BA5AFA"/>
    <w:rsid w:val="00BB0EB9"/>
    <w:rsid w:val="00BB3EFF"/>
    <w:rsid w:val="00BB4A2E"/>
    <w:rsid w:val="00BC02AB"/>
    <w:rsid w:val="00BC1185"/>
    <w:rsid w:val="00BD0361"/>
    <w:rsid w:val="00BD1164"/>
    <w:rsid w:val="00BD1F2C"/>
    <w:rsid w:val="00BD2656"/>
    <w:rsid w:val="00BD4FF3"/>
    <w:rsid w:val="00BE1377"/>
    <w:rsid w:val="00BE1FC7"/>
    <w:rsid w:val="00BE4CA1"/>
    <w:rsid w:val="00BE4D3F"/>
    <w:rsid w:val="00BE4F69"/>
    <w:rsid w:val="00BF1BD0"/>
    <w:rsid w:val="00BF4255"/>
    <w:rsid w:val="00BF7759"/>
    <w:rsid w:val="00C004A7"/>
    <w:rsid w:val="00C004F6"/>
    <w:rsid w:val="00C00533"/>
    <w:rsid w:val="00C00781"/>
    <w:rsid w:val="00C00E16"/>
    <w:rsid w:val="00C01A90"/>
    <w:rsid w:val="00C02DD7"/>
    <w:rsid w:val="00C0593B"/>
    <w:rsid w:val="00C10D78"/>
    <w:rsid w:val="00C128F4"/>
    <w:rsid w:val="00C140A7"/>
    <w:rsid w:val="00C151ED"/>
    <w:rsid w:val="00C17556"/>
    <w:rsid w:val="00C20755"/>
    <w:rsid w:val="00C20B4E"/>
    <w:rsid w:val="00C22769"/>
    <w:rsid w:val="00C271FF"/>
    <w:rsid w:val="00C2771D"/>
    <w:rsid w:val="00C34FEF"/>
    <w:rsid w:val="00C3723E"/>
    <w:rsid w:val="00C40B62"/>
    <w:rsid w:val="00C418C5"/>
    <w:rsid w:val="00C437C5"/>
    <w:rsid w:val="00C45490"/>
    <w:rsid w:val="00C45ACD"/>
    <w:rsid w:val="00C473A6"/>
    <w:rsid w:val="00C51352"/>
    <w:rsid w:val="00C524F0"/>
    <w:rsid w:val="00C52CA2"/>
    <w:rsid w:val="00C56C8E"/>
    <w:rsid w:val="00C57FCF"/>
    <w:rsid w:val="00C61675"/>
    <w:rsid w:val="00C66D83"/>
    <w:rsid w:val="00C70D72"/>
    <w:rsid w:val="00C72B0D"/>
    <w:rsid w:val="00C766FC"/>
    <w:rsid w:val="00C77496"/>
    <w:rsid w:val="00C77741"/>
    <w:rsid w:val="00C810D2"/>
    <w:rsid w:val="00C861EF"/>
    <w:rsid w:val="00C94BCA"/>
    <w:rsid w:val="00C94D50"/>
    <w:rsid w:val="00CA05E6"/>
    <w:rsid w:val="00CA06A4"/>
    <w:rsid w:val="00CA19A4"/>
    <w:rsid w:val="00CA378C"/>
    <w:rsid w:val="00CA474D"/>
    <w:rsid w:val="00CA69D2"/>
    <w:rsid w:val="00CA7FF4"/>
    <w:rsid w:val="00CB004A"/>
    <w:rsid w:val="00CB31DA"/>
    <w:rsid w:val="00CC181E"/>
    <w:rsid w:val="00CC1C7A"/>
    <w:rsid w:val="00CC5C95"/>
    <w:rsid w:val="00CC7401"/>
    <w:rsid w:val="00CD1041"/>
    <w:rsid w:val="00CD3706"/>
    <w:rsid w:val="00CD5315"/>
    <w:rsid w:val="00CD5412"/>
    <w:rsid w:val="00CE03A9"/>
    <w:rsid w:val="00CE4BFF"/>
    <w:rsid w:val="00CE5FEE"/>
    <w:rsid w:val="00CF2E53"/>
    <w:rsid w:val="00CF4896"/>
    <w:rsid w:val="00CF76F0"/>
    <w:rsid w:val="00CF79DF"/>
    <w:rsid w:val="00D00B80"/>
    <w:rsid w:val="00D00E1F"/>
    <w:rsid w:val="00D0434F"/>
    <w:rsid w:val="00D07151"/>
    <w:rsid w:val="00D07480"/>
    <w:rsid w:val="00D07666"/>
    <w:rsid w:val="00D10188"/>
    <w:rsid w:val="00D153CC"/>
    <w:rsid w:val="00D20AB6"/>
    <w:rsid w:val="00D218B9"/>
    <w:rsid w:val="00D26527"/>
    <w:rsid w:val="00D26E19"/>
    <w:rsid w:val="00D33453"/>
    <w:rsid w:val="00D3400A"/>
    <w:rsid w:val="00D34C75"/>
    <w:rsid w:val="00D35EB2"/>
    <w:rsid w:val="00D40465"/>
    <w:rsid w:val="00D40F11"/>
    <w:rsid w:val="00D43DF4"/>
    <w:rsid w:val="00D4417B"/>
    <w:rsid w:val="00D44377"/>
    <w:rsid w:val="00D51FC8"/>
    <w:rsid w:val="00D5226D"/>
    <w:rsid w:val="00D53472"/>
    <w:rsid w:val="00D53F9A"/>
    <w:rsid w:val="00D55CB1"/>
    <w:rsid w:val="00D56B21"/>
    <w:rsid w:val="00D57271"/>
    <w:rsid w:val="00D57F57"/>
    <w:rsid w:val="00D6156F"/>
    <w:rsid w:val="00D619E4"/>
    <w:rsid w:val="00D61E41"/>
    <w:rsid w:val="00D626A5"/>
    <w:rsid w:val="00D62F99"/>
    <w:rsid w:val="00D65056"/>
    <w:rsid w:val="00D668B6"/>
    <w:rsid w:val="00D66BDF"/>
    <w:rsid w:val="00D67EB9"/>
    <w:rsid w:val="00D72B18"/>
    <w:rsid w:val="00D72C6A"/>
    <w:rsid w:val="00D74084"/>
    <w:rsid w:val="00D742A1"/>
    <w:rsid w:val="00D74478"/>
    <w:rsid w:val="00D763B5"/>
    <w:rsid w:val="00D76F02"/>
    <w:rsid w:val="00D80A21"/>
    <w:rsid w:val="00D81FE0"/>
    <w:rsid w:val="00D84D3D"/>
    <w:rsid w:val="00D874E8"/>
    <w:rsid w:val="00D939C3"/>
    <w:rsid w:val="00D959CB"/>
    <w:rsid w:val="00DA10DA"/>
    <w:rsid w:val="00DA3CC9"/>
    <w:rsid w:val="00DB07C7"/>
    <w:rsid w:val="00DB138C"/>
    <w:rsid w:val="00DB50F6"/>
    <w:rsid w:val="00DB6759"/>
    <w:rsid w:val="00DC2165"/>
    <w:rsid w:val="00DC4C00"/>
    <w:rsid w:val="00DC5E57"/>
    <w:rsid w:val="00DC5ECD"/>
    <w:rsid w:val="00DC6152"/>
    <w:rsid w:val="00DC773F"/>
    <w:rsid w:val="00DD245E"/>
    <w:rsid w:val="00DD32FF"/>
    <w:rsid w:val="00DD4EF3"/>
    <w:rsid w:val="00DD6BE3"/>
    <w:rsid w:val="00DD7742"/>
    <w:rsid w:val="00DE3C5D"/>
    <w:rsid w:val="00DE59C7"/>
    <w:rsid w:val="00DE5B8A"/>
    <w:rsid w:val="00DE720E"/>
    <w:rsid w:val="00DE7403"/>
    <w:rsid w:val="00DF0393"/>
    <w:rsid w:val="00DF387C"/>
    <w:rsid w:val="00DF525E"/>
    <w:rsid w:val="00DF655B"/>
    <w:rsid w:val="00DF6BA1"/>
    <w:rsid w:val="00DF6F9C"/>
    <w:rsid w:val="00E01E3F"/>
    <w:rsid w:val="00E043AE"/>
    <w:rsid w:val="00E05009"/>
    <w:rsid w:val="00E06BD9"/>
    <w:rsid w:val="00E07DE8"/>
    <w:rsid w:val="00E12EEC"/>
    <w:rsid w:val="00E16A54"/>
    <w:rsid w:val="00E20848"/>
    <w:rsid w:val="00E20CA2"/>
    <w:rsid w:val="00E27F01"/>
    <w:rsid w:val="00E32444"/>
    <w:rsid w:val="00E32631"/>
    <w:rsid w:val="00E32BB5"/>
    <w:rsid w:val="00E3350E"/>
    <w:rsid w:val="00E41278"/>
    <w:rsid w:val="00E431DB"/>
    <w:rsid w:val="00E45296"/>
    <w:rsid w:val="00E506C6"/>
    <w:rsid w:val="00E5161E"/>
    <w:rsid w:val="00E52514"/>
    <w:rsid w:val="00E55E83"/>
    <w:rsid w:val="00E6519C"/>
    <w:rsid w:val="00E655BF"/>
    <w:rsid w:val="00E65FBD"/>
    <w:rsid w:val="00E66A2C"/>
    <w:rsid w:val="00E67B64"/>
    <w:rsid w:val="00E67BE8"/>
    <w:rsid w:val="00E70B7A"/>
    <w:rsid w:val="00E72CAA"/>
    <w:rsid w:val="00E73746"/>
    <w:rsid w:val="00E74E62"/>
    <w:rsid w:val="00E75B6F"/>
    <w:rsid w:val="00E8204E"/>
    <w:rsid w:val="00E820C0"/>
    <w:rsid w:val="00E826A3"/>
    <w:rsid w:val="00E86281"/>
    <w:rsid w:val="00E87A81"/>
    <w:rsid w:val="00E91DBA"/>
    <w:rsid w:val="00E926AC"/>
    <w:rsid w:val="00EA149D"/>
    <w:rsid w:val="00EA1607"/>
    <w:rsid w:val="00EA29B1"/>
    <w:rsid w:val="00EA5874"/>
    <w:rsid w:val="00EB02BB"/>
    <w:rsid w:val="00EB5630"/>
    <w:rsid w:val="00EB5F03"/>
    <w:rsid w:val="00EB72B8"/>
    <w:rsid w:val="00EC2626"/>
    <w:rsid w:val="00EC3B6F"/>
    <w:rsid w:val="00EC490D"/>
    <w:rsid w:val="00ED18CD"/>
    <w:rsid w:val="00ED1AFD"/>
    <w:rsid w:val="00ED2302"/>
    <w:rsid w:val="00EE4035"/>
    <w:rsid w:val="00EE4FF8"/>
    <w:rsid w:val="00EE51CE"/>
    <w:rsid w:val="00EE690E"/>
    <w:rsid w:val="00EE7423"/>
    <w:rsid w:val="00EF2D0F"/>
    <w:rsid w:val="00EF44F7"/>
    <w:rsid w:val="00EF4C8B"/>
    <w:rsid w:val="00F02045"/>
    <w:rsid w:val="00F0462F"/>
    <w:rsid w:val="00F06E3C"/>
    <w:rsid w:val="00F10B1E"/>
    <w:rsid w:val="00F11E64"/>
    <w:rsid w:val="00F12D06"/>
    <w:rsid w:val="00F1316E"/>
    <w:rsid w:val="00F1543B"/>
    <w:rsid w:val="00F1643A"/>
    <w:rsid w:val="00F17C2F"/>
    <w:rsid w:val="00F20575"/>
    <w:rsid w:val="00F21F3D"/>
    <w:rsid w:val="00F22742"/>
    <w:rsid w:val="00F23267"/>
    <w:rsid w:val="00F30717"/>
    <w:rsid w:val="00F33122"/>
    <w:rsid w:val="00F34247"/>
    <w:rsid w:val="00F34BB3"/>
    <w:rsid w:val="00F353D9"/>
    <w:rsid w:val="00F35405"/>
    <w:rsid w:val="00F36CDF"/>
    <w:rsid w:val="00F40F22"/>
    <w:rsid w:val="00F45FCD"/>
    <w:rsid w:val="00F537AE"/>
    <w:rsid w:val="00F53B8B"/>
    <w:rsid w:val="00F55C14"/>
    <w:rsid w:val="00F60AB6"/>
    <w:rsid w:val="00F70109"/>
    <w:rsid w:val="00F76B4A"/>
    <w:rsid w:val="00F76FD5"/>
    <w:rsid w:val="00F83157"/>
    <w:rsid w:val="00F85BA2"/>
    <w:rsid w:val="00F86758"/>
    <w:rsid w:val="00F8721C"/>
    <w:rsid w:val="00F87E3D"/>
    <w:rsid w:val="00F90D9A"/>
    <w:rsid w:val="00F916AC"/>
    <w:rsid w:val="00F92F11"/>
    <w:rsid w:val="00F96167"/>
    <w:rsid w:val="00FA093E"/>
    <w:rsid w:val="00FA0FDA"/>
    <w:rsid w:val="00FA166D"/>
    <w:rsid w:val="00FA4352"/>
    <w:rsid w:val="00FA6EF7"/>
    <w:rsid w:val="00FB2647"/>
    <w:rsid w:val="00FB42B7"/>
    <w:rsid w:val="00FB4D13"/>
    <w:rsid w:val="00FB7978"/>
    <w:rsid w:val="00FC0819"/>
    <w:rsid w:val="00FC4885"/>
    <w:rsid w:val="00FC7829"/>
    <w:rsid w:val="00FD1D42"/>
    <w:rsid w:val="00FD3500"/>
    <w:rsid w:val="00FD5510"/>
    <w:rsid w:val="00FE00A9"/>
    <w:rsid w:val="00FE050F"/>
    <w:rsid w:val="00FE3AD7"/>
    <w:rsid w:val="00FE3B39"/>
    <w:rsid w:val="00FE6B0E"/>
    <w:rsid w:val="00FF1A2C"/>
    <w:rsid w:val="00FF2D93"/>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474F"/>
  <w15:docId w15:val="{98D196C7-AAEE-4E39-8CF4-386BF4F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semiHidden/>
    <w:unhideWhenUsed/>
    <w:rsid w:val="00755A35"/>
    <w:pPr>
      <w:spacing w:line="240" w:lineRule="auto"/>
    </w:pPr>
    <w:rPr>
      <w:sz w:val="20"/>
      <w:szCs w:val="20"/>
    </w:rPr>
  </w:style>
  <w:style w:type="character" w:customStyle="1" w:styleId="CommentTextChar">
    <w:name w:val="Comment Text Char"/>
    <w:link w:val="CommentText"/>
    <w:uiPriority w:val="99"/>
    <w:semiHidden/>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12116"/>
    <w:pPr>
      <w:spacing w:after="0" w:line="240" w:lineRule="auto"/>
    </w:pPr>
    <w:rPr>
      <w:rFonts w:eastAsiaTheme="minorHAnsi"/>
      <w:sz w:val="20"/>
      <w:szCs w:val="20"/>
      <w:lang w:eastAsia="en-GB"/>
    </w:rPr>
  </w:style>
  <w:style w:type="character" w:customStyle="1" w:styleId="FootnoteTextChar">
    <w:name w:val="Footnote Text Char"/>
    <w:basedOn w:val="DefaultParagraphFont"/>
    <w:link w:val="FootnoteText"/>
    <w:uiPriority w:val="99"/>
    <w:semiHidden/>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
    <w:basedOn w:val="DefaultParagraphFont"/>
    <w:link w:val="BVIfnrCarCar"/>
    <w:uiPriority w:val="99"/>
    <w:unhideWhenUsed/>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c.undp.org/index.html;jsessionid=2825BA456DA1408C7BC53F6267CDC59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aurelie.boukobza\Dropbox\00.UNDP%20OSG\02.Evaluation\01.%20Annual%20Report%20on%20Evaluation%20(ARE)\ARE%202013\Data%20for%20ARE\ARE%20da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Decentralized Evaluations Quality</a:t>
            </a:r>
          </a:p>
        </c:rich>
      </c:tx>
      <c:overlay val="0"/>
    </c:title>
    <c:autoTitleDeleted val="0"/>
    <c:plotArea>
      <c:layout/>
      <c:lineChart>
        <c:grouping val="standard"/>
        <c:varyColors val="0"/>
        <c:ser>
          <c:idx val="0"/>
          <c:order val="0"/>
          <c:tx>
            <c:strRef>
              <c:f>'MgmtResponseStatusReport-7'!$I$238</c:f>
              <c:strCache>
                <c:ptCount val="1"/>
                <c:pt idx="0">
                  <c:v>Moderately satisfactory and above</c:v>
                </c:pt>
              </c:strCache>
            </c:strRef>
          </c:tx>
          <c:marker>
            <c:symbol val="none"/>
          </c:marker>
          <c:cat>
            <c:numRef>
              <c:f>'MgmtResponseStatusReport-7'!$J$237:$L$237</c:f>
              <c:numCache>
                <c:formatCode>General</c:formatCode>
                <c:ptCount val="3"/>
                <c:pt idx="0">
                  <c:v>2011</c:v>
                </c:pt>
                <c:pt idx="1">
                  <c:v>2012</c:v>
                </c:pt>
                <c:pt idx="2">
                  <c:v>2013</c:v>
                </c:pt>
              </c:numCache>
            </c:numRef>
          </c:cat>
          <c:val>
            <c:numRef>
              <c:f>'MgmtResponseStatusReport-7'!$J$238:$L$238</c:f>
              <c:numCache>
                <c:formatCode>0%</c:formatCode>
                <c:ptCount val="3"/>
                <c:pt idx="0">
                  <c:v>0.63</c:v>
                </c:pt>
                <c:pt idx="1">
                  <c:v>0.74</c:v>
                </c:pt>
                <c:pt idx="2">
                  <c:v>0.81</c:v>
                </c:pt>
              </c:numCache>
            </c:numRef>
          </c:val>
          <c:smooth val="0"/>
        </c:ser>
        <c:ser>
          <c:idx val="1"/>
          <c:order val="1"/>
          <c:tx>
            <c:strRef>
              <c:f>'MgmtResponseStatusReport-7'!$I$239</c:f>
              <c:strCache>
                <c:ptCount val="1"/>
                <c:pt idx="0">
                  <c:v>Moderately unsatisfactory and below</c:v>
                </c:pt>
              </c:strCache>
            </c:strRef>
          </c:tx>
          <c:marker>
            <c:symbol val="none"/>
          </c:marker>
          <c:cat>
            <c:numRef>
              <c:f>'MgmtResponseStatusReport-7'!$J$237:$L$237</c:f>
              <c:numCache>
                <c:formatCode>General</c:formatCode>
                <c:ptCount val="3"/>
                <c:pt idx="0">
                  <c:v>2011</c:v>
                </c:pt>
                <c:pt idx="1">
                  <c:v>2012</c:v>
                </c:pt>
                <c:pt idx="2">
                  <c:v>2013</c:v>
                </c:pt>
              </c:numCache>
            </c:numRef>
          </c:cat>
          <c:val>
            <c:numRef>
              <c:f>'MgmtResponseStatusReport-7'!$J$239:$L$239</c:f>
              <c:numCache>
                <c:formatCode>0%</c:formatCode>
                <c:ptCount val="3"/>
                <c:pt idx="0">
                  <c:v>0.36</c:v>
                </c:pt>
                <c:pt idx="1">
                  <c:v>0.25</c:v>
                </c:pt>
                <c:pt idx="2">
                  <c:v>0.19</c:v>
                </c:pt>
              </c:numCache>
            </c:numRef>
          </c:val>
          <c:smooth val="0"/>
        </c:ser>
        <c:dLbls>
          <c:showLegendKey val="0"/>
          <c:showVal val="0"/>
          <c:showCatName val="0"/>
          <c:showSerName val="0"/>
          <c:showPercent val="0"/>
          <c:showBubbleSize val="0"/>
        </c:dLbls>
        <c:smooth val="0"/>
        <c:axId val="274933168"/>
        <c:axId val="274932776"/>
      </c:lineChart>
      <c:catAx>
        <c:axId val="274933168"/>
        <c:scaling>
          <c:orientation val="minMax"/>
        </c:scaling>
        <c:delete val="0"/>
        <c:axPos val="b"/>
        <c:numFmt formatCode="General" sourceLinked="1"/>
        <c:majorTickMark val="none"/>
        <c:minorTickMark val="none"/>
        <c:tickLblPos val="nextTo"/>
        <c:crossAx val="274932776"/>
        <c:crosses val="autoZero"/>
        <c:auto val="1"/>
        <c:lblAlgn val="ctr"/>
        <c:lblOffset val="100"/>
        <c:noMultiLvlLbl val="0"/>
      </c:catAx>
      <c:valAx>
        <c:axId val="274932776"/>
        <c:scaling>
          <c:orientation val="minMax"/>
        </c:scaling>
        <c:delete val="0"/>
        <c:axPos val="l"/>
        <c:majorGridlines/>
        <c:numFmt formatCode="0%" sourceLinked="1"/>
        <c:majorTickMark val="none"/>
        <c:minorTickMark val="none"/>
        <c:tickLblPos val="nextTo"/>
        <c:crossAx val="274933168"/>
        <c:crosses val="autoZero"/>
        <c:crossBetween val="between"/>
      </c:valAx>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2</cp:revision>
  <cp:lastPrinted>2016-05-03T15:49:00Z</cp:lastPrinted>
  <dcterms:created xsi:type="dcterms:W3CDTF">2016-05-04T19:04:00Z</dcterms:created>
  <dcterms:modified xsi:type="dcterms:W3CDTF">2016-05-04T19:04:00Z</dcterms:modified>
</cp:coreProperties>
</file>