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A4" w14:textId="77777777" w:rsidR="00785474" w:rsidRPr="00444069" w:rsidRDefault="00785474" w:rsidP="00D9153B">
      <w:pPr>
        <w:rPr>
          <w:color w:val="000000"/>
          <w:lang w:val="en-GB"/>
        </w:rPr>
        <w:sectPr w:rsidR="00785474" w:rsidRPr="00444069" w:rsidSect="00677A8F">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B8EA4D1" w14:textId="77777777" w:rsidR="00066477" w:rsidRPr="00444069" w:rsidRDefault="00066477" w:rsidP="00066477">
      <w:pPr>
        <w:tabs>
          <w:tab w:val="left" w:pos="8789"/>
        </w:tabs>
        <w:ind w:right="288"/>
        <w:rPr>
          <w:b/>
          <w:color w:val="000000"/>
          <w:lang w:val="en-GB"/>
        </w:rPr>
      </w:pPr>
      <w:r w:rsidRPr="00444069">
        <w:rPr>
          <w:b/>
          <w:color w:val="000000"/>
          <w:lang w:val="en-GB"/>
        </w:rPr>
        <w:t>Second regular session 2022</w:t>
      </w:r>
    </w:p>
    <w:p w14:paraId="4A55A192" w14:textId="5E70DE54" w:rsidR="00066477" w:rsidRPr="004806F2" w:rsidRDefault="009565D7" w:rsidP="000664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 xml:space="preserve">29 August to </w:t>
      </w:r>
      <w:r w:rsidR="006841E6">
        <w:rPr>
          <w:color w:val="000000"/>
          <w:lang w:val="en-GB"/>
        </w:rPr>
        <w:t>1</w:t>
      </w:r>
      <w:r w:rsidR="00467E4D" w:rsidRPr="00444069">
        <w:rPr>
          <w:color w:val="000000"/>
          <w:lang w:val="en-GB"/>
        </w:rPr>
        <w:t xml:space="preserve"> </w:t>
      </w:r>
      <w:r w:rsidR="00066477" w:rsidRPr="00444069">
        <w:rPr>
          <w:color w:val="000000"/>
          <w:lang w:val="en-GB"/>
        </w:rPr>
        <w:t>September</w:t>
      </w:r>
      <w:r w:rsidR="00066477" w:rsidRPr="004806F2">
        <w:rPr>
          <w:color w:val="000000"/>
          <w:lang w:val="en-GB"/>
        </w:rPr>
        <w:t xml:space="preserve"> 2022, New York</w:t>
      </w:r>
    </w:p>
    <w:p w14:paraId="522427FE" w14:textId="77777777" w:rsidR="00066477" w:rsidRPr="00DB3165" w:rsidRDefault="00066477" w:rsidP="000664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B3165">
        <w:rPr>
          <w:color w:val="000000"/>
          <w:lang w:val="en-GB"/>
        </w:rPr>
        <w:t>Item 3 of the provisional agenda</w:t>
      </w:r>
    </w:p>
    <w:p w14:paraId="501F1FD4" w14:textId="77777777" w:rsidR="00066477" w:rsidRPr="00925AA6" w:rsidRDefault="00066477" w:rsidP="00066477">
      <w:pPr>
        <w:ind w:right="1260"/>
        <w:rPr>
          <w:b/>
          <w:color w:val="000000"/>
          <w:lang w:val="en-GB"/>
        </w:rPr>
      </w:pPr>
      <w:r w:rsidRPr="00925AA6">
        <w:rPr>
          <w:b/>
          <w:color w:val="000000"/>
          <w:lang w:val="en-GB"/>
        </w:rPr>
        <w:t>Country programmes and related matters</w:t>
      </w:r>
    </w:p>
    <w:p w14:paraId="5514D8B6" w14:textId="77777777" w:rsidR="00066477" w:rsidRPr="00EC5843" w:rsidRDefault="00066477" w:rsidP="00066477">
      <w:pPr>
        <w:rPr>
          <w:color w:val="000000"/>
          <w:spacing w:val="-3"/>
          <w:lang w:val="en-GB"/>
        </w:rPr>
      </w:pPr>
    </w:p>
    <w:p w14:paraId="1BCAB003" w14:textId="77777777" w:rsidR="00066477" w:rsidRPr="00EC5843" w:rsidRDefault="00066477" w:rsidP="000664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9CF1A29" w14:textId="77777777" w:rsidR="00066477" w:rsidRPr="00EC5843" w:rsidRDefault="00066477" w:rsidP="000664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92B8424" w14:textId="77777777" w:rsidR="00066477" w:rsidRPr="00EC5843" w:rsidRDefault="00066477" w:rsidP="0006647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5792C7A" w14:textId="77F3FD69" w:rsidR="00066477" w:rsidRPr="00444069" w:rsidRDefault="00066477" w:rsidP="000664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9"/>
          <w:szCs w:val="29"/>
          <w:lang w:val="en-GB"/>
        </w:rPr>
      </w:pPr>
      <w:r w:rsidRPr="00444069">
        <w:rPr>
          <w:b/>
          <w:color w:val="000000"/>
          <w:spacing w:val="-2"/>
          <w:w w:val="103"/>
          <w:kern w:val="14"/>
          <w:sz w:val="29"/>
          <w:szCs w:val="29"/>
          <w:lang w:val="en-GB"/>
        </w:rPr>
        <w:t xml:space="preserve">Draft country programme document for </w:t>
      </w:r>
      <w:r w:rsidR="00443770" w:rsidRPr="00444069">
        <w:rPr>
          <w:b/>
          <w:color w:val="000000"/>
          <w:spacing w:val="-2"/>
          <w:w w:val="103"/>
          <w:kern w:val="14"/>
          <w:sz w:val="29"/>
          <w:szCs w:val="29"/>
          <w:lang w:val="en-GB"/>
        </w:rPr>
        <w:t>Yemen</w:t>
      </w:r>
      <w:r w:rsidRPr="00444069">
        <w:rPr>
          <w:b/>
          <w:color w:val="000000"/>
          <w:spacing w:val="-2"/>
          <w:w w:val="103"/>
          <w:kern w:val="14"/>
          <w:sz w:val="29"/>
          <w:szCs w:val="29"/>
          <w:lang w:val="en-GB"/>
        </w:rPr>
        <w:t xml:space="preserve"> (2023-202</w:t>
      </w:r>
      <w:r w:rsidR="00443770" w:rsidRPr="00444069">
        <w:rPr>
          <w:b/>
          <w:color w:val="000000"/>
          <w:spacing w:val="-2"/>
          <w:w w:val="103"/>
          <w:kern w:val="14"/>
          <w:sz w:val="29"/>
          <w:szCs w:val="29"/>
          <w:lang w:val="en-GB"/>
        </w:rPr>
        <w:t>4</w:t>
      </w:r>
      <w:r w:rsidRPr="00444069">
        <w:rPr>
          <w:b/>
          <w:color w:val="000000"/>
          <w:spacing w:val="-2"/>
          <w:w w:val="103"/>
          <w:kern w:val="14"/>
          <w:sz w:val="29"/>
          <w:szCs w:val="29"/>
          <w:lang w:val="en-GB"/>
        </w:rPr>
        <w:t>)</w:t>
      </w:r>
      <w:r w:rsidRPr="00444069">
        <w:rPr>
          <w:b/>
          <w:color w:val="000000"/>
          <w:spacing w:val="-2"/>
          <w:w w:val="103"/>
          <w:kern w:val="14"/>
          <w:sz w:val="29"/>
          <w:szCs w:val="29"/>
          <w:lang w:val="en-GB"/>
        </w:rPr>
        <w:br/>
      </w:r>
    </w:p>
    <w:p w14:paraId="14ABFE2B" w14:textId="77777777" w:rsidR="00066477" w:rsidRPr="00444069" w:rsidRDefault="00066477" w:rsidP="0006647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444069">
        <w:rPr>
          <w:color w:val="000000"/>
          <w:kern w:val="14"/>
          <w:sz w:val="28"/>
          <w:lang w:val="en-GB" w:eastAsia="fr-FR"/>
        </w:rPr>
        <w:t>Contents</w:t>
      </w:r>
    </w:p>
    <w:p w14:paraId="254273CA" w14:textId="77777777" w:rsidR="00066477" w:rsidRPr="00444069" w:rsidRDefault="00066477" w:rsidP="00066477">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066477" w:rsidRPr="00444069" w14:paraId="0D266F74" w14:textId="77777777" w:rsidTr="00BD43AF">
        <w:tc>
          <w:tcPr>
            <w:tcW w:w="1060" w:type="dxa"/>
            <w:shd w:val="clear" w:color="auto" w:fill="auto"/>
          </w:tcPr>
          <w:p w14:paraId="0160E0C2" w14:textId="77777777" w:rsidR="00066477" w:rsidRPr="00444069" w:rsidRDefault="00066477" w:rsidP="00BD43AF">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7C9B13D1" w14:textId="77777777" w:rsidR="00066477" w:rsidRPr="004806F2" w:rsidRDefault="00066477" w:rsidP="00BD43AF">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6454329C" w14:textId="77777777" w:rsidR="00066477" w:rsidRPr="00DB3165" w:rsidRDefault="00066477" w:rsidP="00BD43AF">
            <w:pPr>
              <w:tabs>
                <w:tab w:val="left" w:pos="1620"/>
              </w:tabs>
              <w:suppressAutoHyphens/>
              <w:spacing w:after="120"/>
              <w:jc w:val="right"/>
              <w:rPr>
                <w:i/>
                <w:color w:val="000000"/>
                <w:spacing w:val="4"/>
                <w:w w:val="103"/>
                <w:kern w:val="14"/>
                <w:sz w:val="14"/>
                <w:lang w:val="en-GB" w:eastAsia="fr-FR"/>
              </w:rPr>
            </w:pPr>
            <w:r w:rsidRPr="00DB3165">
              <w:rPr>
                <w:i/>
                <w:iCs/>
                <w:color w:val="000000"/>
                <w:kern w:val="14"/>
                <w:sz w:val="14"/>
                <w:lang w:val="en-GB" w:eastAsia="fr-FR"/>
              </w:rPr>
              <w:t>Page</w:t>
            </w:r>
          </w:p>
        </w:tc>
      </w:tr>
      <w:tr w:rsidR="00066477" w:rsidRPr="00444069" w14:paraId="30B7E6AC" w14:textId="77777777" w:rsidTr="00BD43AF">
        <w:tc>
          <w:tcPr>
            <w:tcW w:w="9540" w:type="dxa"/>
            <w:gridSpan w:val="3"/>
            <w:shd w:val="clear" w:color="auto" w:fill="auto"/>
          </w:tcPr>
          <w:p w14:paraId="168E7462" w14:textId="77777777" w:rsidR="00066477" w:rsidRPr="00444069" w:rsidRDefault="00066477" w:rsidP="00066477">
            <w:pPr>
              <w:numPr>
                <w:ilvl w:val="0"/>
                <w:numId w:val="11"/>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444069">
              <w:rPr>
                <w:color w:val="000000"/>
                <w:kern w:val="14"/>
                <w:lang w:val="en-GB" w:eastAsia="fr-FR"/>
              </w:rPr>
              <w:tab/>
              <w:t>UNDP within the United Nations Sustainable Development Cooperation Framework</w:t>
            </w:r>
            <w:r w:rsidRPr="00444069">
              <w:rPr>
                <w:color w:val="000000"/>
                <w:sz w:val="24"/>
                <w:szCs w:val="24"/>
                <w:lang w:val="en-GB" w:eastAsia="fr-FR"/>
              </w:rPr>
              <w:tab/>
            </w:r>
          </w:p>
        </w:tc>
        <w:tc>
          <w:tcPr>
            <w:tcW w:w="362" w:type="dxa"/>
            <w:vMerge w:val="restart"/>
            <w:shd w:val="clear" w:color="auto" w:fill="auto"/>
            <w:vAlign w:val="bottom"/>
          </w:tcPr>
          <w:p w14:paraId="721392C3" w14:textId="77777777" w:rsidR="00066477" w:rsidRPr="004806F2" w:rsidRDefault="00066477" w:rsidP="00BD43AF">
            <w:pPr>
              <w:tabs>
                <w:tab w:val="left" w:pos="1620"/>
              </w:tabs>
              <w:suppressAutoHyphens/>
              <w:spacing w:after="120" w:line="240" w:lineRule="exact"/>
              <w:jc w:val="right"/>
              <w:rPr>
                <w:color w:val="000000"/>
                <w:spacing w:val="4"/>
                <w:w w:val="103"/>
                <w:kern w:val="14"/>
                <w:lang w:val="en-GB" w:eastAsia="fr-FR"/>
              </w:rPr>
            </w:pPr>
            <w:r w:rsidRPr="004806F2">
              <w:rPr>
                <w:color w:val="000000"/>
                <w:kern w:val="14"/>
                <w:lang w:val="en-GB" w:eastAsia="fr-FR"/>
              </w:rPr>
              <w:t>2</w:t>
            </w:r>
          </w:p>
          <w:p w14:paraId="73F247C3" w14:textId="20D0145A" w:rsidR="00066477" w:rsidRPr="00DB3165" w:rsidRDefault="00BA1514" w:rsidP="00BD43AF">
            <w:pPr>
              <w:tabs>
                <w:tab w:val="left" w:pos="1620"/>
              </w:tabs>
              <w:suppressAutoHyphens/>
              <w:spacing w:after="120" w:line="240" w:lineRule="exact"/>
              <w:jc w:val="right"/>
              <w:rPr>
                <w:color w:val="000000"/>
                <w:spacing w:val="4"/>
                <w:w w:val="103"/>
                <w:kern w:val="14"/>
                <w:lang w:val="en-GB" w:eastAsia="fr-FR"/>
              </w:rPr>
            </w:pPr>
            <w:r w:rsidRPr="00DB3165">
              <w:rPr>
                <w:color w:val="000000"/>
                <w:spacing w:val="4"/>
                <w:w w:val="103"/>
                <w:kern w:val="14"/>
                <w:lang w:val="en-GB" w:eastAsia="fr-FR"/>
              </w:rPr>
              <w:t>5</w:t>
            </w:r>
          </w:p>
        </w:tc>
      </w:tr>
      <w:tr w:rsidR="00066477" w:rsidRPr="00444069" w14:paraId="476A8239" w14:textId="77777777" w:rsidTr="00BD43AF">
        <w:tc>
          <w:tcPr>
            <w:tcW w:w="9540" w:type="dxa"/>
            <w:gridSpan w:val="3"/>
            <w:shd w:val="clear" w:color="auto" w:fill="auto"/>
          </w:tcPr>
          <w:p w14:paraId="1A191E71" w14:textId="77777777" w:rsidR="00066477" w:rsidRPr="00444069" w:rsidRDefault="00066477" w:rsidP="00066477">
            <w:pPr>
              <w:numPr>
                <w:ilvl w:val="0"/>
                <w:numId w:val="1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444069">
              <w:rPr>
                <w:color w:val="000000"/>
                <w:kern w:val="14"/>
                <w:lang w:val="en-GB" w:eastAsia="fr-FR"/>
              </w:rPr>
              <w:tab/>
              <w:t>Programme priorities and partnerships………………………………………………….</w:t>
            </w:r>
            <w:r w:rsidRPr="00444069">
              <w:rPr>
                <w:color w:val="000000"/>
                <w:kern w:val="14"/>
                <w:sz w:val="17"/>
                <w:lang w:val="en-GB" w:eastAsia="fr-FR"/>
              </w:rPr>
              <w:tab/>
            </w:r>
            <w:r w:rsidRPr="00444069">
              <w:rPr>
                <w:color w:val="000000"/>
                <w:kern w:val="14"/>
                <w:lang w:val="en-GB" w:eastAsia="fr-FR"/>
              </w:rPr>
              <w:t>……….…</w:t>
            </w:r>
          </w:p>
        </w:tc>
        <w:tc>
          <w:tcPr>
            <w:tcW w:w="362" w:type="dxa"/>
            <w:vMerge/>
            <w:shd w:val="clear" w:color="auto" w:fill="auto"/>
            <w:vAlign w:val="bottom"/>
          </w:tcPr>
          <w:p w14:paraId="50B1933E" w14:textId="77777777" w:rsidR="00066477" w:rsidRPr="00444069" w:rsidRDefault="00066477" w:rsidP="00BD43AF">
            <w:pPr>
              <w:tabs>
                <w:tab w:val="left" w:pos="1620"/>
              </w:tabs>
              <w:suppressAutoHyphens/>
              <w:spacing w:after="120" w:line="240" w:lineRule="exact"/>
              <w:jc w:val="right"/>
              <w:rPr>
                <w:color w:val="000000"/>
                <w:spacing w:val="4"/>
                <w:w w:val="103"/>
                <w:kern w:val="14"/>
                <w:lang w:val="en-GB" w:eastAsia="fr-FR"/>
              </w:rPr>
            </w:pPr>
          </w:p>
        </w:tc>
      </w:tr>
      <w:tr w:rsidR="00066477" w:rsidRPr="00444069" w14:paraId="75DBDD9A" w14:textId="77777777" w:rsidTr="00BD43AF">
        <w:tc>
          <w:tcPr>
            <w:tcW w:w="9540" w:type="dxa"/>
            <w:gridSpan w:val="3"/>
            <w:shd w:val="clear" w:color="auto" w:fill="auto"/>
          </w:tcPr>
          <w:p w14:paraId="5C12903C" w14:textId="77777777" w:rsidR="00066477" w:rsidRPr="00444069" w:rsidRDefault="00066477" w:rsidP="00066477">
            <w:pPr>
              <w:numPr>
                <w:ilvl w:val="0"/>
                <w:numId w:val="11"/>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444069">
              <w:rPr>
                <w:color w:val="000000"/>
                <w:kern w:val="14"/>
                <w:lang w:val="en-GB" w:eastAsia="fr-FR"/>
              </w:rPr>
              <w:tab/>
              <w:t>Programme and risk management</w:t>
            </w:r>
            <w:r w:rsidRPr="00444069">
              <w:rPr>
                <w:color w:val="000000"/>
                <w:sz w:val="24"/>
                <w:szCs w:val="24"/>
                <w:lang w:val="en-GB" w:eastAsia="fr-FR"/>
              </w:rPr>
              <w:tab/>
            </w:r>
          </w:p>
        </w:tc>
        <w:tc>
          <w:tcPr>
            <w:tcW w:w="362" w:type="dxa"/>
            <w:vMerge w:val="restart"/>
            <w:shd w:val="clear" w:color="auto" w:fill="auto"/>
            <w:vAlign w:val="bottom"/>
          </w:tcPr>
          <w:p w14:paraId="4F342B3B" w14:textId="28BD20E9" w:rsidR="00066477" w:rsidRPr="004806F2" w:rsidRDefault="00BA1514" w:rsidP="00BD43AF">
            <w:pPr>
              <w:tabs>
                <w:tab w:val="left" w:pos="1620"/>
              </w:tabs>
              <w:suppressAutoHyphens/>
              <w:spacing w:after="120" w:line="240" w:lineRule="exact"/>
              <w:jc w:val="right"/>
              <w:rPr>
                <w:color w:val="000000"/>
                <w:spacing w:val="4"/>
                <w:w w:val="103"/>
                <w:kern w:val="14"/>
                <w:lang w:val="en-GB" w:eastAsia="fr-FR"/>
              </w:rPr>
            </w:pPr>
            <w:r w:rsidRPr="004806F2">
              <w:rPr>
                <w:color w:val="000000"/>
                <w:spacing w:val="4"/>
                <w:w w:val="103"/>
                <w:kern w:val="14"/>
                <w:lang w:val="en-GB" w:eastAsia="fr-FR"/>
              </w:rPr>
              <w:t>8</w:t>
            </w:r>
          </w:p>
          <w:p w14:paraId="1F6B63AE" w14:textId="6F4B4C64" w:rsidR="00066477" w:rsidRPr="00DB3165" w:rsidRDefault="00BA1514" w:rsidP="00BD43AF">
            <w:pPr>
              <w:tabs>
                <w:tab w:val="left" w:pos="1620"/>
              </w:tabs>
              <w:suppressAutoHyphens/>
              <w:spacing w:after="120" w:line="240" w:lineRule="exact"/>
              <w:jc w:val="right"/>
              <w:rPr>
                <w:color w:val="000000"/>
                <w:spacing w:val="4"/>
                <w:w w:val="103"/>
                <w:kern w:val="14"/>
                <w:lang w:val="en-GB" w:eastAsia="fr-FR"/>
              </w:rPr>
            </w:pPr>
            <w:r w:rsidRPr="00DB3165">
              <w:rPr>
                <w:color w:val="000000"/>
                <w:spacing w:val="4"/>
                <w:w w:val="103"/>
                <w:kern w:val="14"/>
                <w:lang w:val="en-GB" w:eastAsia="fr-FR"/>
              </w:rPr>
              <w:t>9</w:t>
            </w:r>
          </w:p>
        </w:tc>
      </w:tr>
      <w:tr w:rsidR="00066477" w:rsidRPr="00444069" w14:paraId="64B6E66A" w14:textId="77777777" w:rsidTr="00BD43AF">
        <w:tc>
          <w:tcPr>
            <w:tcW w:w="9540" w:type="dxa"/>
            <w:gridSpan w:val="3"/>
            <w:shd w:val="clear" w:color="auto" w:fill="auto"/>
          </w:tcPr>
          <w:p w14:paraId="0ED16385" w14:textId="77777777" w:rsidR="00066477" w:rsidRPr="00444069" w:rsidRDefault="00066477" w:rsidP="00066477">
            <w:pPr>
              <w:numPr>
                <w:ilvl w:val="0"/>
                <w:numId w:val="1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444069">
              <w:rPr>
                <w:color w:val="000000"/>
                <w:kern w:val="14"/>
                <w:lang w:val="en-GB" w:eastAsia="fr-FR"/>
              </w:rPr>
              <w:tab/>
              <w:t>Monitoring and evaluation</w:t>
            </w:r>
            <w:r w:rsidRPr="00444069">
              <w:rPr>
                <w:color w:val="000000"/>
                <w:sz w:val="24"/>
                <w:szCs w:val="24"/>
                <w:lang w:val="en-GB" w:eastAsia="fr-FR"/>
              </w:rPr>
              <w:tab/>
            </w:r>
            <w:r w:rsidRPr="00444069">
              <w:rPr>
                <w:color w:val="000000"/>
                <w:lang w:val="en-GB" w:eastAsia="fr-FR"/>
              </w:rPr>
              <w:t>…………………………………………………….……………………</w:t>
            </w:r>
          </w:p>
        </w:tc>
        <w:tc>
          <w:tcPr>
            <w:tcW w:w="362" w:type="dxa"/>
            <w:vMerge/>
            <w:shd w:val="clear" w:color="auto" w:fill="auto"/>
            <w:vAlign w:val="bottom"/>
          </w:tcPr>
          <w:p w14:paraId="11E3A17D" w14:textId="77777777" w:rsidR="00066477" w:rsidRPr="00444069" w:rsidRDefault="00066477" w:rsidP="00BD43AF">
            <w:pPr>
              <w:tabs>
                <w:tab w:val="left" w:pos="1620"/>
              </w:tabs>
              <w:suppressAutoHyphens/>
              <w:spacing w:after="120" w:line="240" w:lineRule="exact"/>
              <w:jc w:val="right"/>
              <w:rPr>
                <w:color w:val="000000"/>
                <w:spacing w:val="4"/>
                <w:w w:val="103"/>
                <w:kern w:val="14"/>
                <w:lang w:val="en-GB" w:eastAsia="fr-FR"/>
              </w:rPr>
            </w:pPr>
          </w:p>
        </w:tc>
      </w:tr>
      <w:tr w:rsidR="00066477" w:rsidRPr="00444069" w14:paraId="555F503B" w14:textId="77777777" w:rsidTr="00BD43AF">
        <w:tc>
          <w:tcPr>
            <w:tcW w:w="9369" w:type="dxa"/>
            <w:gridSpan w:val="2"/>
            <w:shd w:val="clear" w:color="auto" w:fill="auto"/>
          </w:tcPr>
          <w:p w14:paraId="57B25E94" w14:textId="77777777" w:rsidR="00066477" w:rsidRPr="00444069" w:rsidRDefault="00066477" w:rsidP="00BD43AF">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444069">
              <w:rPr>
                <w:color w:val="000000"/>
                <w:kern w:val="14"/>
                <w:lang w:val="en-GB" w:eastAsia="fr-FR"/>
              </w:rPr>
              <w:t xml:space="preserve">     Annex</w:t>
            </w:r>
          </w:p>
        </w:tc>
        <w:tc>
          <w:tcPr>
            <w:tcW w:w="533" w:type="dxa"/>
            <w:gridSpan w:val="2"/>
            <w:shd w:val="clear" w:color="auto" w:fill="auto"/>
            <w:vAlign w:val="bottom"/>
          </w:tcPr>
          <w:p w14:paraId="70E32715" w14:textId="77777777" w:rsidR="00066477" w:rsidRPr="004806F2" w:rsidRDefault="00066477" w:rsidP="00BD43AF">
            <w:pPr>
              <w:tabs>
                <w:tab w:val="left" w:pos="1620"/>
              </w:tabs>
              <w:suppressAutoHyphens/>
              <w:spacing w:after="120" w:line="240" w:lineRule="exact"/>
              <w:jc w:val="right"/>
              <w:rPr>
                <w:color w:val="000000"/>
                <w:spacing w:val="4"/>
                <w:w w:val="103"/>
                <w:kern w:val="14"/>
                <w:lang w:val="en-GB" w:eastAsia="fr-FR"/>
              </w:rPr>
            </w:pPr>
          </w:p>
        </w:tc>
      </w:tr>
      <w:tr w:rsidR="00066477" w:rsidRPr="00444069" w14:paraId="67A32007" w14:textId="77777777" w:rsidTr="00BD43AF">
        <w:tc>
          <w:tcPr>
            <w:tcW w:w="9369" w:type="dxa"/>
            <w:gridSpan w:val="2"/>
            <w:shd w:val="clear" w:color="auto" w:fill="auto"/>
          </w:tcPr>
          <w:p w14:paraId="4495CE29" w14:textId="3533CD67" w:rsidR="00066477" w:rsidRPr="00DB3165" w:rsidRDefault="00066477" w:rsidP="00C46E7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444069">
              <w:rPr>
                <w:color w:val="000000"/>
                <w:kern w:val="14"/>
                <w:lang w:val="en-GB" w:eastAsia="fr-FR"/>
              </w:rPr>
              <w:t xml:space="preserve">Results and resources framework for </w:t>
            </w:r>
            <w:r w:rsidR="00C46E79" w:rsidRPr="00444069">
              <w:rPr>
                <w:color w:val="000000"/>
                <w:kern w:val="14"/>
                <w:lang w:val="en-GB" w:eastAsia="fr-FR"/>
              </w:rPr>
              <w:t>Yemen</w:t>
            </w:r>
            <w:r w:rsidRPr="00444069">
              <w:rPr>
                <w:color w:val="000000"/>
                <w:kern w:val="14"/>
                <w:lang w:val="en-GB" w:eastAsia="fr-FR"/>
              </w:rPr>
              <w:t xml:space="preserve"> </w:t>
            </w:r>
            <w:r w:rsidRPr="004806F2">
              <w:rPr>
                <w:color w:val="000000"/>
                <w:kern w:val="14"/>
                <w:lang w:val="en-GB" w:eastAsia="fr-FR"/>
              </w:rPr>
              <w:t>(2023-202</w:t>
            </w:r>
            <w:r w:rsidR="00443770" w:rsidRPr="00DB3165">
              <w:rPr>
                <w:color w:val="000000"/>
                <w:kern w:val="14"/>
                <w:lang w:val="en-GB" w:eastAsia="fr-FR"/>
              </w:rPr>
              <w:t>4</w:t>
            </w:r>
            <w:r w:rsidRPr="00DB3165">
              <w:rPr>
                <w:color w:val="000000"/>
                <w:kern w:val="14"/>
                <w:lang w:val="en-GB" w:eastAsia="fr-FR"/>
              </w:rPr>
              <w:t>)</w:t>
            </w:r>
            <w:r w:rsidR="00D1285D">
              <w:rPr>
                <w:color w:val="000000"/>
                <w:kern w:val="14"/>
                <w:lang w:val="en-GB" w:eastAsia="fr-FR"/>
              </w:rPr>
              <w:t>…………………………………………</w:t>
            </w:r>
          </w:p>
        </w:tc>
        <w:tc>
          <w:tcPr>
            <w:tcW w:w="533" w:type="dxa"/>
            <w:gridSpan w:val="2"/>
            <w:shd w:val="clear" w:color="auto" w:fill="auto"/>
            <w:vAlign w:val="bottom"/>
          </w:tcPr>
          <w:p w14:paraId="4212D5DC" w14:textId="5DE46C95" w:rsidR="00066477" w:rsidRPr="00925AA6" w:rsidRDefault="00BA1514" w:rsidP="00BD43AF">
            <w:pPr>
              <w:tabs>
                <w:tab w:val="left" w:pos="1620"/>
              </w:tabs>
              <w:suppressAutoHyphens/>
              <w:spacing w:after="120" w:line="240" w:lineRule="exact"/>
              <w:jc w:val="right"/>
              <w:rPr>
                <w:color w:val="000000"/>
                <w:spacing w:val="4"/>
                <w:w w:val="103"/>
                <w:kern w:val="14"/>
                <w:lang w:val="en-GB" w:eastAsia="fr-FR"/>
              </w:rPr>
            </w:pPr>
            <w:r w:rsidRPr="00925AA6">
              <w:rPr>
                <w:color w:val="000000"/>
                <w:kern w:val="14"/>
                <w:lang w:val="en-GB" w:eastAsia="fr-FR"/>
              </w:rPr>
              <w:t>10</w:t>
            </w:r>
          </w:p>
        </w:tc>
      </w:tr>
    </w:tbl>
    <w:p w14:paraId="2440D3D7" w14:textId="43BC70FC" w:rsidR="00A918A7" w:rsidRPr="004806F2" w:rsidRDefault="00785474" w:rsidP="00B8057B">
      <w:pPr>
        <w:pStyle w:val="Heading2"/>
        <w:numPr>
          <w:ilvl w:val="0"/>
          <w:numId w:val="10"/>
        </w:numPr>
        <w:ind w:left="1080" w:right="1210" w:hanging="450"/>
        <w:jc w:val="both"/>
        <w:rPr>
          <w:rFonts w:ascii="Times New Roman" w:hAnsi="Times New Roman"/>
          <w:color w:val="000000"/>
          <w:sz w:val="24"/>
          <w:szCs w:val="24"/>
          <w:lang w:val="en-GB"/>
        </w:rPr>
      </w:pPr>
      <w:r w:rsidRPr="00444069">
        <w:rPr>
          <w:rFonts w:ascii="Times New Roman" w:hAnsi="Times New Roman"/>
          <w:sz w:val="20"/>
          <w:lang w:val="en-GB"/>
        </w:rPr>
        <w:br w:type="page"/>
      </w:r>
      <w:r w:rsidR="007C2934" w:rsidRPr="00444069">
        <w:rPr>
          <w:rFonts w:ascii="Times New Roman" w:hAnsi="Times New Roman"/>
          <w:color w:val="000000" w:themeColor="text1"/>
          <w:sz w:val="24"/>
          <w:szCs w:val="24"/>
          <w:lang w:val="en-GB"/>
        </w:rPr>
        <w:lastRenderedPageBreak/>
        <w:t>UNDP</w:t>
      </w:r>
      <w:r w:rsidR="006C13AE" w:rsidRPr="00444069">
        <w:rPr>
          <w:rFonts w:ascii="Times New Roman" w:hAnsi="Times New Roman"/>
          <w:color w:val="000000" w:themeColor="text1"/>
          <w:sz w:val="24"/>
          <w:szCs w:val="24"/>
          <w:lang w:val="en-GB"/>
        </w:rPr>
        <w:t xml:space="preserve"> within </w:t>
      </w:r>
      <w:r w:rsidR="007C2934" w:rsidRPr="00444069">
        <w:rPr>
          <w:rFonts w:ascii="Times New Roman" w:hAnsi="Times New Roman"/>
          <w:color w:val="000000" w:themeColor="text1"/>
          <w:sz w:val="24"/>
          <w:szCs w:val="24"/>
          <w:lang w:val="en-GB"/>
        </w:rPr>
        <w:t xml:space="preserve">the </w:t>
      </w:r>
      <w:r w:rsidR="00A87D56" w:rsidRPr="00444069">
        <w:rPr>
          <w:rFonts w:ascii="Times New Roman" w:hAnsi="Times New Roman"/>
          <w:color w:val="000000" w:themeColor="text1"/>
          <w:sz w:val="24"/>
          <w:szCs w:val="24"/>
          <w:lang w:val="en-GB"/>
        </w:rPr>
        <w:t xml:space="preserve">United Nations Sustainable </w:t>
      </w:r>
      <w:r w:rsidR="00A03A29" w:rsidRPr="00444069">
        <w:rPr>
          <w:rFonts w:ascii="Times New Roman" w:hAnsi="Times New Roman"/>
          <w:color w:val="000000" w:themeColor="text1"/>
          <w:sz w:val="24"/>
          <w:szCs w:val="24"/>
          <w:lang w:val="en-GB"/>
        </w:rPr>
        <w:t>Development Cooperation</w:t>
      </w:r>
      <w:r w:rsidR="0067557E" w:rsidRPr="004806F2">
        <w:rPr>
          <w:rFonts w:ascii="Times New Roman" w:hAnsi="Times New Roman"/>
          <w:color w:val="000000" w:themeColor="text1"/>
          <w:sz w:val="24"/>
          <w:szCs w:val="24"/>
          <w:lang w:val="en-GB"/>
        </w:rPr>
        <w:t xml:space="preserve"> Framework</w:t>
      </w:r>
    </w:p>
    <w:p w14:paraId="2DBD4C85" w14:textId="77777777" w:rsidR="00850FB1" w:rsidRPr="00DB3165" w:rsidRDefault="00850FB1" w:rsidP="009F6742">
      <w:pPr>
        <w:ind w:left="1080" w:right="1210"/>
        <w:jc w:val="both"/>
        <w:rPr>
          <w:lang w:val="en-GB"/>
        </w:rPr>
      </w:pPr>
    </w:p>
    <w:p w14:paraId="7201B852" w14:textId="73823141" w:rsidR="00311478" w:rsidRPr="00925AA6" w:rsidRDefault="002C5886" w:rsidP="000156B4">
      <w:pPr>
        <w:pStyle w:val="ListParagraph"/>
        <w:numPr>
          <w:ilvl w:val="0"/>
          <w:numId w:val="7"/>
        </w:numPr>
        <w:spacing w:after="120" w:line="240" w:lineRule="exact"/>
        <w:ind w:left="1080" w:right="1210" w:firstLine="0"/>
        <w:jc w:val="both"/>
        <w:rPr>
          <w:lang w:val="en-GB"/>
        </w:rPr>
      </w:pPr>
      <w:r w:rsidRPr="00DB3165">
        <w:rPr>
          <w:lang w:val="en-GB"/>
        </w:rPr>
        <w:t xml:space="preserve">Yemen </w:t>
      </w:r>
      <w:r w:rsidR="00266A14" w:rsidRPr="00DB3165">
        <w:rPr>
          <w:lang w:val="en-GB"/>
        </w:rPr>
        <w:t xml:space="preserve">is a </w:t>
      </w:r>
      <w:r w:rsidR="006F3B8C" w:rsidRPr="00DB3165">
        <w:rPr>
          <w:lang w:val="en-GB"/>
        </w:rPr>
        <w:t>low-income</w:t>
      </w:r>
      <w:r w:rsidR="00266A14" w:rsidRPr="00DB3165">
        <w:rPr>
          <w:lang w:val="en-GB"/>
        </w:rPr>
        <w:t xml:space="preserve"> country </w:t>
      </w:r>
      <w:r w:rsidR="00F34E6F" w:rsidRPr="00DB3165">
        <w:rPr>
          <w:lang w:val="en-GB"/>
        </w:rPr>
        <w:t xml:space="preserve">and the poorest in the </w:t>
      </w:r>
      <w:r w:rsidRPr="00DB3165">
        <w:rPr>
          <w:lang w:val="en-GB"/>
        </w:rPr>
        <w:t xml:space="preserve">Middle East and North Africa </w:t>
      </w:r>
      <w:r w:rsidRPr="009B4526">
        <w:rPr>
          <w:lang w:val="en-GB"/>
        </w:rPr>
        <w:t>regions</w:t>
      </w:r>
      <w:r w:rsidR="00C46E79" w:rsidRPr="009B4526">
        <w:rPr>
          <w:lang w:val="en-GB"/>
        </w:rPr>
        <w:t>,</w:t>
      </w:r>
      <w:r w:rsidR="000E76BB" w:rsidRPr="00A2394E">
        <w:rPr>
          <w:lang w:val="en-GB"/>
        </w:rPr>
        <w:t xml:space="preserve"> with a population of approximately </w:t>
      </w:r>
      <w:r w:rsidR="00277C98" w:rsidRPr="00A2394E">
        <w:rPr>
          <w:color w:val="000000" w:themeColor="text1"/>
          <w:lang w:val="en-GB"/>
        </w:rPr>
        <w:t>30.8 million people</w:t>
      </w:r>
      <w:r w:rsidR="006365BB" w:rsidRPr="00A2394E">
        <w:rPr>
          <w:color w:val="000000" w:themeColor="text1"/>
          <w:lang w:val="en-GB"/>
        </w:rPr>
        <w:t xml:space="preserve">, </w:t>
      </w:r>
      <w:r w:rsidR="00734CBB" w:rsidRPr="0043669F">
        <w:rPr>
          <w:color w:val="000000" w:themeColor="text1"/>
          <w:lang w:val="en-GB"/>
        </w:rPr>
        <w:t xml:space="preserve">51.1 </w:t>
      </w:r>
      <w:r w:rsidR="0036779E" w:rsidRPr="00925AA6">
        <w:rPr>
          <w:color w:val="000000" w:themeColor="text1"/>
          <w:lang w:val="en-GB"/>
        </w:rPr>
        <w:t>per cent</w:t>
      </w:r>
      <w:r w:rsidR="00734CBB" w:rsidRPr="00925AA6">
        <w:rPr>
          <w:color w:val="000000" w:themeColor="text1"/>
          <w:lang w:val="en-GB"/>
        </w:rPr>
        <w:t xml:space="preserve"> </w:t>
      </w:r>
      <w:r w:rsidR="00945428" w:rsidRPr="00925AA6">
        <w:rPr>
          <w:color w:val="000000" w:themeColor="text1"/>
          <w:lang w:val="en-GB"/>
        </w:rPr>
        <w:t>of whom are female</w:t>
      </w:r>
      <w:r w:rsidR="00277C98" w:rsidRPr="00925AA6">
        <w:rPr>
          <w:color w:val="000000" w:themeColor="text1"/>
          <w:lang w:val="en-GB"/>
        </w:rPr>
        <w:t>.</w:t>
      </w:r>
      <w:r w:rsidR="00277C98" w:rsidRPr="004806F2">
        <w:rPr>
          <w:color w:val="000000" w:themeColor="text1"/>
          <w:vertAlign w:val="superscript"/>
          <w:lang w:val="en-GB"/>
        </w:rPr>
        <w:footnoteReference w:id="2"/>
      </w:r>
      <w:r w:rsidR="004E4637" w:rsidRPr="004806F2">
        <w:rPr>
          <w:lang w:val="en-GB"/>
        </w:rPr>
        <w:t xml:space="preserve"> </w:t>
      </w:r>
      <w:r w:rsidR="005D5DB8" w:rsidRPr="00DB3165">
        <w:rPr>
          <w:lang w:val="en-GB"/>
        </w:rPr>
        <w:t xml:space="preserve">Around </w:t>
      </w:r>
      <w:r w:rsidR="00E03D0D" w:rsidRPr="00DB3165">
        <w:rPr>
          <w:lang w:val="en-GB"/>
        </w:rPr>
        <w:t xml:space="preserve">62 </w:t>
      </w:r>
      <w:r w:rsidR="00876B05" w:rsidRPr="00DB3165">
        <w:rPr>
          <w:lang w:val="en-GB"/>
        </w:rPr>
        <w:t>per cent</w:t>
      </w:r>
      <w:r w:rsidR="00E03D0D" w:rsidRPr="00DB3165">
        <w:rPr>
          <w:lang w:val="en-GB"/>
        </w:rPr>
        <w:t xml:space="preserve"> of the population live in rural areas</w:t>
      </w:r>
      <w:r w:rsidR="00C46E79" w:rsidRPr="00DB3165">
        <w:rPr>
          <w:lang w:val="en-GB"/>
        </w:rPr>
        <w:t>;</w:t>
      </w:r>
      <w:r w:rsidR="006365BB" w:rsidRPr="00DB3165">
        <w:rPr>
          <w:lang w:val="en-GB"/>
        </w:rPr>
        <w:t xml:space="preserve"> approximately </w:t>
      </w:r>
      <w:r w:rsidR="00876B05" w:rsidRPr="00C94D94">
        <w:rPr>
          <w:lang w:val="en-GB"/>
        </w:rPr>
        <w:t xml:space="preserve">38 per cent of Yemenis are under </w:t>
      </w:r>
      <w:r w:rsidR="0098355F" w:rsidRPr="009B4526">
        <w:rPr>
          <w:color w:val="000000" w:themeColor="text1"/>
          <w:lang w:val="en-GB"/>
        </w:rPr>
        <w:t>15</w:t>
      </w:r>
      <w:r w:rsidR="00751855" w:rsidRPr="00751855">
        <w:rPr>
          <w:color w:val="000000" w:themeColor="text1"/>
          <w:lang w:val="en-GB"/>
        </w:rPr>
        <w:t xml:space="preserve"> </w:t>
      </w:r>
      <w:r w:rsidR="00751855" w:rsidRPr="004806F2">
        <w:rPr>
          <w:color w:val="000000" w:themeColor="text1"/>
          <w:lang w:val="en-GB"/>
        </w:rPr>
        <w:t>years of age</w:t>
      </w:r>
      <w:r w:rsidR="00751855" w:rsidRPr="004806F2">
        <w:rPr>
          <w:rStyle w:val="FootnoteReference"/>
          <w:color w:val="000000" w:themeColor="text1"/>
          <w:lang w:val="en-GB"/>
        </w:rPr>
        <w:t xml:space="preserve"> </w:t>
      </w:r>
      <w:r w:rsidR="0098355F" w:rsidRPr="004806F2">
        <w:rPr>
          <w:rStyle w:val="FootnoteReference"/>
          <w:color w:val="000000" w:themeColor="text1"/>
          <w:lang w:val="en-GB"/>
        </w:rPr>
        <w:footnoteReference w:id="3"/>
      </w:r>
      <w:r w:rsidR="0098355F" w:rsidRPr="004806F2">
        <w:rPr>
          <w:color w:val="000000" w:themeColor="text1"/>
          <w:lang w:val="en-GB"/>
        </w:rPr>
        <w:t xml:space="preserve"> and 63 per cent are under 24</w:t>
      </w:r>
      <w:r w:rsidR="0098355F" w:rsidRPr="004806F2">
        <w:rPr>
          <w:rStyle w:val="FootnoteReference"/>
          <w:color w:val="000000" w:themeColor="text1"/>
          <w:lang w:val="en-GB"/>
        </w:rPr>
        <w:footnoteReference w:id="4"/>
      </w:r>
      <w:r w:rsidR="0098355F" w:rsidRPr="004806F2">
        <w:rPr>
          <w:color w:val="000000" w:themeColor="text1"/>
          <w:lang w:val="en-GB"/>
        </w:rPr>
        <w:t xml:space="preserve">. </w:t>
      </w:r>
      <w:r w:rsidR="0053038A" w:rsidRPr="004806F2">
        <w:rPr>
          <w:lang w:val="en-GB"/>
        </w:rPr>
        <w:t xml:space="preserve">The </w:t>
      </w:r>
      <w:r w:rsidR="0053038A" w:rsidRPr="00DB3165">
        <w:rPr>
          <w:lang w:val="en-GB"/>
        </w:rPr>
        <w:t xml:space="preserve">Human Development Index </w:t>
      </w:r>
      <w:r w:rsidR="00C46E79" w:rsidRPr="00DB3165">
        <w:rPr>
          <w:lang w:val="en-GB"/>
        </w:rPr>
        <w:t xml:space="preserve">of Yemen </w:t>
      </w:r>
      <w:r w:rsidR="00751855">
        <w:rPr>
          <w:lang w:val="en-GB"/>
        </w:rPr>
        <w:t>in</w:t>
      </w:r>
      <w:r w:rsidR="0053038A" w:rsidRPr="00DB3165">
        <w:rPr>
          <w:lang w:val="en-GB"/>
        </w:rPr>
        <w:t xml:space="preserve"> </w:t>
      </w:r>
      <w:r w:rsidR="00BA48AB" w:rsidRPr="00DB3165">
        <w:rPr>
          <w:lang w:val="en-GB"/>
        </w:rPr>
        <w:t>20</w:t>
      </w:r>
      <w:r w:rsidR="00DD405D" w:rsidRPr="00C94D94">
        <w:rPr>
          <w:lang w:val="en-GB"/>
        </w:rPr>
        <w:t>19</w:t>
      </w:r>
      <w:r w:rsidR="00BA48AB" w:rsidRPr="009B4526">
        <w:rPr>
          <w:lang w:val="en-GB"/>
        </w:rPr>
        <w:t xml:space="preserve"> </w:t>
      </w:r>
      <w:r w:rsidR="00DD405D" w:rsidRPr="009B4526">
        <w:rPr>
          <w:lang w:val="en-GB"/>
        </w:rPr>
        <w:t>was</w:t>
      </w:r>
      <w:r w:rsidR="00BA48AB" w:rsidRPr="00A2394E">
        <w:rPr>
          <w:lang w:val="en-GB"/>
        </w:rPr>
        <w:t xml:space="preserve"> 0.470, </w:t>
      </w:r>
      <w:r w:rsidR="002B42C2" w:rsidRPr="00A2394E">
        <w:rPr>
          <w:lang w:val="en-GB"/>
        </w:rPr>
        <w:t>put</w:t>
      </w:r>
      <w:r w:rsidR="00751855">
        <w:rPr>
          <w:lang w:val="en-GB"/>
        </w:rPr>
        <w:t>ting</w:t>
      </w:r>
      <w:r w:rsidR="002B42C2" w:rsidRPr="00A2394E">
        <w:rPr>
          <w:lang w:val="en-GB"/>
        </w:rPr>
        <w:t xml:space="preserve"> the country in the low human development category</w:t>
      </w:r>
      <w:r w:rsidR="00751855">
        <w:rPr>
          <w:lang w:val="en-GB"/>
        </w:rPr>
        <w:t xml:space="preserve"> and</w:t>
      </w:r>
      <w:r w:rsidR="00E94C79" w:rsidRPr="00A2394E">
        <w:rPr>
          <w:lang w:val="en-GB"/>
        </w:rPr>
        <w:t xml:space="preserve"> </w:t>
      </w:r>
      <w:r w:rsidR="002B42C2" w:rsidRPr="00A2394E">
        <w:rPr>
          <w:lang w:val="en-GB"/>
        </w:rPr>
        <w:t xml:space="preserve">positioning it </w:t>
      </w:r>
      <w:r w:rsidR="002B42C2" w:rsidRPr="00925AA6">
        <w:rPr>
          <w:lang w:val="en-GB"/>
        </w:rPr>
        <w:t>179</w:t>
      </w:r>
      <w:r w:rsidR="00C46E79" w:rsidRPr="00925AA6">
        <w:rPr>
          <w:lang w:val="en-GB"/>
        </w:rPr>
        <w:t>th</w:t>
      </w:r>
      <w:r w:rsidR="002B42C2" w:rsidRPr="00925AA6">
        <w:rPr>
          <w:lang w:val="en-GB"/>
        </w:rPr>
        <w:t xml:space="preserve"> out of 189 countries and territories.</w:t>
      </w:r>
      <w:r w:rsidR="0026414C" w:rsidRPr="004806F2">
        <w:rPr>
          <w:rStyle w:val="FootnoteReference"/>
          <w:lang w:val="en-GB"/>
        </w:rPr>
        <w:footnoteReference w:id="5"/>
      </w:r>
      <w:r w:rsidR="0026414C" w:rsidRPr="004806F2">
        <w:rPr>
          <w:lang w:val="en-GB"/>
        </w:rPr>
        <w:t xml:space="preserve"> </w:t>
      </w:r>
      <w:r w:rsidR="00393948" w:rsidRPr="004806F2">
        <w:rPr>
          <w:lang w:val="en-GB"/>
        </w:rPr>
        <w:t>Yemen ranks 155th of 156</w:t>
      </w:r>
      <w:r w:rsidR="00C46E79" w:rsidRPr="00DB3165">
        <w:rPr>
          <w:lang w:val="en-GB"/>
        </w:rPr>
        <w:t> </w:t>
      </w:r>
      <w:r w:rsidR="00393948" w:rsidRPr="00DB3165">
        <w:rPr>
          <w:lang w:val="en-GB"/>
        </w:rPr>
        <w:t>countries in the Global Gender Gap Index,</w:t>
      </w:r>
      <w:r w:rsidR="00C46E79" w:rsidRPr="00DB3165">
        <w:rPr>
          <w:lang w:val="en-GB"/>
        </w:rPr>
        <w:t xml:space="preserve"> 2021, of the World Economic Forum,</w:t>
      </w:r>
      <w:r w:rsidR="00393948" w:rsidRPr="00C94D94">
        <w:rPr>
          <w:lang w:val="en-GB"/>
        </w:rPr>
        <w:t xml:space="preserve"> </w:t>
      </w:r>
      <w:r w:rsidR="00C46E79" w:rsidRPr="009B4526">
        <w:rPr>
          <w:lang w:val="en-GB"/>
        </w:rPr>
        <w:t xml:space="preserve">representing </w:t>
      </w:r>
      <w:r w:rsidR="00393948" w:rsidRPr="00A2394E">
        <w:rPr>
          <w:lang w:val="en-GB"/>
        </w:rPr>
        <w:t xml:space="preserve">huge gender disparities. </w:t>
      </w:r>
      <w:r w:rsidR="00251E89" w:rsidRPr="00A2394E">
        <w:rPr>
          <w:lang w:val="en-GB"/>
        </w:rPr>
        <w:t>Yemeni women remain significantly underrepresented in public and elected office</w:t>
      </w:r>
      <w:r w:rsidR="00C46E79" w:rsidRPr="0043669F">
        <w:rPr>
          <w:lang w:val="en-GB"/>
        </w:rPr>
        <w:t>,</w:t>
      </w:r>
      <w:r w:rsidR="00C46E79" w:rsidRPr="00925AA6">
        <w:rPr>
          <w:lang w:val="en-GB"/>
        </w:rPr>
        <w:t xml:space="preserve"> </w:t>
      </w:r>
      <w:r w:rsidR="00251E89" w:rsidRPr="00925AA6">
        <w:rPr>
          <w:lang w:val="en-GB"/>
        </w:rPr>
        <w:t>holding only 4.1 per cent of managerial and decision-making positions</w:t>
      </w:r>
      <w:r w:rsidR="00C46E79" w:rsidRPr="00925AA6">
        <w:rPr>
          <w:lang w:val="en-GB"/>
        </w:rPr>
        <w:t>.</w:t>
      </w:r>
    </w:p>
    <w:p w14:paraId="066784D4" w14:textId="48C667DB" w:rsidR="006B3382" w:rsidRPr="00845EB2" w:rsidRDefault="00AD061F" w:rsidP="000156B4">
      <w:pPr>
        <w:pStyle w:val="ListParagraph"/>
        <w:numPr>
          <w:ilvl w:val="0"/>
          <w:numId w:val="7"/>
        </w:numPr>
        <w:spacing w:after="120" w:line="240" w:lineRule="exact"/>
        <w:ind w:left="1080" w:right="1210" w:firstLine="0"/>
        <w:jc w:val="both"/>
        <w:rPr>
          <w:lang w:val="en-GB"/>
        </w:rPr>
      </w:pPr>
      <w:r w:rsidRPr="00925AA6">
        <w:rPr>
          <w:lang w:val="en-GB"/>
        </w:rPr>
        <w:t>When</w:t>
      </w:r>
      <w:r w:rsidR="006B3382" w:rsidRPr="00925AA6">
        <w:rPr>
          <w:lang w:val="en-GB"/>
        </w:rPr>
        <w:t xml:space="preserve"> </w:t>
      </w:r>
      <w:r w:rsidR="002A58FE" w:rsidRPr="00925AA6">
        <w:rPr>
          <w:lang w:val="en-GB"/>
        </w:rPr>
        <w:t>conflict</w:t>
      </w:r>
      <w:r w:rsidR="006B3382" w:rsidRPr="00925AA6">
        <w:rPr>
          <w:lang w:val="en-GB"/>
        </w:rPr>
        <w:t xml:space="preserve"> that broke out in </w:t>
      </w:r>
      <w:r w:rsidR="006A3AD9" w:rsidRPr="00925AA6">
        <w:rPr>
          <w:lang w:val="en-GB"/>
        </w:rPr>
        <w:t xml:space="preserve">September </w:t>
      </w:r>
      <w:r w:rsidR="006B3382" w:rsidRPr="00925AA6">
        <w:rPr>
          <w:lang w:val="en-GB"/>
        </w:rPr>
        <w:t>2014</w:t>
      </w:r>
      <w:r w:rsidR="002A58FE" w:rsidRPr="00925AA6">
        <w:rPr>
          <w:lang w:val="en-GB"/>
        </w:rPr>
        <w:t xml:space="preserve"> </w:t>
      </w:r>
      <w:r w:rsidR="006A3AD9" w:rsidRPr="00925AA6">
        <w:rPr>
          <w:lang w:val="en-GB"/>
        </w:rPr>
        <w:t xml:space="preserve">with the Houthi </w:t>
      </w:r>
      <w:r w:rsidR="00717652" w:rsidRPr="007E770C">
        <w:rPr>
          <w:lang w:val="en-GB"/>
        </w:rPr>
        <w:t>takeover</w:t>
      </w:r>
      <w:r w:rsidR="006A3AD9" w:rsidRPr="00845EB2">
        <w:rPr>
          <w:lang w:val="en-GB"/>
        </w:rPr>
        <w:t xml:space="preserve"> of Sana’a</w:t>
      </w:r>
      <w:r w:rsidR="006B3382" w:rsidRPr="00845EB2">
        <w:rPr>
          <w:lang w:val="en-GB"/>
        </w:rPr>
        <w:t xml:space="preserve">, the Security Council established a </w:t>
      </w:r>
      <w:r w:rsidRPr="00845EB2">
        <w:rPr>
          <w:lang w:val="en-GB"/>
        </w:rPr>
        <w:t>s</w:t>
      </w:r>
      <w:r w:rsidR="006B3382" w:rsidRPr="00845EB2">
        <w:rPr>
          <w:lang w:val="en-GB"/>
        </w:rPr>
        <w:t xml:space="preserve">pecial </w:t>
      </w:r>
      <w:r w:rsidRPr="00EC5843">
        <w:rPr>
          <w:lang w:val="en-GB"/>
        </w:rPr>
        <w:t>p</w:t>
      </w:r>
      <w:r w:rsidR="006B3382" w:rsidRPr="00EC5843">
        <w:rPr>
          <w:lang w:val="en-GB"/>
        </w:rPr>
        <w:t xml:space="preserve">olitical </w:t>
      </w:r>
      <w:r w:rsidRPr="00EC5843">
        <w:rPr>
          <w:lang w:val="en-GB"/>
        </w:rPr>
        <w:t>m</w:t>
      </w:r>
      <w:r w:rsidR="006B3382" w:rsidRPr="00444069">
        <w:rPr>
          <w:lang w:val="en-GB"/>
        </w:rPr>
        <w:t>ission for Yemen known as the Office of the Special Envoy of the Secretary-General for Yemen</w:t>
      </w:r>
      <w:r w:rsidR="00BD43AF" w:rsidRPr="00444069">
        <w:rPr>
          <w:lang w:val="en-GB"/>
        </w:rPr>
        <w:t>.</w:t>
      </w:r>
      <w:r w:rsidR="006A3AD9" w:rsidRPr="004806F2">
        <w:rPr>
          <w:rStyle w:val="FootnoteReference"/>
          <w:lang w:val="en-GB"/>
        </w:rPr>
        <w:footnoteReference w:id="6"/>
      </w:r>
      <w:r w:rsidR="006B3382" w:rsidRPr="004806F2">
        <w:rPr>
          <w:lang w:val="en-GB"/>
        </w:rPr>
        <w:t xml:space="preserve"> </w:t>
      </w:r>
      <w:r w:rsidR="00A82CF0" w:rsidRPr="00DB3165">
        <w:rPr>
          <w:lang w:val="en-GB"/>
        </w:rPr>
        <w:t>The mission</w:t>
      </w:r>
      <w:r w:rsidR="006B3382" w:rsidRPr="00DB3165">
        <w:rPr>
          <w:lang w:val="en-GB"/>
        </w:rPr>
        <w:t xml:space="preserve"> focuses </w:t>
      </w:r>
      <w:r w:rsidR="00717652" w:rsidRPr="00DB3165">
        <w:rPr>
          <w:lang w:val="en-GB"/>
        </w:rPr>
        <w:t>on</w:t>
      </w:r>
      <w:r w:rsidR="006B3382" w:rsidRPr="00DB3165">
        <w:rPr>
          <w:lang w:val="en-GB"/>
        </w:rPr>
        <w:t xml:space="preserve"> supporting a peaceful political transition </w:t>
      </w:r>
      <w:r w:rsidRPr="00C94D94">
        <w:rPr>
          <w:lang w:val="en-GB"/>
        </w:rPr>
        <w:t xml:space="preserve">in accordance with </w:t>
      </w:r>
      <w:r w:rsidR="006B3382" w:rsidRPr="009B4526">
        <w:rPr>
          <w:lang w:val="en-GB"/>
        </w:rPr>
        <w:t xml:space="preserve">the Gulf Cooperation Council </w:t>
      </w:r>
      <w:r w:rsidR="006B3382" w:rsidRPr="00A2394E">
        <w:rPr>
          <w:lang w:val="en-GB"/>
        </w:rPr>
        <w:t xml:space="preserve">Initiative, the outcomes of the </w:t>
      </w:r>
      <w:r w:rsidRPr="00A2394E">
        <w:rPr>
          <w:lang w:val="en-GB"/>
        </w:rPr>
        <w:t>n</w:t>
      </w:r>
      <w:r w:rsidR="006B3382" w:rsidRPr="00A2394E">
        <w:rPr>
          <w:lang w:val="en-GB"/>
        </w:rPr>
        <w:t xml:space="preserve">ational </w:t>
      </w:r>
      <w:r w:rsidRPr="0043669F">
        <w:rPr>
          <w:lang w:val="en-GB"/>
        </w:rPr>
        <w:t>d</w:t>
      </w:r>
      <w:r w:rsidR="006B3382" w:rsidRPr="00925AA6">
        <w:rPr>
          <w:lang w:val="en-GB"/>
        </w:rPr>
        <w:t xml:space="preserve">ialogue, and Security Council resolutions. </w:t>
      </w:r>
      <w:r w:rsidR="003E02A5" w:rsidRPr="00925AA6">
        <w:rPr>
          <w:lang w:val="en-GB"/>
        </w:rPr>
        <w:t>I</w:t>
      </w:r>
      <w:r w:rsidR="006B3382" w:rsidRPr="00925AA6">
        <w:rPr>
          <w:lang w:val="en-GB"/>
        </w:rPr>
        <w:t xml:space="preserve">n January 2019, the Secretary-General established a second </w:t>
      </w:r>
      <w:r w:rsidRPr="00925AA6">
        <w:rPr>
          <w:lang w:val="en-GB"/>
        </w:rPr>
        <w:t>s</w:t>
      </w:r>
      <w:r w:rsidR="006B3382" w:rsidRPr="00925AA6">
        <w:rPr>
          <w:lang w:val="en-GB"/>
        </w:rPr>
        <w:t xml:space="preserve">pecial </w:t>
      </w:r>
      <w:r w:rsidRPr="00925AA6">
        <w:rPr>
          <w:lang w:val="en-GB"/>
        </w:rPr>
        <w:t>p</w:t>
      </w:r>
      <w:r w:rsidR="006B3382" w:rsidRPr="00925AA6">
        <w:rPr>
          <w:lang w:val="en-GB"/>
        </w:rPr>
        <w:t>olitical</w:t>
      </w:r>
      <w:r w:rsidR="003E02A5" w:rsidRPr="00925AA6">
        <w:rPr>
          <w:lang w:val="en-GB"/>
        </w:rPr>
        <w:t xml:space="preserve"> </w:t>
      </w:r>
      <w:r w:rsidRPr="00925AA6">
        <w:rPr>
          <w:lang w:val="en-GB"/>
        </w:rPr>
        <w:t>m</w:t>
      </w:r>
      <w:r w:rsidR="003E02A5" w:rsidRPr="00925AA6">
        <w:rPr>
          <w:lang w:val="en-GB"/>
        </w:rPr>
        <w:t xml:space="preserve">ission – the United Nations Mission </w:t>
      </w:r>
      <w:r w:rsidR="00A82CF0" w:rsidRPr="00925AA6">
        <w:rPr>
          <w:lang w:val="en-GB"/>
        </w:rPr>
        <w:t xml:space="preserve">to support </w:t>
      </w:r>
      <w:r w:rsidR="002935BB">
        <w:rPr>
          <w:lang w:val="en-GB"/>
        </w:rPr>
        <w:t xml:space="preserve">implementation of </w:t>
      </w:r>
      <w:r w:rsidR="00A82CF0" w:rsidRPr="00925AA6">
        <w:rPr>
          <w:lang w:val="en-GB"/>
        </w:rPr>
        <w:t>t</w:t>
      </w:r>
      <w:r w:rsidR="003E02A5" w:rsidRPr="007E770C">
        <w:rPr>
          <w:lang w:val="en-GB"/>
        </w:rPr>
        <w:t>he Hodeidah Agreement (UNMHA)</w:t>
      </w:r>
      <w:r w:rsidR="006B3382" w:rsidRPr="00845EB2">
        <w:rPr>
          <w:lang w:val="en-GB"/>
        </w:rPr>
        <w:t xml:space="preserve"> </w:t>
      </w:r>
      <w:r w:rsidR="002935BB">
        <w:rPr>
          <w:lang w:val="en-GB"/>
        </w:rPr>
        <w:t xml:space="preserve">– Stockholm – </w:t>
      </w:r>
      <w:r w:rsidR="006B3382" w:rsidRPr="00845EB2">
        <w:rPr>
          <w:lang w:val="en-GB"/>
        </w:rPr>
        <w:t>on the City of Hodeidah and Ports of Hodeidah, Salif, and Ras Issa</w:t>
      </w:r>
      <w:r w:rsidR="00A82CF0" w:rsidRPr="00845EB2">
        <w:rPr>
          <w:lang w:val="en-GB"/>
        </w:rPr>
        <w:t>.</w:t>
      </w:r>
      <w:r w:rsidR="006B3382" w:rsidRPr="00845EB2">
        <w:rPr>
          <w:lang w:val="en-GB"/>
        </w:rPr>
        <w:t xml:space="preserve"> </w:t>
      </w:r>
    </w:p>
    <w:p w14:paraId="5E4EF619" w14:textId="6CCB03EC" w:rsidR="00A82CF0" w:rsidRPr="00444069" w:rsidRDefault="006A3AD9" w:rsidP="000156B4">
      <w:pPr>
        <w:pStyle w:val="ListParagraph"/>
        <w:numPr>
          <w:ilvl w:val="0"/>
          <w:numId w:val="7"/>
        </w:numPr>
        <w:spacing w:after="120" w:line="240" w:lineRule="exact"/>
        <w:ind w:left="1080" w:right="1210" w:firstLine="0"/>
        <w:jc w:val="both"/>
        <w:rPr>
          <w:lang w:val="en-GB"/>
        </w:rPr>
      </w:pPr>
      <w:r w:rsidRPr="00EC5843">
        <w:rPr>
          <w:lang w:val="en-GB"/>
        </w:rPr>
        <w:t xml:space="preserve">Following a </w:t>
      </w:r>
      <w:bookmarkStart w:id="0" w:name="_Hlk104024157"/>
      <w:r w:rsidRPr="00EC5843">
        <w:rPr>
          <w:lang w:val="en-GB"/>
        </w:rPr>
        <w:t>two-month</w:t>
      </w:r>
      <w:r w:rsidR="00717652" w:rsidRPr="00EC5843">
        <w:rPr>
          <w:lang w:val="en-GB"/>
        </w:rPr>
        <w:t xml:space="preserve"> </w:t>
      </w:r>
      <w:r w:rsidRPr="00EC5843">
        <w:rPr>
          <w:lang w:val="en-GB"/>
        </w:rPr>
        <w:t xml:space="preserve">truce agreed to </w:t>
      </w:r>
      <w:r w:rsidRPr="00444069">
        <w:rPr>
          <w:lang w:val="en-GB"/>
        </w:rPr>
        <w:t>in April 2022</w:t>
      </w:r>
      <w:r w:rsidR="00BD43AF" w:rsidRPr="00444069">
        <w:rPr>
          <w:lang w:val="en-GB"/>
        </w:rPr>
        <w:t>,</w:t>
      </w:r>
      <w:r w:rsidRPr="004806F2">
        <w:rPr>
          <w:rStyle w:val="FootnoteReference"/>
          <w:lang w:val="en-GB"/>
        </w:rPr>
        <w:footnoteReference w:id="7"/>
      </w:r>
      <w:r w:rsidRPr="004806F2">
        <w:rPr>
          <w:lang w:val="en-GB"/>
        </w:rPr>
        <w:t xml:space="preserve"> President Hadi ceded power to </w:t>
      </w:r>
      <w:r w:rsidR="00751855">
        <w:rPr>
          <w:lang w:val="en-GB"/>
        </w:rPr>
        <w:t>the</w:t>
      </w:r>
      <w:r w:rsidR="00751855" w:rsidRPr="004806F2">
        <w:rPr>
          <w:lang w:val="en-GB"/>
        </w:rPr>
        <w:t xml:space="preserve"> </w:t>
      </w:r>
      <w:r w:rsidRPr="004806F2">
        <w:rPr>
          <w:lang w:val="en-GB"/>
        </w:rPr>
        <w:t xml:space="preserve">new Presidential </w:t>
      </w:r>
      <w:r w:rsidR="0047003E">
        <w:rPr>
          <w:lang w:val="en-GB"/>
        </w:rPr>
        <w:t xml:space="preserve">Leadership </w:t>
      </w:r>
      <w:r w:rsidRPr="004806F2">
        <w:rPr>
          <w:lang w:val="en-GB"/>
        </w:rPr>
        <w:t>Council</w:t>
      </w:r>
      <w:r w:rsidR="00BD43AF" w:rsidRPr="00DB3165">
        <w:rPr>
          <w:lang w:val="en-GB"/>
        </w:rPr>
        <w:t>,</w:t>
      </w:r>
      <w:r w:rsidRPr="00DB3165">
        <w:rPr>
          <w:lang w:val="en-GB"/>
        </w:rPr>
        <w:t xml:space="preserve"> </w:t>
      </w:r>
      <w:bookmarkEnd w:id="0"/>
      <w:r w:rsidRPr="00DB3165">
        <w:rPr>
          <w:lang w:val="en-GB"/>
        </w:rPr>
        <w:t>raising hopes for a future peace agreement</w:t>
      </w:r>
      <w:r w:rsidR="00C52615">
        <w:rPr>
          <w:lang w:val="en-GB"/>
        </w:rPr>
        <w:t>,</w:t>
      </w:r>
      <w:r w:rsidR="00A905FE" w:rsidRPr="00DB3165">
        <w:rPr>
          <w:lang w:val="en-GB"/>
        </w:rPr>
        <w:t xml:space="preserve"> </w:t>
      </w:r>
      <w:r w:rsidR="00101C5C" w:rsidRPr="00DB3165">
        <w:rPr>
          <w:lang w:val="en-GB"/>
        </w:rPr>
        <w:t>recovery and s</w:t>
      </w:r>
      <w:r w:rsidR="00A905FE" w:rsidRPr="00DB3165">
        <w:rPr>
          <w:lang w:val="en-GB"/>
        </w:rPr>
        <w:t xml:space="preserve">ustainable development </w:t>
      </w:r>
      <w:r w:rsidR="004914DF" w:rsidRPr="00925AA6">
        <w:rPr>
          <w:lang w:val="en-GB"/>
        </w:rPr>
        <w:t>interventions</w:t>
      </w:r>
      <w:r w:rsidRPr="00925AA6">
        <w:rPr>
          <w:lang w:val="en-GB"/>
        </w:rPr>
        <w:t xml:space="preserve">. </w:t>
      </w:r>
      <w:r w:rsidR="00A82CF0" w:rsidRPr="00925AA6">
        <w:rPr>
          <w:lang w:val="en-GB"/>
        </w:rPr>
        <w:t xml:space="preserve">The governance system </w:t>
      </w:r>
      <w:r w:rsidRPr="00925AA6">
        <w:rPr>
          <w:lang w:val="en-GB"/>
        </w:rPr>
        <w:t>remains</w:t>
      </w:r>
      <w:r w:rsidR="00A82CF0" w:rsidRPr="00925AA6">
        <w:rPr>
          <w:lang w:val="en-GB"/>
        </w:rPr>
        <w:t xml:space="preserve"> fragmented</w:t>
      </w:r>
      <w:r w:rsidR="00BD43AF" w:rsidRPr="00925AA6">
        <w:rPr>
          <w:lang w:val="en-GB"/>
        </w:rPr>
        <w:t>,</w:t>
      </w:r>
      <w:r w:rsidR="00A82CF0" w:rsidRPr="00925AA6">
        <w:rPr>
          <w:lang w:val="en-GB"/>
        </w:rPr>
        <w:t xml:space="preserve"> with fraught central-subnational relationships and </w:t>
      </w:r>
      <w:r w:rsidR="00C52615">
        <w:rPr>
          <w:lang w:val="en-GB"/>
        </w:rPr>
        <w:t>a</w:t>
      </w:r>
      <w:r w:rsidR="00C52615" w:rsidRPr="00925AA6">
        <w:rPr>
          <w:lang w:val="en-GB"/>
        </w:rPr>
        <w:t xml:space="preserve"> </w:t>
      </w:r>
      <w:r w:rsidR="00A82CF0" w:rsidRPr="00925AA6">
        <w:rPr>
          <w:lang w:val="en-GB"/>
        </w:rPr>
        <w:t>proliferation of ad</w:t>
      </w:r>
      <w:r w:rsidR="00BD43AF" w:rsidRPr="00925AA6">
        <w:rPr>
          <w:lang w:val="en-GB"/>
        </w:rPr>
        <w:t xml:space="preserve"> </w:t>
      </w:r>
      <w:r w:rsidR="00A82CF0" w:rsidRPr="00845EB2">
        <w:rPr>
          <w:lang w:val="en-GB"/>
        </w:rPr>
        <w:t>hoc arrangements at the subnational level</w:t>
      </w:r>
      <w:r w:rsidRPr="00EC5843">
        <w:rPr>
          <w:lang w:val="en-GB"/>
        </w:rPr>
        <w:t>.</w:t>
      </w:r>
      <w:r w:rsidR="00A82CF0" w:rsidRPr="00EC5843">
        <w:rPr>
          <w:lang w:val="en-GB"/>
        </w:rPr>
        <w:t xml:space="preserve"> </w:t>
      </w:r>
      <w:r w:rsidR="00850721" w:rsidRPr="00EC5843">
        <w:rPr>
          <w:lang w:val="en-GB"/>
        </w:rPr>
        <w:t>The Government of Yemen is based in</w:t>
      </w:r>
      <w:r w:rsidRPr="00EC5843">
        <w:rPr>
          <w:lang w:val="en-GB"/>
        </w:rPr>
        <w:t xml:space="preserve"> the temporary capital</w:t>
      </w:r>
      <w:r w:rsidR="00C52615">
        <w:rPr>
          <w:lang w:val="en-GB"/>
        </w:rPr>
        <w:t>,</w:t>
      </w:r>
      <w:r w:rsidR="00A82CF0" w:rsidRPr="00EC5843">
        <w:rPr>
          <w:lang w:val="en-GB"/>
        </w:rPr>
        <w:t xml:space="preserve"> Ade</w:t>
      </w:r>
      <w:r w:rsidR="00850721" w:rsidRPr="00444069">
        <w:rPr>
          <w:lang w:val="en-GB"/>
        </w:rPr>
        <w:t>n</w:t>
      </w:r>
      <w:r w:rsidR="00176D51" w:rsidRPr="00444069">
        <w:rPr>
          <w:lang w:val="en-GB"/>
        </w:rPr>
        <w:t xml:space="preserve">, controlling </w:t>
      </w:r>
      <w:r w:rsidR="00BE64D7" w:rsidRPr="00444069">
        <w:rPr>
          <w:lang w:val="en-GB"/>
        </w:rPr>
        <w:t>large</w:t>
      </w:r>
      <w:r w:rsidR="00CB50ED" w:rsidRPr="00444069">
        <w:rPr>
          <w:lang w:val="en-GB"/>
        </w:rPr>
        <w:t xml:space="preserve"> areas</w:t>
      </w:r>
      <w:r w:rsidR="00BE64D7" w:rsidRPr="00444069">
        <w:rPr>
          <w:lang w:val="en-GB"/>
        </w:rPr>
        <w:t xml:space="preserve"> of the county</w:t>
      </w:r>
      <w:r w:rsidR="00850721" w:rsidRPr="00444069">
        <w:rPr>
          <w:lang w:val="en-GB"/>
        </w:rPr>
        <w:t>.</w:t>
      </w:r>
      <w:r w:rsidRPr="00444069">
        <w:rPr>
          <w:lang w:val="en-GB"/>
        </w:rPr>
        <w:t xml:space="preserve"> </w:t>
      </w:r>
      <w:r w:rsidR="00850721" w:rsidRPr="00444069">
        <w:rPr>
          <w:lang w:val="en-GB"/>
        </w:rPr>
        <w:t xml:space="preserve">The </w:t>
      </w:r>
      <w:r w:rsidR="00AD061F" w:rsidRPr="00444069">
        <w:rPr>
          <w:lang w:val="en-GB"/>
        </w:rPr>
        <w:t>d</w:t>
      </w:r>
      <w:r w:rsidRPr="00444069">
        <w:rPr>
          <w:lang w:val="en-GB"/>
        </w:rPr>
        <w:t>e</w:t>
      </w:r>
      <w:r w:rsidR="00AD061F" w:rsidRPr="00444069">
        <w:rPr>
          <w:lang w:val="en-GB"/>
        </w:rPr>
        <w:t xml:space="preserve"> f</w:t>
      </w:r>
      <w:r w:rsidRPr="00444069">
        <w:rPr>
          <w:lang w:val="en-GB"/>
        </w:rPr>
        <w:t xml:space="preserve">acto </w:t>
      </w:r>
      <w:r w:rsidR="00AD061F" w:rsidRPr="00444069">
        <w:rPr>
          <w:lang w:val="en-GB"/>
        </w:rPr>
        <w:t>a</w:t>
      </w:r>
      <w:r w:rsidRPr="00444069">
        <w:rPr>
          <w:lang w:val="en-GB"/>
        </w:rPr>
        <w:t>uthorities</w:t>
      </w:r>
      <w:r w:rsidR="00A82CF0" w:rsidRPr="00444069">
        <w:rPr>
          <w:lang w:val="en-GB"/>
        </w:rPr>
        <w:t xml:space="preserve"> in Sana’a</w:t>
      </w:r>
      <w:r w:rsidR="00850721" w:rsidRPr="00444069">
        <w:rPr>
          <w:lang w:val="en-GB"/>
        </w:rPr>
        <w:t xml:space="preserve"> remain in control of </w:t>
      </w:r>
      <w:r w:rsidR="00BD43AF" w:rsidRPr="00444069">
        <w:rPr>
          <w:lang w:val="en-GB"/>
        </w:rPr>
        <w:t>much</w:t>
      </w:r>
      <w:r w:rsidR="00850721" w:rsidRPr="00444069">
        <w:rPr>
          <w:lang w:val="en-GB"/>
        </w:rPr>
        <w:t xml:space="preserve"> of the population in the northern parts of the country.</w:t>
      </w:r>
      <w:r w:rsidR="00A82CF0" w:rsidRPr="00444069">
        <w:rPr>
          <w:lang w:val="en-GB"/>
        </w:rPr>
        <w:t xml:space="preserve"> </w:t>
      </w:r>
    </w:p>
    <w:p w14:paraId="2448AFE3" w14:textId="20266065" w:rsidR="001F4023" w:rsidRPr="00444069" w:rsidRDefault="004A47CD" w:rsidP="000156B4">
      <w:pPr>
        <w:pStyle w:val="ListParagraph"/>
        <w:numPr>
          <w:ilvl w:val="0"/>
          <w:numId w:val="7"/>
        </w:numPr>
        <w:spacing w:after="120" w:line="240" w:lineRule="exact"/>
        <w:ind w:left="1080" w:right="1210" w:firstLine="0"/>
        <w:jc w:val="both"/>
        <w:rPr>
          <w:lang w:val="en-GB"/>
        </w:rPr>
      </w:pPr>
      <w:r w:rsidRPr="00444069">
        <w:rPr>
          <w:lang w:val="en-GB"/>
        </w:rPr>
        <w:t xml:space="preserve">Yemen </w:t>
      </w:r>
      <w:r w:rsidR="00BD43AF" w:rsidRPr="00444069">
        <w:rPr>
          <w:lang w:val="en-GB"/>
        </w:rPr>
        <w:t xml:space="preserve">is suffering </w:t>
      </w:r>
      <w:r w:rsidR="00850721" w:rsidRPr="00444069">
        <w:rPr>
          <w:lang w:val="en-GB"/>
        </w:rPr>
        <w:t xml:space="preserve">one </w:t>
      </w:r>
      <w:r w:rsidR="0064292F" w:rsidRPr="00444069">
        <w:rPr>
          <w:lang w:val="en-GB"/>
        </w:rPr>
        <w:t xml:space="preserve">of </w:t>
      </w:r>
      <w:r w:rsidRPr="00444069">
        <w:rPr>
          <w:lang w:val="en-GB"/>
        </w:rPr>
        <w:t xml:space="preserve">the </w:t>
      </w:r>
      <w:r w:rsidR="00F34806" w:rsidRPr="00444069">
        <w:rPr>
          <w:lang w:val="en-GB"/>
        </w:rPr>
        <w:t xml:space="preserve">largest </w:t>
      </w:r>
      <w:r w:rsidRPr="00444069">
        <w:rPr>
          <w:lang w:val="en-GB"/>
        </w:rPr>
        <w:t>humanitarian and development cris</w:t>
      </w:r>
      <w:r w:rsidR="00850721" w:rsidRPr="00444069">
        <w:rPr>
          <w:lang w:val="en-GB"/>
        </w:rPr>
        <w:t>e</w:t>
      </w:r>
      <w:r w:rsidRPr="00444069">
        <w:rPr>
          <w:lang w:val="en-GB"/>
        </w:rPr>
        <w:t xml:space="preserve">s </w:t>
      </w:r>
      <w:r w:rsidR="00BD43AF" w:rsidRPr="00444069">
        <w:rPr>
          <w:lang w:val="en-GB"/>
        </w:rPr>
        <w:t>in the world</w:t>
      </w:r>
      <w:r w:rsidR="00FB44B2" w:rsidRPr="00444069">
        <w:rPr>
          <w:lang w:val="en-GB"/>
        </w:rPr>
        <w:t xml:space="preserve">. </w:t>
      </w:r>
      <w:r w:rsidRPr="00444069">
        <w:rPr>
          <w:lang w:val="en-GB"/>
        </w:rPr>
        <w:t xml:space="preserve">The war </w:t>
      </w:r>
      <w:r w:rsidR="001C71F0" w:rsidRPr="00444069">
        <w:rPr>
          <w:lang w:val="en-GB"/>
        </w:rPr>
        <w:t>directly caused the death of over 21,000 people, and indirectly, over 377,000 people</w:t>
      </w:r>
      <w:r w:rsidR="00BD43AF" w:rsidRPr="00444069">
        <w:rPr>
          <w:lang w:val="en-GB"/>
        </w:rPr>
        <w:t>.</w:t>
      </w:r>
      <w:r w:rsidR="001C71F0" w:rsidRPr="009565D7">
        <w:rPr>
          <w:vertAlign w:val="superscript"/>
          <w:lang w:val="en-GB"/>
        </w:rPr>
        <w:footnoteReference w:id="8"/>
      </w:r>
      <w:r w:rsidR="001C71F0" w:rsidRPr="00444069">
        <w:rPr>
          <w:lang w:val="en-GB"/>
        </w:rPr>
        <w:t xml:space="preserve"> </w:t>
      </w:r>
      <w:r w:rsidR="00850721" w:rsidRPr="00444069">
        <w:rPr>
          <w:lang w:val="en-GB"/>
        </w:rPr>
        <w:t xml:space="preserve">About </w:t>
      </w:r>
      <w:r w:rsidR="002C386A" w:rsidRPr="00444069">
        <w:rPr>
          <w:lang w:val="en-GB"/>
        </w:rPr>
        <w:t xml:space="preserve">80 </w:t>
      </w:r>
      <w:r w:rsidR="00850721" w:rsidRPr="00444069">
        <w:rPr>
          <w:lang w:val="en-GB"/>
        </w:rPr>
        <w:t xml:space="preserve">per cent of the population </w:t>
      </w:r>
      <w:r w:rsidR="007E0E23" w:rsidRPr="004806F2">
        <w:rPr>
          <w:lang w:val="en-GB"/>
        </w:rPr>
        <w:t>need</w:t>
      </w:r>
      <w:r w:rsidR="00850721" w:rsidRPr="004806F2">
        <w:rPr>
          <w:lang w:val="en-GB"/>
        </w:rPr>
        <w:t xml:space="preserve"> humanitarian assistance. </w:t>
      </w:r>
      <w:r w:rsidR="001C71F0" w:rsidRPr="00DB3165">
        <w:rPr>
          <w:lang w:val="en-GB"/>
        </w:rPr>
        <w:t xml:space="preserve">Over 4.3 million people have been </w:t>
      </w:r>
      <w:r w:rsidR="00DE5B24" w:rsidRPr="00DB3165">
        <w:rPr>
          <w:lang w:val="en-GB"/>
        </w:rPr>
        <w:t>displaced</w:t>
      </w:r>
      <w:r w:rsidR="00BD43AF" w:rsidRPr="00DB3165">
        <w:rPr>
          <w:lang w:val="en-GB"/>
        </w:rPr>
        <w:t>,</w:t>
      </w:r>
      <w:r w:rsidR="00850721" w:rsidRPr="009565D7">
        <w:rPr>
          <w:vertAlign w:val="superscript"/>
          <w:lang w:val="en-GB"/>
        </w:rPr>
        <w:footnoteReference w:id="9"/>
      </w:r>
      <w:r w:rsidR="00C618E5" w:rsidRPr="00444069">
        <w:rPr>
          <w:lang w:val="en-GB"/>
        </w:rPr>
        <w:t xml:space="preserve"> more than 70 per cent </w:t>
      </w:r>
      <w:r w:rsidR="00D46762" w:rsidRPr="00444069">
        <w:rPr>
          <w:lang w:val="en-GB"/>
        </w:rPr>
        <w:t>o</w:t>
      </w:r>
      <w:r w:rsidR="00D46762" w:rsidRPr="004806F2">
        <w:rPr>
          <w:lang w:val="en-GB"/>
        </w:rPr>
        <w:t>f them</w:t>
      </w:r>
      <w:r w:rsidR="00C618E5" w:rsidRPr="00DB3165">
        <w:rPr>
          <w:lang w:val="en-GB"/>
        </w:rPr>
        <w:t xml:space="preserve"> women and children.</w:t>
      </w:r>
      <w:r w:rsidR="00C618E5" w:rsidRPr="004806F2">
        <w:rPr>
          <w:rStyle w:val="FootnoteReference"/>
          <w:lang w:val="en-GB"/>
        </w:rPr>
        <w:footnoteReference w:id="10"/>
      </w:r>
      <w:r w:rsidR="00850721" w:rsidRPr="004806F2">
        <w:rPr>
          <w:lang w:val="en-GB"/>
        </w:rPr>
        <w:t xml:space="preserve"> </w:t>
      </w:r>
      <w:r w:rsidR="00393D95" w:rsidRPr="004806F2">
        <w:rPr>
          <w:lang w:val="en-GB"/>
        </w:rPr>
        <w:t>L</w:t>
      </w:r>
      <w:r w:rsidR="00DE5B24" w:rsidRPr="00DB3165">
        <w:rPr>
          <w:lang w:val="en-GB"/>
        </w:rPr>
        <w:t>ivelihoods</w:t>
      </w:r>
      <w:r w:rsidR="00896F3B" w:rsidRPr="00DB3165">
        <w:rPr>
          <w:lang w:val="en-GB"/>
        </w:rPr>
        <w:t xml:space="preserve"> of over 54</w:t>
      </w:r>
      <w:r w:rsidR="00D46762" w:rsidRPr="00DB3165">
        <w:rPr>
          <w:lang w:val="en-GB"/>
        </w:rPr>
        <w:t> </w:t>
      </w:r>
      <w:r w:rsidR="00896F3B" w:rsidRPr="00DB3165">
        <w:rPr>
          <w:lang w:val="en-GB"/>
        </w:rPr>
        <w:t>per</w:t>
      </w:r>
      <w:r w:rsidR="00D46762" w:rsidRPr="00DB3165">
        <w:rPr>
          <w:lang w:val="en-GB"/>
        </w:rPr>
        <w:t> </w:t>
      </w:r>
      <w:r w:rsidR="00896F3B" w:rsidRPr="00C94D94">
        <w:rPr>
          <w:lang w:val="en-GB"/>
        </w:rPr>
        <w:t>cent of the population were eroded</w:t>
      </w:r>
      <w:r w:rsidR="00B60AD4" w:rsidRPr="009B4526">
        <w:rPr>
          <w:lang w:val="en-GB"/>
        </w:rPr>
        <w:t xml:space="preserve">, the </w:t>
      </w:r>
      <w:r w:rsidR="00896F3B" w:rsidRPr="009B4526">
        <w:rPr>
          <w:lang w:val="en-GB"/>
        </w:rPr>
        <w:t xml:space="preserve">social fabric </w:t>
      </w:r>
      <w:r w:rsidR="00D46762" w:rsidRPr="00A2394E">
        <w:rPr>
          <w:lang w:val="en-GB"/>
        </w:rPr>
        <w:t>shredded</w:t>
      </w:r>
      <w:r w:rsidR="00B60AD4" w:rsidRPr="00A2394E">
        <w:rPr>
          <w:lang w:val="en-GB"/>
        </w:rPr>
        <w:t>, and population and institutional resilience weakened</w:t>
      </w:r>
      <w:r w:rsidR="00D46762" w:rsidRPr="00A2394E">
        <w:rPr>
          <w:lang w:val="en-GB"/>
        </w:rPr>
        <w:t>.</w:t>
      </w:r>
      <w:r w:rsidR="002461AC" w:rsidRPr="004806F2">
        <w:rPr>
          <w:rStyle w:val="FootnoteReference"/>
          <w:lang w:val="en-GB"/>
        </w:rPr>
        <w:footnoteReference w:id="11"/>
      </w:r>
      <w:r w:rsidR="00B60AD4" w:rsidRPr="004806F2">
        <w:rPr>
          <w:lang w:val="en-GB"/>
        </w:rPr>
        <w:t xml:space="preserve"> </w:t>
      </w:r>
      <w:r w:rsidR="00D46762" w:rsidRPr="00DB3165">
        <w:rPr>
          <w:lang w:val="en-GB"/>
        </w:rPr>
        <w:t>C</w:t>
      </w:r>
      <w:r w:rsidR="00756DDC" w:rsidRPr="00DB3165">
        <w:rPr>
          <w:lang w:val="en-GB"/>
        </w:rPr>
        <w:t>ritical infrastructure</w:t>
      </w:r>
      <w:r w:rsidR="00D46762" w:rsidRPr="00DB3165">
        <w:rPr>
          <w:lang w:val="en-GB"/>
        </w:rPr>
        <w:t xml:space="preserve"> –</w:t>
      </w:r>
      <w:r w:rsidR="00C52615">
        <w:rPr>
          <w:lang w:val="en-GB"/>
        </w:rPr>
        <w:t xml:space="preserve"> </w:t>
      </w:r>
      <w:r w:rsidR="00756DDC" w:rsidRPr="00DB3165">
        <w:rPr>
          <w:lang w:val="en-GB"/>
        </w:rPr>
        <w:t xml:space="preserve">water and sanitation, </w:t>
      </w:r>
      <w:r w:rsidR="00D96DDA" w:rsidRPr="00C94D94">
        <w:rPr>
          <w:lang w:val="en-GB"/>
        </w:rPr>
        <w:t>education</w:t>
      </w:r>
      <w:r w:rsidR="00D96DDA" w:rsidRPr="009B4526">
        <w:rPr>
          <w:lang w:val="en-GB"/>
        </w:rPr>
        <w:t xml:space="preserve">, health, </w:t>
      </w:r>
      <w:r w:rsidR="00756DDC" w:rsidRPr="009B4526">
        <w:rPr>
          <w:lang w:val="en-GB"/>
        </w:rPr>
        <w:t>telecommunications</w:t>
      </w:r>
      <w:r w:rsidR="00756DDC" w:rsidRPr="00A2394E">
        <w:rPr>
          <w:lang w:val="en-GB"/>
        </w:rPr>
        <w:t xml:space="preserve"> and transportation</w:t>
      </w:r>
      <w:r w:rsidR="00D46762" w:rsidRPr="00A2394E">
        <w:rPr>
          <w:lang w:val="en-GB"/>
        </w:rPr>
        <w:t xml:space="preserve"> –</w:t>
      </w:r>
      <w:r w:rsidR="009F2DEF" w:rsidRPr="0043669F">
        <w:rPr>
          <w:lang w:val="en-GB"/>
        </w:rPr>
        <w:t xml:space="preserve"> w</w:t>
      </w:r>
      <w:r w:rsidR="00D46762" w:rsidRPr="00925AA6">
        <w:rPr>
          <w:lang w:val="en-GB"/>
        </w:rPr>
        <w:t>as</w:t>
      </w:r>
      <w:r w:rsidR="009F2DEF" w:rsidRPr="00925AA6">
        <w:rPr>
          <w:lang w:val="en-GB"/>
        </w:rPr>
        <w:t xml:space="preserve"> </w:t>
      </w:r>
      <w:r w:rsidR="002A658A" w:rsidRPr="00925AA6">
        <w:rPr>
          <w:lang w:val="en-GB"/>
        </w:rPr>
        <w:t>damaged or destroyed</w:t>
      </w:r>
      <w:r w:rsidR="00EA4D1B" w:rsidRPr="00925AA6">
        <w:rPr>
          <w:lang w:val="en-GB"/>
        </w:rPr>
        <w:t xml:space="preserve">, </w:t>
      </w:r>
      <w:r w:rsidR="001F1BF9" w:rsidRPr="00925AA6">
        <w:rPr>
          <w:lang w:val="en-GB"/>
        </w:rPr>
        <w:t xml:space="preserve">adversely affecting </w:t>
      </w:r>
      <w:r w:rsidR="00EA4D1B" w:rsidRPr="00925AA6">
        <w:rPr>
          <w:lang w:val="en-GB"/>
        </w:rPr>
        <w:t>public service delivery.</w:t>
      </w:r>
      <w:r w:rsidR="00272D40" w:rsidRPr="00925AA6">
        <w:rPr>
          <w:lang w:val="en-GB"/>
        </w:rPr>
        <w:t xml:space="preserve"> </w:t>
      </w:r>
      <w:r w:rsidR="00A568A3" w:rsidRPr="00925AA6">
        <w:rPr>
          <w:lang w:val="en-GB"/>
        </w:rPr>
        <w:t>UNDP estimates that</w:t>
      </w:r>
      <w:r w:rsidR="009565D7">
        <w:rPr>
          <w:lang w:val="en-GB"/>
        </w:rPr>
        <w:t>,</w:t>
      </w:r>
      <w:r w:rsidR="009565D7" w:rsidRPr="00925AA6">
        <w:rPr>
          <w:lang w:val="en-GB"/>
        </w:rPr>
        <w:t xml:space="preserve"> due to the damaged infrastructure </w:t>
      </w:r>
      <w:r w:rsidR="009565D7" w:rsidRPr="007E770C">
        <w:rPr>
          <w:lang w:val="en-GB"/>
        </w:rPr>
        <w:t xml:space="preserve">and poor capacity </w:t>
      </w:r>
      <w:r w:rsidR="009565D7" w:rsidRPr="00845EB2">
        <w:rPr>
          <w:lang w:val="en-GB"/>
        </w:rPr>
        <w:t>at the main seaports</w:t>
      </w:r>
      <w:r w:rsidR="009565D7">
        <w:rPr>
          <w:lang w:val="en-GB"/>
        </w:rPr>
        <w:t>,</w:t>
      </w:r>
      <w:r w:rsidR="00A568A3" w:rsidRPr="00925AA6">
        <w:rPr>
          <w:lang w:val="en-GB"/>
        </w:rPr>
        <w:t xml:space="preserve"> </w:t>
      </w:r>
      <w:r w:rsidR="00A568A3" w:rsidRPr="00845EB2">
        <w:rPr>
          <w:lang w:val="en-GB"/>
        </w:rPr>
        <w:t>shipping, insurance</w:t>
      </w:r>
      <w:r w:rsidR="00991B40" w:rsidRPr="00845EB2">
        <w:rPr>
          <w:lang w:val="en-GB"/>
        </w:rPr>
        <w:t xml:space="preserve"> (including high war</w:t>
      </w:r>
      <w:r w:rsidR="00D46762" w:rsidRPr="00845EB2">
        <w:rPr>
          <w:lang w:val="en-GB"/>
        </w:rPr>
        <w:t>-</w:t>
      </w:r>
      <w:r w:rsidR="00991B40" w:rsidRPr="00EC5843">
        <w:rPr>
          <w:lang w:val="en-GB"/>
        </w:rPr>
        <w:t>risk premiums)</w:t>
      </w:r>
      <w:r w:rsidR="00A568A3" w:rsidRPr="00EC5843">
        <w:rPr>
          <w:lang w:val="en-GB"/>
        </w:rPr>
        <w:t xml:space="preserve"> and demurrage cost</w:t>
      </w:r>
      <w:r w:rsidR="00C52615">
        <w:rPr>
          <w:lang w:val="en-GB"/>
        </w:rPr>
        <w:t>s</w:t>
      </w:r>
      <w:r w:rsidR="00A568A3" w:rsidRPr="00EC5843">
        <w:rPr>
          <w:lang w:val="en-GB"/>
        </w:rPr>
        <w:t xml:space="preserve"> associated with imported food </w:t>
      </w:r>
      <w:r w:rsidR="00D46762" w:rsidRPr="00444069">
        <w:rPr>
          <w:lang w:val="en-GB"/>
        </w:rPr>
        <w:t>comprise</w:t>
      </w:r>
      <w:r w:rsidR="00A568A3" w:rsidRPr="00444069">
        <w:rPr>
          <w:lang w:val="en-GB"/>
        </w:rPr>
        <w:t xml:space="preserve"> 50 per cent of its cost. </w:t>
      </w:r>
    </w:p>
    <w:p w14:paraId="1B923AFD" w14:textId="6A4A1877" w:rsidR="00663E72" w:rsidRPr="00444069" w:rsidRDefault="00663E72" w:rsidP="000156B4">
      <w:pPr>
        <w:pStyle w:val="ListParagraph"/>
        <w:numPr>
          <w:ilvl w:val="0"/>
          <w:numId w:val="7"/>
        </w:numPr>
        <w:spacing w:after="120" w:line="240" w:lineRule="exact"/>
        <w:ind w:left="1080" w:right="1210" w:firstLine="0"/>
        <w:jc w:val="both"/>
        <w:rPr>
          <w:lang w:val="en-GB"/>
        </w:rPr>
      </w:pPr>
      <w:r w:rsidRPr="00444069">
        <w:rPr>
          <w:lang w:val="en-GB"/>
        </w:rPr>
        <w:t xml:space="preserve">The </w:t>
      </w:r>
      <w:r w:rsidR="00AD061F" w:rsidRPr="00444069">
        <w:rPr>
          <w:lang w:val="en-GB"/>
        </w:rPr>
        <w:t xml:space="preserve">United Nations </w:t>
      </w:r>
      <w:r w:rsidR="00D46762" w:rsidRPr="00444069">
        <w:rPr>
          <w:lang w:val="en-GB"/>
        </w:rPr>
        <w:t>c</w:t>
      </w:r>
      <w:r w:rsidRPr="00444069">
        <w:rPr>
          <w:lang w:val="en-GB"/>
        </w:rPr>
        <w:t xml:space="preserve">ommon </w:t>
      </w:r>
      <w:r w:rsidR="00D46762" w:rsidRPr="00444069">
        <w:rPr>
          <w:lang w:val="en-GB"/>
        </w:rPr>
        <w:t>c</w:t>
      </w:r>
      <w:r w:rsidRPr="00444069">
        <w:rPr>
          <w:lang w:val="en-GB"/>
        </w:rPr>
        <w:t xml:space="preserve">ountry </w:t>
      </w:r>
      <w:r w:rsidR="00D46762" w:rsidRPr="00444069">
        <w:rPr>
          <w:lang w:val="en-GB"/>
        </w:rPr>
        <w:t>a</w:t>
      </w:r>
      <w:r w:rsidRPr="00444069">
        <w:rPr>
          <w:lang w:val="en-GB"/>
        </w:rPr>
        <w:t>nalysis notes that Yemen was behind in achieving the S</w:t>
      </w:r>
      <w:r w:rsidR="00D46762" w:rsidRPr="00444069">
        <w:rPr>
          <w:lang w:val="en-GB"/>
        </w:rPr>
        <w:t>ustainable Development Goal</w:t>
      </w:r>
      <w:r w:rsidRPr="00444069">
        <w:rPr>
          <w:lang w:val="en-GB"/>
        </w:rPr>
        <w:t>s even prior to the conflict in 201</w:t>
      </w:r>
      <w:r w:rsidR="004E2E14" w:rsidRPr="00444069">
        <w:rPr>
          <w:lang w:val="en-GB"/>
        </w:rPr>
        <w:t>4</w:t>
      </w:r>
      <w:r w:rsidRPr="00444069">
        <w:rPr>
          <w:lang w:val="en-GB"/>
        </w:rPr>
        <w:t xml:space="preserve">. Experts estimate that human development has been set back 21 years, and if the conflict persists through 2030, development will be set back nearly four decades. The prolonged conflict, government </w:t>
      </w:r>
      <w:r w:rsidRPr="00444069">
        <w:rPr>
          <w:lang w:val="en-GB"/>
        </w:rPr>
        <w:lastRenderedPageBreak/>
        <w:t>fragmentation, lack of preventive and restorative planning and implementation, and constrained resources</w:t>
      </w:r>
      <w:r w:rsidR="008D373F" w:rsidRPr="00444069">
        <w:rPr>
          <w:lang w:val="en-GB"/>
        </w:rPr>
        <w:t>,</w:t>
      </w:r>
      <w:r w:rsidRPr="00444069">
        <w:rPr>
          <w:lang w:val="en-GB"/>
        </w:rPr>
        <w:t xml:space="preserve"> impede humanitarian development and peace efforts from taking root. </w:t>
      </w:r>
    </w:p>
    <w:p w14:paraId="050B5997" w14:textId="15FBCA48" w:rsidR="00D91D8D" w:rsidRPr="00444069" w:rsidRDefault="00E546B1" w:rsidP="000156B4">
      <w:pPr>
        <w:pStyle w:val="ListParagraph"/>
        <w:numPr>
          <w:ilvl w:val="0"/>
          <w:numId w:val="7"/>
        </w:numPr>
        <w:spacing w:after="120" w:line="240" w:lineRule="exact"/>
        <w:ind w:left="1080" w:right="1210" w:firstLine="0"/>
        <w:jc w:val="both"/>
        <w:rPr>
          <w:lang w:val="en-GB"/>
        </w:rPr>
      </w:pPr>
      <w:r w:rsidRPr="00444069">
        <w:rPr>
          <w:lang w:val="en-GB"/>
        </w:rPr>
        <w:t xml:space="preserve">The </w:t>
      </w:r>
      <w:r w:rsidR="00C5488B" w:rsidRPr="00444069">
        <w:rPr>
          <w:lang w:val="en-GB"/>
        </w:rPr>
        <w:t>economy has shrunk by half since 201</w:t>
      </w:r>
      <w:r w:rsidR="00CE7FD4" w:rsidRPr="00444069">
        <w:rPr>
          <w:lang w:val="en-GB"/>
        </w:rPr>
        <w:t>4</w:t>
      </w:r>
      <w:r w:rsidR="00C5488B" w:rsidRPr="00444069">
        <w:rPr>
          <w:lang w:val="en-GB"/>
        </w:rPr>
        <w:t xml:space="preserve">, </w:t>
      </w:r>
      <w:r w:rsidR="005935A5" w:rsidRPr="00444069">
        <w:rPr>
          <w:lang w:val="en-GB"/>
        </w:rPr>
        <w:t xml:space="preserve">with </w:t>
      </w:r>
      <w:r w:rsidR="00C5488B" w:rsidRPr="00444069">
        <w:rPr>
          <w:lang w:val="en-GB"/>
        </w:rPr>
        <w:t>over 80 per cent of the population living below the poverty line</w:t>
      </w:r>
      <w:r w:rsidR="0018542E" w:rsidRPr="00444069">
        <w:rPr>
          <w:lang w:val="en-GB"/>
        </w:rPr>
        <w:t>.</w:t>
      </w:r>
      <w:r w:rsidR="008D373F" w:rsidRPr="00444069">
        <w:rPr>
          <w:lang w:val="en-GB"/>
        </w:rPr>
        <w:t xml:space="preserve"> </w:t>
      </w:r>
      <w:r w:rsidR="0018542E" w:rsidRPr="00444069">
        <w:rPr>
          <w:lang w:val="en-GB"/>
        </w:rPr>
        <w:t>C</w:t>
      </w:r>
      <w:r w:rsidR="00D63EC3" w:rsidRPr="00444069">
        <w:rPr>
          <w:lang w:val="en-GB"/>
        </w:rPr>
        <w:t>ommodity prices continue to rise</w:t>
      </w:r>
      <w:r w:rsidR="0071715F" w:rsidRPr="00444069">
        <w:rPr>
          <w:lang w:val="en-GB"/>
        </w:rPr>
        <w:t xml:space="preserve"> </w:t>
      </w:r>
      <w:r w:rsidR="002935BB">
        <w:rPr>
          <w:lang w:val="en-GB"/>
        </w:rPr>
        <w:t xml:space="preserve">– especially in the south – </w:t>
      </w:r>
      <w:r w:rsidR="0071715F" w:rsidRPr="00444069">
        <w:rPr>
          <w:lang w:val="en-GB"/>
        </w:rPr>
        <w:t>a</w:t>
      </w:r>
      <w:r w:rsidR="002A658A" w:rsidRPr="00444069">
        <w:rPr>
          <w:lang w:val="en-GB"/>
        </w:rPr>
        <w:t>s</w:t>
      </w:r>
      <w:r w:rsidR="0071715F" w:rsidRPr="00444069">
        <w:rPr>
          <w:lang w:val="en-GB"/>
        </w:rPr>
        <w:t xml:space="preserve"> the </w:t>
      </w:r>
      <w:r w:rsidR="00374455" w:rsidRPr="00444069">
        <w:rPr>
          <w:lang w:val="en-GB"/>
        </w:rPr>
        <w:t xml:space="preserve">Yemeni rial </w:t>
      </w:r>
      <w:r w:rsidR="002A658A" w:rsidRPr="00444069">
        <w:rPr>
          <w:lang w:val="en-GB"/>
        </w:rPr>
        <w:t>depreciates</w:t>
      </w:r>
      <w:r w:rsidR="008D373F" w:rsidRPr="00444069">
        <w:rPr>
          <w:lang w:val="en-GB"/>
        </w:rPr>
        <w:t xml:space="preserve"> –</w:t>
      </w:r>
      <w:r w:rsidR="0071715F" w:rsidRPr="00444069">
        <w:rPr>
          <w:lang w:val="en-GB"/>
        </w:rPr>
        <w:t xml:space="preserve"> </w:t>
      </w:r>
      <w:r w:rsidR="00374455" w:rsidRPr="00444069">
        <w:rPr>
          <w:lang w:val="en-GB"/>
        </w:rPr>
        <w:t xml:space="preserve">an unfavourable situation for a country importing 90 per cent of its </w:t>
      </w:r>
      <w:r w:rsidR="00711276" w:rsidRPr="00444069">
        <w:rPr>
          <w:lang w:val="en-GB"/>
        </w:rPr>
        <w:t>basic</w:t>
      </w:r>
      <w:r w:rsidR="00374455" w:rsidRPr="00444069">
        <w:rPr>
          <w:lang w:val="en-GB"/>
        </w:rPr>
        <w:t xml:space="preserve"> needs</w:t>
      </w:r>
      <w:r w:rsidR="00C5488B" w:rsidRPr="00444069">
        <w:rPr>
          <w:lang w:val="en-GB"/>
        </w:rPr>
        <w:t xml:space="preserve">. </w:t>
      </w:r>
      <w:r w:rsidR="00CB17C0" w:rsidRPr="00444069">
        <w:rPr>
          <w:lang w:val="en-GB"/>
        </w:rPr>
        <w:t>S</w:t>
      </w:r>
      <w:r w:rsidR="00C5488B" w:rsidRPr="00444069">
        <w:rPr>
          <w:lang w:val="en-GB"/>
        </w:rPr>
        <w:t>ources of foreign currency such as remittances, oil exports and bilateral funding streams remain suppressed</w:t>
      </w:r>
      <w:r w:rsidR="008D373F" w:rsidRPr="00444069">
        <w:rPr>
          <w:lang w:val="en-GB"/>
        </w:rPr>
        <w:t>.</w:t>
      </w:r>
      <w:r w:rsidR="00D80A89" w:rsidRPr="00444069">
        <w:rPr>
          <w:rStyle w:val="FootnoteReference"/>
          <w:lang w:val="en-GB"/>
        </w:rPr>
        <w:footnoteReference w:id="12"/>
      </w:r>
      <w:r w:rsidR="00403FE0" w:rsidRPr="00444069">
        <w:rPr>
          <w:lang w:val="en-GB"/>
        </w:rPr>
        <w:t xml:space="preserve"> </w:t>
      </w:r>
      <w:r w:rsidR="007E0E23" w:rsidRPr="004806F2">
        <w:rPr>
          <w:lang w:val="en-GB"/>
        </w:rPr>
        <w:t xml:space="preserve">The fragmented government institutions and competing monetary, fiscal, and economic policies of the parties to the conflict </w:t>
      </w:r>
      <w:r w:rsidR="005626A2" w:rsidRPr="00DB3165">
        <w:rPr>
          <w:lang w:val="en-GB"/>
        </w:rPr>
        <w:t xml:space="preserve">have </w:t>
      </w:r>
      <w:r w:rsidR="00B6205D" w:rsidRPr="00DB3165">
        <w:rPr>
          <w:lang w:val="en-GB"/>
        </w:rPr>
        <w:t xml:space="preserve">eroded </w:t>
      </w:r>
      <w:r w:rsidR="005626A2" w:rsidRPr="00DB3165">
        <w:rPr>
          <w:lang w:val="en-GB"/>
        </w:rPr>
        <w:t xml:space="preserve">citizens’ </w:t>
      </w:r>
      <w:r w:rsidR="007E0E23" w:rsidRPr="00DB3165">
        <w:rPr>
          <w:lang w:val="en-GB"/>
        </w:rPr>
        <w:t xml:space="preserve">trust in national institutions. </w:t>
      </w:r>
      <w:r w:rsidR="0005701E" w:rsidRPr="00DB3165">
        <w:rPr>
          <w:lang w:val="en-GB"/>
        </w:rPr>
        <w:t>The country</w:t>
      </w:r>
      <w:r w:rsidR="008C20AF" w:rsidRPr="00DB3165">
        <w:rPr>
          <w:lang w:val="en-GB"/>
        </w:rPr>
        <w:t xml:space="preserve"> </w:t>
      </w:r>
      <w:r w:rsidR="008458B2" w:rsidRPr="00DB3165">
        <w:rPr>
          <w:lang w:val="en-GB"/>
        </w:rPr>
        <w:t xml:space="preserve">has </w:t>
      </w:r>
      <w:r w:rsidR="0079609F" w:rsidRPr="00C94D94">
        <w:rPr>
          <w:lang w:val="en-GB"/>
        </w:rPr>
        <w:t>acute food insecu</w:t>
      </w:r>
      <w:r w:rsidR="0079609F" w:rsidRPr="009B4526">
        <w:rPr>
          <w:lang w:val="en-GB"/>
        </w:rPr>
        <w:t xml:space="preserve">rity verging on famine. </w:t>
      </w:r>
      <w:r w:rsidR="0018542E" w:rsidRPr="009B4526">
        <w:rPr>
          <w:lang w:val="en-GB"/>
        </w:rPr>
        <w:t xml:space="preserve">The </w:t>
      </w:r>
      <w:r w:rsidR="009F739A" w:rsidRPr="00A2394E">
        <w:rPr>
          <w:lang w:val="en-GB"/>
        </w:rPr>
        <w:t xml:space="preserve">Integrated Food Security Phase Classification </w:t>
      </w:r>
      <w:r w:rsidR="006F49A2" w:rsidRPr="00925AA6">
        <w:rPr>
          <w:lang w:val="en-GB"/>
        </w:rPr>
        <w:t>analysis project</w:t>
      </w:r>
      <w:r w:rsidR="0018542E" w:rsidRPr="00925AA6">
        <w:rPr>
          <w:lang w:val="en-GB"/>
        </w:rPr>
        <w:t>ed</w:t>
      </w:r>
      <w:r w:rsidR="006F49A2" w:rsidRPr="00925AA6">
        <w:rPr>
          <w:lang w:val="en-GB"/>
        </w:rPr>
        <w:t xml:space="preserve"> that </w:t>
      </w:r>
      <w:r w:rsidR="007B2BD5" w:rsidRPr="00925AA6">
        <w:rPr>
          <w:lang w:val="en-GB"/>
        </w:rPr>
        <w:t>in</w:t>
      </w:r>
      <w:r w:rsidR="006F49A2" w:rsidRPr="00925AA6">
        <w:rPr>
          <w:lang w:val="en-GB"/>
        </w:rPr>
        <w:t xml:space="preserve"> 2022, over 19 </w:t>
      </w:r>
      <w:r w:rsidR="00076009" w:rsidRPr="00925AA6">
        <w:rPr>
          <w:lang w:val="en-GB"/>
        </w:rPr>
        <w:t>million</w:t>
      </w:r>
      <w:r w:rsidR="006F49A2" w:rsidRPr="00925AA6">
        <w:rPr>
          <w:lang w:val="en-GB"/>
        </w:rPr>
        <w:t xml:space="preserve"> people </w:t>
      </w:r>
      <w:r w:rsidR="00076009" w:rsidRPr="00925AA6">
        <w:rPr>
          <w:lang w:val="en-GB"/>
        </w:rPr>
        <w:t>w</w:t>
      </w:r>
      <w:r w:rsidR="0018542E" w:rsidRPr="00925AA6">
        <w:rPr>
          <w:lang w:val="en-GB"/>
        </w:rPr>
        <w:t>ould</w:t>
      </w:r>
      <w:r w:rsidR="00076009" w:rsidRPr="00925AA6">
        <w:rPr>
          <w:lang w:val="en-GB"/>
        </w:rPr>
        <w:t xml:space="preserve"> </w:t>
      </w:r>
      <w:r w:rsidR="000262F0" w:rsidRPr="00925AA6">
        <w:rPr>
          <w:lang w:val="en-GB"/>
        </w:rPr>
        <w:t>need</w:t>
      </w:r>
      <w:r w:rsidR="00076009" w:rsidRPr="007E770C">
        <w:rPr>
          <w:lang w:val="en-GB"/>
        </w:rPr>
        <w:t xml:space="preserve"> food assistance </w:t>
      </w:r>
      <w:r w:rsidR="0018542E" w:rsidRPr="00845EB2">
        <w:rPr>
          <w:lang w:val="en-GB"/>
        </w:rPr>
        <w:t xml:space="preserve">and </w:t>
      </w:r>
      <w:r w:rsidR="00F51A25" w:rsidRPr="00845EB2">
        <w:rPr>
          <w:lang w:val="en-GB"/>
        </w:rPr>
        <w:t>161,000</w:t>
      </w:r>
      <w:r w:rsidR="0018542E" w:rsidRPr="00845EB2">
        <w:rPr>
          <w:lang w:val="en-GB"/>
        </w:rPr>
        <w:t> </w:t>
      </w:r>
      <w:r w:rsidR="00F51A25" w:rsidRPr="00EC5843">
        <w:rPr>
          <w:lang w:val="en-GB"/>
        </w:rPr>
        <w:t>w</w:t>
      </w:r>
      <w:r w:rsidR="0018542E" w:rsidRPr="00EC5843">
        <w:rPr>
          <w:lang w:val="en-GB"/>
        </w:rPr>
        <w:t>ould</w:t>
      </w:r>
      <w:r w:rsidR="00F51A25" w:rsidRPr="00EC5843">
        <w:rPr>
          <w:lang w:val="en-GB"/>
        </w:rPr>
        <w:t xml:space="preserve"> face extreme hunger</w:t>
      </w:r>
      <w:r w:rsidR="009F739A" w:rsidRPr="00EC5843">
        <w:rPr>
          <w:lang w:val="en-GB"/>
        </w:rPr>
        <w:t xml:space="preserve">. </w:t>
      </w:r>
      <w:r w:rsidR="00C665CB" w:rsidRPr="00444069">
        <w:rPr>
          <w:lang w:val="en-GB"/>
        </w:rPr>
        <w:t>The main</w:t>
      </w:r>
      <w:r w:rsidR="00733AD6" w:rsidRPr="00444069">
        <w:rPr>
          <w:lang w:val="en-GB"/>
        </w:rPr>
        <w:t xml:space="preserve"> driver </w:t>
      </w:r>
      <w:r w:rsidR="00345E98" w:rsidRPr="00444069">
        <w:rPr>
          <w:lang w:val="en-GB"/>
        </w:rPr>
        <w:t xml:space="preserve">of </w:t>
      </w:r>
      <w:r w:rsidR="00265536" w:rsidRPr="00444069">
        <w:rPr>
          <w:lang w:val="en-GB"/>
        </w:rPr>
        <w:t>food insecurity</w:t>
      </w:r>
      <w:r w:rsidR="00345E98" w:rsidRPr="00444069">
        <w:rPr>
          <w:lang w:val="en-GB"/>
        </w:rPr>
        <w:t xml:space="preserve"> is</w:t>
      </w:r>
      <w:r w:rsidR="000E3561" w:rsidRPr="00444069">
        <w:rPr>
          <w:lang w:val="en-GB"/>
        </w:rPr>
        <w:t xml:space="preserve"> </w:t>
      </w:r>
      <w:r w:rsidR="0018542E" w:rsidRPr="00444069">
        <w:rPr>
          <w:lang w:val="en-GB"/>
        </w:rPr>
        <w:t>un</w:t>
      </w:r>
      <w:r w:rsidR="00E751E5" w:rsidRPr="00444069">
        <w:rPr>
          <w:lang w:val="en-GB"/>
        </w:rPr>
        <w:t>affordability</w:t>
      </w:r>
      <w:r w:rsidR="00B91975" w:rsidRPr="00444069">
        <w:rPr>
          <w:lang w:val="en-GB"/>
        </w:rPr>
        <w:t xml:space="preserve">, </w:t>
      </w:r>
      <w:r w:rsidR="00582E92" w:rsidRPr="00444069">
        <w:rPr>
          <w:lang w:val="en-GB"/>
        </w:rPr>
        <w:t xml:space="preserve">emanating </w:t>
      </w:r>
      <w:r w:rsidR="00066D86" w:rsidRPr="00444069">
        <w:rPr>
          <w:lang w:val="en-GB"/>
        </w:rPr>
        <w:t xml:space="preserve">from </w:t>
      </w:r>
      <w:r w:rsidR="00265536" w:rsidRPr="00444069">
        <w:rPr>
          <w:lang w:val="en-GB"/>
        </w:rPr>
        <w:t>increased food prices amidst reduced incomes and</w:t>
      </w:r>
      <w:r w:rsidR="00C665CB" w:rsidRPr="00444069">
        <w:rPr>
          <w:lang w:val="en-GB"/>
        </w:rPr>
        <w:t xml:space="preserve"> </w:t>
      </w:r>
      <w:r w:rsidR="00654179" w:rsidRPr="00444069">
        <w:rPr>
          <w:lang w:val="en-GB"/>
        </w:rPr>
        <w:t>livelihood</w:t>
      </w:r>
      <w:r w:rsidR="00265536" w:rsidRPr="00444069">
        <w:rPr>
          <w:lang w:val="en-GB"/>
        </w:rPr>
        <w:t xml:space="preserve"> opportunities</w:t>
      </w:r>
      <w:r w:rsidR="00066D86" w:rsidRPr="00444069">
        <w:rPr>
          <w:lang w:val="en-GB"/>
        </w:rPr>
        <w:t xml:space="preserve">. </w:t>
      </w:r>
      <w:r w:rsidR="00D91D8D" w:rsidRPr="00444069">
        <w:rPr>
          <w:lang w:val="en-GB"/>
        </w:rPr>
        <w:t xml:space="preserve">The </w:t>
      </w:r>
      <w:r w:rsidR="00D83975" w:rsidRPr="00444069">
        <w:rPr>
          <w:lang w:val="en-GB"/>
        </w:rPr>
        <w:t xml:space="preserve">COVID-19 </w:t>
      </w:r>
      <w:r w:rsidR="00D91D8D" w:rsidRPr="00444069">
        <w:rPr>
          <w:lang w:val="en-GB"/>
        </w:rPr>
        <w:t>pandemic has added layers of vulnerability for women and girls and exacerbated gender inequalities</w:t>
      </w:r>
      <w:r w:rsidR="00D83975" w:rsidRPr="00444069">
        <w:rPr>
          <w:lang w:val="en-GB"/>
        </w:rPr>
        <w:t>,</w:t>
      </w:r>
      <w:r w:rsidR="00D91D8D" w:rsidRPr="00444069">
        <w:rPr>
          <w:lang w:val="en-GB"/>
        </w:rPr>
        <w:t xml:space="preserve"> increasing the burden </w:t>
      </w:r>
      <w:r w:rsidR="00B6205D" w:rsidRPr="00444069">
        <w:rPr>
          <w:lang w:val="en-GB"/>
        </w:rPr>
        <w:t xml:space="preserve">of </w:t>
      </w:r>
      <w:r w:rsidR="00D91D8D" w:rsidRPr="00444069">
        <w:rPr>
          <w:lang w:val="en-GB"/>
        </w:rPr>
        <w:t>care work</w:t>
      </w:r>
      <w:r w:rsidR="0018542E" w:rsidRPr="00444069">
        <w:rPr>
          <w:lang w:val="en-GB"/>
        </w:rPr>
        <w:t xml:space="preserve"> and</w:t>
      </w:r>
      <w:r w:rsidR="00F04829" w:rsidRPr="00444069">
        <w:rPr>
          <w:lang w:val="en-GB"/>
        </w:rPr>
        <w:t xml:space="preserve"> </w:t>
      </w:r>
      <w:r w:rsidR="00D91D8D" w:rsidRPr="00444069">
        <w:rPr>
          <w:lang w:val="en-GB"/>
        </w:rPr>
        <w:t>job losses</w:t>
      </w:r>
      <w:r w:rsidR="00D91D8D" w:rsidRPr="00444069">
        <w:rPr>
          <w:vertAlign w:val="superscript"/>
          <w:lang w:val="en-GB"/>
        </w:rPr>
        <w:footnoteReference w:id="13"/>
      </w:r>
      <w:r w:rsidR="00D91D8D" w:rsidRPr="00444069">
        <w:rPr>
          <w:lang w:val="en-GB"/>
        </w:rPr>
        <w:t xml:space="preserve"> </w:t>
      </w:r>
      <w:r w:rsidR="002C3365" w:rsidRPr="00444069">
        <w:rPr>
          <w:lang w:val="en-GB"/>
        </w:rPr>
        <w:t xml:space="preserve">and </w:t>
      </w:r>
      <w:r w:rsidR="00D91D8D" w:rsidRPr="00444069">
        <w:rPr>
          <w:lang w:val="en-GB"/>
        </w:rPr>
        <w:t>exacerbating gender</w:t>
      </w:r>
      <w:r w:rsidR="002C3365" w:rsidRPr="00444069">
        <w:rPr>
          <w:lang w:val="en-GB"/>
        </w:rPr>
        <w:t>-</w:t>
      </w:r>
      <w:r w:rsidR="00D91D8D" w:rsidRPr="00444069">
        <w:rPr>
          <w:lang w:val="en-GB"/>
        </w:rPr>
        <w:t>based violence</w:t>
      </w:r>
      <w:r w:rsidR="0018542E" w:rsidRPr="004806F2">
        <w:rPr>
          <w:lang w:val="en-GB"/>
        </w:rPr>
        <w:t>,</w:t>
      </w:r>
      <w:r w:rsidR="00D91D8D" w:rsidRPr="004806F2">
        <w:rPr>
          <w:lang w:val="en-GB"/>
        </w:rPr>
        <w:t xml:space="preserve"> including child and early marriage</w:t>
      </w:r>
      <w:r w:rsidR="009750C8" w:rsidRPr="00DB3165">
        <w:rPr>
          <w:lang w:val="en-GB"/>
        </w:rPr>
        <w:t>.</w:t>
      </w:r>
      <w:r w:rsidR="00D91D8D" w:rsidRPr="00444069">
        <w:rPr>
          <w:vertAlign w:val="superscript"/>
          <w:lang w:val="en-GB"/>
        </w:rPr>
        <w:footnoteReference w:id="14"/>
      </w:r>
    </w:p>
    <w:p w14:paraId="00BFABDD" w14:textId="0540ED17" w:rsidR="001B3DAD" w:rsidRPr="00925AA6" w:rsidRDefault="00BD700D" w:rsidP="000156B4">
      <w:pPr>
        <w:pStyle w:val="ListParagraph"/>
        <w:numPr>
          <w:ilvl w:val="0"/>
          <w:numId w:val="7"/>
        </w:numPr>
        <w:spacing w:after="120" w:line="240" w:lineRule="exact"/>
        <w:ind w:left="1080" w:right="1210" w:firstLine="0"/>
        <w:jc w:val="both"/>
        <w:rPr>
          <w:lang w:val="en-GB"/>
        </w:rPr>
      </w:pPr>
      <w:r w:rsidRPr="00444069">
        <w:rPr>
          <w:lang w:val="en-GB"/>
        </w:rPr>
        <w:t>Temperatures have risen faster than the global average over the last three decades</w:t>
      </w:r>
      <w:r w:rsidR="0071214D" w:rsidRPr="00444069">
        <w:rPr>
          <w:lang w:val="en-GB"/>
        </w:rPr>
        <w:t>.</w:t>
      </w:r>
      <w:r w:rsidR="00350057" w:rsidRPr="00444069">
        <w:rPr>
          <w:rStyle w:val="FootnoteReference"/>
          <w:lang w:val="en-GB"/>
        </w:rPr>
        <w:footnoteReference w:id="15"/>
      </w:r>
      <w:r w:rsidRPr="00444069">
        <w:rPr>
          <w:lang w:val="en-GB"/>
        </w:rPr>
        <w:t xml:space="preserve"> </w:t>
      </w:r>
      <w:r w:rsidR="0071214D" w:rsidRPr="00444069">
        <w:rPr>
          <w:lang w:val="en-GB"/>
        </w:rPr>
        <w:t xml:space="preserve">The country </w:t>
      </w:r>
      <w:r w:rsidR="00A82762" w:rsidRPr="00444069">
        <w:rPr>
          <w:lang w:val="en-GB"/>
        </w:rPr>
        <w:t>ranks 172</w:t>
      </w:r>
      <w:r w:rsidR="002B3D68" w:rsidRPr="00444069">
        <w:rPr>
          <w:lang w:val="en-GB"/>
        </w:rPr>
        <w:t>nd</w:t>
      </w:r>
      <w:r w:rsidR="00A82762" w:rsidRPr="00444069">
        <w:rPr>
          <w:vertAlign w:val="superscript"/>
          <w:lang w:val="en-GB"/>
        </w:rPr>
        <w:t xml:space="preserve"> </w:t>
      </w:r>
      <w:r w:rsidR="00A82762" w:rsidRPr="004806F2">
        <w:rPr>
          <w:lang w:val="en-GB"/>
        </w:rPr>
        <w:t xml:space="preserve">out of 181 countries in the Notre Dame Global Adaptation Initiative index, indicating </w:t>
      </w:r>
      <w:r w:rsidR="00A82762" w:rsidRPr="00DB3165">
        <w:rPr>
          <w:lang w:val="en-GB"/>
        </w:rPr>
        <w:t>high vulnerability and low levels of readiness to adapt to climate change</w:t>
      </w:r>
      <w:r w:rsidR="002B3D68" w:rsidRPr="00DB3165">
        <w:rPr>
          <w:lang w:val="en-GB"/>
        </w:rPr>
        <w:t>.</w:t>
      </w:r>
      <w:r w:rsidR="00A82762" w:rsidRPr="00444069">
        <w:rPr>
          <w:rStyle w:val="FootnoteReference"/>
          <w:lang w:val="en-GB"/>
        </w:rPr>
        <w:footnoteReference w:id="16"/>
      </w:r>
      <w:r w:rsidR="00A82762" w:rsidRPr="00444069">
        <w:rPr>
          <w:lang w:val="en-GB"/>
        </w:rPr>
        <w:t xml:space="preserve"> </w:t>
      </w:r>
      <w:r w:rsidR="003A39E0" w:rsidRPr="00444069">
        <w:rPr>
          <w:lang w:val="en-GB"/>
        </w:rPr>
        <w:t>Yemen is one of the world’s most water-stressed countries,</w:t>
      </w:r>
      <w:r w:rsidR="0037561F" w:rsidRPr="00444069">
        <w:rPr>
          <w:lang w:val="en-GB"/>
        </w:rPr>
        <w:t xml:space="preserve"> with </w:t>
      </w:r>
      <w:r w:rsidR="005F19B6">
        <w:rPr>
          <w:lang w:val="en-GB"/>
        </w:rPr>
        <w:t>extreme</w:t>
      </w:r>
      <w:r w:rsidR="002B3D68" w:rsidRPr="004806F2">
        <w:rPr>
          <w:lang w:val="en-GB"/>
        </w:rPr>
        <w:t xml:space="preserve"> </w:t>
      </w:r>
      <w:r w:rsidR="00BD557F" w:rsidRPr="004806F2">
        <w:rPr>
          <w:lang w:val="en-GB"/>
        </w:rPr>
        <w:t xml:space="preserve">floods and droughts. </w:t>
      </w:r>
      <w:r w:rsidR="005F19B6">
        <w:rPr>
          <w:lang w:val="en-GB"/>
        </w:rPr>
        <w:t>E</w:t>
      </w:r>
      <w:r w:rsidR="00E85A90" w:rsidRPr="00DB3165">
        <w:rPr>
          <w:lang w:val="en-GB"/>
        </w:rPr>
        <w:t xml:space="preserve">xperts </w:t>
      </w:r>
      <w:r w:rsidR="005F19B6">
        <w:rPr>
          <w:lang w:val="en-GB"/>
        </w:rPr>
        <w:t>warn</w:t>
      </w:r>
      <w:r w:rsidR="00E85A90" w:rsidRPr="00DB3165">
        <w:rPr>
          <w:lang w:val="en-GB"/>
        </w:rPr>
        <w:t xml:space="preserve"> </w:t>
      </w:r>
      <w:r w:rsidR="00C45487" w:rsidRPr="00DB3165">
        <w:rPr>
          <w:lang w:val="en-GB"/>
        </w:rPr>
        <w:t xml:space="preserve">that </w:t>
      </w:r>
      <w:r w:rsidR="00E85A90" w:rsidRPr="00DB3165">
        <w:rPr>
          <w:lang w:val="en-GB"/>
        </w:rPr>
        <w:t>Sana’a may be the first capital in the world to run out of water</w:t>
      </w:r>
      <w:r w:rsidR="002B3D68" w:rsidRPr="00DB3165">
        <w:rPr>
          <w:lang w:val="en-GB"/>
        </w:rPr>
        <w:t>.</w:t>
      </w:r>
      <w:r w:rsidR="009E5376" w:rsidRPr="00444069">
        <w:rPr>
          <w:rStyle w:val="FootnoteReference"/>
          <w:lang w:val="en-GB"/>
        </w:rPr>
        <w:footnoteReference w:id="17"/>
      </w:r>
      <w:r w:rsidR="00A82762" w:rsidRPr="00444069">
        <w:rPr>
          <w:lang w:val="en-GB"/>
        </w:rPr>
        <w:t xml:space="preserve"> </w:t>
      </w:r>
      <w:r w:rsidR="002B3D68" w:rsidRPr="004806F2">
        <w:rPr>
          <w:lang w:val="en-GB"/>
        </w:rPr>
        <w:t>D</w:t>
      </w:r>
      <w:r w:rsidR="00573B0E" w:rsidRPr="004806F2">
        <w:rPr>
          <w:lang w:val="en-GB"/>
        </w:rPr>
        <w:t>esert locust</w:t>
      </w:r>
      <w:r w:rsidR="004133E1" w:rsidRPr="004806F2">
        <w:rPr>
          <w:lang w:val="en-GB"/>
        </w:rPr>
        <w:t>s</w:t>
      </w:r>
      <w:r w:rsidR="00573B0E" w:rsidRPr="00DB3165">
        <w:rPr>
          <w:lang w:val="en-GB"/>
        </w:rPr>
        <w:t xml:space="preserve"> have destroyed crops in key</w:t>
      </w:r>
      <w:r w:rsidR="0097761C" w:rsidRPr="00DB3165">
        <w:rPr>
          <w:lang w:val="en-GB"/>
        </w:rPr>
        <w:t xml:space="preserve"> </w:t>
      </w:r>
      <w:r w:rsidR="00573B0E" w:rsidRPr="00DB3165">
        <w:rPr>
          <w:lang w:val="en-GB"/>
        </w:rPr>
        <w:t>agricultural areas</w:t>
      </w:r>
      <w:r w:rsidR="00D83975" w:rsidRPr="00DB3165">
        <w:rPr>
          <w:lang w:val="en-GB"/>
        </w:rPr>
        <w:t>,</w:t>
      </w:r>
      <w:r w:rsidR="004133E1" w:rsidRPr="00DB3165">
        <w:rPr>
          <w:lang w:val="en-GB"/>
        </w:rPr>
        <w:t xml:space="preserve"> whil</w:t>
      </w:r>
      <w:r w:rsidR="002B3D68" w:rsidRPr="00DB3165">
        <w:rPr>
          <w:lang w:val="en-GB"/>
        </w:rPr>
        <w:t>e</w:t>
      </w:r>
      <w:r w:rsidR="004133E1" w:rsidRPr="00C94D94">
        <w:rPr>
          <w:lang w:val="en-GB"/>
        </w:rPr>
        <w:t xml:space="preserve"> f</w:t>
      </w:r>
      <w:r w:rsidR="00573B0E" w:rsidRPr="009B4526">
        <w:rPr>
          <w:lang w:val="en-GB"/>
        </w:rPr>
        <w:t xml:space="preserve">loods </w:t>
      </w:r>
      <w:r w:rsidR="00AE2C67" w:rsidRPr="009B4526">
        <w:rPr>
          <w:lang w:val="en-GB"/>
        </w:rPr>
        <w:t xml:space="preserve">have worsened the </w:t>
      </w:r>
      <w:r w:rsidR="00BB3245" w:rsidRPr="00A2394E">
        <w:rPr>
          <w:lang w:val="en-GB"/>
        </w:rPr>
        <w:t xml:space="preserve">condition of </w:t>
      </w:r>
      <w:r w:rsidR="00BB3245" w:rsidRPr="0043669F">
        <w:rPr>
          <w:lang w:val="en-GB"/>
        </w:rPr>
        <w:t>roads,</w:t>
      </w:r>
      <w:r w:rsidR="00BB3245" w:rsidRPr="00925AA6">
        <w:rPr>
          <w:lang w:val="en-GB"/>
        </w:rPr>
        <w:t xml:space="preserve"> </w:t>
      </w:r>
      <w:r w:rsidR="00665142" w:rsidRPr="00925AA6">
        <w:rPr>
          <w:lang w:val="en-GB"/>
        </w:rPr>
        <w:t>bridges,</w:t>
      </w:r>
      <w:r w:rsidR="00BB3245" w:rsidRPr="00925AA6">
        <w:rPr>
          <w:lang w:val="en-GB"/>
        </w:rPr>
        <w:t xml:space="preserve"> and sewage systems.</w:t>
      </w:r>
      <w:r w:rsidR="00DC483E" w:rsidRPr="00925AA6">
        <w:rPr>
          <w:color w:val="FF0000"/>
          <w:lang w:val="en-GB"/>
        </w:rPr>
        <w:t xml:space="preserve"> </w:t>
      </w:r>
    </w:p>
    <w:p w14:paraId="2DAAF944" w14:textId="77F24ED9" w:rsidR="00ED48ED" w:rsidRPr="00DB3165" w:rsidRDefault="00972A70" w:rsidP="000156B4">
      <w:pPr>
        <w:pStyle w:val="ListParagraph"/>
        <w:numPr>
          <w:ilvl w:val="0"/>
          <w:numId w:val="7"/>
        </w:numPr>
        <w:spacing w:after="120" w:line="240" w:lineRule="exact"/>
        <w:ind w:left="1080" w:right="1210" w:firstLine="0"/>
        <w:jc w:val="both"/>
        <w:rPr>
          <w:lang w:val="en-GB"/>
        </w:rPr>
      </w:pPr>
      <w:r w:rsidRPr="00925AA6">
        <w:rPr>
          <w:lang w:val="en-GB"/>
        </w:rPr>
        <w:t>Yemen is one of the world’s most energy insecure countries</w:t>
      </w:r>
      <w:r w:rsidR="00D663CA" w:rsidRPr="00925AA6">
        <w:rPr>
          <w:lang w:val="en-GB"/>
        </w:rPr>
        <w:t>.</w:t>
      </w:r>
      <w:r w:rsidRPr="00925AA6">
        <w:rPr>
          <w:lang w:val="en-GB"/>
        </w:rPr>
        <w:t xml:space="preserve"> </w:t>
      </w:r>
      <w:r w:rsidR="00D663CA" w:rsidRPr="007E770C">
        <w:rPr>
          <w:lang w:val="en-GB"/>
        </w:rPr>
        <w:t>L</w:t>
      </w:r>
      <w:r w:rsidR="002A68FB" w:rsidRPr="00845EB2">
        <w:rPr>
          <w:lang w:val="en-GB"/>
        </w:rPr>
        <w:t>ess</w:t>
      </w:r>
      <w:r w:rsidR="008B55E6" w:rsidRPr="00845EB2">
        <w:rPr>
          <w:lang w:val="en-GB"/>
        </w:rPr>
        <w:t xml:space="preserve"> than 10</w:t>
      </w:r>
      <w:r w:rsidRPr="00845EB2">
        <w:rPr>
          <w:lang w:val="en-GB"/>
        </w:rPr>
        <w:t xml:space="preserve"> per cent of the population </w:t>
      </w:r>
      <w:r w:rsidR="002A68FB" w:rsidRPr="00845EB2">
        <w:rPr>
          <w:lang w:val="en-GB"/>
        </w:rPr>
        <w:t>hav</w:t>
      </w:r>
      <w:r w:rsidR="00D663CA" w:rsidRPr="00845EB2">
        <w:rPr>
          <w:lang w:val="en-GB"/>
        </w:rPr>
        <w:t>e</w:t>
      </w:r>
      <w:r w:rsidRPr="00EC5843">
        <w:rPr>
          <w:lang w:val="en-GB"/>
        </w:rPr>
        <w:t xml:space="preserve"> access to electricity</w:t>
      </w:r>
      <w:r w:rsidR="00097DC4" w:rsidRPr="00EC5843">
        <w:rPr>
          <w:lang w:val="en-GB"/>
        </w:rPr>
        <w:t xml:space="preserve">, </w:t>
      </w:r>
      <w:r w:rsidR="00D663CA" w:rsidRPr="00EC5843">
        <w:rPr>
          <w:lang w:val="en-GB"/>
        </w:rPr>
        <w:t xml:space="preserve">and </w:t>
      </w:r>
      <w:r w:rsidR="00097DC4" w:rsidRPr="00EC5843">
        <w:rPr>
          <w:lang w:val="en-GB"/>
        </w:rPr>
        <w:t xml:space="preserve">most </w:t>
      </w:r>
      <w:r w:rsidR="00C52615">
        <w:rPr>
          <w:lang w:val="en-GB"/>
        </w:rPr>
        <w:t xml:space="preserve">of </w:t>
      </w:r>
      <w:r w:rsidR="00D663CA" w:rsidRPr="00444069">
        <w:rPr>
          <w:lang w:val="en-GB"/>
        </w:rPr>
        <w:t>those lacking it</w:t>
      </w:r>
      <w:r w:rsidR="00097DC4" w:rsidRPr="00444069">
        <w:rPr>
          <w:lang w:val="en-GB"/>
        </w:rPr>
        <w:t xml:space="preserve"> are women</w:t>
      </w:r>
      <w:r w:rsidR="00D663CA" w:rsidRPr="00444069">
        <w:rPr>
          <w:lang w:val="en-GB"/>
        </w:rPr>
        <w:t>,</w:t>
      </w:r>
      <w:r w:rsidR="00097DC4" w:rsidRPr="00444069">
        <w:rPr>
          <w:lang w:val="en-GB"/>
        </w:rPr>
        <w:t xml:space="preserve"> who have fewer options to access or acquire sources of power</w:t>
      </w:r>
      <w:r w:rsidR="00D663CA" w:rsidRPr="00444069">
        <w:rPr>
          <w:lang w:val="en-GB"/>
        </w:rPr>
        <w:t>.</w:t>
      </w:r>
      <w:r w:rsidR="00097DC4" w:rsidRPr="00444069">
        <w:rPr>
          <w:rStyle w:val="FootnoteReference"/>
          <w:lang w:val="en-GB"/>
        </w:rPr>
        <w:footnoteReference w:id="18"/>
      </w:r>
      <w:r w:rsidR="002A68FB" w:rsidRPr="00444069">
        <w:rPr>
          <w:lang w:val="en-GB"/>
        </w:rPr>
        <w:t xml:space="preserve"> This </w:t>
      </w:r>
      <w:r w:rsidR="008E3023" w:rsidRPr="00444069">
        <w:rPr>
          <w:lang w:val="en-GB"/>
        </w:rPr>
        <w:t xml:space="preserve">has led to the </w:t>
      </w:r>
      <w:r w:rsidRPr="00444069">
        <w:rPr>
          <w:lang w:val="en-GB"/>
        </w:rPr>
        <w:t>closure of schools and health centres.</w:t>
      </w:r>
      <w:r w:rsidR="00C77A71" w:rsidRPr="00444069">
        <w:rPr>
          <w:lang w:val="en-GB"/>
        </w:rPr>
        <w:t xml:space="preserve"> Yet</w:t>
      </w:r>
      <w:r w:rsidR="00C77A71" w:rsidRPr="004806F2">
        <w:rPr>
          <w:lang w:val="en-GB"/>
        </w:rPr>
        <w:t xml:space="preserve"> the country has vast untapped potential for on- and off-grid renewable energy sources </w:t>
      </w:r>
      <w:r w:rsidR="00D663CA" w:rsidRPr="00DB3165">
        <w:rPr>
          <w:lang w:val="en-GB"/>
        </w:rPr>
        <w:t xml:space="preserve">– </w:t>
      </w:r>
      <w:r w:rsidR="00C77A71" w:rsidRPr="00DB3165">
        <w:rPr>
          <w:lang w:val="en-GB"/>
        </w:rPr>
        <w:t>solar, wind, and geothermal</w:t>
      </w:r>
      <w:r w:rsidR="002010C6" w:rsidRPr="00DB3165">
        <w:rPr>
          <w:lang w:val="en-GB"/>
        </w:rPr>
        <w:t xml:space="preserve">. </w:t>
      </w:r>
      <w:r w:rsidR="008E3023" w:rsidRPr="00DB3165">
        <w:rPr>
          <w:lang w:val="en-GB"/>
        </w:rPr>
        <w:t xml:space="preserve">With </w:t>
      </w:r>
      <w:r w:rsidR="00D663CA" w:rsidRPr="00C94D94">
        <w:rPr>
          <w:lang w:val="en-GB"/>
        </w:rPr>
        <w:t>more than 2,500 kilometres of</w:t>
      </w:r>
      <w:r w:rsidR="008E3023" w:rsidRPr="009B4526">
        <w:rPr>
          <w:lang w:val="en-GB"/>
        </w:rPr>
        <w:t xml:space="preserve"> coast</w:t>
      </w:r>
      <w:r w:rsidR="008E3023" w:rsidRPr="00A2394E">
        <w:rPr>
          <w:lang w:val="en-GB"/>
        </w:rPr>
        <w:t xml:space="preserve">line and rich fishing grounds offshore, </w:t>
      </w:r>
      <w:r w:rsidR="00D663CA" w:rsidRPr="0043669F">
        <w:rPr>
          <w:lang w:val="en-GB"/>
        </w:rPr>
        <w:t xml:space="preserve">the </w:t>
      </w:r>
      <w:r w:rsidR="008E3023" w:rsidRPr="00925AA6">
        <w:rPr>
          <w:lang w:val="en-GB"/>
        </w:rPr>
        <w:t>fisheries sector holds untapped promise in contributing to the national economy</w:t>
      </w:r>
      <w:r w:rsidR="00C52615">
        <w:rPr>
          <w:lang w:val="en-GB"/>
        </w:rPr>
        <w:t>.</w:t>
      </w:r>
      <w:r w:rsidR="00BF4120" w:rsidRPr="00BF4120">
        <w:rPr>
          <w:lang w:val="en-GB"/>
        </w:rPr>
        <w:t xml:space="preserve"> </w:t>
      </w:r>
      <w:r w:rsidR="005F19B6">
        <w:rPr>
          <w:lang w:val="en-GB"/>
        </w:rPr>
        <w:t>Social norms have limited t</w:t>
      </w:r>
      <w:r w:rsidR="00BF4120">
        <w:rPr>
          <w:lang w:val="en-GB"/>
        </w:rPr>
        <w:t xml:space="preserve">he </w:t>
      </w:r>
      <w:r w:rsidR="00BF4120" w:rsidRPr="004806F2">
        <w:rPr>
          <w:lang w:val="en-GB"/>
        </w:rPr>
        <w:t>potential of women</w:t>
      </w:r>
      <w:r w:rsidR="00BF4120">
        <w:rPr>
          <w:lang w:val="en-GB"/>
        </w:rPr>
        <w:t xml:space="preserve"> in this sector</w:t>
      </w:r>
      <w:r w:rsidR="00BF4120" w:rsidRPr="00DB3165">
        <w:rPr>
          <w:lang w:val="en-GB"/>
        </w:rPr>
        <w:t>.</w:t>
      </w:r>
    </w:p>
    <w:p w14:paraId="05DDCFCC" w14:textId="25C7C814" w:rsidR="00A82762" w:rsidRPr="00A2394E" w:rsidRDefault="00285464" w:rsidP="000156B4">
      <w:pPr>
        <w:pStyle w:val="ListParagraph"/>
        <w:numPr>
          <w:ilvl w:val="0"/>
          <w:numId w:val="7"/>
        </w:numPr>
        <w:spacing w:after="120" w:line="240" w:lineRule="exact"/>
        <w:ind w:left="1080" w:right="1210" w:firstLine="0"/>
        <w:jc w:val="both"/>
        <w:rPr>
          <w:lang w:val="en-GB"/>
        </w:rPr>
      </w:pPr>
      <w:r w:rsidRPr="00DB3165">
        <w:rPr>
          <w:lang w:val="en-GB"/>
        </w:rPr>
        <w:t>Throughout much of the country</w:t>
      </w:r>
      <w:r w:rsidR="002A59CB" w:rsidRPr="00C94D94">
        <w:rPr>
          <w:lang w:val="en-GB"/>
        </w:rPr>
        <w:t xml:space="preserve"> – </w:t>
      </w:r>
      <w:r w:rsidRPr="009B4526">
        <w:rPr>
          <w:lang w:val="en-GB"/>
        </w:rPr>
        <w:t xml:space="preserve">particularly in the west, where most of the </w:t>
      </w:r>
      <w:r w:rsidR="002A59CB" w:rsidRPr="00A2394E">
        <w:rPr>
          <w:lang w:val="en-GB"/>
        </w:rPr>
        <w:t xml:space="preserve">people </w:t>
      </w:r>
      <w:r w:rsidRPr="00A2394E">
        <w:rPr>
          <w:lang w:val="en-GB"/>
        </w:rPr>
        <w:t>reside</w:t>
      </w:r>
      <w:r w:rsidR="002A59CB" w:rsidRPr="0043669F">
        <w:rPr>
          <w:lang w:val="en-GB"/>
        </w:rPr>
        <w:t xml:space="preserve"> – </w:t>
      </w:r>
      <w:r w:rsidRPr="00925AA6">
        <w:rPr>
          <w:lang w:val="en-GB"/>
        </w:rPr>
        <w:t xml:space="preserve">the conflict has left widespread </w:t>
      </w:r>
      <w:r w:rsidR="002A59CB" w:rsidRPr="00925AA6">
        <w:rPr>
          <w:lang w:val="en-GB"/>
        </w:rPr>
        <w:t>u</w:t>
      </w:r>
      <w:r w:rsidRPr="00925AA6">
        <w:rPr>
          <w:lang w:val="en-GB"/>
        </w:rPr>
        <w:t xml:space="preserve">nexploded </w:t>
      </w:r>
      <w:r w:rsidR="002A59CB" w:rsidRPr="00925AA6">
        <w:rPr>
          <w:lang w:val="en-GB"/>
        </w:rPr>
        <w:t>o</w:t>
      </w:r>
      <w:r w:rsidRPr="00925AA6">
        <w:rPr>
          <w:lang w:val="en-GB"/>
        </w:rPr>
        <w:t xml:space="preserve">rdnance contamination. </w:t>
      </w:r>
      <w:r w:rsidR="009D607A" w:rsidRPr="00925AA6">
        <w:rPr>
          <w:lang w:val="en-GB"/>
        </w:rPr>
        <w:t xml:space="preserve">A potential environmental and humanitarian disaster looms </w:t>
      </w:r>
      <w:r w:rsidR="004542A2" w:rsidRPr="00925AA6">
        <w:rPr>
          <w:lang w:val="en-GB"/>
        </w:rPr>
        <w:t>on</w:t>
      </w:r>
      <w:r w:rsidR="009D607A" w:rsidRPr="00925AA6">
        <w:rPr>
          <w:lang w:val="en-GB"/>
        </w:rPr>
        <w:t xml:space="preserve"> </w:t>
      </w:r>
      <w:r w:rsidR="002A59CB" w:rsidRPr="00845EB2">
        <w:rPr>
          <w:lang w:val="en-GB"/>
        </w:rPr>
        <w:t xml:space="preserve">the </w:t>
      </w:r>
      <w:r w:rsidR="009D607A" w:rsidRPr="00845EB2">
        <w:rPr>
          <w:lang w:val="en-GB"/>
        </w:rPr>
        <w:t>Red Sea coast</w:t>
      </w:r>
      <w:r w:rsidR="00AD1BA7" w:rsidRPr="00845EB2">
        <w:rPr>
          <w:lang w:val="en-GB"/>
        </w:rPr>
        <w:t xml:space="preserve"> </w:t>
      </w:r>
      <w:r w:rsidR="002A59CB" w:rsidRPr="00EC5843">
        <w:rPr>
          <w:lang w:val="en-GB"/>
        </w:rPr>
        <w:t>should there be</w:t>
      </w:r>
      <w:r w:rsidR="00660943" w:rsidRPr="00EC5843">
        <w:rPr>
          <w:lang w:val="en-GB"/>
        </w:rPr>
        <w:t xml:space="preserve"> an oil spill</w:t>
      </w:r>
      <w:r w:rsidR="002A59CB" w:rsidRPr="00EC5843">
        <w:rPr>
          <w:lang w:val="en-GB"/>
        </w:rPr>
        <w:t xml:space="preserve"> from,</w:t>
      </w:r>
      <w:r w:rsidR="00660943" w:rsidRPr="00EC5843">
        <w:rPr>
          <w:lang w:val="en-GB"/>
        </w:rPr>
        <w:t xml:space="preserve"> or explosion of the </w:t>
      </w:r>
      <w:r w:rsidR="002A59CB" w:rsidRPr="00BF4120">
        <w:rPr>
          <w:lang w:val="en-GB"/>
        </w:rPr>
        <w:t>floating storage and offloading</w:t>
      </w:r>
      <w:r w:rsidR="00A82762" w:rsidRPr="00444069">
        <w:rPr>
          <w:lang w:val="en-GB"/>
        </w:rPr>
        <w:t xml:space="preserve"> </w:t>
      </w:r>
      <w:r w:rsidR="00AD1BA7" w:rsidRPr="00444069">
        <w:rPr>
          <w:lang w:val="en-GB"/>
        </w:rPr>
        <w:t>tank</w:t>
      </w:r>
      <w:r w:rsidR="007325E7" w:rsidRPr="004806F2">
        <w:rPr>
          <w:lang w:val="en-GB"/>
        </w:rPr>
        <w:t>er</w:t>
      </w:r>
      <w:r w:rsidR="002A59CB" w:rsidRPr="004806F2">
        <w:rPr>
          <w:lang w:val="en-GB"/>
        </w:rPr>
        <w:t xml:space="preserve"> </w:t>
      </w:r>
      <w:r w:rsidR="002A59CB" w:rsidRPr="00BF4120">
        <w:rPr>
          <w:i/>
          <w:lang w:val="en-GB"/>
        </w:rPr>
        <w:t>Safer</w:t>
      </w:r>
      <w:r w:rsidR="00A82762" w:rsidRPr="00444069">
        <w:rPr>
          <w:lang w:val="en-GB"/>
        </w:rPr>
        <w:t>, moored off the coast of Yemen and holding about 1.15 million barrels of oil</w:t>
      </w:r>
      <w:r w:rsidR="00660943" w:rsidRPr="004806F2">
        <w:rPr>
          <w:lang w:val="en-GB"/>
        </w:rPr>
        <w:t xml:space="preserve">. </w:t>
      </w:r>
      <w:r w:rsidR="00BB5FFC" w:rsidRPr="004806F2">
        <w:rPr>
          <w:lang w:val="en-GB"/>
        </w:rPr>
        <w:t>C</w:t>
      </w:r>
      <w:r w:rsidR="00356EA9" w:rsidRPr="004806F2">
        <w:rPr>
          <w:lang w:val="en-GB"/>
        </w:rPr>
        <w:t>oastal communities in Yemen and neighbouring count</w:t>
      </w:r>
      <w:r w:rsidR="00563775" w:rsidRPr="00DB3165">
        <w:rPr>
          <w:lang w:val="en-GB"/>
        </w:rPr>
        <w:t>r</w:t>
      </w:r>
      <w:r w:rsidR="00356EA9" w:rsidRPr="00DB3165">
        <w:rPr>
          <w:lang w:val="en-GB"/>
        </w:rPr>
        <w:t>ies,</w:t>
      </w:r>
      <w:r w:rsidR="00563775" w:rsidRPr="00DB3165">
        <w:rPr>
          <w:lang w:val="en-GB"/>
        </w:rPr>
        <w:t xml:space="preserve"> the fishing industry, </w:t>
      </w:r>
      <w:r w:rsidR="00F64596" w:rsidRPr="00DB3165">
        <w:rPr>
          <w:lang w:val="en-GB"/>
        </w:rPr>
        <w:t xml:space="preserve">and </w:t>
      </w:r>
      <w:r w:rsidR="00563775" w:rsidRPr="00DB3165">
        <w:rPr>
          <w:lang w:val="en-GB"/>
        </w:rPr>
        <w:t>operations of the Hodeidah port</w:t>
      </w:r>
      <w:r w:rsidR="005F19B6">
        <w:rPr>
          <w:lang w:val="en-GB"/>
        </w:rPr>
        <w:t>,</w:t>
      </w:r>
      <w:r w:rsidR="00BB5FFC" w:rsidRPr="00DB3165">
        <w:rPr>
          <w:lang w:val="en-GB"/>
        </w:rPr>
        <w:t xml:space="preserve"> </w:t>
      </w:r>
      <w:r w:rsidR="002A59CB" w:rsidRPr="00C94D94">
        <w:rPr>
          <w:lang w:val="en-GB"/>
        </w:rPr>
        <w:t xml:space="preserve">would </w:t>
      </w:r>
      <w:r w:rsidR="00BB5FFC" w:rsidRPr="009B4526">
        <w:rPr>
          <w:lang w:val="en-GB"/>
        </w:rPr>
        <w:t xml:space="preserve">be severely affected. </w:t>
      </w:r>
      <w:r w:rsidR="00BF642C" w:rsidRPr="009B4526">
        <w:rPr>
          <w:lang w:val="en-GB"/>
        </w:rPr>
        <w:t xml:space="preserve"> </w:t>
      </w:r>
    </w:p>
    <w:p w14:paraId="46128974" w14:textId="16442DDC" w:rsidR="00CE61C8" w:rsidRPr="00845EB2" w:rsidRDefault="00DA7458" w:rsidP="000156B4">
      <w:pPr>
        <w:pStyle w:val="ListParagraph"/>
        <w:numPr>
          <w:ilvl w:val="0"/>
          <w:numId w:val="7"/>
        </w:numPr>
        <w:spacing w:after="120" w:line="240" w:lineRule="exact"/>
        <w:ind w:left="1080" w:right="1210" w:firstLine="0"/>
        <w:jc w:val="both"/>
        <w:rPr>
          <w:lang w:val="en-GB"/>
        </w:rPr>
      </w:pPr>
      <w:r w:rsidRPr="00A2394E">
        <w:rPr>
          <w:lang w:val="en-GB"/>
        </w:rPr>
        <w:t xml:space="preserve">The </w:t>
      </w:r>
      <w:r w:rsidR="00DD3A7E" w:rsidRPr="00A2394E">
        <w:rPr>
          <w:lang w:val="en-GB"/>
        </w:rPr>
        <w:t>United Nations Sustainable Development Cooperation Framework</w:t>
      </w:r>
      <w:r w:rsidR="00EC3478" w:rsidRPr="00A2394E">
        <w:rPr>
          <w:lang w:val="en-GB"/>
        </w:rPr>
        <w:t>,</w:t>
      </w:r>
      <w:r w:rsidR="00DD3A7E" w:rsidRPr="0043669F">
        <w:rPr>
          <w:lang w:val="en-GB"/>
        </w:rPr>
        <w:t xml:space="preserve"> </w:t>
      </w:r>
      <w:r w:rsidRPr="00925AA6">
        <w:rPr>
          <w:lang w:val="en-GB"/>
        </w:rPr>
        <w:t xml:space="preserve">to which UNDP will </w:t>
      </w:r>
      <w:r w:rsidR="000E61D2" w:rsidRPr="00925AA6">
        <w:rPr>
          <w:lang w:val="en-GB"/>
        </w:rPr>
        <w:t>contribute</w:t>
      </w:r>
      <w:r w:rsidR="004830BB" w:rsidRPr="00925AA6">
        <w:rPr>
          <w:lang w:val="en-GB"/>
        </w:rPr>
        <w:t>,</w:t>
      </w:r>
      <w:r w:rsidRPr="00925AA6">
        <w:rPr>
          <w:lang w:val="en-GB"/>
        </w:rPr>
        <w:t xml:space="preserve"> places </w:t>
      </w:r>
      <w:r w:rsidR="00420821" w:rsidRPr="00925AA6">
        <w:rPr>
          <w:b/>
          <w:bCs/>
          <w:lang w:val="en-GB"/>
        </w:rPr>
        <w:t>people</w:t>
      </w:r>
      <w:r w:rsidR="00420821" w:rsidRPr="00925AA6">
        <w:rPr>
          <w:lang w:val="en-GB"/>
        </w:rPr>
        <w:t xml:space="preserve"> at the centre of </w:t>
      </w:r>
      <w:r w:rsidR="00343095" w:rsidRPr="00925AA6">
        <w:rPr>
          <w:b/>
          <w:bCs/>
          <w:i/>
          <w:iCs/>
          <w:lang w:val="en-GB"/>
        </w:rPr>
        <w:t>humanitarian, development and peace</w:t>
      </w:r>
      <w:r w:rsidR="00396CAF" w:rsidRPr="00925AA6">
        <w:rPr>
          <w:b/>
          <w:bCs/>
          <w:i/>
          <w:iCs/>
          <w:lang w:val="en-GB"/>
        </w:rPr>
        <w:t xml:space="preserve"> </w:t>
      </w:r>
      <w:r w:rsidR="00343095" w:rsidRPr="00845EB2">
        <w:rPr>
          <w:lang w:val="en-GB"/>
        </w:rPr>
        <w:t>efforts</w:t>
      </w:r>
      <w:r w:rsidR="00D55D54" w:rsidRPr="00845EB2">
        <w:rPr>
          <w:lang w:val="en-GB"/>
        </w:rPr>
        <w:t xml:space="preserve">, especially </w:t>
      </w:r>
      <w:r w:rsidR="00316993" w:rsidRPr="00845EB2">
        <w:rPr>
          <w:lang w:val="en-GB"/>
        </w:rPr>
        <w:t xml:space="preserve">those </w:t>
      </w:r>
      <w:r w:rsidR="00F53064" w:rsidRPr="00845EB2">
        <w:rPr>
          <w:lang w:val="en-GB"/>
        </w:rPr>
        <w:t>at</w:t>
      </w:r>
      <w:r w:rsidR="00316993" w:rsidRPr="00EC5843">
        <w:rPr>
          <w:lang w:val="en-GB"/>
        </w:rPr>
        <w:t xml:space="preserve"> h</w:t>
      </w:r>
      <w:r w:rsidR="000E6F26" w:rsidRPr="00EC5843">
        <w:rPr>
          <w:lang w:val="en-GB"/>
        </w:rPr>
        <w:t>ighest risk of being left behind due to the impact of conflict</w:t>
      </w:r>
      <w:r w:rsidR="00D224CA" w:rsidRPr="00EC5843">
        <w:rPr>
          <w:lang w:val="en-GB"/>
        </w:rPr>
        <w:t>. The</w:t>
      </w:r>
      <w:r w:rsidR="00F53064" w:rsidRPr="00EC5843">
        <w:rPr>
          <w:lang w:val="en-GB"/>
        </w:rPr>
        <w:t>y</w:t>
      </w:r>
      <w:r w:rsidR="00D224CA" w:rsidRPr="00444069">
        <w:rPr>
          <w:lang w:val="en-GB"/>
        </w:rPr>
        <w:t xml:space="preserve"> include </w:t>
      </w:r>
      <w:r w:rsidR="00F53064" w:rsidRPr="00444069">
        <w:rPr>
          <w:lang w:val="en-GB"/>
        </w:rPr>
        <w:t xml:space="preserve">4.3 million </w:t>
      </w:r>
      <w:r w:rsidR="00F85C2D" w:rsidRPr="00444069">
        <w:rPr>
          <w:lang w:val="en-GB"/>
        </w:rPr>
        <w:t xml:space="preserve">internally displaced </w:t>
      </w:r>
      <w:r w:rsidR="00F53064" w:rsidRPr="00444069">
        <w:rPr>
          <w:lang w:val="en-GB"/>
        </w:rPr>
        <w:t>persons</w:t>
      </w:r>
      <w:r w:rsidR="009B7269" w:rsidRPr="00444069">
        <w:rPr>
          <w:lang w:val="en-GB"/>
        </w:rPr>
        <w:t xml:space="preserve">, 73 per cent of whom are </w:t>
      </w:r>
      <w:r w:rsidR="009B7269" w:rsidRPr="00444069">
        <w:rPr>
          <w:i/>
          <w:iCs/>
          <w:lang w:val="en-GB"/>
        </w:rPr>
        <w:t>women and girls</w:t>
      </w:r>
      <w:r w:rsidR="009B7269" w:rsidRPr="00444069">
        <w:rPr>
          <w:lang w:val="en-GB"/>
        </w:rPr>
        <w:t xml:space="preserve"> </w:t>
      </w:r>
      <w:r w:rsidR="00FD4898" w:rsidRPr="00444069">
        <w:rPr>
          <w:lang w:val="en-GB"/>
        </w:rPr>
        <w:t xml:space="preserve">experiencing high rates of poverty and </w:t>
      </w:r>
      <w:r w:rsidR="00A21ADC" w:rsidRPr="00444069">
        <w:rPr>
          <w:lang w:val="en-GB"/>
        </w:rPr>
        <w:t xml:space="preserve">exclusion from </w:t>
      </w:r>
      <w:r w:rsidR="00FD4898" w:rsidRPr="00444069">
        <w:rPr>
          <w:lang w:val="en-GB"/>
        </w:rPr>
        <w:t>social and economic empowerment;</w:t>
      </w:r>
      <w:r w:rsidR="006C0BB5" w:rsidRPr="00444069">
        <w:rPr>
          <w:lang w:val="en-GB"/>
        </w:rPr>
        <w:t xml:space="preserve"> </w:t>
      </w:r>
      <w:r w:rsidR="006C0BB5" w:rsidRPr="00444069">
        <w:rPr>
          <w:i/>
          <w:iCs/>
          <w:lang w:val="en-GB"/>
        </w:rPr>
        <w:t>children</w:t>
      </w:r>
      <w:r w:rsidR="00225233" w:rsidRPr="00444069">
        <w:rPr>
          <w:lang w:val="en-GB"/>
        </w:rPr>
        <w:t>,</w:t>
      </w:r>
      <w:r w:rsidR="00E90A08" w:rsidRPr="00444069">
        <w:rPr>
          <w:lang w:val="en-GB"/>
        </w:rPr>
        <w:t xml:space="preserve"> </w:t>
      </w:r>
      <w:r w:rsidR="00F53064" w:rsidRPr="00444069">
        <w:rPr>
          <w:lang w:val="en-GB"/>
        </w:rPr>
        <w:t xml:space="preserve">who </w:t>
      </w:r>
      <w:r w:rsidR="00E90A08" w:rsidRPr="00444069">
        <w:rPr>
          <w:lang w:val="en-GB"/>
        </w:rPr>
        <w:t>constitut</w:t>
      </w:r>
      <w:r w:rsidR="00F53064" w:rsidRPr="00444069">
        <w:rPr>
          <w:lang w:val="en-GB"/>
        </w:rPr>
        <w:t>e</w:t>
      </w:r>
      <w:r w:rsidR="00E90A08" w:rsidRPr="00444069">
        <w:rPr>
          <w:lang w:val="en-GB"/>
        </w:rPr>
        <w:t xml:space="preserve"> </w:t>
      </w:r>
      <w:r w:rsidR="006C0BB5" w:rsidRPr="00444069">
        <w:rPr>
          <w:lang w:val="en-GB"/>
        </w:rPr>
        <w:t>60 p</w:t>
      </w:r>
      <w:r w:rsidR="00E90A08" w:rsidRPr="00444069">
        <w:rPr>
          <w:lang w:val="en-GB"/>
        </w:rPr>
        <w:t xml:space="preserve">er cent of </w:t>
      </w:r>
      <w:r w:rsidR="0092599A" w:rsidRPr="00444069">
        <w:rPr>
          <w:lang w:val="en-GB"/>
        </w:rPr>
        <w:t>wa</w:t>
      </w:r>
      <w:r w:rsidR="00596360" w:rsidRPr="00444069">
        <w:rPr>
          <w:lang w:val="en-GB"/>
        </w:rPr>
        <w:t>r</w:t>
      </w:r>
      <w:r w:rsidR="0092599A" w:rsidRPr="00444069">
        <w:rPr>
          <w:lang w:val="en-GB"/>
        </w:rPr>
        <w:t xml:space="preserve"> casualties</w:t>
      </w:r>
      <w:r w:rsidR="00F53064" w:rsidRPr="00444069">
        <w:rPr>
          <w:lang w:val="en-GB"/>
        </w:rPr>
        <w:t>;</w:t>
      </w:r>
      <w:r w:rsidR="000E61D2" w:rsidRPr="00444069">
        <w:rPr>
          <w:lang w:val="en-GB"/>
        </w:rPr>
        <w:t xml:space="preserve"> and</w:t>
      </w:r>
      <w:r w:rsidR="0092599A" w:rsidRPr="00444069">
        <w:rPr>
          <w:lang w:val="en-GB"/>
        </w:rPr>
        <w:t xml:space="preserve"> </w:t>
      </w:r>
      <w:r w:rsidR="00067907" w:rsidRPr="00444069">
        <w:rPr>
          <w:i/>
          <w:iCs/>
          <w:lang w:val="en-GB"/>
        </w:rPr>
        <w:t>youth</w:t>
      </w:r>
      <w:r w:rsidR="00067907" w:rsidRPr="00444069">
        <w:rPr>
          <w:lang w:val="en-GB"/>
        </w:rPr>
        <w:t xml:space="preserve">, over </w:t>
      </w:r>
      <w:r w:rsidR="0090713B" w:rsidRPr="00444069">
        <w:rPr>
          <w:lang w:val="en-GB"/>
        </w:rPr>
        <w:t>2</w:t>
      </w:r>
      <w:r w:rsidR="00D83975" w:rsidRPr="00444069">
        <w:rPr>
          <w:lang w:val="en-GB"/>
        </w:rPr>
        <w:t xml:space="preserve"> million</w:t>
      </w:r>
      <w:r w:rsidR="00067907" w:rsidRPr="00444069">
        <w:rPr>
          <w:lang w:val="en-GB"/>
        </w:rPr>
        <w:t xml:space="preserve"> </w:t>
      </w:r>
      <w:r w:rsidR="006B5FE9" w:rsidRPr="00444069">
        <w:rPr>
          <w:lang w:val="en-GB"/>
        </w:rPr>
        <w:t xml:space="preserve">of whom </w:t>
      </w:r>
      <w:r w:rsidR="00067907" w:rsidRPr="00444069">
        <w:rPr>
          <w:lang w:val="en-GB"/>
        </w:rPr>
        <w:t>are out of school</w:t>
      </w:r>
      <w:r w:rsidR="00596EC4" w:rsidRPr="00444069">
        <w:rPr>
          <w:lang w:val="en-GB"/>
        </w:rPr>
        <w:t>, lack economic opportunities</w:t>
      </w:r>
      <w:r w:rsidR="00067907" w:rsidRPr="00444069">
        <w:rPr>
          <w:lang w:val="en-GB"/>
        </w:rPr>
        <w:t xml:space="preserve"> </w:t>
      </w:r>
      <w:r w:rsidR="0090713B" w:rsidRPr="00444069">
        <w:rPr>
          <w:lang w:val="en-GB"/>
        </w:rPr>
        <w:t xml:space="preserve">and </w:t>
      </w:r>
      <w:r w:rsidR="00C52615">
        <w:rPr>
          <w:lang w:val="en-GB"/>
        </w:rPr>
        <w:t xml:space="preserve">are </w:t>
      </w:r>
      <w:r w:rsidR="001F50ED" w:rsidRPr="00444069">
        <w:rPr>
          <w:lang w:val="en-GB"/>
        </w:rPr>
        <w:t>forced</w:t>
      </w:r>
      <w:r w:rsidR="0090713B" w:rsidRPr="00444069">
        <w:rPr>
          <w:lang w:val="en-GB"/>
        </w:rPr>
        <w:t xml:space="preserve"> into negative </w:t>
      </w:r>
      <w:r w:rsidR="00225233" w:rsidRPr="00444069">
        <w:rPr>
          <w:lang w:val="en-GB"/>
        </w:rPr>
        <w:t>mechanisms</w:t>
      </w:r>
      <w:r w:rsidR="001719DA" w:rsidRPr="00444069">
        <w:rPr>
          <w:lang w:val="en-GB"/>
        </w:rPr>
        <w:t>;</w:t>
      </w:r>
      <w:r w:rsidR="00225233" w:rsidRPr="00444069">
        <w:rPr>
          <w:lang w:val="en-GB"/>
        </w:rPr>
        <w:t xml:space="preserve"> </w:t>
      </w:r>
      <w:r w:rsidR="00F53064" w:rsidRPr="00444069">
        <w:rPr>
          <w:lang w:val="en-GB"/>
        </w:rPr>
        <w:t xml:space="preserve">278,000 </w:t>
      </w:r>
      <w:r w:rsidR="003C11BE" w:rsidRPr="00444069">
        <w:rPr>
          <w:i/>
          <w:iCs/>
          <w:lang w:val="en-GB"/>
        </w:rPr>
        <w:t xml:space="preserve">refugees, asylum </w:t>
      </w:r>
      <w:r w:rsidR="001131CB" w:rsidRPr="004806F2">
        <w:rPr>
          <w:i/>
          <w:iCs/>
          <w:lang w:val="en-GB"/>
        </w:rPr>
        <w:t>seekers</w:t>
      </w:r>
      <w:r w:rsidR="003C11BE" w:rsidRPr="004806F2">
        <w:rPr>
          <w:i/>
          <w:iCs/>
          <w:lang w:val="en-GB"/>
        </w:rPr>
        <w:t xml:space="preserve"> and migrants</w:t>
      </w:r>
      <w:r w:rsidR="001131CB" w:rsidRPr="004806F2">
        <w:rPr>
          <w:lang w:val="en-GB"/>
        </w:rPr>
        <w:t xml:space="preserve">, </w:t>
      </w:r>
      <w:r w:rsidR="0088094E" w:rsidRPr="004806F2">
        <w:rPr>
          <w:lang w:val="en-GB"/>
        </w:rPr>
        <w:t xml:space="preserve">excluded from mainstream </w:t>
      </w:r>
      <w:r w:rsidR="009C6807" w:rsidRPr="004806F2">
        <w:rPr>
          <w:lang w:val="en-GB"/>
        </w:rPr>
        <w:t xml:space="preserve">economic activities and </w:t>
      </w:r>
      <w:r w:rsidR="004108EF" w:rsidRPr="004806F2">
        <w:rPr>
          <w:lang w:val="en-GB"/>
        </w:rPr>
        <w:t xml:space="preserve">basic </w:t>
      </w:r>
      <w:r w:rsidR="005419BB" w:rsidRPr="004806F2">
        <w:rPr>
          <w:lang w:val="en-GB"/>
        </w:rPr>
        <w:lastRenderedPageBreak/>
        <w:t>facilities</w:t>
      </w:r>
      <w:r w:rsidR="001719DA" w:rsidRPr="004806F2">
        <w:rPr>
          <w:lang w:val="en-GB"/>
        </w:rPr>
        <w:t xml:space="preserve">; </w:t>
      </w:r>
      <w:r w:rsidR="00F53064" w:rsidRPr="00DB3165">
        <w:rPr>
          <w:lang w:val="en-GB"/>
        </w:rPr>
        <w:t>4.5 million</w:t>
      </w:r>
      <w:r w:rsidR="00F53064" w:rsidRPr="00DB3165">
        <w:rPr>
          <w:i/>
          <w:iCs/>
          <w:lang w:val="en-GB"/>
        </w:rPr>
        <w:t xml:space="preserve"> </w:t>
      </w:r>
      <w:r w:rsidR="005C4D8F" w:rsidRPr="00DB3165">
        <w:rPr>
          <w:i/>
          <w:iCs/>
          <w:lang w:val="en-GB"/>
        </w:rPr>
        <w:t>persons with disabilities</w:t>
      </w:r>
      <w:r w:rsidR="009E43F4" w:rsidRPr="00DB3165">
        <w:rPr>
          <w:lang w:val="en-GB"/>
        </w:rPr>
        <w:t>; and</w:t>
      </w:r>
      <w:r w:rsidR="0011664B" w:rsidRPr="00C94D94">
        <w:rPr>
          <w:lang w:val="en-GB"/>
        </w:rPr>
        <w:t xml:space="preserve"> minorities</w:t>
      </w:r>
      <w:r w:rsidR="009E43F4" w:rsidRPr="009B4526">
        <w:rPr>
          <w:lang w:val="en-GB"/>
        </w:rPr>
        <w:t xml:space="preserve"> </w:t>
      </w:r>
      <w:r w:rsidR="0011664B" w:rsidRPr="009B4526">
        <w:rPr>
          <w:lang w:val="en-GB"/>
        </w:rPr>
        <w:t xml:space="preserve">(referred </w:t>
      </w:r>
      <w:r w:rsidR="0011664B" w:rsidRPr="00A2394E">
        <w:rPr>
          <w:lang w:val="en-GB"/>
        </w:rPr>
        <w:t xml:space="preserve">to as </w:t>
      </w:r>
      <w:r w:rsidR="009E43F4" w:rsidRPr="00A2394E">
        <w:rPr>
          <w:i/>
          <w:iCs/>
          <w:lang w:val="en-GB"/>
        </w:rPr>
        <w:t>Muhamasheen</w:t>
      </w:r>
      <w:r w:rsidR="0011664B" w:rsidRPr="00A2394E">
        <w:rPr>
          <w:i/>
          <w:iCs/>
          <w:lang w:val="en-GB"/>
        </w:rPr>
        <w:t>)</w:t>
      </w:r>
      <w:r w:rsidR="00927967" w:rsidRPr="00A2394E">
        <w:rPr>
          <w:lang w:val="en-GB"/>
        </w:rPr>
        <w:t>, who represent 10 per cent of the population</w:t>
      </w:r>
      <w:r w:rsidR="005419BB" w:rsidRPr="0043669F">
        <w:rPr>
          <w:lang w:val="en-GB"/>
        </w:rPr>
        <w:t xml:space="preserve"> and </w:t>
      </w:r>
      <w:r w:rsidR="00C52615">
        <w:rPr>
          <w:lang w:val="en-GB"/>
        </w:rPr>
        <w:t>may</w:t>
      </w:r>
      <w:r w:rsidR="005419BB" w:rsidRPr="00925AA6">
        <w:rPr>
          <w:lang w:val="en-GB"/>
        </w:rPr>
        <w:t xml:space="preserve"> face stigma, abuse and exclusion from education, social protection and employment</w:t>
      </w:r>
      <w:r w:rsidR="00927967" w:rsidRPr="007E770C">
        <w:rPr>
          <w:lang w:val="en-GB"/>
        </w:rPr>
        <w:t xml:space="preserve">. </w:t>
      </w:r>
    </w:p>
    <w:p w14:paraId="0F717160" w14:textId="33A0228B" w:rsidR="0016302D" w:rsidRPr="004806F2" w:rsidRDefault="0016302D" w:rsidP="00BF4120">
      <w:pPr>
        <w:pStyle w:val="ListParagraph"/>
        <w:numPr>
          <w:ilvl w:val="0"/>
          <w:numId w:val="7"/>
        </w:numPr>
        <w:spacing w:after="60"/>
        <w:ind w:left="1080" w:right="1210" w:firstLine="0"/>
        <w:jc w:val="both"/>
        <w:rPr>
          <w:lang w:val="en-GB"/>
        </w:rPr>
      </w:pPr>
      <w:r w:rsidRPr="00845EB2">
        <w:rPr>
          <w:lang w:val="en-GB"/>
        </w:rPr>
        <w:t xml:space="preserve">The </w:t>
      </w:r>
      <w:r w:rsidR="00D46762" w:rsidRPr="00BF4120">
        <w:rPr>
          <w:lang w:val="en-GB"/>
        </w:rPr>
        <w:t>United Nations Sustainable Development Cooperation Framework</w:t>
      </w:r>
      <w:r w:rsidRPr="00444069">
        <w:rPr>
          <w:lang w:val="en-GB"/>
        </w:rPr>
        <w:t xml:space="preserve"> pursues four outcomes through four priorities that </w:t>
      </w:r>
      <w:r w:rsidR="00F75BA9" w:rsidRPr="00444069">
        <w:rPr>
          <w:lang w:val="en-GB"/>
        </w:rPr>
        <w:t xml:space="preserve">align </w:t>
      </w:r>
      <w:r w:rsidRPr="00444069">
        <w:rPr>
          <w:lang w:val="en-GB"/>
        </w:rPr>
        <w:t xml:space="preserve">with </w:t>
      </w:r>
      <w:r w:rsidR="00C52615">
        <w:rPr>
          <w:lang w:val="en-GB"/>
        </w:rPr>
        <w:t xml:space="preserve">those of </w:t>
      </w:r>
      <w:r w:rsidRPr="00444069">
        <w:rPr>
          <w:lang w:val="en-GB"/>
        </w:rPr>
        <w:t xml:space="preserve">the </w:t>
      </w:r>
      <w:r w:rsidR="00D46762" w:rsidRPr="004806F2">
        <w:rPr>
          <w:lang w:val="en-GB"/>
        </w:rPr>
        <w:t xml:space="preserve">Sustainable Development Goals </w:t>
      </w:r>
      <w:r w:rsidR="00C52615">
        <w:rPr>
          <w:lang w:val="en-GB"/>
        </w:rPr>
        <w:t>(</w:t>
      </w:r>
      <w:r w:rsidR="00D46762" w:rsidRPr="004806F2">
        <w:rPr>
          <w:lang w:val="en-GB"/>
        </w:rPr>
        <w:t>‘</w:t>
      </w:r>
      <w:r w:rsidRPr="00BF4120">
        <w:rPr>
          <w:bCs/>
          <w:lang w:val="en-GB"/>
        </w:rPr>
        <w:t>planet, peace, prosperity</w:t>
      </w:r>
      <w:r w:rsidR="00FF213E" w:rsidRPr="00BF4120">
        <w:rPr>
          <w:bCs/>
          <w:lang w:val="en-GB"/>
        </w:rPr>
        <w:t>,</w:t>
      </w:r>
      <w:r w:rsidRPr="00BF4120">
        <w:rPr>
          <w:bCs/>
          <w:lang w:val="en-GB"/>
        </w:rPr>
        <w:t xml:space="preserve"> and people</w:t>
      </w:r>
      <w:r w:rsidR="00D46762" w:rsidRPr="00444069">
        <w:rPr>
          <w:bCs/>
          <w:lang w:val="en-GB"/>
        </w:rPr>
        <w:t>’</w:t>
      </w:r>
      <w:r w:rsidR="00C52615">
        <w:rPr>
          <w:bCs/>
          <w:lang w:val="en-GB"/>
        </w:rPr>
        <w:t>)</w:t>
      </w:r>
      <w:r w:rsidR="00880D54" w:rsidRPr="00BF4120">
        <w:rPr>
          <w:lang w:val="en-GB"/>
        </w:rPr>
        <w:t xml:space="preserve"> </w:t>
      </w:r>
      <w:r w:rsidR="00880D54" w:rsidRPr="00444069">
        <w:rPr>
          <w:lang w:val="en-GB"/>
        </w:rPr>
        <w:t>to improve lives and build resilience</w:t>
      </w:r>
      <w:r w:rsidR="002571A4" w:rsidRPr="00BF4120">
        <w:rPr>
          <w:lang w:val="en-GB"/>
        </w:rPr>
        <w:t xml:space="preserve"> </w:t>
      </w:r>
      <w:r w:rsidR="002571A4" w:rsidRPr="00444069">
        <w:rPr>
          <w:lang w:val="en-GB"/>
        </w:rPr>
        <w:t>that is equitable, inclusive, people-centred, gender-responsive and human rights-based</w:t>
      </w:r>
      <w:r w:rsidR="00423A1F" w:rsidRPr="004806F2">
        <w:rPr>
          <w:lang w:val="en-GB"/>
        </w:rPr>
        <w:t>:</w:t>
      </w:r>
    </w:p>
    <w:p w14:paraId="0E1717D1" w14:textId="2159F11C" w:rsidR="0016302D" w:rsidRPr="004806F2" w:rsidRDefault="0016302D" w:rsidP="00BF4120">
      <w:pPr>
        <w:pStyle w:val="ListParagraph"/>
        <w:numPr>
          <w:ilvl w:val="0"/>
          <w:numId w:val="3"/>
        </w:numPr>
        <w:spacing w:after="60"/>
        <w:ind w:right="1210"/>
        <w:jc w:val="both"/>
        <w:rPr>
          <w:lang w:val="en-GB"/>
        </w:rPr>
      </w:pPr>
      <w:r w:rsidRPr="004806F2">
        <w:rPr>
          <w:b/>
          <w:bCs/>
          <w:lang w:val="en-GB"/>
        </w:rPr>
        <w:t>Planet:</w:t>
      </w:r>
      <w:r w:rsidRPr="004806F2">
        <w:rPr>
          <w:lang w:val="en-GB"/>
        </w:rPr>
        <w:t xml:space="preserve"> increasing food security, creating livelihood options and job</w:t>
      </w:r>
      <w:r w:rsidR="00C52615">
        <w:rPr>
          <w:lang w:val="en-GB"/>
        </w:rPr>
        <w:t>s</w:t>
      </w:r>
      <w:r w:rsidR="001E103D" w:rsidRPr="004806F2">
        <w:rPr>
          <w:lang w:val="en-GB"/>
        </w:rPr>
        <w:t>;</w:t>
      </w:r>
    </w:p>
    <w:p w14:paraId="26F95949" w14:textId="12838502" w:rsidR="0016302D" w:rsidRPr="00DB3165" w:rsidRDefault="0016302D" w:rsidP="00BF4120">
      <w:pPr>
        <w:pStyle w:val="ListParagraph"/>
        <w:numPr>
          <w:ilvl w:val="0"/>
          <w:numId w:val="3"/>
        </w:numPr>
        <w:spacing w:after="60"/>
        <w:ind w:right="1210"/>
        <w:jc w:val="both"/>
        <w:rPr>
          <w:lang w:val="en-GB"/>
        </w:rPr>
      </w:pPr>
      <w:r w:rsidRPr="00DB3165">
        <w:rPr>
          <w:b/>
          <w:bCs/>
          <w:lang w:val="en-GB"/>
        </w:rPr>
        <w:t>Peace:</w:t>
      </w:r>
      <w:r w:rsidRPr="00DB3165">
        <w:rPr>
          <w:lang w:val="en-GB"/>
        </w:rPr>
        <w:t xml:space="preserve"> Preserving inclusive, </w:t>
      </w:r>
      <w:r w:rsidR="009E069F" w:rsidRPr="00DB3165">
        <w:rPr>
          <w:lang w:val="en-GB"/>
        </w:rPr>
        <w:t>effective,</w:t>
      </w:r>
      <w:r w:rsidRPr="00DB3165">
        <w:rPr>
          <w:lang w:val="en-GB"/>
        </w:rPr>
        <w:t xml:space="preserve"> and efficient national and local development and </w:t>
      </w:r>
      <w:r w:rsidR="00C52615" w:rsidRPr="00DB3165">
        <w:rPr>
          <w:lang w:val="en-GB"/>
        </w:rPr>
        <w:t xml:space="preserve">strengthening </w:t>
      </w:r>
      <w:r w:rsidRPr="00DB3165">
        <w:rPr>
          <w:lang w:val="en-GB"/>
        </w:rPr>
        <w:t>systems</w:t>
      </w:r>
      <w:r w:rsidR="001E103D" w:rsidRPr="00DB3165">
        <w:rPr>
          <w:lang w:val="en-GB"/>
        </w:rPr>
        <w:t>;</w:t>
      </w:r>
    </w:p>
    <w:p w14:paraId="46E30D60" w14:textId="62CCD125" w:rsidR="0016302D" w:rsidRPr="00925AA6" w:rsidRDefault="0016302D" w:rsidP="00BF4120">
      <w:pPr>
        <w:pStyle w:val="ListParagraph"/>
        <w:numPr>
          <w:ilvl w:val="0"/>
          <w:numId w:val="3"/>
        </w:numPr>
        <w:spacing w:after="60"/>
        <w:ind w:right="1210"/>
        <w:jc w:val="both"/>
        <w:rPr>
          <w:lang w:val="en-GB"/>
        </w:rPr>
      </w:pPr>
      <w:r w:rsidRPr="00925AA6">
        <w:rPr>
          <w:b/>
          <w:bCs/>
          <w:lang w:val="en-GB"/>
        </w:rPr>
        <w:t>Prosperity:</w:t>
      </w:r>
      <w:r w:rsidRPr="00925AA6">
        <w:rPr>
          <w:lang w:val="en-GB"/>
        </w:rPr>
        <w:t xml:space="preserve"> Driving inclusive economic structural transformation</w:t>
      </w:r>
      <w:r w:rsidR="001E103D" w:rsidRPr="00925AA6">
        <w:rPr>
          <w:lang w:val="en-GB"/>
        </w:rPr>
        <w:t>; and</w:t>
      </w:r>
    </w:p>
    <w:p w14:paraId="0F84FD23" w14:textId="385C18F8" w:rsidR="0016302D" w:rsidRPr="00845EB2" w:rsidRDefault="0016302D" w:rsidP="00BF4120">
      <w:pPr>
        <w:pStyle w:val="ListParagraph"/>
        <w:numPr>
          <w:ilvl w:val="0"/>
          <w:numId w:val="3"/>
        </w:numPr>
        <w:spacing w:after="120"/>
        <w:ind w:left="1987" w:right="1210"/>
        <w:jc w:val="both"/>
        <w:rPr>
          <w:lang w:val="en-GB"/>
        </w:rPr>
      </w:pPr>
      <w:r w:rsidRPr="007E770C">
        <w:rPr>
          <w:b/>
          <w:bCs/>
          <w:lang w:val="en-GB"/>
        </w:rPr>
        <w:t>People:</w:t>
      </w:r>
      <w:r w:rsidRPr="00845EB2">
        <w:rPr>
          <w:lang w:val="en-GB"/>
        </w:rPr>
        <w:t xml:space="preserve"> Building social services, social protection, and inclusion for all</w:t>
      </w:r>
      <w:r w:rsidR="001E103D" w:rsidRPr="00845EB2">
        <w:rPr>
          <w:lang w:val="en-GB"/>
        </w:rPr>
        <w:t>.</w:t>
      </w:r>
    </w:p>
    <w:p w14:paraId="1C7262B8" w14:textId="299B4558" w:rsidR="0016302D" w:rsidRPr="00444069" w:rsidRDefault="00ED283C" w:rsidP="000156B4">
      <w:pPr>
        <w:pStyle w:val="ListParagraph"/>
        <w:numPr>
          <w:ilvl w:val="0"/>
          <w:numId w:val="7"/>
        </w:numPr>
        <w:spacing w:after="120" w:line="240" w:lineRule="exact"/>
        <w:ind w:left="1080" w:right="1210" w:firstLine="0"/>
        <w:jc w:val="both"/>
        <w:rPr>
          <w:lang w:val="en-GB"/>
        </w:rPr>
      </w:pPr>
      <w:r w:rsidRPr="00845EB2">
        <w:rPr>
          <w:lang w:val="en-GB"/>
        </w:rPr>
        <w:t xml:space="preserve">The </w:t>
      </w:r>
      <w:r w:rsidR="00EC3478" w:rsidRPr="00EC5843">
        <w:rPr>
          <w:lang w:val="en-GB"/>
        </w:rPr>
        <w:t xml:space="preserve">Framework </w:t>
      </w:r>
      <w:r w:rsidR="00F17DF4" w:rsidRPr="00EC5843">
        <w:rPr>
          <w:lang w:val="en-GB"/>
        </w:rPr>
        <w:t xml:space="preserve">focuses on </w:t>
      </w:r>
      <w:r w:rsidR="001615FE" w:rsidRPr="00EC5843">
        <w:rPr>
          <w:lang w:val="en-GB"/>
        </w:rPr>
        <w:t>operationali</w:t>
      </w:r>
      <w:r w:rsidR="00AD383B" w:rsidRPr="00444069">
        <w:rPr>
          <w:lang w:val="en-GB"/>
        </w:rPr>
        <w:t>z</w:t>
      </w:r>
      <w:r w:rsidR="00F17DF4" w:rsidRPr="00444069">
        <w:rPr>
          <w:lang w:val="en-GB"/>
        </w:rPr>
        <w:t xml:space="preserve">ing </w:t>
      </w:r>
      <w:r w:rsidR="001615FE" w:rsidRPr="00444069">
        <w:rPr>
          <w:lang w:val="en-GB"/>
        </w:rPr>
        <w:t xml:space="preserve">the </w:t>
      </w:r>
      <w:r w:rsidR="00F53064" w:rsidRPr="00BF4120">
        <w:rPr>
          <w:bCs/>
          <w:iCs/>
          <w:lang w:val="en-GB"/>
        </w:rPr>
        <w:t>humanitarian, development and peace</w:t>
      </w:r>
      <w:r w:rsidR="001615FE" w:rsidRPr="00444069">
        <w:rPr>
          <w:lang w:val="en-GB"/>
        </w:rPr>
        <w:t xml:space="preserve"> nexus to enable human development</w:t>
      </w:r>
      <w:r w:rsidR="00863370" w:rsidRPr="004806F2">
        <w:rPr>
          <w:lang w:val="en-GB"/>
        </w:rPr>
        <w:t>.</w:t>
      </w:r>
      <w:r w:rsidR="007C7D40" w:rsidRPr="004806F2">
        <w:rPr>
          <w:lang w:val="en-GB"/>
        </w:rPr>
        <w:t xml:space="preserve"> </w:t>
      </w:r>
      <w:r w:rsidR="0016302D" w:rsidRPr="004806F2">
        <w:rPr>
          <w:lang w:val="en-GB"/>
        </w:rPr>
        <w:t xml:space="preserve">UNDP </w:t>
      </w:r>
      <w:r w:rsidR="00FC0FBC" w:rsidRPr="004806F2">
        <w:rPr>
          <w:lang w:val="en-GB"/>
        </w:rPr>
        <w:t xml:space="preserve">will support the United Nations system in achieving the </w:t>
      </w:r>
      <w:r w:rsidR="00F17DF4" w:rsidRPr="004806F2">
        <w:rPr>
          <w:lang w:val="en-GB"/>
        </w:rPr>
        <w:t>priorities</w:t>
      </w:r>
      <w:r w:rsidR="002874FB" w:rsidRPr="004806F2">
        <w:rPr>
          <w:lang w:val="en-GB"/>
        </w:rPr>
        <w:t xml:space="preserve"> of</w:t>
      </w:r>
      <w:r w:rsidR="00FC0FBC" w:rsidRPr="004806F2">
        <w:rPr>
          <w:lang w:val="en-GB"/>
        </w:rPr>
        <w:t xml:space="preserve"> </w:t>
      </w:r>
      <w:r w:rsidR="00EC3478" w:rsidRPr="00DB3165">
        <w:rPr>
          <w:lang w:val="en-GB"/>
        </w:rPr>
        <w:t xml:space="preserve">the Framework </w:t>
      </w:r>
      <w:r w:rsidR="004D3A25" w:rsidRPr="00DB3165">
        <w:rPr>
          <w:lang w:val="en-GB"/>
        </w:rPr>
        <w:t>through its integrator role</w:t>
      </w:r>
      <w:r w:rsidR="00396CAF" w:rsidRPr="00DB3165">
        <w:rPr>
          <w:lang w:val="en-GB"/>
        </w:rPr>
        <w:t>, using a two</w:t>
      </w:r>
      <w:r w:rsidR="00752804" w:rsidRPr="00DB3165">
        <w:rPr>
          <w:lang w:val="en-GB"/>
        </w:rPr>
        <w:t>-</w:t>
      </w:r>
      <w:r w:rsidR="00396CAF" w:rsidRPr="00DB3165">
        <w:rPr>
          <w:lang w:val="en-GB"/>
        </w:rPr>
        <w:t xml:space="preserve">pronged </w:t>
      </w:r>
      <w:r w:rsidR="00752804" w:rsidRPr="00925AA6">
        <w:rPr>
          <w:lang w:val="en-GB"/>
        </w:rPr>
        <w:t>approach</w:t>
      </w:r>
      <w:r w:rsidR="004D3A25" w:rsidRPr="00925AA6">
        <w:rPr>
          <w:lang w:val="en-GB"/>
        </w:rPr>
        <w:t xml:space="preserve"> </w:t>
      </w:r>
      <w:r w:rsidR="00752804" w:rsidRPr="00925AA6">
        <w:rPr>
          <w:lang w:val="en-GB"/>
        </w:rPr>
        <w:t xml:space="preserve">centred on </w:t>
      </w:r>
      <w:r w:rsidR="00615DED" w:rsidRPr="00925AA6">
        <w:rPr>
          <w:lang w:val="en-GB"/>
        </w:rPr>
        <w:t xml:space="preserve">building </w:t>
      </w:r>
      <w:r w:rsidR="00D87B10" w:rsidRPr="00925AA6">
        <w:rPr>
          <w:lang w:val="en-GB"/>
        </w:rPr>
        <w:t xml:space="preserve">the resilience of </w:t>
      </w:r>
      <w:r w:rsidR="002B59EF" w:rsidRPr="007E770C">
        <w:rPr>
          <w:b/>
          <w:bCs/>
          <w:lang w:val="en-GB"/>
        </w:rPr>
        <w:t xml:space="preserve">people and </w:t>
      </w:r>
      <w:r w:rsidR="002063A6" w:rsidRPr="00845EB2">
        <w:rPr>
          <w:b/>
          <w:bCs/>
          <w:lang w:val="en-GB"/>
        </w:rPr>
        <w:t>institutions</w:t>
      </w:r>
      <w:r w:rsidR="00EA18E1" w:rsidRPr="00845EB2">
        <w:rPr>
          <w:lang w:val="en-GB"/>
        </w:rPr>
        <w:t xml:space="preserve">. </w:t>
      </w:r>
      <w:r w:rsidR="00F745B7" w:rsidRPr="00845EB2">
        <w:rPr>
          <w:lang w:val="en-GB"/>
        </w:rPr>
        <w:t>These two</w:t>
      </w:r>
      <w:r w:rsidR="00CD6B82" w:rsidRPr="00845EB2">
        <w:rPr>
          <w:lang w:val="en-GB"/>
        </w:rPr>
        <w:t xml:space="preserve"> integrated and mutually</w:t>
      </w:r>
      <w:r w:rsidR="00CD6B82" w:rsidRPr="00EC5843">
        <w:rPr>
          <w:lang w:val="en-GB"/>
        </w:rPr>
        <w:t xml:space="preserve"> reinforcing prong</w:t>
      </w:r>
      <w:r w:rsidR="00C93A3C" w:rsidRPr="00EC5843">
        <w:rPr>
          <w:lang w:val="en-GB"/>
        </w:rPr>
        <w:t xml:space="preserve">s have been identified based on evaluative </w:t>
      </w:r>
      <w:r w:rsidR="00134E11" w:rsidRPr="00EC5843">
        <w:rPr>
          <w:lang w:val="en-GB"/>
        </w:rPr>
        <w:t xml:space="preserve">feedback on </w:t>
      </w:r>
      <w:r w:rsidR="00C93A3C" w:rsidRPr="00EC5843">
        <w:rPr>
          <w:lang w:val="en-GB"/>
        </w:rPr>
        <w:t xml:space="preserve">UNDP </w:t>
      </w:r>
      <w:r w:rsidR="009227AD" w:rsidRPr="00EC5843">
        <w:rPr>
          <w:lang w:val="en-GB"/>
        </w:rPr>
        <w:t>experiences in Yemen</w:t>
      </w:r>
      <w:r w:rsidR="00AD383B" w:rsidRPr="00444069">
        <w:rPr>
          <w:lang w:val="en-GB"/>
        </w:rPr>
        <w:t>;</w:t>
      </w:r>
      <w:r w:rsidR="004F431E" w:rsidRPr="00444069">
        <w:rPr>
          <w:rStyle w:val="FootnoteReference"/>
          <w:lang w:val="en-GB"/>
        </w:rPr>
        <w:footnoteReference w:id="19"/>
      </w:r>
      <w:r w:rsidR="002F6011" w:rsidRPr="00444069">
        <w:rPr>
          <w:lang w:val="en-GB"/>
        </w:rPr>
        <w:t xml:space="preserve"> the efficac</w:t>
      </w:r>
      <w:r w:rsidR="00AD383B" w:rsidRPr="00444069">
        <w:rPr>
          <w:lang w:val="en-GB"/>
        </w:rPr>
        <w:t>y</w:t>
      </w:r>
      <w:r w:rsidR="002F6011" w:rsidRPr="004806F2">
        <w:rPr>
          <w:lang w:val="en-GB"/>
        </w:rPr>
        <w:t xml:space="preserve"> of coherent and concurrent efforts across humanitarian and development domains </w:t>
      </w:r>
      <w:r w:rsidR="00713B7F" w:rsidRPr="004806F2">
        <w:rPr>
          <w:lang w:val="en-GB"/>
        </w:rPr>
        <w:t xml:space="preserve">in </w:t>
      </w:r>
      <w:r w:rsidR="00F038CA" w:rsidRPr="004806F2">
        <w:rPr>
          <w:lang w:val="en-GB"/>
        </w:rPr>
        <w:t>reducing</w:t>
      </w:r>
      <w:r w:rsidR="00AA5867" w:rsidRPr="004806F2">
        <w:rPr>
          <w:lang w:val="en-GB"/>
        </w:rPr>
        <w:t xml:space="preserve"> vulnerabilities</w:t>
      </w:r>
      <w:r w:rsidR="00C52615">
        <w:rPr>
          <w:lang w:val="en-GB"/>
        </w:rPr>
        <w:t>,</w:t>
      </w:r>
      <w:r w:rsidR="00A51649" w:rsidRPr="004806F2">
        <w:rPr>
          <w:lang w:val="en-GB"/>
        </w:rPr>
        <w:t xml:space="preserve"> </w:t>
      </w:r>
      <w:r w:rsidR="00077A62" w:rsidRPr="004806F2">
        <w:rPr>
          <w:lang w:val="en-GB"/>
        </w:rPr>
        <w:t xml:space="preserve">enabling </w:t>
      </w:r>
      <w:r w:rsidR="00FB0CD6" w:rsidRPr="00DB3165">
        <w:rPr>
          <w:lang w:val="en-GB"/>
        </w:rPr>
        <w:t>tr</w:t>
      </w:r>
      <w:r w:rsidR="00B34D3B" w:rsidRPr="00DB3165">
        <w:rPr>
          <w:lang w:val="en-GB"/>
        </w:rPr>
        <w:t>ansitioning to recovery and development</w:t>
      </w:r>
      <w:r w:rsidR="00AD383B" w:rsidRPr="00DB3165">
        <w:rPr>
          <w:lang w:val="en-GB"/>
        </w:rPr>
        <w:t>;</w:t>
      </w:r>
      <w:r w:rsidR="002D1A44" w:rsidRPr="00444069">
        <w:rPr>
          <w:rStyle w:val="FootnoteReference"/>
          <w:lang w:val="en-GB"/>
        </w:rPr>
        <w:footnoteReference w:id="20"/>
      </w:r>
      <w:r w:rsidR="008416B3" w:rsidRPr="00444069">
        <w:rPr>
          <w:lang w:val="en-GB"/>
        </w:rPr>
        <w:t xml:space="preserve"> and </w:t>
      </w:r>
      <w:r w:rsidR="00AD383B" w:rsidRPr="00444069">
        <w:rPr>
          <w:lang w:val="en-GB"/>
        </w:rPr>
        <w:t>the</w:t>
      </w:r>
      <w:r w:rsidR="008416B3" w:rsidRPr="00444069">
        <w:rPr>
          <w:lang w:val="en-GB"/>
        </w:rPr>
        <w:t xml:space="preserve"> realization that humanitarian aid </w:t>
      </w:r>
      <w:r w:rsidR="00C52615">
        <w:rPr>
          <w:lang w:val="en-GB"/>
        </w:rPr>
        <w:t>alone</w:t>
      </w:r>
      <w:r w:rsidR="008416B3" w:rsidRPr="00444069">
        <w:rPr>
          <w:lang w:val="en-GB"/>
        </w:rPr>
        <w:t xml:space="preserve"> is not sufficient to address the </w:t>
      </w:r>
      <w:r w:rsidR="00AD383B" w:rsidRPr="00444069">
        <w:rPr>
          <w:lang w:val="en-GB"/>
        </w:rPr>
        <w:t>increas</w:t>
      </w:r>
      <w:r w:rsidR="00AD383B" w:rsidRPr="004806F2">
        <w:rPr>
          <w:lang w:val="en-GB"/>
        </w:rPr>
        <w:t xml:space="preserve">ing </w:t>
      </w:r>
      <w:r w:rsidR="008416B3" w:rsidRPr="004806F2">
        <w:rPr>
          <w:lang w:val="en-GB"/>
        </w:rPr>
        <w:t>vulnerability of Yemenis, driven by the conflict and exacerbated by development and governance deficits</w:t>
      </w:r>
      <w:r w:rsidR="00AD383B" w:rsidRPr="004806F2">
        <w:rPr>
          <w:lang w:val="en-GB"/>
        </w:rPr>
        <w:t>.</w:t>
      </w:r>
      <w:r w:rsidR="00043CA0" w:rsidRPr="00444069">
        <w:rPr>
          <w:rStyle w:val="FootnoteReference"/>
          <w:lang w:val="en-GB"/>
        </w:rPr>
        <w:footnoteReference w:id="21"/>
      </w:r>
    </w:p>
    <w:p w14:paraId="6B4AC624" w14:textId="44DEEB56" w:rsidR="00EB7084" w:rsidRPr="00444069" w:rsidRDefault="00957E73" w:rsidP="000156B4">
      <w:pPr>
        <w:pStyle w:val="ListParagraph"/>
        <w:numPr>
          <w:ilvl w:val="0"/>
          <w:numId w:val="7"/>
        </w:numPr>
        <w:spacing w:after="120" w:line="240" w:lineRule="exact"/>
        <w:ind w:left="1080" w:right="1210" w:firstLine="0"/>
        <w:jc w:val="both"/>
        <w:rPr>
          <w:lang w:val="en-GB"/>
        </w:rPr>
      </w:pPr>
      <w:r w:rsidRPr="00444069">
        <w:rPr>
          <w:lang w:val="en-GB"/>
        </w:rPr>
        <w:t>The</w:t>
      </w:r>
      <w:r w:rsidR="00BF4120" w:rsidRPr="00BF4120">
        <w:rPr>
          <w:lang w:val="en-GB"/>
        </w:rPr>
        <w:t xml:space="preserve"> </w:t>
      </w:r>
      <w:r w:rsidR="00BF4120" w:rsidRPr="00444069">
        <w:rPr>
          <w:lang w:val="en-GB"/>
        </w:rPr>
        <w:t xml:space="preserve">independent country programme evaluation noted that the </w:t>
      </w:r>
      <w:r w:rsidRPr="00444069">
        <w:rPr>
          <w:lang w:val="en-GB"/>
        </w:rPr>
        <w:t>programme grew six-fold since 2016,</w:t>
      </w:r>
      <w:r w:rsidR="00C52615" w:rsidRPr="00444069">
        <w:rPr>
          <w:rStyle w:val="FootnoteReference"/>
          <w:lang w:val="en-GB"/>
        </w:rPr>
        <w:footnoteReference w:id="22"/>
      </w:r>
      <w:r w:rsidRPr="00444069">
        <w:rPr>
          <w:lang w:val="en-GB"/>
        </w:rPr>
        <w:t xml:space="preserve"> largely </w:t>
      </w:r>
      <w:r w:rsidR="009962D3" w:rsidRPr="00444069">
        <w:rPr>
          <w:lang w:val="en-GB"/>
        </w:rPr>
        <w:t xml:space="preserve">due </w:t>
      </w:r>
      <w:r w:rsidRPr="00444069">
        <w:rPr>
          <w:lang w:val="en-GB"/>
        </w:rPr>
        <w:t xml:space="preserve">to </w:t>
      </w:r>
      <w:r w:rsidR="00AD383B" w:rsidRPr="004806F2">
        <w:rPr>
          <w:lang w:val="en-GB"/>
        </w:rPr>
        <w:t>the</w:t>
      </w:r>
      <w:r w:rsidRPr="004806F2">
        <w:rPr>
          <w:lang w:val="en-GB"/>
        </w:rPr>
        <w:t xml:space="preserve"> ability </w:t>
      </w:r>
      <w:r w:rsidR="00AD383B" w:rsidRPr="004806F2">
        <w:rPr>
          <w:lang w:val="en-GB"/>
        </w:rPr>
        <w:t xml:space="preserve">of UNDP </w:t>
      </w:r>
      <w:r w:rsidRPr="004806F2">
        <w:rPr>
          <w:lang w:val="en-GB"/>
        </w:rPr>
        <w:t xml:space="preserve">to identify </w:t>
      </w:r>
      <w:r w:rsidR="00DA7F77" w:rsidRPr="004806F2">
        <w:rPr>
          <w:lang w:val="en-GB"/>
        </w:rPr>
        <w:t xml:space="preserve">and </w:t>
      </w:r>
      <w:r w:rsidR="005B2DAF" w:rsidRPr="004806F2">
        <w:rPr>
          <w:lang w:val="en-GB"/>
        </w:rPr>
        <w:t>link immediate humanitarian assistance with medium</w:t>
      </w:r>
      <w:r w:rsidR="00AD383B" w:rsidRPr="00DB3165">
        <w:rPr>
          <w:lang w:val="en-GB"/>
        </w:rPr>
        <w:t>-</w:t>
      </w:r>
      <w:r w:rsidR="005B2DAF" w:rsidRPr="00DB3165">
        <w:rPr>
          <w:lang w:val="en-GB"/>
        </w:rPr>
        <w:t xml:space="preserve"> to longer-term development and peacebuilding interventions, increasing resilience, dignity, self-sufficiency, and autonomy. </w:t>
      </w:r>
      <w:r w:rsidR="00EB7084" w:rsidRPr="00DB3165">
        <w:rPr>
          <w:lang w:val="en-GB"/>
        </w:rPr>
        <w:t>UNDP</w:t>
      </w:r>
      <w:r w:rsidR="006841E6">
        <w:rPr>
          <w:lang w:val="en-GB"/>
        </w:rPr>
        <w:t xml:space="preserve"> </w:t>
      </w:r>
      <w:r w:rsidR="00EB7084" w:rsidRPr="00DB3165">
        <w:rPr>
          <w:b/>
          <w:bCs/>
          <w:lang w:val="en-GB"/>
        </w:rPr>
        <w:t>operationali</w:t>
      </w:r>
      <w:r w:rsidR="00DB41DC" w:rsidRPr="00DB3165">
        <w:rPr>
          <w:b/>
          <w:bCs/>
          <w:lang w:val="en-GB"/>
        </w:rPr>
        <w:t>z</w:t>
      </w:r>
      <w:r w:rsidR="00EB7084" w:rsidRPr="00DB3165">
        <w:rPr>
          <w:b/>
          <w:bCs/>
          <w:lang w:val="en-GB"/>
        </w:rPr>
        <w:t>e</w:t>
      </w:r>
      <w:r w:rsidR="006F122E" w:rsidRPr="00C94D94">
        <w:rPr>
          <w:b/>
          <w:bCs/>
          <w:lang w:val="en-GB"/>
        </w:rPr>
        <w:t>s</w:t>
      </w:r>
      <w:r w:rsidR="00EB7084" w:rsidRPr="009B4526">
        <w:rPr>
          <w:b/>
          <w:bCs/>
          <w:lang w:val="en-GB"/>
        </w:rPr>
        <w:t xml:space="preserve"> </w:t>
      </w:r>
      <w:r w:rsidR="00EB7084" w:rsidRPr="00BF4120">
        <w:rPr>
          <w:bCs/>
          <w:lang w:val="en-GB"/>
        </w:rPr>
        <w:t xml:space="preserve">the </w:t>
      </w:r>
      <w:r w:rsidR="00F53064" w:rsidRPr="00444069">
        <w:rPr>
          <w:bCs/>
          <w:iCs/>
          <w:lang w:val="en-GB"/>
        </w:rPr>
        <w:t>humanitarian, development and peace</w:t>
      </w:r>
      <w:r w:rsidR="00EB7084" w:rsidRPr="00444069">
        <w:rPr>
          <w:lang w:val="en-GB"/>
        </w:rPr>
        <w:t xml:space="preserve"> nexus by</w:t>
      </w:r>
      <w:r w:rsidR="00DB41DC" w:rsidRPr="00444069">
        <w:rPr>
          <w:lang w:val="en-GB"/>
        </w:rPr>
        <w:t>:</w:t>
      </w:r>
      <w:r w:rsidR="00A56922" w:rsidRPr="004806F2">
        <w:rPr>
          <w:lang w:val="en-GB"/>
        </w:rPr>
        <w:t xml:space="preserve"> b</w:t>
      </w:r>
      <w:r w:rsidR="00EB7084" w:rsidRPr="004806F2">
        <w:rPr>
          <w:lang w:val="en-GB"/>
        </w:rPr>
        <w:t>ridging humanitarian action with stabili</w:t>
      </w:r>
      <w:r w:rsidR="00DB41DC" w:rsidRPr="004806F2">
        <w:rPr>
          <w:lang w:val="en-GB"/>
        </w:rPr>
        <w:t>z</w:t>
      </w:r>
      <w:r w:rsidR="00EB7084" w:rsidRPr="004806F2">
        <w:rPr>
          <w:lang w:val="en-GB"/>
        </w:rPr>
        <w:t xml:space="preserve">ation, recovery, and peacebuilding </w:t>
      </w:r>
      <w:r w:rsidR="009C7C86" w:rsidRPr="00DB3165">
        <w:rPr>
          <w:lang w:val="en-GB"/>
        </w:rPr>
        <w:t>programming</w:t>
      </w:r>
      <w:r w:rsidR="00A56922" w:rsidRPr="00DB3165">
        <w:rPr>
          <w:lang w:val="en-GB"/>
        </w:rPr>
        <w:t>; p</w:t>
      </w:r>
      <w:r w:rsidR="00EB7084" w:rsidRPr="00DB3165">
        <w:rPr>
          <w:lang w:val="en-GB"/>
        </w:rPr>
        <w:t xml:space="preserve">utting subnational actors in the lead at early </w:t>
      </w:r>
      <w:r w:rsidR="00B613F8" w:rsidRPr="00DB3165">
        <w:rPr>
          <w:lang w:val="en-GB"/>
        </w:rPr>
        <w:t xml:space="preserve">programme </w:t>
      </w:r>
      <w:r w:rsidR="00EB7084" w:rsidRPr="00DB3165">
        <w:rPr>
          <w:lang w:val="en-GB"/>
        </w:rPr>
        <w:t>stages</w:t>
      </w:r>
      <w:r w:rsidR="00F01AB2" w:rsidRPr="00DB3165">
        <w:rPr>
          <w:lang w:val="en-GB"/>
        </w:rPr>
        <w:t>; c</w:t>
      </w:r>
      <w:r w:rsidR="009C7C86" w:rsidRPr="00DB3165">
        <w:rPr>
          <w:lang w:val="en-GB"/>
        </w:rPr>
        <w:t>ontributing</w:t>
      </w:r>
      <w:r w:rsidR="00EB7084" w:rsidRPr="00DB3165">
        <w:rPr>
          <w:lang w:val="en-GB"/>
        </w:rPr>
        <w:t xml:space="preserve"> to</w:t>
      </w:r>
      <w:r w:rsidR="002F015A" w:rsidRPr="00C94D94">
        <w:rPr>
          <w:lang w:val="en-GB"/>
        </w:rPr>
        <w:t xml:space="preserve"> </w:t>
      </w:r>
      <w:r w:rsidR="00DB41DC" w:rsidRPr="009B4526">
        <w:rPr>
          <w:lang w:val="en-GB"/>
        </w:rPr>
        <w:t xml:space="preserve">local peace agreements brokered by </w:t>
      </w:r>
      <w:r w:rsidR="00BD43AF" w:rsidRPr="00925AA6">
        <w:rPr>
          <w:lang w:val="en-GB"/>
        </w:rPr>
        <w:t xml:space="preserve">the Office of the Special Envoy of the Secretary-General for Yemen </w:t>
      </w:r>
      <w:r w:rsidR="00672681" w:rsidRPr="00925AA6">
        <w:rPr>
          <w:lang w:val="en-GB"/>
        </w:rPr>
        <w:t xml:space="preserve">and </w:t>
      </w:r>
      <w:r w:rsidR="009C7C86" w:rsidRPr="007E770C">
        <w:rPr>
          <w:lang w:val="en-GB"/>
        </w:rPr>
        <w:t>UNMHA</w:t>
      </w:r>
      <w:r w:rsidR="00A56922" w:rsidRPr="00845EB2">
        <w:rPr>
          <w:lang w:val="en-GB"/>
        </w:rPr>
        <w:t>; s</w:t>
      </w:r>
      <w:r w:rsidR="00E62EA9" w:rsidRPr="00845EB2">
        <w:rPr>
          <w:lang w:val="en-GB"/>
        </w:rPr>
        <w:t xml:space="preserve">upporting local partners and institutions to plan and implement </w:t>
      </w:r>
      <w:r w:rsidR="00BF4120" w:rsidRPr="00EC5843">
        <w:rPr>
          <w:lang w:val="en-GB"/>
        </w:rPr>
        <w:t xml:space="preserve">area-based </w:t>
      </w:r>
      <w:r w:rsidR="00D03A4E" w:rsidRPr="00EC5843">
        <w:rPr>
          <w:lang w:val="en-GB"/>
        </w:rPr>
        <w:t>programmes</w:t>
      </w:r>
      <w:r w:rsidR="00A56922" w:rsidRPr="00EC5843">
        <w:rPr>
          <w:lang w:val="en-GB"/>
        </w:rPr>
        <w:t>; i</w:t>
      </w:r>
      <w:r w:rsidR="009C7C86" w:rsidRPr="00EC5843">
        <w:rPr>
          <w:lang w:val="en-GB"/>
        </w:rPr>
        <w:t xml:space="preserve">nvesting in local conflict and political economy analysis and </w:t>
      </w:r>
      <w:r w:rsidR="009C7C86" w:rsidRPr="00444069">
        <w:rPr>
          <w:lang w:val="en-GB"/>
        </w:rPr>
        <w:t>integrating conflict sensitivity in</w:t>
      </w:r>
      <w:r w:rsidR="00DB41DC" w:rsidRPr="00444069">
        <w:rPr>
          <w:lang w:val="en-GB"/>
        </w:rPr>
        <w:t>to</w:t>
      </w:r>
      <w:r w:rsidR="009C7C86" w:rsidRPr="00444069">
        <w:rPr>
          <w:lang w:val="en-GB"/>
        </w:rPr>
        <w:t xml:space="preserve"> all </w:t>
      </w:r>
      <w:r w:rsidR="00B613F8">
        <w:rPr>
          <w:lang w:val="en-GB"/>
        </w:rPr>
        <w:t>such</w:t>
      </w:r>
      <w:r w:rsidR="009C7C86" w:rsidRPr="00444069">
        <w:rPr>
          <w:lang w:val="en-GB"/>
        </w:rPr>
        <w:t xml:space="preserve"> interventions</w:t>
      </w:r>
      <w:r w:rsidR="00E62EA9" w:rsidRPr="00444069">
        <w:rPr>
          <w:lang w:val="en-GB"/>
        </w:rPr>
        <w:t xml:space="preserve"> and processe</w:t>
      </w:r>
      <w:r w:rsidR="009C7C86" w:rsidRPr="00444069">
        <w:rPr>
          <w:lang w:val="en-GB"/>
        </w:rPr>
        <w:t>s</w:t>
      </w:r>
      <w:r w:rsidR="00A56922" w:rsidRPr="00444069">
        <w:rPr>
          <w:lang w:val="en-GB"/>
        </w:rPr>
        <w:t>; i</w:t>
      </w:r>
      <w:r w:rsidR="00E62EA9" w:rsidRPr="00444069">
        <w:rPr>
          <w:lang w:val="en-GB"/>
        </w:rPr>
        <w:t>ntegrating medium</w:t>
      </w:r>
      <w:r w:rsidR="00C25DE4">
        <w:rPr>
          <w:lang w:val="en-GB"/>
        </w:rPr>
        <w:t>-</w:t>
      </w:r>
      <w:r w:rsidR="00E62EA9" w:rsidRPr="00444069">
        <w:rPr>
          <w:lang w:val="en-GB"/>
        </w:rPr>
        <w:t xml:space="preserve"> to longer-term gender equality and women’s empowerment</w:t>
      </w:r>
      <w:r w:rsidR="00CA5B30">
        <w:rPr>
          <w:lang w:val="en-GB"/>
        </w:rPr>
        <w:t>,</w:t>
      </w:r>
      <w:r w:rsidR="00E62EA9" w:rsidRPr="00444069">
        <w:rPr>
          <w:lang w:val="en-GB"/>
        </w:rPr>
        <w:t xml:space="preserve"> </w:t>
      </w:r>
      <w:r w:rsidR="00DB41DC" w:rsidRPr="00444069">
        <w:rPr>
          <w:lang w:val="en-GB"/>
        </w:rPr>
        <w:t xml:space="preserve">and </w:t>
      </w:r>
      <w:r w:rsidR="00E62EA9" w:rsidRPr="00444069">
        <w:rPr>
          <w:lang w:val="en-GB"/>
        </w:rPr>
        <w:t>environmental and urbani</w:t>
      </w:r>
      <w:r w:rsidR="00DB41DC" w:rsidRPr="00444069">
        <w:rPr>
          <w:lang w:val="en-GB"/>
        </w:rPr>
        <w:t>z</w:t>
      </w:r>
      <w:r w:rsidR="00E62EA9" w:rsidRPr="00444069">
        <w:rPr>
          <w:lang w:val="en-GB"/>
        </w:rPr>
        <w:t xml:space="preserve">ation considerations </w:t>
      </w:r>
      <w:r w:rsidR="00DB41DC" w:rsidRPr="00444069">
        <w:rPr>
          <w:lang w:val="en-GB"/>
        </w:rPr>
        <w:t xml:space="preserve">of </w:t>
      </w:r>
      <w:r w:rsidR="00E62EA9" w:rsidRPr="00444069">
        <w:rPr>
          <w:lang w:val="en-GB"/>
        </w:rPr>
        <w:t xml:space="preserve">large populations of </w:t>
      </w:r>
      <w:r w:rsidR="00F53064" w:rsidRPr="00444069">
        <w:rPr>
          <w:lang w:val="en-GB"/>
        </w:rPr>
        <w:t>internally displaced person</w:t>
      </w:r>
      <w:r w:rsidR="00E62EA9" w:rsidRPr="00444069">
        <w:rPr>
          <w:lang w:val="en-GB"/>
        </w:rPr>
        <w:t>s, returnees, and refugees</w:t>
      </w:r>
      <w:r w:rsidR="00D03A4E" w:rsidRPr="00444069">
        <w:rPr>
          <w:lang w:val="en-GB"/>
        </w:rPr>
        <w:t>,</w:t>
      </w:r>
      <w:r w:rsidR="00E62EA9" w:rsidRPr="00444069">
        <w:rPr>
          <w:lang w:val="en-GB"/>
        </w:rPr>
        <w:t xml:space="preserve"> into all area-based interventions and processes</w:t>
      </w:r>
      <w:r w:rsidR="002F015A" w:rsidRPr="00444069">
        <w:rPr>
          <w:rStyle w:val="FootnoteReference"/>
          <w:lang w:val="en-GB"/>
        </w:rPr>
        <w:footnoteReference w:id="23"/>
      </w:r>
      <w:r w:rsidR="00E62EA9" w:rsidRPr="00444069">
        <w:rPr>
          <w:lang w:val="en-GB"/>
        </w:rPr>
        <w:t>.</w:t>
      </w:r>
      <w:r w:rsidR="001F4D96" w:rsidRPr="00444069">
        <w:rPr>
          <w:lang w:val="en-GB"/>
        </w:rPr>
        <w:t xml:space="preserve"> </w:t>
      </w:r>
    </w:p>
    <w:p w14:paraId="7BF60FB8" w14:textId="6A6816D1" w:rsidR="00B72D55" w:rsidRDefault="00E26219" w:rsidP="000156B4">
      <w:pPr>
        <w:pStyle w:val="ListParagraph"/>
        <w:numPr>
          <w:ilvl w:val="0"/>
          <w:numId w:val="7"/>
        </w:numPr>
        <w:spacing w:after="200" w:line="240" w:lineRule="exact"/>
        <w:ind w:left="1080" w:right="1210" w:firstLine="0"/>
        <w:jc w:val="both"/>
        <w:rPr>
          <w:lang w:val="en-GB"/>
        </w:rPr>
      </w:pPr>
      <w:r w:rsidRPr="004806F2">
        <w:rPr>
          <w:lang w:val="en-GB"/>
        </w:rPr>
        <w:t>UN</w:t>
      </w:r>
      <w:r w:rsidR="00046023" w:rsidRPr="004806F2">
        <w:rPr>
          <w:lang w:val="en-GB"/>
        </w:rPr>
        <w:t xml:space="preserve">DP has </w:t>
      </w:r>
      <w:r w:rsidR="001551EC" w:rsidRPr="004806F2">
        <w:rPr>
          <w:lang w:val="en-GB"/>
        </w:rPr>
        <w:t xml:space="preserve">a track record and </w:t>
      </w:r>
      <w:r w:rsidR="00046023" w:rsidRPr="004806F2">
        <w:rPr>
          <w:lang w:val="en-GB"/>
        </w:rPr>
        <w:t xml:space="preserve">experience in </w:t>
      </w:r>
      <w:r w:rsidR="00C011D9" w:rsidRPr="004806F2">
        <w:rPr>
          <w:lang w:val="en-GB"/>
        </w:rPr>
        <w:t xml:space="preserve">building </w:t>
      </w:r>
      <w:r w:rsidR="00B613F8">
        <w:rPr>
          <w:lang w:val="en-GB"/>
        </w:rPr>
        <w:t xml:space="preserve">institutional and people’s </w:t>
      </w:r>
      <w:r w:rsidR="002063A6" w:rsidRPr="004806F2">
        <w:rPr>
          <w:lang w:val="en-GB"/>
        </w:rPr>
        <w:t>resilience</w:t>
      </w:r>
      <w:r w:rsidR="001551EC" w:rsidRPr="00DB3165">
        <w:rPr>
          <w:lang w:val="en-GB"/>
        </w:rPr>
        <w:t xml:space="preserve">. </w:t>
      </w:r>
      <w:r w:rsidR="009D091B" w:rsidRPr="00DB3165">
        <w:rPr>
          <w:lang w:val="en-GB"/>
        </w:rPr>
        <w:t xml:space="preserve">Working through and building capacities of key national institutions, </w:t>
      </w:r>
      <w:r w:rsidR="00817BCD" w:rsidRPr="00DB3165">
        <w:rPr>
          <w:lang w:val="en-GB"/>
        </w:rPr>
        <w:t>UNDP has, over the past f</w:t>
      </w:r>
      <w:r w:rsidR="0057140B" w:rsidRPr="00925AA6">
        <w:rPr>
          <w:lang w:val="en-GB"/>
        </w:rPr>
        <w:t>ive</w:t>
      </w:r>
      <w:r w:rsidR="00817BCD" w:rsidRPr="00925AA6">
        <w:rPr>
          <w:lang w:val="en-GB"/>
        </w:rPr>
        <w:t xml:space="preserve"> years</w:t>
      </w:r>
      <w:r w:rsidR="00BD5BF9">
        <w:rPr>
          <w:lang w:val="en-GB"/>
        </w:rPr>
        <w:t xml:space="preserve"> </w:t>
      </w:r>
      <w:r w:rsidR="0057140B" w:rsidRPr="00925AA6">
        <w:rPr>
          <w:lang w:val="en-GB"/>
        </w:rPr>
        <w:t xml:space="preserve">provided over </w:t>
      </w:r>
      <w:r w:rsidR="00A90A35" w:rsidRPr="00925AA6">
        <w:rPr>
          <w:lang w:val="en-GB"/>
        </w:rPr>
        <w:t>1.5 million vulnerable</w:t>
      </w:r>
      <w:r w:rsidR="003433F0" w:rsidRPr="007E770C">
        <w:rPr>
          <w:lang w:val="en-GB"/>
        </w:rPr>
        <w:t xml:space="preserve">, conflict and </w:t>
      </w:r>
      <w:r w:rsidR="00DB41DC" w:rsidRPr="00845EB2">
        <w:rPr>
          <w:lang w:val="en-GB"/>
        </w:rPr>
        <w:t xml:space="preserve">(since 2020) </w:t>
      </w:r>
      <w:r w:rsidR="003433F0" w:rsidRPr="00845EB2">
        <w:rPr>
          <w:lang w:val="en-GB"/>
        </w:rPr>
        <w:t>COVID-19</w:t>
      </w:r>
      <w:r w:rsidR="00DB41DC" w:rsidRPr="00845EB2">
        <w:rPr>
          <w:lang w:val="en-GB"/>
        </w:rPr>
        <w:t>-</w:t>
      </w:r>
      <w:r w:rsidR="009B1308" w:rsidRPr="00EC5843">
        <w:rPr>
          <w:lang w:val="en-GB"/>
        </w:rPr>
        <w:t>affected</w:t>
      </w:r>
      <w:r w:rsidR="003433F0" w:rsidRPr="00EC5843">
        <w:rPr>
          <w:lang w:val="en-GB"/>
        </w:rPr>
        <w:t xml:space="preserve"> Yemenis</w:t>
      </w:r>
      <w:r w:rsidR="00A90A35" w:rsidRPr="00EC5843">
        <w:rPr>
          <w:lang w:val="en-GB"/>
        </w:rPr>
        <w:t xml:space="preserve"> with emergency employment</w:t>
      </w:r>
      <w:r w:rsidR="00FC5162">
        <w:rPr>
          <w:lang w:val="en-GB"/>
        </w:rPr>
        <w:t xml:space="preserve"> (</w:t>
      </w:r>
      <w:bookmarkStart w:id="2" w:name="_Hlk105405349"/>
      <w:r w:rsidR="00FC5162">
        <w:rPr>
          <w:lang w:val="en-GB"/>
        </w:rPr>
        <w:t>12.5M workdays</w:t>
      </w:r>
      <w:bookmarkEnd w:id="2"/>
      <w:r w:rsidR="00FC5162">
        <w:rPr>
          <w:lang w:val="en-GB"/>
        </w:rPr>
        <w:t>)</w:t>
      </w:r>
      <w:r w:rsidR="004E561D" w:rsidRPr="00444069">
        <w:rPr>
          <w:lang w:val="en-GB"/>
        </w:rPr>
        <w:t xml:space="preserve">, </w:t>
      </w:r>
      <w:r w:rsidR="00A90A35" w:rsidRPr="00444069">
        <w:rPr>
          <w:lang w:val="en-GB"/>
        </w:rPr>
        <w:t>livelihood</w:t>
      </w:r>
      <w:r w:rsidR="007E6E2E" w:rsidRPr="00444069">
        <w:rPr>
          <w:lang w:val="en-GB"/>
        </w:rPr>
        <w:t>,</w:t>
      </w:r>
      <w:r w:rsidR="004E561D" w:rsidRPr="00444069">
        <w:rPr>
          <w:lang w:val="en-GB"/>
        </w:rPr>
        <w:t xml:space="preserve"> and </w:t>
      </w:r>
      <w:r w:rsidR="00B30C8F" w:rsidRPr="00444069">
        <w:rPr>
          <w:lang w:val="en-GB"/>
        </w:rPr>
        <w:t>income-earning</w:t>
      </w:r>
      <w:r w:rsidR="004E561D" w:rsidRPr="00444069">
        <w:rPr>
          <w:lang w:val="en-GB"/>
        </w:rPr>
        <w:t xml:space="preserve"> opportunities</w:t>
      </w:r>
      <w:r w:rsidR="00DB41DC" w:rsidRPr="00444069">
        <w:rPr>
          <w:lang w:val="en-GB"/>
        </w:rPr>
        <w:t>.</w:t>
      </w:r>
      <w:r w:rsidR="00A25300" w:rsidRPr="00444069">
        <w:rPr>
          <w:rStyle w:val="FootnoteReference"/>
          <w:lang w:val="en-GB"/>
        </w:rPr>
        <w:footnoteReference w:id="24"/>
      </w:r>
      <w:r w:rsidR="0087457D" w:rsidRPr="00444069">
        <w:rPr>
          <w:lang w:val="en-GB"/>
        </w:rPr>
        <w:t xml:space="preserve"> </w:t>
      </w:r>
      <w:r w:rsidR="003B0CB2" w:rsidRPr="00312672">
        <w:rPr>
          <w:highlight w:val="yellow"/>
          <w:lang w:val="en-GB"/>
        </w:rPr>
        <w:t xml:space="preserve">With funding from </w:t>
      </w:r>
      <w:r w:rsidR="00B72D55" w:rsidRPr="00312672">
        <w:rPr>
          <w:highlight w:val="yellow"/>
          <w:lang w:val="en-GB"/>
        </w:rPr>
        <w:t>the World Bank, UNDP ensured</w:t>
      </w:r>
      <w:r w:rsidR="00C25B68">
        <w:rPr>
          <w:lang w:val="en-GB"/>
        </w:rPr>
        <w:t xml:space="preserve"> o</w:t>
      </w:r>
      <w:r w:rsidR="00B93ACB">
        <w:rPr>
          <w:lang w:val="en-GB"/>
        </w:rPr>
        <w:t xml:space="preserve">ver </w:t>
      </w:r>
      <w:r w:rsidR="005C4641" w:rsidRPr="005C4641">
        <w:rPr>
          <w:lang w:val="en-GB"/>
        </w:rPr>
        <w:t>759,000 vulnerable women and children</w:t>
      </w:r>
      <w:r w:rsidR="000D2667">
        <w:rPr>
          <w:lang w:val="en-GB"/>
        </w:rPr>
        <w:t xml:space="preserve"> benefitted from improved nutrition</w:t>
      </w:r>
      <w:r w:rsidR="00BA734B">
        <w:rPr>
          <w:lang w:val="en-GB"/>
        </w:rPr>
        <w:t xml:space="preserve"> whilst </w:t>
      </w:r>
      <w:r w:rsidR="004A578C">
        <w:rPr>
          <w:lang w:val="en-GB"/>
        </w:rPr>
        <w:t xml:space="preserve">over 5.7 million people </w:t>
      </w:r>
      <w:r w:rsidR="0024520E">
        <w:rPr>
          <w:lang w:val="en-GB"/>
        </w:rPr>
        <w:t xml:space="preserve">accessed improved social services </w:t>
      </w:r>
      <w:r w:rsidR="009A6CAF">
        <w:rPr>
          <w:lang w:val="en-GB"/>
        </w:rPr>
        <w:t xml:space="preserve">from </w:t>
      </w:r>
      <w:r w:rsidR="00F87FEF">
        <w:rPr>
          <w:lang w:val="en-GB"/>
        </w:rPr>
        <w:t xml:space="preserve">newly constructed </w:t>
      </w:r>
      <w:r w:rsidR="005C4641" w:rsidRPr="005C4641">
        <w:rPr>
          <w:lang w:val="en-GB"/>
        </w:rPr>
        <w:t>903,000 cubic meters of water reservoirs, 24,000 hectares of</w:t>
      </w:r>
      <w:r w:rsidR="00C953F4">
        <w:rPr>
          <w:lang w:val="en-GB"/>
        </w:rPr>
        <w:t xml:space="preserve"> rehabilitated </w:t>
      </w:r>
      <w:r w:rsidR="005C4641" w:rsidRPr="005C4641">
        <w:rPr>
          <w:lang w:val="en-GB"/>
        </w:rPr>
        <w:t xml:space="preserve">agricultural lands, 600km of </w:t>
      </w:r>
      <w:r w:rsidR="00C953F4">
        <w:rPr>
          <w:lang w:val="en-GB"/>
        </w:rPr>
        <w:t xml:space="preserve">repaired </w:t>
      </w:r>
      <w:r w:rsidR="005C4641" w:rsidRPr="005C4641">
        <w:rPr>
          <w:lang w:val="en-GB"/>
        </w:rPr>
        <w:t xml:space="preserve">roads and 2,552 </w:t>
      </w:r>
      <w:r w:rsidR="007263ED">
        <w:rPr>
          <w:lang w:val="en-GB"/>
        </w:rPr>
        <w:t xml:space="preserve">rehabilitated </w:t>
      </w:r>
      <w:r w:rsidR="005C4641" w:rsidRPr="005C4641">
        <w:rPr>
          <w:lang w:val="en-GB"/>
        </w:rPr>
        <w:t>classrooms.</w:t>
      </w:r>
      <w:r w:rsidR="003B0CB2">
        <w:rPr>
          <w:lang w:val="en-GB"/>
        </w:rPr>
        <w:t xml:space="preserve"> </w:t>
      </w:r>
    </w:p>
    <w:p w14:paraId="5B17BF69" w14:textId="711E2F65" w:rsidR="00403064" w:rsidRPr="00444069" w:rsidRDefault="009775B2" w:rsidP="00B72D55">
      <w:pPr>
        <w:pStyle w:val="ListParagraph"/>
        <w:spacing w:after="200" w:line="240" w:lineRule="exact"/>
        <w:ind w:left="1080" w:right="1210"/>
        <w:jc w:val="both"/>
        <w:rPr>
          <w:lang w:val="en-GB"/>
        </w:rPr>
      </w:pPr>
      <w:r w:rsidRPr="00444069">
        <w:rPr>
          <w:lang w:val="en-GB"/>
        </w:rPr>
        <w:lastRenderedPageBreak/>
        <w:t>The</w:t>
      </w:r>
      <w:r w:rsidR="00DC2738" w:rsidRPr="00444069">
        <w:rPr>
          <w:lang w:val="en-GB"/>
        </w:rPr>
        <w:t xml:space="preserve"> </w:t>
      </w:r>
      <w:r w:rsidR="00AD383B" w:rsidRPr="00444069">
        <w:rPr>
          <w:lang w:val="en-GB"/>
        </w:rPr>
        <w:t>country programme evaluation</w:t>
      </w:r>
      <w:r w:rsidR="00DC2738" w:rsidRPr="004806F2">
        <w:rPr>
          <w:lang w:val="en-GB"/>
        </w:rPr>
        <w:t xml:space="preserve"> </w:t>
      </w:r>
      <w:r w:rsidR="00EE6FDF">
        <w:rPr>
          <w:lang w:val="en-GB"/>
        </w:rPr>
        <w:t>noted</w:t>
      </w:r>
      <w:r w:rsidR="00EE6FDF" w:rsidRPr="004806F2">
        <w:rPr>
          <w:lang w:val="en-GB"/>
        </w:rPr>
        <w:t xml:space="preserve"> </w:t>
      </w:r>
      <w:r w:rsidR="00DC2738" w:rsidRPr="004806F2">
        <w:rPr>
          <w:lang w:val="en-GB"/>
        </w:rPr>
        <w:t xml:space="preserve">that </w:t>
      </w:r>
      <w:r w:rsidR="009B74CB">
        <w:rPr>
          <w:lang w:val="en-GB"/>
        </w:rPr>
        <w:t xml:space="preserve">the </w:t>
      </w:r>
      <w:r w:rsidR="00DC2738" w:rsidRPr="004806F2">
        <w:rPr>
          <w:lang w:val="en-GB"/>
        </w:rPr>
        <w:t>UNDP partnership with national institutions was</w:t>
      </w:r>
      <w:r w:rsidRPr="004806F2">
        <w:rPr>
          <w:lang w:val="en-GB"/>
        </w:rPr>
        <w:t xml:space="preserve"> essential for preserving national</w:t>
      </w:r>
      <w:r w:rsidR="00DC2738" w:rsidRPr="004806F2">
        <w:rPr>
          <w:lang w:val="en-GB"/>
        </w:rPr>
        <w:t xml:space="preserve"> </w:t>
      </w:r>
      <w:r w:rsidRPr="00DB3165">
        <w:rPr>
          <w:lang w:val="en-GB"/>
        </w:rPr>
        <w:t>institutional capacity.</w:t>
      </w:r>
      <w:r w:rsidR="00DC2738" w:rsidRPr="00DB3165">
        <w:rPr>
          <w:lang w:val="en-GB"/>
        </w:rPr>
        <w:t xml:space="preserve"> </w:t>
      </w:r>
      <w:r w:rsidR="003B0CB2">
        <w:rPr>
          <w:lang w:val="en-GB"/>
        </w:rPr>
        <w:t>In partnership with the World Bank, UNDP</w:t>
      </w:r>
      <w:r w:rsidR="00B50F0D">
        <w:rPr>
          <w:lang w:val="en-GB"/>
        </w:rPr>
        <w:t xml:space="preserve"> </w:t>
      </w:r>
      <w:r w:rsidR="00537143">
        <w:rPr>
          <w:lang w:val="en-GB"/>
        </w:rPr>
        <w:t xml:space="preserve">will deepen </w:t>
      </w:r>
      <w:r w:rsidR="000107AF">
        <w:rPr>
          <w:lang w:val="en-GB"/>
        </w:rPr>
        <w:t>partnerships with national institutions</w:t>
      </w:r>
      <w:r w:rsidR="00EE6FDF">
        <w:rPr>
          <w:lang w:val="en-GB"/>
        </w:rPr>
        <w:t xml:space="preserve"> to</w:t>
      </w:r>
      <w:r w:rsidR="00DA0A5E">
        <w:rPr>
          <w:lang w:val="en-GB"/>
        </w:rPr>
        <w:t xml:space="preserve"> </w:t>
      </w:r>
      <w:r w:rsidR="00CB3747">
        <w:rPr>
          <w:lang w:val="en-GB"/>
        </w:rPr>
        <w:t>enhance</w:t>
      </w:r>
      <w:r w:rsidR="009F6A4C">
        <w:rPr>
          <w:lang w:val="en-GB"/>
        </w:rPr>
        <w:t xml:space="preserve"> their</w:t>
      </w:r>
      <w:r w:rsidR="00DA0A5E">
        <w:rPr>
          <w:lang w:val="en-GB"/>
        </w:rPr>
        <w:t xml:space="preserve"> programme implementation capacit</w:t>
      </w:r>
      <w:r w:rsidR="009F6A4C">
        <w:rPr>
          <w:lang w:val="en-GB"/>
        </w:rPr>
        <w:t>ies</w:t>
      </w:r>
      <w:r w:rsidR="00CB3747">
        <w:rPr>
          <w:lang w:val="en-GB"/>
        </w:rPr>
        <w:t xml:space="preserve"> and participation in </w:t>
      </w:r>
      <w:r w:rsidR="001B03EB">
        <w:rPr>
          <w:lang w:val="en-GB"/>
        </w:rPr>
        <w:t xml:space="preserve">the </w:t>
      </w:r>
      <w:r w:rsidR="004D7C94">
        <w:rPr>
          <w:lang w:val="en-GB"/>
        </w:rPr>
        <w:t>recovery</w:t>
      </w:r>
      <w:r w:rsidR="00B50F0D">
        <w:rPr>
          <w:lang w:val="en-GB"/>
        </w:rPr>
        <w:t xml:space="preserve"> </w:t>
      </w:r>
      <w:r w:rsidR="00B50F0D" w:rsidRPr="00312672">
        <w:rPr>
          <w:highlight w:val="yellow"/>
          <w:lang w:val="en-GB"/>
        </w:rPr>
        <w:t>and reconstruction</w:t>
      </w:r>
      <w:r w:rsidR="001B03EB">
        <w:rPr>
          <w:highlight w:val="yellow"/>
          <w:lang w:val="en-GB"/>
        </w:rPr>
        <w:t xml:space="preserve"> of Yemen</w:t>
      </w:r>
      <w:r w:rsidR="00B50F0D" w:rsidRPr="00312672">
        <w:rPr>
          <w:highlight w:val="yellow"/>
          <w:lang w:val="en-GB"/>
        </w:rPr>
        <w:t>, including through future loan implementation</w:t>
      </w:r>
      <w:r w:rsidR="00DA0A5E">
        <w:rPr>
          <w:lang w:val="en-GB"/>
        </w:rPr>
        <w:t xml:space="preserve"> </w:t>
      </w:r>
      <w:r w:rsidR="00C25DE4">
        <w:rPr>
          <w:lang w:val="en-GB"/>
        </w:rPr>
        <w:t xml:space="preserve">The </w:t>
      </w:r>
      <w:r w:rsidR="001C26F8" w:rsidRPr="00DB3165">
        <w:rPr>
          <w:lang w:val="en-GB"/>
        </w:rPr>
        <w:t>UNDP</w:t>
      </w:r>
      <w:r w:rsidR="00843341" w:rsidRPr="00DB3165">
        <w:rPr>
          <w:lang w:val="en-GB"/>
        </w:rPr>
        <w:t xml:space="preserve"> comparative advantage stems from its strategic positioning and trust generated </w:t>
      </w:r>
      <w:r w:rsidR="00D03A4E" w:rsidRPr="00A2394E">
        <w:rPr>
          <w:lang w:val="en-GB"/>
        </w:rPr>
        <w:t xml:space="preserve">with </w:t>
      </w:r>
      <w:r w:rsidR="006210CA" w:rsidRPr="00A2394E">
        <w:rPr>
          <w:lang w:val="en-GB"/>
        </w:rPr>
        <w:t xml:space="preserve">authorities and the population </w:t>
      </w:r>
      <w:r w:rsidR="00843341" w:rsidRPr="00A2394E">
        <w:rPr>
          <w:lang w:val="en-GB"/>
        </w:rPr>
        <w:t>during previous programming cycles</w:t>
      </w:r>
      <w:r w:rsidR="00C25DE4">
        <w:rPr>
          <w:lang w:val="en-GB"/>
        </w:rPr>
        <w:t>,</w:t>
      </w:r>
      <w:r w:rsidR="00843341" w:rsidRPr="00A2394E">
        <w:rPr>
          <w:lang w:val="en-GB"/>
        </w:rPr>
        <w:t xml:space="preserve"> and ongoing investments </w:t>
      </w:r>
      <w:r w:rsidR="00645DD3" w:rsidRPr="00925AA6">
        <w:rPr>
          <w:lang w:val="en-GB"/>
        </w:rPr>
        <w:t>in 322</w:t>
      </w:r>
      <w:r w:rsidR="00C25DE4">
        <w:rPr>
          <w:lang w:val="en-GB"/>
        </w:rPr>
        <w:t> </w:t>
      </w:r>
      <w:r w:rsidR="00645DD3" w:rsidRPr="00925AA6">
        <w:rPr>
          <w:lang w:val="en-GB"/>
        </w:rPr>
        <w:t>di</w:t>
      </w:r>
      <w:r w:rsidR="002F5AEC" w:rsidRPr="00925AA6">
        <w:rPr>
          <w:lang w:val="en-GB"/>
        </w:rPr>
        <w:t xml:space="preserve">stricts to </w:t>
      </w:r>
      <w:r w:rsidR="00843341" w:rsidRPr="00925AA6">
        <w:rPr>
          <w:lang w:val="en-GB"/>
        </w:rPr>
        <w:t xml:space="preserve">strengthen </w:t>
      </w:r>
      <w:r w:rsidR="00B613F8">
        <w:rPr>
          <w:lang w:val="en-GB"/>
        </w:rPr>
        <w:t>governance and service delivery-</w:t>
      </w:r>
      <w:r w:rsidR="00843341" w:rsidRPr="007E770C">
        <w:rPr>
          <w:lang w:val="en-GB"/>
        </w:rPr>
        <w:t>systems</w:t>
      </w:r>
      <w:r w:rsidR="009220EE" w:rsidRPr="00845EB2">
        <w:rPr>
          <w:lang w:val="en-GB"/>
        </w:rPr>
        <w:t xml:space="preserve"> and</w:t>
      </w:r>
      <w:r w:rsidR="00F866D0" w:rsidRPr="00845EB2">
        <w:rPr>
          <w:lang w:val="en-GB"/>
        </w:rPr>
        <w:t xml:space="preserve"> implement</w:t>
      </w:r>
      <w:r w:rsidR="00007780" w:rsidRPr="00845EB2">
        <w:rPr>
          <w:lang w:val="en-GB"/>
        </w:rPr>
        <w:t xml:space="preserve"> </w:t>
      </w:r>
      <w:r w:rsidR="00F61A40" w:rsidRPr="00845EB2">
        <w:rPr>
          <w:lang w:val="en-GB"/>
        </w:rPr>
        <w:t>confidence-building</w:t>
      </w:r>
      <w:r w:rsidR="00F866D0" w:rsidRPr="00EC5843">
        <w:rPr>
          <w:lang w:val="en-GB"/>
        </w:rPr>
        <w:t xml:space="preserve"> measures </w:t>
      </w:r>
      <w:r w:rsidR="009220EE" w:rsidRPr="00EC5843">
        <w:rPr>
          <w:lang w:val="en-GB"/>
        </w:rPr>
        <w:t xml:space="preserve">and </w:t>
      </w:r>
      <w:r w:rsidR="00F61A40" w:rsidRPr="00EC5843">
        <w:rPr>
          <w:lang w:val="en-GB"/>
        </w:rPr>
        <w:t xml:space="preserve">initiatives stemming from </w:t>
      </w:r>
      <w:r w:rsidR="009220EE" w:rsidRPr="00EC5843">
        <w:rPr>
          <w:lang w:val="en-GB"/>
        </w:rPr>
        <w:t xml:space="preserve">peace </w:t>
      </w:r>
      <w:r w:rsidR="00F61A40" w:rsidRPr="00444069">
        <w:rPr>
          <w:lang w:val="en-GB"/>
        </w:rPr>
        <w:t xml:space="preserve">negotiations led by </w:t>
      </w:r>
      <w:r w:rsidR="00BD43AF" w:rsidRPr="00444069">
        <w:rPr>
          <w:lang w:val="en-GB"/>
        </w:rPr>
        <w:t>the Office of the Special Envoy of the Secretary-General</w:t>
      </w:r>
      <w:r w:rsidR="00151267" w:rsidRPr="00444069">
        <w:rPr>
          <w:lang w:val="en-GB"/>
        </w:rPr>
        <w:t xml:space="preserve">. </w:t>
      </w:r>
      <w:r w:rsidR="00DB1757" w:rsidRPr="00444069">
        <w:rPr>
          <w:lang w:val="en-GB"/>
        </w:rPr>
        <w:t xml:space="preserve">UNDP will use its integrator role to catalyse collaborations within the </w:t>
      </w:r>
      <w:r w:rsidR="00AD061F" w:rsidRPr="00444069">
        <w:rPr>
          <w:lang w:val="en-GB"/>
        </w:rPr>
        <w:t>United Nations</w:t>
      </w:r>
      <w:r w:rsidR="00DB1757" w:rsidRPr="00444069">
        <w:rPr>
          <w:lang w:val="en-GB"/>
        </w:rPr>
        <w:t xml:space="preserve"> and with the private sector, international finance institutions, donors, foundations, academia, national </w:t>
      </w:r>
      <w:r w:rsidR="00B613F8">
        <w:rPr>
          <w:lang w:val="en-GB"/>
        </w:rPr>
        <w:t xml:space="preserve">and </w:t>
      </w:r>
      <w:r w:rsidR="00DB1757" w:rsidRPr="00444069">
        <w:rPr>
          <w:lang w:val="en-GB"/>
        </w:rPr>
        <w:t>subnational institutions</w:t>
      </w:r>
      <w:r w:rsidR="00D11341" w:rsidRPr="00444069">
        <w:rPr>
          <w:lang w:val="en-GB"/>
        </w:rPr>
        <w:t>,</w:t>
      </w:r>
      <w:r w:rsidR="00DB1757" w:rsidRPr="00444069">
        <w:rPr>
          <w:lang w:val="en-GB"/>
        </w:rPr>
        <w:t xml:space="preserve"> and civil society in implementing the </w:t>
      </w:r>
      <w:r w:rsidR="00F53064" w:rsidRPr="00444069">
        <w:rPr>
          <w:bCs/>
          <w:iCs/>
          <w:lang w:val="en-GB"/>
        </w:rPr>
        <w:t>humanitarian, development and peace</w:t>
      </w:r>
      <w:r w:rsidR="00DB1757" w:rsidRPr="00444069">
        <w:rPr>
          <w:lang w:val="en-GB"/>
        </w:rPr>
        <w:t xml:space="preserve"> nexus through a joint approach that draws on the strengths of the different partners</w:t>
      </w:r>
      <w:r w:rsidR="00C25DE4">
        <w:rPr>
          <w:lang w:val="en-GB"/>
        </w:rPr>
        <w:t>;</w:t>
      </w:r>
      <w:r w:rsidR="00DB1757" w:rsidRPr="00444069">
        <w:rPr>
          <w:lang w:val="en-GB"/>
        </w:rPr>
        <w:t xml:space="preserve"> policy and economic analysis</w:t>
      </w:r>
      <w:r w:rsidR="00C25DE4">
        <w:rPr>
          <w:lang w:val="en-GB"/>
        </w:rPr>
        <w:t>;</w:t>
      </w:r>
      <w:r w:rsidR="00DB1757" w:rsidRPr="00444069">
        <w:rPr>
          <w:lang w:val="en-GB"/>
        </w:rPr>
        <w:t xml:space="preserve"> and UNDP thought leadership, comparative advantages and convening power.</w:t>
      </w:r>
    </w:p>
    <w:p w14:paraId="2440D3E0" w14:textId="6187FC04" w:rsidR="004820B0" w:rsidRPr="00444069" w:rsidRDefault="00677F8A" w:rsidP="000156B4">
      <w:pPr>
        <w:pStyle w:val="Heading2"/>
        <w:numPr>
          <w:ilvl w:val="0"/>
          <w:numId w:val="10"/>
        </w:numPr>
        <w:spacing w:after="200" w:line="240" w:lineRule="exact"/>
        <w:ind w:left="1080" w:right="1210" w:hanging="450"/>
        <w:jc w:val="both"/>
        <w:rPr>
          <w:rFonts w:ascii="Times New Roman" w:hAnsi="Times New Roman"/>
          <w:color w:val="000000"/>
          <w:spacing w:val="-3"/>
          <w:sz w:val="24"/>
          <w:szCs w:val="24"/>
          <w:lang w:val="en-GB"/>
        </w:rPr>
      </w:pPr>
      <w:r w:rsidRPr="00444069">
        <w:rPr>
          <w:rFonts w:ascii="Times New Roman" w:hAnsi="Times New Roman"/>
          <w:color w:val="000000" w:themeColor="text1"/>
          <w:sz w:val="24"/>
          <w:szCs w:val="24"/>
          <w:lang w:val="en-GB"/>
        </w:rPr>
        <w:t xml:space="preserve">Programme </w:t>
      </w:r>
      <w:r w:rsidR="000156B4" w:rsidRPr="00444069">
        <w:rPr>
          <w:rFonts w:ascii="Times New Roman" w:hAnsi="Times New Roman"/>
          <w:color w:val="000000" w:themeColor="text1"/>
          <w:sz w:val="24"/>
          <w:szCs w:val="24"/>
          <w:lang w:val="en-GB"/>
        </w:rPr>
        <w:t>p</w:t>
      </w:r>
      <w:r w:rsidRPr="00444069">
        <w:rPr>
          <w:rFonts w:ascii="Times New Roman" w:hAnsi="Times New Roman"/>
          <w:color w:val="000000" w:themeColor="text1"/>
          <w:sz w:val="24"/>
          <w:szCs w:val="24"/>
          <w:lang w:val="en-GB"/>
        </w:rPr>
        <w:t>riorities</w:t>
      </w:r>
      <w:r w:rsidR="002B6341" w:rsidRPr="00444069">
        <w:rPr>
          <w:rFonts w:ascii="Times New Roman" w:hAnsi="Times New Roman"/>
          <w:color w:val="000000" w:themeColor="text1"/>
          <w:sz w:val="24"/>
          <w:szCs w:val="24"/>
          <w:lang w:val="en-GB"/>
        </w:rPr>
        <w:t xml:space="preserve"> </w:t>
      </w:r>
      <w:r w:rsidR="004736BE" w:rsidRPr="00444069">
        <w:rPr>
          <w:rFonts w:ascii="Times New Roman" w:hAnsi="Times New Roman"/>
          <w:color w:val="000000" w:themeColor="text1"/>
          <w:sz w:val="24"/>
          <w:szCs w:val="24"/>
          <w:lang w:val="en-GB"/>
        </w:rPr>
        <w:t xml:space="preserve">and </w:t>
      </w:r>
      <w:r w:rsidR="000156B4" w:rsidRPr="00444069">
        <w:rPr>
          <w:rFonts w:ascii="Times New Roman" w:hAnsi="Times New Roman"/>
          <w:color w:val="000000" w:themeColor="text1"/>
          <w:sz w:val="24"/>
          <w:szCs w:val="24"/>
          <w:lang w:val="en-GB"/>
        </w:rPr>
        <w:t>p</w:t>
      </w:r>
      <w:r w:rsidR="002B6341" w:rsidRPr="00444069">
        <w:rPr>
          <w:rFonts w:ascii="Times New Roman" w:hAnsi="Times New Roman"/>
          <w:color w:val="000000" w:themeColor="text1"/>
          <w:sz w:val="24"/>
          <w:szCs w:val="24"/>
          <w:lang w:val="en-GB"/>
        </w:rPr>
        <w:t>artnerships</w:t>
      </w:r>
      <w:r w:rsidR="00074DB9" w:rsidRPr="00444069">
        <w:rPr>
          <w:rFonts w:ascii="Times New Roman" w:hAnsi="Times New Roman"/>
          <w:color w:val="000000" w:themeColor="text1"/>
          <w:sz w:val="24"/>
          <w:szCs w:val="24"/>
          <w:lang w:val="en-GB"/>
        </w:rPr>
        <w:t xml:space="preserve"> </w:t>
      </w:r>
    </w:p>
    <w:p w14:paraId="17A42198" w14:textId="5D87C7E7" w:rsidR="003408FD" w:rsidRPr="00DB3165" w:rsidRDefault="00444069" w:rsidP="000156B4">
      <w:pPr>
        <w:pStyle w:val="ListParagraph"/>
        <w:numPr>
          <w:ilvl w:val="0"/>
          <w:numId w:val="7"/>
        </w:numPr>
        <w:spacing w:after="120" w:line="240" w:lineRule="exact"/>
        <w:ind w:left="1080" w:right="1210" w:firstLine="0"/>
        <w:jc w:val="both"/>
        <w:rPr>
          <w:lang w:val="en-GB"/>
        </w:rPr>
      </w:pPr>
      <w:r w:rsidRPr="00444069">
        <w:rPr>
          <w:lang w:val="en-GB"/>
        </w:rPr>
        <w:t xml:space="preserve">The </w:t>
      </w:r>
      <w:r w:rsidR="003408FD" w:rsidRPr="00444069">
        <w:rPr>
          <w:lang w:val="en-GB"/>
        </w:rPr>
        <w:t>UNDP</w:t>
      </w:r>
      <w:r w:rsidR="00C17900" w:rsidRPr="00444069">
        <w:rPr>
          <w:lang w:val="en-GB"/>
        </w:rPr>
        <w:t xml:space="preserve"> </w:t>
      </w:r>
      <w:r w:rsidR="003408FD" w:rsidRPr="00444069">
        <w:rPr>
          <w:lang w:val="en-GB"/>
        </w:rPr>
        <w:t xml:space="preserve">theory of change mirrors </w:t>
      </w:r>
      <w:r w:rsidRPr="00444069">
        <w:rPr>
          <w:lang w:val="en-GB"/>
        </w:rPr>
        <w:t xml:space="preserve">that of </w:t>
      </w:r>
      <w:r w:rsidR="003408FD" w:rsidRPr="00444069">
        <w:rPr>
          <w:lang w:val="en-GB"/>
        </w:rPr>
        <w:t xml:space="preserve">the </w:t>
      </w:r>
      <w:r w:rsidR="00EC3478" w:rsidRPr="00444069">
        <w:rPr>
          <w:lang w:val="en-GB"/>
        </w:rPr>
        <w:t>United Nations Sustainable Development Cooperation Framework</w:t>
      </w:r>
      <w:r w:rsidRPr="00444069">
        <w:rPr>
          <w:lang w:val="en-GB"/>
        </w:rPr>
        <w:t>,</w:t>
      </w:r>
      <w:r w:rsidR="00965C53" w:rsidRPr="00444069">
        <w:rPr>
          <w:lang w:val="en-GB"/>
        </w:rPr>
        <w:t xml:space="preserve"> </w:t>
      </w:r>
      <w:r w:rsidR="003408FD" w:rsidRPr="00444069">
        <w:rPr>
          <w:lang w:val="en-GB"/>
        </w:rPr>
        <w:t xml:space="preserve">driven by </w:t>
      </w:r>
      <w:r w:rsidR="004806F2">
        <w:rPr>
          <w:lang w:val="en-GB"/>
        </w:rPr>
        <w:t>the</w:t>
      </w:r>
      <w:r w:rsidR="004806F2" w:rsidRPr="004806F2">
        <w:rPr>
          <w:lang w:val="en-GB"/>
        </w:rPr>
        <w:t xml:space="preserve"> </w:t>
      </w:r>
      <w:r w:rsidR="003408FD" w:rsidRPr="004806F2">
        <w:rPr>
          <w:lang w:val="en-GB"/>
        </w:rPr>
        <w:t>expectation that by 2024</w:t>
      </w:r>
      <w:bookmarkStart w:id="3" w:name="_Hlk102743352"/>
      <w:r w:rsidR="004806F2">
        <w:rPr>
          <w:lang w:val="en-GB"/>
        </w:rPr>
        <w:t>,</w:t>
      </w:r>
      <w:r w:rsidR="003408FD" w:rsidRPr="004806F2">
        <w:rPr>
          <w:lang w:val="en-GB"/>
        </w:rPr>
        <w:t xml:space="preserve"> all people of all ages in Yemen affected by conflict, forced displacement and poverty in all its dimensions</w:t>
      </w:r>
      <w:r w:rsidR="004806F2">
        <w:rPr>
          <w:lang w:val="en-GB"/>
        </w:rPr>
        <w:t>,</w:t>
      </w:r>
      <w:r w:rsidR="003408FD" w:rsidRPr="004806F2">
        <w:rPr>
          <w:lang w:val="en-GB"/>
        </w:rPr>
        <w:t xml:space="preserve"> will experience </w:t>
      </w:r>
      <w:r w:rsidR="00C92B8C" w:rsidRPr="004806F2">
        <w:rPr>
          <w:lang w:val="en-GB"/>
        </w:rPr>
        <w:t xml:space="preserve">a </w:t>
      </w:r>
      <w:r w:rsidR="003408FD" w:rsidRPr="004806F2">
        <w:rPr>
          <w:lang w:val="en-GB"/>
        </w:rPr>
        <w:t>change in the</w:t>
      </w:r>
      <w:r w:rsidR="00C25DE4">
        <w:rPr>
          <w:lang w:val="en-GB"/>
        </w:rPr>
        <w:t>ir</w:t>
      </w:r>
      <w:r w:rsidR="003408FD" w:rsidRPr="004806F2">
        <w:rPr>
          <w:lang w:val="en-GB"/>
        </w:rPr>
        <w:t xml:space="preserve"> quality of li</w:t>
      </w:r>
      <w:r w:rsidR="00C25DE4">
        <w:rPr>
          <w:lang w:val="en-GB"/>
        </w:rPr>
        <w:t>fe</w:t>
      </w:r>
      <w:r w:rsidR="003408FD" w:rsidRPr="004806F2">
        <w:rPr>
          <w:lang w:val="en-GB"/>
        </w:rPr>
        <w:t xml:space="preserve">. </w:t>
      </w:r>
      <w:r w:rsidR="004A644F" w:rsidRPr="004806F2">
        <w:rPr>
          <w:lang w:val="en-GB"/>
        </w:rPr>
        <w:t>The</w:t>
      </w:r>
      <w:r w:rsidR="003408FD" w:rsidRPr="004806F2">
        <w:rPr>
          <w:lang w:val="en-GB"/>
        </w:rPr>
        <w:t xml:space="preserve"> </w:t>
      </w:r>
      <w:r w:rsidR="00EC3478" w:rsidRPr="004806F2">
        <w:rPr>
          <w:lang w:val="en-GB"/>
        </w:rPr>
        <w:t xml:space="preserve">Framework </w:t>
      </w:r>
      <w:r w:rsidR="00C14C6C" w:rsidRPr="004806F2">
        <w:rPr>
          <w:lang w:val="en-GB"/>
        </w:rPr>
        <w:t>identifies four priority areas</w:t>
      </w:r>
      <w:r w:rsidR="004C0614" w:rsidRPr="004806F2">
        <w:rPr>
          <w:lang w:val="en-GB"/>
        </w:rPr>
        <w:t xml:space="preserve">; increase food security and nutrition, sustainable and resilient livelihoods and environmental stability; </w:t>
      </w:r>
      <w:r w:rsidR="00C14C6C" w:rsidRPr="004806F2">
        <w:rPr>
          <w:lang w:val="en-GB"/>
        </w:rPr>
        <w:t xml:space="preserve"> </w:t>
      </w:r>
      <w:r w:rsidR="004C0614" w:rsidRPr="004806F2">
        <w:rPr>
          <w:lang w:val="en-GB"/>
        </w:rPr>
        <w:t>improve rights-based good governance</w:t>
      </w:r>
      <w:r w:rsidR="004806F2">
        <w:rPr>
          <w:lang w:val="en-GB"/>
        </w:rPr>
        <w:t>,</w:t>
      </w:r>
      <w:r w:rsidR="004C0614" w:rsidRPr="004806F2">
        <w:rPr>
          <w:lang w:val="en-GB"/>
        </w:rPr>
        <w:t xml:space="preserve"> inclusive</w:t>
      </w:r>
      <w:r w:rsidR="00C25DE4">
        <w:rPr>
          <w:lang w:val="en-GB"/>
        </w:rPr>
        <w:t>,</w:t>
      </w:r>
      <w:r w:rsidR="004C0614" w:rsidRPr="004806F2">
        <w:rPr>
          <w:lang w:val="en-GB"/>
        </w:rPr>
        <w:t xml:space="preserve"> gender-sensitive public services and </w:t>
      </w:r>
      <w:r w:rsidR="004806F2">
        <w:rPr>
          <w:lang w:val="en-GB"/>
        </w:rPr>
        <w:t xml:space="preserve">the </w:t>
      </w:r>
      <w:r w:rsidR="004C0614" w:rsidRPr="004806F2">
        <w:rPr>
          <w:lang w:val="en-GB"/>
        </w:rPr>
        <w:t>rule of law; increase income security and decent work for women, youth and vulnerable populations; and strengthen social protection and basic service delivery focused on support to marginalized groups, and women and youth leadership in decision-making processes.</w:t>
      </w:r>
      <w:bookmarkEnd w:id="3"/>
    </w:p>
    <w:p w14:paraId="6CD93FE1" w14:textId="360D9E3C" w:rsidR="00FF213E" w:rsidRPr="00444069" w:rsidRDefault="00444069" w:rsidP="000156B4">
      <w:pPr>
        <w:pStyle w:val="ListParagraph"/>
        <w:numPr>
          <w:ilvl w:val="0"/>
          <w:numId w:val="7"/>
        </w:numPr>
        <w:spacing w:after="120" w:line="240" w:lineRule="exact"/>
        <w:ind w:left="1080" w:right="1210" w:firstLine="0"/>
        <w:jc w:val="both"/>
        <w:rPr>
          <w:lang w:val="en-GB"/>
        </w:rPr>
      </w:pPr>
      <w:r w:rsidRPr="00DB3165">
        <w:rPr>
          <w:lang w:val="en-GB"/>
        </w:rPr>
        <w:t>T</w:t>
      </w:r>
      <w:r w:rsidR="00FF213E" w:rsidRPr="00DB3165">
        <w:rPr>
          <w:lang w:val="en-GB"/>
        </w:rPr>
        <w:t xml:space="preserve">he </w:t>
      </w:r>
      <w:r w:rsidRPr="00CA5B30">
        <w:rPr>
          <w:b/>
          <w:lang w:val="en-GB"/>
        </w:rPr>
        <w:t>overarching theory of change</w:t>
      </w:r>
      <w:r w:rsidRPr="00444069">
        <w:rPr>
          <w:lang w:val="en-GB"/>
        </w:rPr>
        <w:t xml:space="preserve"> of the country </w:t>
      </w:r>
      <w:r w:rsidR="00FF213E" w:rsidRPr="00444069">
        <w:rPr>
          <w:lang w:val="en-GB"/>
        </w:rPr>
        <w:t xml:space="preserve">programme </w:t>
      </w:r>
      <w:r w:rsidR="009F5973">
        <w:rPr>
          <w:lang w:val="en-GB"/>
        </w:rPr>
        <w:t>is:</w:t>
      </w:r>
      <w:r w:rsidR="00FF213E" w:rsidRPr="00444069">
        <w:rPr>
          <w:lang w:val="en-GB"/>
        </w:rPr>
        <w:t xml:space="preserve"> </w:t>
      </w:r>
      <w:r w:rsidR="00FF213E" w:rsidRPr="00CA5B30">
        <w:rPr>
          <w:b/>
          <w:bCs/>
          <w:i/>
          <w:lang w:val="en-GB"/>
        </w:rPr>
        <w:t>I</w:t>
      </w:r>
      <w:r w:rsidRPr="00CA5B30">
        <w:rPr>
          <w:b/>
          <w:bCs/>
          <w:i/>
          <w:lang w:val="en-GB"/>
        </w:rPr>
        <w:t>f</w:t>
      </w:r>
      <w:r w:rsidR="00FF213E" w:rsidRPr="00444069">
        <w:rPr>
          <w:lang w:val="en-GB"/>
        </w:rPr>
        <w:t xml:space="preserve"> food security and green, inclusive economic recovery and development are boosted, and </w:t>
      </w:r>
      <w:r w:rsidRPr="00444069">
        <w:rPr>
          <w:b/>
          <w:bCs/>
          <w:i/>
          <w:lang w:val="en-GB"/>
        </w:rPr>
        <w:t>if</w:t>
      </w:r>
      <w:r w:rsidR="00FF213E" w:rsidRPr="00444069">
        <w:rPr>
          <w:lang w:val="en-GB"/>
        </w:rPr>
        <w:t xml:space="preserve"> national and subnational governance structures are strengthened and preserved, and </w:t>
      </w:r>
      <w:r w:rsidRPr="00444069">
        <w:rPr>
          <w:b/>
          <w:bCs/>
          <w:i/>
          <w:lang w:val="en-GB"/>
        </w:rPr>
        <w:t>if</w:t>
      </w:r>
      <w:r w:rsidR="00FF213E" w:rsidRPr="00444069">
        <w:rPr>
          <w:lang w:val="en-GB"/>
        </w:rPr>
        <w:t xml:space="preserve"> </w:t>
      </w:r>
      <w:r w:rsidR="00FF213E" w:rsidRPr="004806F2">
        <w:rPr>
          <w:lang w:val="en-GB"/>
        </w:rPr>
        <w:t xml:space="preserve">confidence-building measures and national and local peace processes are supported; </w:t>
      </w:r>
      <w:r w:rsidRPr="004806F2">
        <w:rPr>
          <w:b/>
          <w:bCs/>
          <w:i/>
          <w:lang w:val="en-GB"/>
        </w:rPr>
        <w:t>then</w:t>
      </w:r>
      <w:r w:rsidR="00FF213E" w:rsidRPr="004806F2">
        <w:rPr>
          <w:lang w:val="en-GB"/>
        </w:rPr>
        <w:t xml:space="preserve"> Yemenis will experience </w:t>
      </w:r>
      <w:r w:rsidR="00FF213E" w:rsidRPr="00CA5B30">
        <w:rPr>
          <w:i/>
          <w:lang w:val="en-GB"/>
        </w:rPr>
        <w:t>better, equal and inclusive access</w:t>
      </w:r>
      <w:r w:rsidR="00FF213E" w:rsidRPr="00CA5B30">
        <w:rPr>
          <w:lang w:val="en-GB"/>
        </w:rPr>
        <w:t xml:space="preserve"> to nutritious food, sustainable and resilient livelihoods</w:t>
      </w:r>
      <w:r w:rsidRPr="00CA5B30">
        <w:rPr>
          <w:lang w:val="en-GB"/>
        </w:rPr>
        <w:t>,</w:t>
      </w:r>
      <w:r w:rsidR="00FF213E" w:rsidRPr="00CA5B30">
        <w:rPr>
          <w:lang w:val="en-GB"/>
        </w:rPr>
        <w:t xml:space="preserve"> environmental stability </w:t>
      </w:r>
      <w:r w:rsidRPr="00CA5B30">
        <w:rPr>
          <w:b/>
          <w:bCs/>
          <w:i/>
          <w:lang w:val="en-GB"/>
        </w:rPr>
        <w:t>and</w:t>
      </w:r>
      <w:r w:rsidR="00FF213E" w:rsidRPr="00CA5B30">
        <w:rPr>
          <w:b/>
          <w:bCs/>
          <w:lang w:val="en-GB"/>
        </w:rPr>
        <w:t xml:space="preserve"> </w:t>
      </w:r>
      <w:r w:rsidR="00FF213E" w:rsidRPr="00CA5B30">
        <w:rPr>
          <w:i/>
          <w:lang w:val="en-GB"/>
        </w:rPr>
        <w:t>improved rights-based good governance</w:t>
      </w:r>
      <w:r w:rsidR="00FF213E" w:rsidRPr="00CA5B30">
        <w:rPr>
          <w:lang w:val="en-GB"/>
        </w:rPr>
        <w:t>, effective people-centred, equitable and inclusive gender</w:t>
      </w:r>
      <w:r w:rsidRPr="00CA5B30">
        <w:rPr>
          <w:lang w:val="en-GB"/>
        </w:rPr>
        <w:t>-</w:t>
      </w:r>
      <w:r w:rsidR="00FF213E" w:rsidRPr="00CA5B30">
        <w:rPr>
          <w:lang w:val="en-GB"/>
        </w:rPr>
        <w:t xml:space="preserve"> and age-responsive public services and rule of law, </w:t>
      </w:r>
      <w:r w:rsidR="00FF213E" w:rsidRPr="00B613F8">
        <w:rPr>
          <w:lang w:val="en-GB"/>
        </w:rPr>
        <w:t xml:space="preserve">and </w:t>
      </w:r>
      <w:r w:rsidR="00FF213E" w:rsidRPr="00B613F8">
        <w:rPr>
          <w:i/>
          <w:lang w:val="en-GB"/>
        </w:rPr>
        <w:t>confidence in the peace processes</w:t>
      </w:r>
      <w:r w:rsidR="00FF213E" w:rsidRPr="00B613F8">
        <w:rPr>
          <w:lang w:val="en-GB"/>
        </w:rPr>
        <w:t xml:space="preserve"> </w:t>
      </w:r>
      <w:r w:rsidRPr="00CA5B30">
        <w:rPr>
          <w:lang w:val="en-GB"/>
        </w:rPr>
        <w:t xml:space="preserve">will be </w:t>
      </w:r>
      <w:r w:rsidR="00FF213E" w:rsidRPr="00CA5B30">
        <w:rPr>
          <w:lang w:val="en-GB"/>
        </w:rPr>
        <w:t>enhanced, laying the ground for sustainable peace</w:t>
      </w:r>
      <w:r w:rsidR="00226F5B" w:rsidRPr="00CA5B30">
        <w:rPr>
          <w:lang w:val="en-GB"/>
        </w:rPr>
        <w:t>.</w:t>
      </w:r>
    </w:p>
    <w:p w14:paraId="7A6E63C7" w14:textId="5BADC2E7" w:rsidR="00643309" w:rsidRPr="004806F2" w:rsidRDefault="00A46259" w:rsidP="000156B4">
      <w:pPr>
        <w:pStyle w:val="ListParagraph"/>
        <w:numPr>
          <w:ilvl w:val="0"/>
          <w:numId w:val="7"/>
        </w:numPr>
        <w:spacing w:after="120" w:line="240" w:lineRule="exact"/>
        <w:ind w:left="1080" w:right="1210" w:firstLine="0"/>
        <w:jc w:val="both"/>
        <w:rPr>
          <w:lang w:val="en-GB"/>
        </w:rPr>
      </w:pPr>
      <w:r w:rsidRPr="00444069">
        <w:rPr>
          <w:lang w:val="en-GB"/>
        </w:rPr>
        <w:t>To achieve the</w:t>
      </w:r>
      <w:r w:rsidR="00AE0A88" w:rsidRPr="00444069">
        <w:rPr>
          <w:lang w:val="en-GB"/>
        </w:rPr>
        <w:t xml:space="preserve"> </w:t>
      </w:r>
      <w:r w:rsidR="00EC3478" w:rsidRPr="00444069">
        <w:rPr>
          <w:lang w:val="en-GB"/>
        </w:rPr>
        <w:t xml:space="preserve">Framework </w:t>
      </w:r>
      <w:r w:rsidR="00AE0A88" w:rsidRPr="00444069">
        <w:rPr>
          <w:lang w:val="en-GB"/>
        </w:rPr>
        <w:t>priorities</w:t>
      </w:r>
      <w:r w:rsidRPr="00444069">
        <w:rPr>
          <w:lang w:val="en-GB"/>
        </w:rPr>
        <w:t xml:space="preserve">, </w:t>
      </w:r>
      <w:r w:rsidR="00AE1120" w:rsidRPr="00444069">
        <w:rPr>
          <w:lang w:val="en-GB"/>
        </w:rPr>
        <w:t xml:space="preserve">UNDP will </w:t>
      </w:r>
      <w:r w:rsidR="00062AC6" w:rsidRPr="00444069">
        <w:rPr>
          <w:lang w:val="en-GB"/>
        </w:rPr>
        <w:t xml:space="preserve">apply a holistic, </w:t>
      </w:r>
      <w:r w:rsidR="00D546B5" w:rsidRPr="00444069">
        <w:rPr>
          <w:lang w:val="en-GB"/>
        </w:rPr>
        <w:t>conflict-sensitive</w:t>
      </w:r>
      <w:r w:rsidR="00CE7368" w:rsidRPr="00444069">
        <w:rPr>
          <w:lang w:val="en-GB"/>
        </w:rPr>
        <w:t>,</w:t>
      </w:r>
      <w:r w:rsidR="00D546B5" w:rsidRPr="00444069">
        <w:rPr>
          <w:lang w:val="en-GB"/>
        </w:rPr>
        <w:t xml:space="preserve"> </w:t>
      </w:r>
      <w:r w:rsidR="00A55D5F" w:rsidRPr="004806F2">
        <w:rPr>
          <w:lang w:val="en-GB"/>
        </w:rPr>
        <w:t xml:space="preserve">gender-responsive </w:t>
      </w:r>
      <w:r w:rsidR="00D546B5" w:rsidRPr="004806F2">
        <w:rPr>
          <w:lang w:val="en-GB"/>
        </w:rPr>
        <w:t xml:space="preserve">and evidence-based </w:t>
      </w:r>
      <w:r w:rsidR="00062AC6" w:rsidRPr="004806F2">
        <w:rPr>
          <w:lang w:val="en-GB"/>
        </w:rPr>
        <w:t xml:space="preserve">development approach </w:t>
      </w:r>
      <w:r w:rsidR="00B613F8">
        <w:rPr>
          <w:lang w:val="en-GB"/>
        </w:rPr>
        <w:t>derived from</w:t>
      </w:r>
      <w:r w:rsidR="00062AC6" w:rsidRPr="004806F2">
        <w:rPr>
          <w:lang w:val="en-GB"/>
        </w:rPr>
        <w:t xml:space="preserve"> </w:t>
      </w:r>
      <w:r w:rsidR="004806F2">
        <w:rPr>
          <w:lang w:val="en-GB"/>
        </w:rPr>
        <w:t>its</w:t>
      </w:r>
      <w:r w:rsidR="004806F2" w:rsidRPr="004806F2">
        <w:rPr>
          <w:lang w:val="en-GB"/>
        </w:rPr>
        <w:t xml:space="preserve"> </w:t>
      </w:r>
      <w:r w:rsidR="00762FF3" w:rsidRPr="004806F2">
        <w:rPr>
          <w:lang w:val="en-GB"/>
        </w:rPr>
        <w:t xml:space="preserve">unique mandate, </w:t>
      </w:r>
      <w:r w:rsidR="00062AC6" w:rsidRPr="004806F2">
        <w:rPr>
          <w:lang w:val="en-GB"/>
        </w:rPr>
        <w:t>comparative advantage</w:t>
      </w:r>
      <w:r w:rsidR="007E6E2E" w:rsidRPr="004806F2">
        <w:rPr>
          <w:lang w:val="en-GB"/>
        </w:rPr>
        <w:t>,</w:t>
      </w:r>
      <w:r w:rsidR="00062AC6" w:rsidRPr="004806F2">
        <w:rPr>
          <w:lang w:val="en-GB"/>
        </w:rPr>
        <w:t xml:space="preserve"> and </w:t>
      </w:r>
      <w:r w:rsidR="008D1251" w:rsidRPr="004806F2">
        <w:rPr>
          <w:lang w:val="en-GB"/>
        </w:rPr>
        <w:t xml:space="preserve">experience </w:t>
      </w:r>
      <w:r w:rsidR="009D196D" w:rsidRPr="004806F2">
        <w:rPr>
          <w:lang w:val="en-GB"/>
        </w:rPr>
        <w:t xml:space="preserve">across the </w:t>
      </w:r>
      <w:r w:rsidR="003D0E7B" w:rsidRPr="004806F2">
        <w:rPr>
          <w:lang w:val="en-GB"/>
        </w:rPr>
        <w:t>four priority areas.</w:t>
      </w:r>
      <w:r w:rsidR="00B26A9A" w:rsidRPr="004806F2">
        <w:rPr>
          <w:lang w:val="en-GB"/>
        </w:rPr>
        <w:t xml:space="preserve"> Fifteen per cent of the programme budget </w:t>
      </w:r>
      <w:r w:rsidR="007148C4" w:rsidRPr="00DB3165">
        <w:rPr>
          <w:lang w:val="en-GB"/>
        </w:rPr>
        <w:t xml:space="preserve">will be dedicated </w:t>
      </w:r>
      <w:r w:rsidR="009016B3" w:rsidRPr="00DB3165">
        <w:rPr>
          <w:lang w:val="en-GB"/>
        </w:rPr>
        <w:t>to</w:t>
      </w:r>
      <w:r w:rsidR="007148C4" w:rsidRPr="00DB3165">
        <w:rPr>
          <w:lang w:val="en-GB"/>
        </w:rPr>
        <w:t xml:space="preserve"> gender results.</w:t>
      </w:r>
      <w:r w:rsidR="003D0E7B" w:rsidRPr="00DB3165">
        <w:rPr>
          <w:lang w:val="en-GB"/>
        </w:rPr>
        <w:t xml:space="preserve"> </w:t>
      </w:r>
      <w:r w:rsidR="00C31614" w:rsidRPr="00DB3165">
        <w:rPr>
          <w:lang w:val="en-GB"/>
        </w:rPr>
        <w:t xml:space="preserve">As recommended by the </w:t>
      </w:r>
      <w:r w:rsidR="00AD383B" w:rsidRPr="00DB3165">
        <w:rPr>
          <w:lang w:val="en-GB"/>
        </w:rPr>
        <w:t>independent country programme evaluation</w:t>
      </w:r>
      <w:r w:rsidR="00C31614" w:rsidRPr="00DB3165">
        <w:rPr>
          <w:lang w:val="en-GB"/>
        </w:rPr>
        <w:t>, UNDP developed a</w:t>
      </w:r>
      <w:r w:rsidR="008471D5">
        <w:rPr>
          <w:lang w:val="en-GB"/>
        </w:rPr>
        <w:t>n interim programme</w:t>
      </w:r>
      <w:r w:rsidR="00C31614" w:rsidRPr="00DB3165">
        <w:rPr>
          <w:lang w:val="en-GB"/>
        </w:rPr>
        <w:t xml:space="preserve"> </w:t>
      </w:r>
      <w:r w:rsidR="004806F2">
        <w:rPr>
          <w:lang w:val="en-GB"/>
        </w:rPr>
        <w:t>that</w:t>
      </w:r>
      <w:r w:rsidR="00C93B39" w:rsidRPr="004806F2">
        <w:rPr>
          <w:lang w:val="en-GB"/>
        </w:rPr>
        <w:t xml:space="preserve"> </w:t>
      </w:r>
      <w:r w:rsidR="004554DD" w:rsidRPr="004806F2">
        <w:rPr>
          <w:lang w:val="en-GB"/>
        </w:rPr>
        <w:t xml:space="preserve">guided </w:t>
      </w:r>
      <w:r w:rsidR="00152F2D" w:rsidRPr="004806F2">
        <w:rPr>
          <w:lang w:val="en-GB"/>
        </w:rPr>
        <w:t xml:space="preserve">the </w:t>
      </w:r>
      <w:r w:rsidR="004806F2">
        <w:rPr>
          <w:lang w:val="en-GB"/>
        </w:rPr>
        <w:t xml:space="preserve">country </w:t>
      </w:r>
      <w:r w:rsidR="00152F2D" w:rsidRPr="004806F2">
        <w:rPr>
          <w:lang w:val="en-GB"/>
        </w:rPr>
        <w:t>programme from</w:t>
      </w:r>
      <w:r w:rsidR="00C93B39" w:rsidRPr="004806F2">
        <w:rPr>
          <w:lang w:val="en-GB"/>
        </w:rPr>
        <w:t xml:space="preserve"> Ju</w:t>
      </w:r>
      <w:r w:rsidR="000261D1" w:rsidRPr="004806F2">
        <w:rPr>
          <w:lang w:val="en-GB"/>
        </w:rPr>
        <w:t>ly 2019</w:t>
      </w:r>
      <w:r w:rsidR="004B65E4">
        <w:rPr>
          <w:lang w:val="en-GB"/>
        </w:rPr>
        <w:t>.</w:t>
      </w:r>
      <w:r w:rsidR="00A27B66" w:rsidRPr="004806F2">
        <w:rPr>
          <w:lang w:val="en-GB"/>
        </w:rPr>
        <w:t xml:space="preserve">. </w:t>
      </w:r>
      <w:r w:rsidR="00671A30">
        <w:rPr>
          <w:lang w:val="en-GB"/>
        </w:rPr>
        <w:t xml:space="preserve">The interim programme’s </w:t>
      </w:r>
      <w:r w:rsidR="006A73CE" w:rsidRPr="004806F2">
        <w:rPr>
          <w:lang w:val="en-GB"/>
        </w:rPr>
        <w:t>achievements</w:t>
      </w:r>
      <w:r w:rsidR="004806F2">
        <w:rPr>
          <w:lang w:val="en-GB"/>
        </w:rPr>
        <w:t>,</w:t>
      </w:r>
      <w:r w:rsidR="009013A6" w:rsidRPr="00444069">
        <w:rPr>
          <w:rStyle w:val="FootnoteReference"/>
          <w:lang w:val="en-GB"/>
        </w:rPr>
        <w:footnoteReference w:id="25"/>
      </w:r>
      <w:r w:rsidR="00567127" w:rsidRPr="00444069">
        <w:rPr>
          <w:lang w:val="en-GB"/>
        </w:rPr>
        <w:t xml:space="preserve"> </w:t>
      </w:r>
      <w:r w:rsidR="00547488" w:rsidRPr="00444069">
        <w:rPr>
          <w:lang w:val="en-GB"/>
        </w:rPr>
        <w:t>decentrali</w:t>
      </w:r>
      <w:r w:rsidR="00547488">
        <w:rPr>
          <w:lang w:val="en-GB"/>
        </w:rPr>
        <w:t>z</w:t>
      </w:r>
      <w:r w:rsidR="00547488" w:rsidRPr="00444069">
        <w:rPr>
          <w:lang w:val="en-GB"/>
        </w:rPr>
        <w:t xml:space="preserve">ed project evaluations </w:t>
      </w:r>
      <w:r w:rsidR="00567127" w:rsidRPr="00444069">
        <w:rPr>
          <w:lang w:val="en-GB"/>
        </w:rPr>
        <w:t>findings and lessons learn</w:t>
      </w:r>
      <w:r w:rsidR="004806F2">
        <w:rPr>
          <w:lang w:val="en-GB"/>
        </w:rPr>
        <w:t>ed</w:t>
      </w:r>
      <w:r w:rsidR="00567127" w:rsidRPr="00444069">
        <w:rPr>
          <w:lang w:val="en-GB"/>
        </w:rPr>
        <w:t xml:space="preserve"> </w:t>
      </w:r>
      <w:r w:rsidR="008F6358" w:rsidRPr="00444069">
        <w:rPr>
          <w:rStyle w:val="FootnoteReference"/>
          <w:lang w:val="en-GB"/>
        </w:rPr>
        <w:footnoteReference w:id="26"/>
      </w:r>
      <w:r w:rsidR="00567127" w:rsidRPr="00444069">
        <w:rPr>
          <w:lang w:val="en-GB"/>
        </w:rPr>
        <w:t xml:space="preserve"> and studies</w:t>
      </w:r>
      <w:r w:rsidR="008F6358" w:rsidRPr="00444069">
        <w:rPr>
          <w:rStyle w:val="FootnoteReference"/>
          <w:lang w:val="en-GB"/>
        </w:rPr>
        <w:footnoteReference w:id="27"/>
      </w:r>
      <w:r w:rsidR="00326C6C" w:rsidRPr="00444069">
        <w:rPr>
          <w:lang w:val="en-GB"/>
        </w:rPr>
        <w:t xml:space="preserve"> </w:t>
      </w:r>
      <w:r w:rsidR="00547488">
        <w:rPr>
          <w:lang w:val="en-GB"/>
        </w:rPr>
        <w:t>informed</w:t>
      </w:r>
      <w:r w:rsidR="00781B1C" w:rsidRPr="00444069">
        <w:rPr>
          <w:lang w:val="en-GB"/>
        </w:rPr>
        <w:t xml:space="preserve"> </w:t>
      </w:r>
      <w:r w:rsidR="009016B3" w:rsidRPr="00444069">
        <w:rPr>
          <w:lang w:val="en-GB"/>
        </w:rPr>
        <w:t xml:space="preserve">the </w:t>
      </w:r>
      <w:r w:rsidR="009B5769" w:rsidRPr="00444069">
        <w:rPr>
          <w:lang w:val="en-GB"/>
        </w:rPr>
        <w:t xml:space="preserve">design of the </w:t>
      </w:r>
      <w:r w:rsidR="00421F45" w:rsidRPr="00444069">
        <w:rPr>
          <w:lang w:val="en-GB"/>
        </w:rPr>
        <w:t>new programme</w:t>
      </w:r>
      <w:r w:rsidR="009F2E5C">
        <w:rPr>
          <w:lang w:val="en-GB"/>
        </w:rPr>
        <w:t>.</w:t>
      </w:r>
      <w:r w:rsidR="00C61660" w:rsidRPr="004806F2">
        <w:rPr>
          <w:lang w:val="en-GB"/>
        </w:rPr>
        <w:t xml:space="preserve"> </w:t>
      </w:r>
      <w:r w:rsidR="004806F2">
        <w:rPr>
          <w:lang w:val="en-GB"/>
        </w:rPr>
        <w:t xml:space="preserve">The </w:t>
      </w:r>
      <w:r w:rsidR="00513546" w:rsidRPr="004806F2">
        <w:rPr>
          <w:lang w:val="en-GB"/>
        </w:rPr>
        <w:t xml:space="preserve">UNDP </w:t>
      </w:r>
      <w:r w:rsidR="002E5EC3" w:rsidRPr="004806F2">
        <w:rPr>
          <w:lang w:val="en-GB"/>
        </w:rPr>
        <w:t>p</w:t>
      </w:r>
      <w:r w:rsidR="00A55D5F" w:rsidRPr="004806F2">
        <w:rPr>
          <w:lang w:val="en-GB"/>
        </w:rPr>
        <w:t xml:space="preserve">rogramme </w:t>
      </w:r>
      <w:r w:rsidR="00513546" w:rsidRPr="004806F2">
        <w:rPr>
          <w:lang w:val="en-GB"/>
        </w:rPr>
        <w:t>will uphold</w:t>
      </w:r>
      <w:r w:rsidR="002320D1" w:rsidRPr="004806F2">
        <w:rPr>
          <w:lang w:val="en-GB"/>
        </w:rPr>
        <w:t xml:space="preserve"> the </w:t>
      </w:r>
      <w:r w:rsidR="00471821" w:rsidRPr="004806F2">
        <w:rPr>
          <w:lang w:val="en-GB"/>
        </w:rPr>
        <w:t xml:space="preserve">pledges to </w:t>
      </w:r>
      <w:r w:rsidR="00C25DE4">
        <w:rPr>
          <w:lang w:val="en-GB"/>
        </w:rPr>
        <w:t>‘</w:t>
      </w:r>
      <w:r w:rsidR="004806F2">
        <w:rPr>
          <w:iCs/>
          <w:lang w:val="en-GB"/>
        </w:rPr>
        <w:t>l</w:t>
      </w:r>
      <w:r w:rsidR="002320D1" w:rsidRPr="00CA5B30">
        <w:rPr>
          <w:iCs/>
          <w:lang w:val="en-GB"/>
        </w:rPr>
        <w:t xml:space="preserve">eave </w:t>
      </w:r>
      <w:r w:rsidR="004806F2">
        <w:rPr>
          <w:iCs/>
          <w:lang w:val="en-GB"/>
        </w:rPr>
        <w:t>n</w:t>
      </w:r>
      <w:r w:rsidR="002320D1" w:rsidRPr="00CA5B30">
        <w:rPr>
          <w:iCs/>
          <w:lang w:val="en-GB"/>
        </w:rPr>
        <w:t xml:space="preserve">o </w:t>
      </w:r>
      <w:r w:rsidR="004806F2">
        <w:rPr>
          <w:iCs/>
          <w:lang w:val="en-GB"/>
        </w:rPr>
        <w:t>o</w:t>
      </w:r>
      <w:r w:rsidR="002320D1" w:rsidRPr="00CA5B30">
        <w:rPr>
          <w:iCs/>
          <w:lang w:val="en-GB"/>
        </w:rPr>
        <w:t xml:space="preserve">ne </w:t>
      </w:r>
      <w:r w:rsidR="004806F2">
        <w:rPr>
          <w:iCs/>
          <w:lang w:val="en-GB"/>
        </w:rPr>
        <w:t>b</w:t>
      </w:r>
      <w:r w:rsidR="002320D1" w:rsidRPr="00CA5B30">
        <w:rPr>
          <w:iCs/>
          <w:lang w:val="en-GB"/>
        </w:rPr>
        <w:t>ehind</w:t>
      </w:r>
      <w:r w:rsidR="00C25DE4">
        <w:rPr>
          <w:iCs/>
          <w:lang w:val="en-GB"/>
        </w:rPr>
        <w:t>’</w:t>
      </w:r>
      <w:r w:rsidR="002320D1" w:rsidRPr="004806F2">
        <w:rPr>
          <w:lang w:val="en-GB"/>
        </w:rPr>
        <w:t xml:space="preserve"> and </w:t>
      </w:r>
      <w:r w:rsidR="00C25DE4">
        <w:rPr>
          <w:lang w:val="en-GB"/>
        </w:rPr>
        <w:t>‘</w:t>
      </w:r>
      <w:r w:rsidR="004806F2" w:rsidRPr="00CA5B30">
        <w:rPr>
          <w:iCs/>
          <w:lang w:val="en-GB"/>
        </w:rPr>
        <w:t>d</w:t>
      </w:r>
      <w:r w:rsidR="002320D1" w:rsidRPr="00CA5B30">
        <w:rPr>
          <w:iCs/>
          <w:lang w:val="en-GB"/>
        </w:rPr>
        <w:t xml:space="preserve">o </w:t>
      </w:r>
      <w:r w:rsidR="004806F2">
        <w:rPr>
          <w:iCs/>
          <w:lang w:val="en-GB"/>
        </w:rPr>
        <w:t>n</w:t>
      </w:r>
      <w:r w:rsidR="002320D1" w:rsidRPr="00CA5B30">
        <w:rPr>
          <w:iCs/>
          <w:lang w:val="en-GB"/>
        </w:rPr>
        <w:t xml:space="preserve">o </w:t>
      </w:r>
      <w:r w:rsidR="004806F2">
        <w:rPr>
          <w:iCs/>
          <w:lang w:val="en-GB"/>
        </w:rPr>
        <w:t>h</w:t>
      </w:r>
      <w:r w:rsidR="00DD0597" w:rsidRPr="00CA5B30">
        <w:rPr>
          <w:iCs/>
          <w:lang w:val="en-GB"/>
        </w:rPr>
        <w:t>arm</w:t>
      </w:r>
      <w:r w:rsidR="00C25DE4">
        <w:rPr>
          <w:iCs/>
          <w:lang w:val="en-GB"/>
        </w:rPr>
        <w:t>’</w:t>
      </w:r>
      <w:r w:rsidR="00B613F8">
        <w:rPr>
          <w:iCs/>
          <w:lang w:val="en-GB"/>
        </w:rPr>
        <w:t>,</w:t>
      </w:r>
      <w:r w:rsidR="00DD0597" w:rsidRPr="004806F2">
        <w:rPr>
          <w:lang w:val="en-GB"/>
        </w:rPr>
        <w:t xml:space="preserve"> </w:t>
      </w:r>
      <w:r w:rsidR="00D529BC" w:rsidRPr="004806F2">
        <w:rPr>
          <w:lang w:val="en-GB"/>
        </w:rPr>
        <w:t xml:space="preserve">underpinned by </w:t>
      </w:r>
      <w:r w:rsidR="009B67D1" w:rsidRPr="004806F2">
        <w:rPr>
          <w:lang w:val="en-GB"/>
        </w:rPr>
        <w:t xml:space="preserve">the </w:t>
      </w:r>
      <w:r w:rsidR="00871E69" w:rsidRPr="004806F2">
        <w:rPr>
          <w:lang w:val="en-GB"/>
        </w:rPr>
        <w:t xml:space="preserve">key </w:t>
      </w:r>
      <w:r w:rsidR="00D529BC" w:rsidRPr="004806F2">
        <w:rPr>
          <w:lang w:val="en-GB"/>
        </w:rPr>
        <w:t>programming principles</w:t>
      </w:r>
      <w:r w:rsidR="004806F2">
        <w:rPr>
          <w:lang w:val="en-GB"/>
        </w:rPr>
        <w:t>:</w:t>
      </w:r>
      <w:r w:rsidR="00D529BC" w:rsidRPr="004806F2">
        <w:rPr>
          <w:lang w:val="en-GB"/>
        </w:rPr>
        <w:t xml:space="preserve"> </w:t>
      </w:r>
      <w:r w:rsidR="00D529BC" w:rsidRPr="004806F2">
        <w:rPr>
          <w:i/>
          <w:iCs/>
          <w:lang w:val="en-GB"/>
        </w:rPr>
        <w:t>human rights, gender equality and women</w:t>
      </w:r>
      <w:r w:rsidR="004806F2">
        <w:rPr>
          <w:i/>
          <w:iCs/>
          <w:lang w:val="en-GB"/>
        </w:rPr>
        <w:t>’</w:t>
      </w:r>
      <w:r w:rsidR="00D529BC" w:rsidRPr="004806F2">
        <w:rPr>
          <w:i/>
          <w:iCs/>
          <w:lang w:val="en-GB"/>
        </w:rPr>
        <w:t>s empowerment; sustainability and resilience; and accountability</w:t>
      </w:r>
      <w:r w:rsidR="006709B0" w:rsidRPr="004806F2">
        <w:rPr>
          <w:i/>
          <w:iCs/>
          <w:lang w:val="en-GB"/>
        </w:rPr>
        <w:t>.</w:t>
      </w:r>
      <w:r w:rsidR="006709B0" w:rsidRPr="004806F2">
        <w:rPr>
          <w:lang w:val="en-GB"/>
        </w:rPr>
        <w:t xml:space="preserve"> </w:t>
      </w:r>
      <w:r w:rsidR="000D49D6" w:rsidRPr="004806F2">
        <w:rPr>
          <w:lang w:val="en-GB"/>
        </w:rPr>
        <w:t>The programme will strengthen South</w:t>
      </w:r>
      <w:r w:rsidR="004806F2">
        <w:rPr>
          <w:lang w:val="en-GB"/>
        </w:rPr>
        <w:t>-</w:t>
      </w:r>
      <w:r w:rsidR="000D49D6" w:rsidRPr="004806F2">
        <w:rPr>
          <w:lang w:val="en-GB"/>
        </w:rPr>
        <w:t xml:space="preserve">South </w:t>
      </w:r>
      <w:r w:rsidR="004806F2">
        <w:rPr>
          <w:lang w:val="en-GB"/>
        </w:rPr>
        <w:t>c</w:t>
      </w:r>
      <w:r w:rsidR="000D49D6" w:rsidRPr="004806F2">
        <w:rPr>
          <w:lang w:val="en-GB"/>
        </w:rPr>
        <w:t xml:space="preserve">ooperation </w:t>
      </w:r>
      <w:r w:rsidR="001F501A" w:rsidRPr="004806F2">
        <w:rPr>
          <w:lang w:val="en-GB"/>
        </w:rPr>
        <w:t xml:space="preserve">to tap </w:t>
      </w:r>
      <w:r w:rsidR="004806F2">
        <w:rPr>
          <w:lang w:val="en-GB"/>
        </w:rPr>
        <w:t>into</w:t>
      </w:r>
      <w:r w:rsidR="004806F2" w:rsidRPr="004806F2">
        <w:rPr>
          <w:lang w:val="en-GB"/>
        </w:rPr>
        <w:t xml:space="preserve"> </w:t>
      </w:r>
      <w:r w:rsidR="001F501A" w:rsidRPr="004806F2">
        <w:rPr>
          <w:lang w:val="en-GB"/>
        </w:rPr>
        <w:t xml:space="preserve">lessons and best practices </w:t>
      </w:r>
      <w:r w:rsidR="000D49D6" w:rsidRPr="004806F2">
        <w:rPr>
          <w:lang w:val="en-GB"/>
        </w:rPr>
        <w:t xml:space="preserve">from countries that </w:t>
      </w:r>
      <w:r w:rsidR="00B613F8">
        <w:rPr>
          <w:lang w:val="en-GB"/>
        </w:rPr>
        <w:t>r</w:t>
      </w:r>
      <w:r w:rsidR="000D49D6" w:rsidRPr="004806F2">
        <w:rPr>
          <w:lang w:val="en-GB"/>
        </w:rPr>
        <w:t>ecovered from civil unres</w:t>
      </w:r>
      <w:r w:rsidR="00C25DE4">
        <w:rPr>
          <w:lang w:val="en-GB"/>
        </w:rPr>
        <w:t>t</w:t>
      </w:r>
      <w:r w:rsidR="000D49D6" w:rsidRPr="004806F2">
        <w:rPr>
          <w:lang w:val="en-GB"/>
        </w:rPr>
        <w:t xml:space="preserve"> and prolonged conflict</w:t>
      </w:r>
      <w:r w:rsidR="001F501A" w:rsidRPr="004806F2">
        <w:rPr>
          <w:lang w:val="en-GB"/>
        </w:rPr>
        <w:t>.</w:t>
      </w:r>
    </w:p>
    <w:p w14:paraId="45782C65" w14:textId="76FE715B" w:rsidR="00BC3616" w:rsidRPr="00444069" w:rsidRDefault="00444069" w:rsidP="000156B4">
      <w:pPr>
        <w:pStyle w:val="ListParagraph"/>
        <w:numPr>
          <w:ilvl w:val="0"/>
          <w:numId w:val="7"/>
        </w:numPr>
        <w:spacing w:after="120" w:line="240" w:lineRule="exact"/>
        <w:ind w:left="1080" w:right="1210" w:firstLine="0"/>
        <w:jc w:val="both"/>
        <w:rPr>
          <w:lang w:val="en-GB"/>
        </w:rPr>
      </w:pPr>
      <w:r>
        <w:rPr>
          <w:lang w:val="en-GB"/>
        </w:rPr>
        <w:lastRenderedPageBreak/>
        <w:t xml:space="preserve">The </w:t>
      </w:r>
      <w:r w:rsidR="00BB6524" w:rsidRPr="00444069">
        <w:rPr>
          <w:lang w:val="en-GB"/>
        </w:rPr>
        <w:t>UNDP</w:t>
      </w:r>
      <w:r w:rsidR="00EF4437" w:rsidRPr="00444069">
        <w:rPr>
          <w:lang w:val="en-GB"/>
        </w:rPr>
        <w:t xml:space="preserve"> </w:t>
      </w:r>
      <w:r>
        <w:rPr>
          <w:lang w:val="en-GB"/>
        </w:rPr>
        <w:t>theory of change</w:t>
      </w:r>
      <w:r w:rsidRPr="00444069">
        <w:rPr>
          <w:lang w:val="en-GB"/>
        </w:rPr>
        <w:t xml:space="preserve"> </w:t>
      </w:r>
      <w:r w:rsidR="00E946DB" w:rsidRPr="00444069">
        <w:rPr>
          <w:lang w:val="en-GB"/>
        </w:rPr>
        <w:t xml:space="preserve">for </w:t>
      </w:r>
      <w:r w:rsidR="00BB6524" w:rsidRPr="00444069">
        <w:rPr>
          <w:lang w:val="en-GB"/>
        </w:rPr>
        <w:t>p</w:t>
      </w:r>
      <w:r w:rsidR="008E3D64" w:rsidRPr="00444069">
        <w:rPr>
          <w:lang w:val="en-GB"/>
        </w:rPr>
        <w:t xml:space="preserve">rogramme priority </w:t>
      </w:r>
      <w:r w:rsidR="005412B4" w:rsidRPr="00444069">
        <w:rPr>
          <w:lang w:val="en-GB"/>
        </w:rPr>
        <w:t xml:space="preserve">one </w:t>
      </w:r>
      <w:r w:rsidR="00EF4437" w:rsidRPr="00444069">
        <w:rPr>
          <w:lang w:val="en-GB"/>
        </w:rPr>
        <w:t>i</w:t>
      </w:r>
      <w:r w:rsidR="009952BF" w:rsidRPr="00444069">
        <w:rPr>
          <w:lang w:val="en-GB"/>
        </w:rPr>
        <w:t>s</w:t>
      </w:r>
      <w:r w:rsidR="0093633A" w:rsidRPr="00444069">
        <w:rPr>
          <w:lang w:val="en-GB"/>
        </w:rPr>
        <w:t xml:space="preserve">: </w:t>
      </w:r>
      <w:r>
        <w:rPr>
          <w:b/>
          <w:i/>
          <w:lang w:val="en-GB"/>
        </w:rPr>
        <w:t>if</w:t>
      </w:r>
      <w:r w:rsidR="009952BF" w:rsidRPr="00444069">
        <w:rPr>
          <w:lang w:val="en-GB"/>
        </w:rPr>
        <w:t xml:space="preserve"> macro-economic stability is enhanced</w:t>
      </w:r>
      <w:r w:rsidR="000F00F6">
        <w:rPr>
          <w:lang w:val="en-GB"/>
        </w:rPr>
        <w:t>,</w:t>
      </w:r>
      <w:r w:rsidR="00843164" w:rsidRPr="00444069">
        <w:rPr>
          <w:lang w:val="en-GB"/>
        </w:rPr>
        <w:t xml:space="preserve"> the cost</w:t>
      </w:r>
      <w:r w:rsidR="0093633A" w:rsidRPr="00444069">
        <w:rPr>
          <w:lang w:val="en-GB"/>
        </w:rPr>
        <w:t xml:space="preserve"> </w:t>
      </w:r>
      <w:r w:rsidR="00843164" w:rsidRPr="00444069">
        <w:rPr>
          <w:lang w:val="en-GB"/>
        </w:rPr>
        <w:t>of food is reduced</w:t>
      </w:r>
      <w:r w:rsidR="000F00F6">
        <w:rPr>
          <w:lang w:val="en-GB"/>
        </w:rPr>
        <w:t>,</w:t>
      </w:r>
      <w:r w:rsidR="00843164" w:rsidRPr="00444069">
        <w:rPr>
          <w:lang w:val="en-GB"/>
        </w:rPr>
        <w:t xml:space="preserve"> </w:t>
      </w:r>
      <w:r w:rsidR="009952BF" w:rsidRPr="00444069">
        <w:rPr>
          <w:lang w:val="en-GB"/>
        </w:rPr>
        <w:t>social protection</w:t>
      </w:r>
      <w:r w:rsidR="00843164" w:rsidRPr="00444069">
        <w:rPr>
          <w:lang w:val="en-GB"/>
        </w:rPr>
        <w:t xml:space="preserve"> systems are improved</w:t>
      </w:r>
      <w:r w:rsidR="000F00F6">
        <w:rPr>
          <w:lang w:val="en-GB"/>
        </w:rPr>
        <w:t>,</w:t>
      </w:r>
      <w:r w:rsidR="009952BF" w:rsidRPr="00444069">
        <w:rPr>
          <w:lang w:val="en-GB"/>
        </w:rPr>
        <w:t xml:space="preserve"> </w:t>
      </w:r>
      <w:r w:rsidR="001B092C" w:rsidRPr="00444069">
        <w:rPr>
          <w:lang w:val="en-GB"/>
        </w:rPr>
        <w:t>value chains are diversified</w:t>
      </w:r>
      <w:r>
        <w:rPr>
          <w:lang w:val="en-GB"/>
        </w:rPr>
        <w:t>;</w:t>
      </w:r>
      <w:r w:rsidR="001B092C" w:rsidRPr="00444069">
        <w:rPr>
          <w:lang w:val="en-GB"/>
        </w:rPr>
        <w:t xml:space="preserve"> and </w:t>
      </w:r>
      <w:r w:rsidR="009952BF" w:rsidRPr="00444069">
        <w:rPr>
          <w:lang w:val="en-GB"/>
        </w:rPr>
        <w:t>employment</w:t>
      </w:r>
      <w:r w:rsidR="0022556D" w:rsidRPr="00444069">
        <w:rPr>
          <w:lang w:val="en-GB"/>
        </w:rPr>
        <w:t xml:space="preserve"> opportunities </w:t>
      </w:r>
      <w:r w:rsidR="004C3347" w:rsidRPr="00444069">
        <w:rPr>
          <w:lang w:val="en-GB"/>
        </w:rPr>
        <w:t xml:space="preserve">for vulnerable population </w:t>
      </w:r>
      <w:r w:rsidR="0022556D" w:rsidRPr="00444069">
        <w:rPr>
          <w:lang w:val="en-GB"/>
        </w:rPr>
        <w:t>groups</w:t>
      </w:r>
      <w:r w:rsidR="004C3347" w:rsidRPr="00444069">
        <w:rPr>
          <w:lang w:val="en-GB"/>
        </w:rPr>
        <w:t xml:space="preserve"> </w:t>
      </w:r>
      <w:r w:rsidR="0022556D" w:rsidRPr="00444069">
        <w:rPr>
          <w:lang w:val="en-GB"/>
        </w:rPr>
        <w:t>are expanded</w:t>
      </w:r>
      <w:r>
        <w:rPr>
          <w:lang w:val="en-GB"/>
        </w:rPr>
        <w:t>,</w:t>
      </w:r>
      <w:r w:rsidR="0022556D" w:rsidRPr="00444069">
        <w:rPr>
          <w:lang w:val="en-GB"/>
        </w:rPr>
        <w:t xml:space="preserve"> and</w:t>
      </w:r>
      <w:r w:rsidR="004C3347" w:rsidRPr="00444069">
        <w:rPr>
          <w:lang w:val="en-GB"/>
        </w:rPr>
        <w:t xml:space="preserve"> </w:t>
      </w:r>
      <w:r>
        <w:rPr>
          <w:b/>
          <w:i/>
          <w:lang w:val="en-GB"/>
        </w:rPr>
        <w:t>if</w:t>
      </w:r>
      <w:r w:rsidRPr="00444069">
        <w:rPr>
          <w:lang w:val="en-GB"/>
        </w:rPr>
        <w:t xml:space="preserve"> </w:t>
      </w:r>
      <w:r w:rsidR="00350154" w:rsidRPr="00444069">
        <w:rPr>
          <w:lang w:val="en-GB"/>
        </w:rPr>
        <w:t xml:space="preserve">natural resources are managed sustainably, </w:t>
      </w:r>
      <w:r>
        <w:rPr>
          <w:b/>
          <w:i/>
          <w:lang w:val="en-GB"/>
        </w:rPr>
        <w:t>then</w:t>
      </w:r>
      <w:r w:rsidRPr="00444069">
        <w:rPr>
          <w:lang w:val="en-GB"/>
        </w:rPr>
        <w:t xml:space="preserve"> </w:t>
      </w:r>
      <w:r w:rsidR="00466D3C" w:rsidRPr="004806F2">
        <w:rPr>
          <w:i/>
          <w:iCs/>
          <w:lang w:val="en-GB"/>
        </w:rPr>
        <w:t>food</w:t>
      </w:r>
      <w:r w:rsidR="009708E9" w:rsidRPr="004806F2">
        <w:rPr>
          <w:i/>
          <w:iCs/>
          <w:lang w:val="en-GB"/>
        </w:rPr>
        <w:t xml:space="preserve"> security and green, inclusive economic </w:t>
      </w:r>
      <w:r w:rsidR="00A93F6F" w:rsidRPr="004806F2">
        <w:rPr>
          <w:i/>
          <w:iCs/>
          <w:lang w:val="en-GB"/>
        </w:rPr>
        <w:t xml:space="preserve">recovery and </w:t>
      </w:r>
      <w:r w:rsidR="009708E9" w:rsidRPr="004806F2">
        <w:rPr>
          <w:i/>
          <w:iCs/>
          <w:lang w:val="en-GB"/>
        </w:rPr>
        <w:t xml:space="preserve">development </w:t>
      </w:r>
      <w:r w:rsidR="00320B4A" w:rsidRPr="004806F2">
        <w:rPr>
          <w:i/>
          <w:iCs/>
          <w:lang w:val="en-GB"/>
        </w:rPr>
        <w:t>will be boosted</w:t>
      </w:r>
      <w:r w:rsidR="00320B4A" w:rsidRPr="00CA5B30">
        <w:rPr>
          <w:iCs/>
          <w:lang w:val="en-GB"/>
        </w:rPr>
        <w:t>.</w:t>
      </w:r>
      <w:r w:rsidR="00320B4A" w:rsidRPr="00444069">
        <w:rPr>
          <w:lang w:val="en-GB"/>
        </w:rPr>
        <w:t xml:space="preserve"> </w:t>
      </w:r>
      <w:r w:rsidR="00171AC5" w:rsidRPr="00444069">
        <w:rPr>
          <w:lang w:val="en-GB"/>
        </w:rPr>
        <w:t>Th</w:t>
      </w:r>
      <w:r w:rsidR="00242A9E" w:rsidRPr="00444069">
        <w:rPr>
          <w:lang w:val="en-GB"/>
        </w:rPr>
        <w:t xml:space="preserve">is programme </w:t>
      </w:r>
      <w:r w:rsidR="001C5672" w:rsidRPr="00444069">
        <w:rPr>
          <w:lang w:val="en-GB"/>
        </w:rPr>
        <w:t>area</w:t>
      </w:r>
      <w:r w:rsidR="00242A9E" w:rsidRPr="00444069">
        <w:rPr>
          <w:lang w:val="en-GB"/>
        </w:rPr>
        <w:t xml:space="preserve"> </w:t>
      </w:r>
      <w:r w:rsidR="00A8433D" w:rsidRPr="00444069">
        <w:rPr>
          <w:lang w:val="en-GB"/>
        </w:rPr>
        <w:t>addresses</w:t>
      </w:r>
      <w:r w:rsidR="00C42A02" w:rsidRPr="00444069">
        <w:rPr>
          <w:lang w:val="en-GB"/>
        </w:rPr>
        <w:t xml:space="preserve"> th</w:t>
      </w:r>
      <w:r w:rsidR="004F7FD0" w:rsidRPr="00444069">
        <w:rPr>
          <w:lang w:val="en-GB"/>
        </w:rPr>
        <w:t>ree</w:t>
      </w:r>
      <w:r w:rsidR="00C42A02" w:rsidRPr="00444069">
        <w:rPr>
          <w:lang w:val="en-GB"/>
        </w:rPr>
        <w:t xml:space="preserve"> </w:t>
      </w:r>
      <w:r w:rsidR="00EC3478" w:rsidRPr="00444069">
        <w:rPr>
          <w:lang w:val="en-GB"/>
        </w:rPr>
        <w:t xml:space="preserve">Framework </w:t>
      </w:r>
      <w:r w:rsidR="00C42A02" w:rsidRPr="00444069">
        <w:rPr>
          <w:lang w:val="en-GB"/>
        </w:rPr>
        <w:t>priorit</w:t>
      </w:r>
      <w:r w:rsidR="00BF0AE1" w:rsidRPr="00444069">
        <w:rPr>
          <w:lang w:val="en-GB"/>
        </w:rPr>
        <w:t>ies</w:t>
      </w:r>
      <w:r>
        <w:rPr>
          <w:lang w:val="en-GB"/>
        </w:rPr>
        <w:t>:</w:t>
      </w:r>
      <w:r w:rsidR="00BF0AE1" w:rsidRPr="00444069">
        <w:rPr>
          <w:lang w:val="en-GB"/>
        </w:rPr>
        <w:t xml:space="preserve"> </w:t>
      </w:r>
      <w:r w:rsidRPr="00CA5B30">
        <w:rPr>
          <w:b/>
          <w:lang w:val="en-GB"/>
        </w:rPr>
        <w:t>(</w:t>
      </w:r>
      <w:r w:rsidR="004F7FD0" w:rsidRPr="00CA5B30">
        <w:rPr>
          <w:b/>
          <w:lang w:val="en-GB"/>
        </w:rPr>
        <w:t xml:space="preserve">a) </w:t>
      </w:r>
      <w:r w:rsidR="00C42A02" w:rsidRPr="000F00F6">
        <w:rPr>
          <w:b/>
          <w:bCs/>
          <w:lang w:val="en-GB"/>
        </w:rPr>
        <w:t>increasing food security, creating livelihood</w:t>
      </w:r>
      <w:r w:rsidRPr="000F00F6">
        <w:rPr>
          <w:b/>
          <w:bCs/>
          <w:lang w:val="en-GB"/>
        </w:rPr>
        <w:t>s</w:t>
      </w:r>
      <w:r w:rsidR="00C42A02" w:rsidRPr="000F00F6">
        <w:rPr>
          <w:b/>
          <w:bCs/>
          <w:lang w:val="en-GB"/>
        </w:rPr>
        <w:t xml:space="preserve"> options and job</w:t>
      </w:r>
      <w:r w:rsidRPr="000F00F6">
        <w:rPr>
          <w:b/>
          <w:bCs/>
          <w:lang w:val="en-GB"/>
        </w:rPr>
        <w:t>s;</w:t>
      </w:r>
      <w:r w:rsidR="00727CBD" w:rsidRPr="000F00F6">
        <w:rPr>
          <w:rStyle w:val="FootnoteReference"/>
          <w:b/>
          <w:bCs/>
          <w:lang w:val="en-GB"/>
        </w:rPr>
        <w:footnoteReference w:id="28"/>
      </w:r>
      <w:r w:rsidR="00A679BA" w:rsidRPr="00CA5B30">
        <w:rPr>
          <w:b/>
          <w:lang w:val="en-GB"/>
        </w:rPr>
        <w:t xml:space="preserve"> </w:t>
      </w:r>
      <w:r w:rsidRPr="00CA5B30">
        <w:rPr>
          <w:b/>
          <w:lang w:val="en-GB"/>
        </w:rPr>
        <w:t>(</w:t>
      </w:r>
      <w:r w:rsidR="00A679BA" w:rsidRPr="00CA5B30">
        <w:rPr>
          <w:b/>
          <w:lang w:val="en-GB"/>
        </w:rPr>
        <w:t xml:space="preserve">b) </w:t>
      </w:r>
      <w:r w:rsidR="000C736C" w:rsidRPr="000F00F6">
        <w:rPr>
          <w:b/>
          <w:bCs/>
          <w:lang w:val="en-GB"/>
        </w:rPr>
        <w:t>driving inclusive economic structural transformation</w:t>
      </w:r>
      <w:r w:rsidRPr="000F00F6">
        <w:rPr>
          <w:b/>
          <w:bCs/>
          <w:lang w:val="en-GB"/>
        </w:rPr>
        <w:t>;</w:t>
      </w:r>
      <w:r w:rsidR="000B70AF" w:rsidRPr="00CA5B30">
        <w:rPr>
          <w:b/>
          <w:lang w:val="en-GB"/>
        </w:rPr>
        <w:t xml:space="preserve"> </w:t>
      </w:r>
      <w:r w:rsidR="000B70AF" w:rsidRPr="000F00F6">
        <w:rPr>
          <w:lang w:val="en-GB"/>
        </w:rPr>
        <w:t xml:space="preserve">and </w:t>
      </w:r>
      <w:r w:rsidRPr="00CA5B30">
        <w:rPr>
          <w:b/>
          <w:lang w:val="en-GB"/>
        </w:rPr>
        <w:t>(</w:t>
      </w:r>
      <w:r w:rsidR="000B70AF" w:rsidRPr="00CA5B30">
        <w:rPr>
          <w:b/>
          <w:lang w:val="en-GB"/>
        </w:rPr>
        <w:t>c</w:t>
      </w:r>
      <w:r w:rsidR="00A679BA" w:rsidRPr="00CA5B30">
        <w:rPr>
          <w:b/>
          <w:lang w:val="en-GB"/>
        </w:rPr>
        <w:t>)</w:t>
      </w:r>
      <w:r w:rsidR="00A679BA" w:rsidRPr="00444069">
        <w:rPr>
          <w:lang w:val="en-GB"/>
        </w:rPr>
        <w:t xml:space="preserve"> </w:t>
      </w:r>
      <w:r w:rsidR="000B70AF" w:rsidRPr="00444069">
        <w:rPr>
          <w:b/>
          <w:bCs/>
          <w:lang w:val="en-GB"/>
        </w:rPr>
        <w:t>building social services, social protection and inclusion for all</w:t>
      </w:r>
      <w:r w:rsidR="009708E9" w:rsidRPr="00444069">
        <w:rPr>
          <w:lang w:val="en-GB"/>
        </w:rPr>
        <w:t xml:space="preserve">. </w:t>
      </w:r>
    </w:p>
    <w:p w14:paraId="4942948B" w14:textId="58BFA6BA" w:rsidR="00AD66AE" w:rsidRPr="004806F2" w:rsidRDefault="00973C00" w:rsidP="000156B4">
      <w:pPr>
        <w:pStyle w:val="ListParagraph"/>
        <w:numPr>
          <w:ilvl w:val="0"/>
          <w:numId w:val="7"/>
        </w:numPr>
        <w:spacing w:after="120" w:line="240" w:lineRule="exact"/>
        <w:ind w:left="1080" w:right="1210" w:firstLine="0"/>
        <w:jc w:val="both"/>
        <w:rPr>
          <w:lang w:val="en-GB"/>
        </w:rPr>
      </w:pPr>
      <w:r w:rsidRPr="00444069">
        <w:rPr>
          <w:lang w:val="en-GB"/>
        </w:rPr>
        <w:t xml:space="preserve">In </w:t>
      </w:r>
      <w:r w:rsidR="007B336A" w:rsidRPr="00444069">
        <w:rPr>
          <w:lang w:val="en-GB"/>
        </w:rPr>
        <w:t xml:space="preserve">collaboration with </w:t>
      </w:r>
      <w:r w:rsidR="00BB16CC" w:rsidRPr="00444069">
        <w:rPr>
          <w:lang w:val="en-GB"/>
        </w:rPr>
        <w:t xml:space="preserve">the World Bank, Japan, </w:t>
      </w:r>
      <w:r w:rsidR="00DB3165">
        <w:rPr>
          <w:lang w:val="en-GB"/>
        </w:rPr>
        <w:t xml:space="preserve">the </w:t>
      </w:r>
      <w:r w:rsidR="00BB16CC" w:rsidRPr="00444069">
        <w:rPr>
          <w:lang w:val="en-GB"/>
        </w:rPr>
        <w:t>King Salman</w:t>
      </w:r>
      <w:r w:rsidR="00DB3165">
        <w:rPr>
          <w:lang w:val="en-GB"/>
        </w:rPr>
        <w:t xml:space="preserve"> Humanitarian Aid and </w:t>
      </w:r>
      <w:r w:rsidR="00BB16CC" w:rsidRPr="00444069">
        <w:rPr>
          <w:lang w:val="en-GB"/>
        </w:rPr>
        <w:t>Relief Centre, other donors</w:t>
      </w:r>
      <w:r w:rsidR="00167C03">
        <w:rPr>
          <w:lang w:val="en-GB"/>
        </w:rPr>
        <w:t>,</w:t>
      </w:r>
      <w:r w:rsidR="00BB16CC" w:rsidRPr="00444069">
        <w:rPr>
          <w:lang w:val="en-GB"/>
        </w:rPr>
        <w:t xml:space="preserve"> and local institutions</w:t>
      </w:r>
      <w:r w:rsidR="00A24D91" w:rsidRPr="00444069">
        <w:rPr>
          <w:lang w:val="en-GB"/>
        </w:rPr>
        <w:t>,</w:t>
      </w:r>
      <w:r w:rsidR="00BB16CC" w:rsidRPr="00444069">
        <w:rPr>
          <w:lang w:val="en-GB"/>
        </w:rPr>
        <w:t xml:space="preserve"> </w:t>
      </w:r>
      <w:r w:rsidR="0083320E" w:rsidRPr="00444069">
        <w:rPr>
          <w:lang w:val="en-GB"/>
        </w:rPr>
        <w:t xml:space="preserve">UNDP </w:t>
      </w:r>
      <w:r w:rsidR="00CB7268" w:rsidRPr="00444069">
        <w:rPr>
          <w:lang w:val="en-GB"/>
        </w:rPr>
        <w:t xml:space="preserve">will </w:t>
      </w:r>
      <w:r w:rsidR="00722780" w:rsidRPr="00444069">
        <w:rPr>
          <w:lang w:val="en-GB"/>
        </w:rPr>
        <w:t xml:space="preserve">provide technical support to </w:t>
      </w:r>
      <w:r w:rsidR="00CB7268" w:rsidRPr="00444069">
        <w:rPr>
          <w:lang w:val="en-GB"/>
        </w:rPr>
        <w:t xml:space="preserve">enhance the capacity of the Central Bank to </w:t>
      </w:r>
      <w:r w:rsidR="00CB7268" w:rsidRPr="004806F2">
        <w:rPr>
          <w:lang w:val="en-GB"/>
        </w:rPr>
        <w:t xml:space="preserve">restore trust and support the implementation of sound monetary and fiscal policies to </w:t>
      </w:r>
      <w:r w:rsidR="00CB7268" w:rsidRPr="004806F2">
        <w:rPr>
          <w:b/>
          <w:bCs/>
          <w:lang w:val="en-GB"/>
        </w:rPr>
        <w:t>stabili</w:t>
      </w:r>
      <w:r w:rsidR="00DB3165">
        <w:rPr>
          <w:b/>
          <w:bCs/>
          <w:lang w:val="en-GB"/>
        </w:rPr>
        <w:t>z</w:t>
      </w:r>
      <w:r w:rsidR="00CB7268" w:rsidRPr="004806F2">
        <w:rPr>
          <w:b/>
          <w:bCs/>
          <w:lang w:val="en-GB"/>
        </w:rPr>
        <w:t>e the exchange rate and curb inflation</w:t>
      </w:r>
      <w:r w:rsidR="00167C03">
        <w:rPr>
          <w:b/>
          <w:bCs/>
          <w:lang w:val="en-GB"/>
        </w:rPr>
        <w:t xml:space="preserve">; </w:t>
      </w:r>
      <w:r w:rsidR="00CB7268" w:rsidRPr="004806F2">
        <w:rPr>
          <w:lang w:val="en-GB"/>
        </w:rPr>
        <w:t xml:space="preserve">and </w:t>
      </w:r>
      <w:r w:rsidR="00722780" w:rsidRPr="004806F2">
        <w:rPr>
          <w:lang w:val="en-GB"/>
        </w:rPr>
        <w:t>to t</w:t>
      </w:r>
      <w:r w:rsidR="00032476" w:rsidRPr="004806F2">
        <w:rPr>
          <w:lang w:val="en-GB"/>
        </w:rPr>
        <w:t xml:space="preserve">he Ministry of Planning and International Cooperation </w:t>
      </w:r>
      <w:r w:rsidR="005E0C1C" w:rsidRPr="004806F2">
        <w:rPr>
          <w:lang w:val="en-GB"/>
        </w:rPr>
        <w:t xml:space="preserve">for improved </w:t>
      </w:r>
      <w:r w:rsidR="00032476" w:rsidRPr="004806F2">
        <w:rPr>
          <w:lang w:val="en-GB"/>
        </w:rPr>
        <w:t>fiscal policy formulation and implementation.</w:t>
      </w:r>
      <w:r w:rsidR="00F45B9C" w:rsidRPr="004806F2">
        <w:rPr>
          <w:lang w:val="en-GB"/>
        </w:rPr>
        <w:t xml:space="preserve"> </w:t>
      </w:r>
      <w:r w:rsidR="00C87243" w:rsidRPr="004806F2">
        <w:rPr>
          <w:lang w:val="en-GB"/>
        </w:rPr>
        <w:t xml:space="preserve">UNDP </w:t>
      </w:r>
      <w:r w:rsidR="008A1AFE" w:rsidRPr="004806F2">
        <w:rPr>
          <w:lang w:val="en-GB"/>
        </w:rPr>
        <w:t xml:space="preserve">will improve the efficiencies of the </w:t>
      </w:r>
      <w:r w:rsidR="001050F5" w:rsidRPr="004806F2">
        <w:rPr>
          <w:lang w:val="en-GB"/>
        </w:rPr>
        <w:t>Yemeni seaport</w:t>
      </w:r>
      <w:r w:rsidR="00DB3165">
        <w:rPr>
          <w:lang w:val="en-GB"/>
        </w:rPr>
        <w:t>; once</w:t>
      </w:r>
      <w:r w:rsidR="001854FD" w:rsidRPr="004806F2">
        <w:rPr>
          <w:lang w:val="en-GB"/>
        </w:rPr>
        <w:t xml:space="preserve"> rehabilitat</w:t>
      </w:r>
      <w:r w:rsidR="00DB3165">
        <w:rPr>
          <w:lang w:val="en-GB"/>
        </w:rPr>
        <w:t>ed</w:t>
      </w:r>
      <w:r w:rsidR="001854FD" w:rsidRPr="004806F2">
        <w:rPr>
          <w:lang w:val="en-GB"/>
        </w:rPr>
        <w:t xml:space="preserve">, </w:t>
      </w:r>
      <w:r w:rsidR="00DB3165">
        <w:rPr>
          <w:lang w:val="en-GB"/>
        </w:rPr>
        <w:t xml:space="preserve">the </w:t>
      </w:r>
      <w:r w:rsidR="001854FD" w:rsidRPr="004806F2">
        <w:rPr>
          <w:lang w:val="en-GB"/>
        </w:rPr>
        <w:t>importation costs of food c</w:t>
      </w:r>
      <w:r w:rsidR="000F00F6">
        <w:rPr>
          <w:lang w:val="en-GB"/>
        </w:rPr>
        <w:t>ould</w:t>
      </w:r>
      <w:r w:rsidR="001854FD" w:rsidRPr="004806F2">
        <w:rPr>
          <w:lang w:val="en-GB"/>
        </w:rPr>
        <w:t xml:space="preserve"> decrease from 50</w:t>
      </w:r>
      <w:r w:rsidR="00DB3165">
        <w:rPr>
          <w:lang w:val="en-GB"/>
        </w:rPr>
        <w:t> </w:t>
      </w:r>
      <w:r w:rsidR="001854FD" w:rsidRPr="004806F2">
        <w:rPr>
          <w:lang w:val="en-GB"/>
        </w:rPr>
        <w:t>per</w:t>
      </w:r>
      <w:r w:rsidR="00DB3165">
        <w:rPr>
          <w:lang w:val="en-GB"/>
        </w:rPr>
        <w:t> </w:t>
      </w:r>
      <w:r w:rsidR="001854FD" w:rsidRPr="004806F2">
        <w:rPr>
          <w:lang w:val="en-GB"/>
        </w:rPr>
        <w:t>cent to 10</w:t>
      </w:r>
      <w:r w:rsidR="00DB3165">
        <w:rPr>
          <w:lang w:val="en-GB"/>
        </w:rPr>
        <w:t> </w:t>
      </w:r>
      <w:r w:rsidR="001854FD" w:rsidRPr="004806F2">
        <w:rPr>
          <w:lang w:val="en-GB"/>
        </w:rPr>
        <w:t>per</w:t>
      </w:r>
      <w:r w:rsidR="00DB3165">
        <w:rPr>
          <w:lang w:val="en-GB"/>
        </w:rPr>
        <w:t> </w:t>
      </w:r>
      <w:r w:rsidR="001854FD" w:rsidRPr="004806F2">
        <w:rPr>
          <w:lang w:val="en-GB"/>
        </w:rPr>
        <w:t xml:space="preserve">cent, translating </w:t>
      </w:r>
      <w:r w:rsidR="00DB3165">
        <w:rPr>
          <w:lang w:val="en-GB"/>
        </w:rPr>
        <w:t>in</w:t>
      </w:r>
      <w:r w:rsidR="001854FD" w:rsidRPr="004806F2">
        <w:rPr>
          <w:lang w:val="en-GB"/>
        </w:rPr>
        <w:t xml:space="preserve">to </w:t>
      </w:r>
      <w:r w:rsidR="001854FD" w:rsidRPr="004806F2">
        <w:rPr>
          <w:b/>
          <w:bCs/>
          <w:lang w:val="en-GB"/>
        </w:rPr>
        <w:t>reduced food prices</w:t>
      </w:r>
      <w:r w:rsidR="001854FD" w:rsidRPr="004806F2">
        <w:rPr>
          <w:lang w:val="en-GB"/>
        </w:rPr>
        <w:t xml:space="preserve">. </w:t>
      </w:r>
    </w:p>
    <w:p w14:paraId="157880D1" w14:textId="0427E0E6" w:rsidR="00C87243" w:rsidRPr="004806F2" w:rsidRDefault="00A2394E" w:rsidP="000156B4">
      <w:pPr>
        <w:pStyle w:val="ListParagraph"/>
        <w:numPr>
          <w:ilvl w:val="0"/>
          <w:numId w:val="7"/>
        </w:numPr>
        <w:spacing w:after="120" w:line="240" w:lineRule="exact"/>
        <w:ind w:left="1080" w:right="1210" w:firstLine="0"/>
        <w:jc w:val="both"/>
        <w:rPr>
          <w:lang w:val="en-GB"/>
        </w:rPr>
      </w:pPr>
      <w:r>
        <w:rPr>
          <w:lang w:val="en-GB"/>
        </w:rPr>
        <w:t>I</w:t>
      </w:r>
      <w:r w:rsidR="006418BF" w:rsidRPr="004806F2">
        <w:rPr>
          <w:lang w:val="en-GB"/>
        </w:rPr>
        <w:t xml:space="preserve">n partnership with and funded by the World Bank, the European Union, Japan, </w:t>
      </w:r>
      <w:r w:rsidR="00DB3165">
        <w:rPr>
          <w:lang w:val="en-GB"/>
        </w:rPr>
        <w:t xml:space="preserve">the </w:t>
      </w:r>
      <w:r w:rsidR="00DB3165" w:rsidRPr="00444069">
        <w:rPr>
          <w:lang w:val="en-GB"/>
        </w:rPr>
        <w:t xml:space="preserve">King Salman </w:t>
      </w:r>
      <w:r w:rsidR="00925AA6">
        <w:rPr>
          <w:lang w:val="en-GB"/>
        </w:rPr>
        <w:t xml:space="preserve">Humanitarian Aid and </w:t>
      </w:r>
      <w:r w:rsidR="00925AA6" w:rsidRPr="00444069">
        <w:rPr>
          <w:lang w:val="en-GB"/>
        </w:rPr>
        <w:t xml:space="preserve">Relief </w:t>
      </w:r>
      <w:r w:rsidR="00DB3165" w:rsidRPr="00444069">
        <w:rPr>
          <w:lang w:val="en-GB"/>
        </w:rPr>
        <w:t>Centre</w:t>
      </w:r>
      <w:r w:rsidR="006418BF" w:rsidRPr="004806F2">
        <w:rPr>
          <w:lang w:val="en-GB"/>
        </w:rPr>
        <w:t xml:space="preserve">, </w:t>
      </w:r>
      <w:r w:rsidR="00EC5843">
        <w:rPr>
          <w:lang w:val="en-GB"/>
        </w:rPr>
        <w:t>the United Nations Children’s Fund (</w:t>
      </w:r>
      <w:r w:rsidR="003A5044" w:rsidRPr="004806F2">
        <w:rPr>
          <w:lang w:val="en-GB"/>
        </w:rPr>
        <w:t>UNICEF</w:t>
      </w:r>
      <w:r w:rsidR="00EC5843">
        <w:rPr>
          <w:lang w:val="en-GB"/>
        </w:rPr>
        <w:t>)</w:t>
      </w:r>
      <w:r w:rsidR="003A5044" w:rsidRPr="004806F2">
        <w:rPr>
          <w:lang w:val="en-GB"/>
        </w:rPr>
        <w:t xml:space="preserve">, </w:t>
      </w:r>
      <w:r w:rsidR="006418BF" w:rsidRPr="004806F2">
        <w:rPr>
          <w:lang w:val="en-GB"/>
        </w:rPr>
        <w:t>and other partners,</w:t>
      </w:r>
      <w:r w:rsidR="00FE4985" w:rsidRPr="004806F2">
        <w:rPr>
          <w:lang w:val="en-GB"/>
        </w:rPr>
        <w:t xml:space="preserve"> </w:t>
      </w:r>
      <w:r w:rsidRPr="004806F2">
        <w:rPr>
          <w:lang w:val="en-GB"/>
        </w:rPr>
        <w:t xml:space="preserve">UNDP will </w:t>
      </w:r>
      <w:r w:rsidR="003C1640" w:rsidRPr="004806F2">
        <w:rPr>
          <w:b/>
          <w:bCs/>
          <w:lang w:val="en-GB"/>
        </w:rPr>
        <w:t>enhance social protection</w:t>
      </w:r>
      <w:r w:rsidR="003C1640" w:rsidRPr="004806F2">
        <w:rPr>
          <w:lang w:val="en-GB"/>
        </w:rPr>
        <w:t xml:space="preserve"> and safety nets to improve </w:t>
      </w:r>
      <w:r>
        <w:rPr>
          <w:lang w:val="en-GB"/>
        </w:rPr>
        <w:t>people</w:t>
      </w:r>
      <w:r w:rsidR="003C1640" w:rsidRPr="004806F2">
        <w:rPr>
          <w:lang w:val="en-GB"/>
        </w:rPr>
        <w:t>’s capacity to deal with shocks and stressors</w:t>
      </w:r>
      <w:r>
        <w:rPr>
          <w:lang w:val="en-GB"/>
        </w:rPr>
        <w:t>;</w:t>
      </w:r>
      <w:r w:rsidR="003C1640" w:rsidRPr="004806F2">
        <w:rPr>
          <w:lang w:val="en-GB"/>
        </w:rPr>
        <w:t xml:space="preserve"> </w:t>
      </w:r>
      <w:r w:rsidR="008D46DB" w:rsidRPr="004806F2">
        <w:rPr>
          <w:lang w:val="en-GB"/>
        </w:rPr>
        <w:t xml:space="preserve">scale </w:t>
      </w:r>
      <w:r>
        <w:rPr>
          <w:lang w:val="en-GB"/>
        </w:rPr>
        <w:t xml:space="preserve">up </w:t>
      </w:r>
      <w:r w:rsidR="00C41195" w:rsidRPr="004806F2">
        <w:rPr>
          <w:lang w:val="en-GB"/>
        </w:rPr>
        <w:t xml:space="preserve">climate-resilient livelihoods and </w:t>
      </w:r>
      <w:r w:rsidR="00444978" w:rsidRPr="004806F2">
        <w:rPr>
          <w:lang w:val="en-GB"/>
        </w:rPr>
        <w:t>revive</w:t>
      </w:r>
      <w:r w:rsidR="00C41195" w:rsidRPr="004806F2">
        <w:rPr>
          <w:lang w:val="en-GB"/>
        </w:rPr>
        <w:t xml:space="preserve"> small businesses; boost the purchasing power and economic self-reliance </w:t>
      </w:r>
      <w:r w:rsidR="009B4251" w:rsidRPr="00DB3165">
        <w:rPr>
          <w:lang w:val="en-GB"/>
        </w:rPr>
        <w:t>of</w:t>
      </w:r>
      <w:r w:rsidR="00C41195" w:rsidRPr="00DB3165">
        <w:rPr>
          <w:lang w:val="en-GB"/>
        </w:rPr>
        <w:t xml:space="preserve"> </w:t>
      </w:r>
      <w:r w:rsidR="00BC605B" w:rsidRPr="00DB3165">
        <w:rPr>
          <w:lang w:val="en-GB"/>
        </w:rPr>
        <w:t xml:space="preserve">vulnerable </w:t>
      </w:r>
      <w:r w:rsidR="00C41195" w:rsidRPr="00DB3165">
        <w:rPr>
          <w:lang w:val="en-GB"/>
        </w:rPr>
        <w:t xml:space="preserve">households by providing access to gender-appropriate </w:t>
      </w:r>
      <w:r w:rsidR="00C41195" w:rsidRPr="00DB3165">
        <w:rPr>
          <w:b/>
          <w:bCs/>
          <w:lang w:val="en-GB"/>
        </w:rPr>
        <w:t>employment</w:t>
      </w:r>
      <w:r w:rsidR="00C41195" w:rsidRPr="00DB3165">
        <w:rPr>
          <w:lang w:val="en-GB"/>
        </w:rPr>
        <w:t xml:space="preserve"> </w:t>
      </w:r>
      <w:r w:rsidR="00C41195" w:rsidRPr="00DB3165">
        <w:rPr>
          <w:b/>
          <w:bCs/>
          <w:lang w:val="en-GB"/>
        </w:rPr>
        <w:t>and income opportunities</w:t>
      </w:r>
      <w:r w:rsidR="008F1FBB" w:rsidRPr="00DB3165">
        <w:rPr>
          <w:lang w:val="en-GB"/>
        </w:rPr>
        <w:t xml:space="preserve"> </w:t>
      </w:r>
      <w:r w:rsidR="00167C03">
        <w:rPr>
          <w:lang w:val="en-GB"/>
        </w:rPr>
        <w:t>that</w:t>
      </w:r>
      <w:r w:rsidR="009F233D" w:rsidRPr="00DB3165">
        <w:rPr>
          <w:lang w:val="en-GB"/>
        </w:rPr>
        <w:t xml:space="preserve"> take into consideration </w:t>
      </w:r>
      <w:r>
        <w:rPr>
          <w:lang w:val="en-GB"/>
        </w:rPr>
        <w:t>women’s</w:t>
      </w:r>
      <w:r w:rsidRPr="00DB3165">
        <w:rPr>
          <w:lang w:val="en-GB"/>
        </w:rPr>
        <w:t xml:space="preserve"> </w:t>
      </w:r>
      <w:r w:rsidR="00DE62C7" w:rsidRPr="00DB3165">
        <w:rPr>
          <w:lang w:val="en-GB"/>
        </w:rPr>
        <w:t>dif</w:t>
      </w:r>
      <w:r w:rsidR="00167C03">
        <w:rPr>
          <w:lang w:val="en-GB"/>
        </w:rPr>
        <w:t>ferent vulnerabilities;</w:t>
      </w:r>
      <w:r w:rsidR="009F233D" w:rsidRPr="00DB3165">
        <w:rPr>
          <w:lang w:val="en-GB"/>
        </w:rPr>
        <w:t xml:space="preserve"> </w:t>
      </w:r>
      <w:r w:rsidR="008F1FBB" w:rsidRPr="00DB3165">
        <w:rPr>
          <w:lang w:val="en-GB"/>
        </w:rPr>
        <w:t>and</w:t>
      </w:r>
      <w:r w:rsidR="00444978" w:rsidRPr="00CA5B30">
        <w:rPr>
          <w:lang w:val="en-GB"/>
        </w:rPr>
        <w:t xml:space="preserve"> </w:t>
      </w:r>
      <w:r w:rsidR="00444978" w:rsidRPr="00444069">
        <w:rPr>
          <w:lang w:val="en-GB"/>
        </w:rPr>
        <w:t>enhance equal access to productive community assets and facilities</w:t>
      </w:r>
      <w:r w:rsidR="00BC605B" w:rsidRPr="00444069">
        <w:rPr>
          <w:lang w:val="en-GB"/>
        </w:rPr>
        <w:t>.</w:t>
      </w:r>
      <w:r w:rsidR="00C41195" w:rsidRPr="00444069">
        <w:rPr>
          <w:lang w:val="en-GB"/>
        </w:rPr>
        <w:t xml:space="preserve"> </w:t>
      </w:r>
      <w:r w:rsidR="008A29E1" w:rsidRPr="00444069">
        <w:rPr>
          <w:lang w:val="en-GB"/>
        </w:rPr>
        <w:t xml:space="preserve">Working with </w:t>
      </w:r>
      <w:r w:rsidR="00B005D8" w:rsidRPr="00444069">
        <w:rPr>
          <w:lang w:val="en-GB"/>
        </w:rPr>
        <w:t xml:space="preserve">micro-finance institutions </w:t>
      </w:r>
      <w:r w:rsidR="00AE13F8" w:rsidRPr="00444069">
        <w:rPr>
          <w:lang w:val="en-GB"/>
        </w:rPr>
        <w:t xml:space="preserve">and </w:t>
      </w:r>
      <w:r w:rsidR="00B005D8" w:rsidRPr="00444069">
        <w:rPr>
          <w:lang w:val="en-GB"/>
        </w:rPr>
        <w:t>banks</w:t>
      </w:r>
      <w:r w:rsidR="00F14CA7" w:rsidRPr="00444069">
        <w:rPr>
          <w:lang w:val="en-GB"/>
        </w:rPr>
        <w:t>, UNDP</w:t>
      </w:r>
      <w:r w:rsidR="00B005D8" w:rsidRPr="00444069">
        <w:rPr>
          <w:lang w:val="en-GB"/>
        </w:rPr>
        <w:t xml:space="preserve"> will </w:t>
      </w:r>
      <w:r w:rsidR="00B005D8" w:rsidRPr="00444069">
        <w:rPr>
          <w:b/>
          <w:bCs/>
          <w:lang w:val="en-GB"/>
        </w:rPr>
        <w:t>promote value-chain development and access to innovative financial</w:t>
      </w:r>
      <w:r w:rsidR="00B005D8" w:rsidRPr="00444069">
        <w:rPr>
          <w:lang w:val="en-GB"/>
        </w:rPr>
        <w:t xml:space="preserve"> </w:t>
      </w:r>
      <w:r w:rsidR="00B005D8" w:rsidRPr="00CA5B30">
        <w:rPr>
          <w:b/>
          <w:lang w:val="en-GB"/>
        </w:rPr>
        <w:t>services</w:t>
      </w:r>
      <w:r w:rsidR="00B005D8" w:rsidRPr="00444069">
        <w:rPr>
          <w:lang w:val="en-GB"/>
        </w:rPr>
        <w:t xml:space="preserve"> and products for entrepreneurs</w:t>
      </w:r>
      <w:r w:rsidR="00653C00" w:rsidRPr="00444069">
        <w:rPr>
          <w:lang w:val="en-GB"/>
        </w:rPr>
        <w:t xml:space="preserve">, </w:t>
      </w:r>
      <w:r w:rsidR="00167C03">
        <w:rPr>
          <w:lang w:val="en-GB"/>
        </w:rPr>
        <w:t>particularly</w:t>
      </w:r>
      <w:r w:rsidR="00653C00" w:rsidRPr="00444069">
        <w:rPr>
          <w:lang w:val="en-GB"/>
        </w:rPr>
        <w:t xml:space="preserve"> women entrep</w:t>
      </w:r>
      <w:r w:rsidR="00C61F0D" w:rsidRPr="00444069">
        <w:rPr>
          <w:lang w:val="en-GB"/>
        </w:rPr>
        <w:t>reneurs</w:t>
      </w:r>
      <w:r w:rsidR="00B005D8" w:rsidRPr="00444069">
        <w:rPr>
          <w:lang w:val="en-GB"/>
        </w:rPr>
        <w:t>.</w:t>
      </w:r>
      <w:r w:rsidR="000A74FA" w:rsidRPr="00444069">
        <w:rPr>
          <w:lang w:val="en-GB"/>
        </w:rPr>
        <w:t xml:space="preserve"> </w:t>
      </w:r>
      <w:r w:rsidR="006F14A3" w:rsidRPr="00444069">
        <w:rPr>
          <w:lang w:val="en-GB"/>
        </w:rPr>
        <w:t xml:space="preserve">UNDP will partner with </w:t>
      </w:r>
      <w:r>
        <w:rPr>
          <w:lang w:val="en-GB"/>
        </w:rPr>
        <w:t>the Food and Agriculture Organization</w:t>
      </w:r>
      <w:r w:rsidR="006F14A3" w:rsidRPr="00444069">
        <w:rPr>
          <w:lang w:val="en-GB"/>
        </w:rPr>
        <w:t xml:space="preserve"> and </w:t>
      </w:r>
      <w:r>
        <w:rPr>
          <w:lang w:val="en-GB"/>
        </w:rPr>
        <w:t>the World Food Programme</w:t>
      </w:r>
      <w:r w:rsidRPr="00444069">
        <w:rPr>
          <w:lang w:val="en-GB"/>
        </w:rPr>
        <w:t xml:space="preserve"> </w:t>
      </w:r>
      <w:r w:rsidR="006F14A3" w:rsidRPr="00444069">
        <w:rPr>
          <w:lang w:val="en-GB"/>
        </w:rPr>
        <w:t xml:space="preserve">to implement a comprehensive food security improvement programme that will </w:t>
      </w:r>
      <w:r w:rsidR="007056F7" w:rsidRPr="004806F2">
        <w:rPr>
          <w:b/>
          <w:bCs/>
          <w:lang w:val="en-GB"/>
        </w:rPr>
        <w:t xml:space="preserve">boost climate-smart local agricultural production </w:t>
      </w:r>
      <w:r w:rsidR="007056F7" w:rsidRPr="004806F2">
        <w:rPr>
          <w:lang w:val="en-GB"/>
        </w:rPr>
        <w:t xml:space="preserve">and </w:t>
      </w:r>
      <w:r w:rsidR="008F1FBB" w:rsidRPr="004806F2">
        <w:rPr>
          <w:lang w:val="en-GB"/>
        </w:rPr>
        <w:t>build a diversified export of premium crops such as coffee</w:t>
      </w:r>
      <w:r w:rsidR="006F14A3" w:rsidRPr="004806F2">
        <w:rPr>
          <w:lang w:val="en-GB"/>
        </w:rPr>
        <w:t xml:space="preserve">. </w:t>
      </w:r>
    </w:p>
    <w:p w14:paraId="32A50EBA" w14:textId="5B0423DE" w:rsidR="00ED5FEB" w:rsidRPr="004806F2" w:rsidRDefault="00545BA8" w:rsidP="000156B4">
      <w:pPr>
        <w:pStyle w:val="ListParagraph"/>
        <w:numPr>
          <w:ilvl w:val="0"/>
          <w:numId w:val="7"/>
        </w:numPr>
        <w:spacing w:after="120" w:line="240" w:lineRule="exact"/>
        <w:ind w:left="1080" w:right="1210" w:firstLine="0"/>
        <w:jc w:val="both"/>
        <w:rPr>
          <w:lang w:val="en-GB"/>
        </w:rPr>
      </w:pPr>
      <w:r w:rsidRPr="004806F2">
        <w:rPr>
          <w:lang w:val="en-GB"/>
        </w:rPr>
        <w:t xml:space="preserve">Given the potential of renewable energy sources, UNDP will partner with </w:t>
      </w:r>
      <w:r w:rsidR="00A2394E">
        <w:rPr>
          <w:lang w:val="en-GB"/>
        </w:rPr>
        <w:t>the</w:t>
      </w:r>
      <w:r w:rsidR="00A2394E" w:rsidRPr="004806F2">
        <w:rPr>
          <w:lang w:val="en-GB"/>
        </w:rPr>
        <w:t xml:space="preserve"> </w:t>
      </w:r>
      <w:r w:rsidRPr="004806F2">
        <w:rPr>
          <w:lang w:val="en-GB"/>
        </w:rPr>
        <w:t xml:space="preserve">private sector in </w:t>
      </w:r>
      <w:r w:rsidR="00475BB5" w:rsidRPr="004806F2">
        <w:rPr>
          <w:b/>
          <w:bCs/>
          <w:lang w:val="en-GB"/>
        </w:rPr>
        <w:t>extracting</w:t>
      </w:r>
      <w:r w:rsidRPr="004806F2">
        <w:rPr>
          <w:b/>
          <w:bCs/>
          <w:lang w:val="en-GB"/>
        </w:rPr>
        <w:t xml:space="preserve"> solar, wind, and geothermal energy resources </w:t>
      </w:r>
      <w:r w:rsidRPr="004806F2">
        <w:rPr>
          <w:lang w:val="en-GB"/>
        </w:rPr>
        <w:t xml:space="preserve">and </w:t>
      </w:r>
      <w:r w:rsidR="00475BB5" w:rsidRPr="004806F2">
        <w:rPr>
          <w:lang w:val="en-GB"/>
        </w:rPr>
        <w:t>implementing</w:t>
      </w:r>
      <w:r w:rsidRPr="004806F2">
        <w:rPr>
          <w:lang w:val="en-GB"/>
        </w:rPr>
        <w:t xml:space="preserve"> waste</w:t>
      </w:r>
      <w:r w:rsidR="00A2394E">
        <w:rPr>
          <w:lang w:val="en-GB"/>
        </w:rPr>
        <w:t>-</w:t>
      </w:r>
      <w:r w:rsidRPr="004806F2">
        <w:rPr>
          <w:lang w:val="en-GB"/>
        </w:rPr>
        <w:t>to</w:t>
      </w:r>
      <w:r w:rsidR="00A2394E">
        <w:rPr>
          <w:lang w:val="en-GB"/>
        </w:rPr>
        <w:t>-</w:t>
      </w:r>
      <w:r w:rsidRPr="004806F2">
        <w:rPr>
          <w:lang w:val="en-GB"/>
        </w:rPr>
        <w:t xml:space="preserve">energy initiatives. </w:t>
      </w:r>
      <w:r w:rsidR="00167C03">
        <w:rPr>
          <w:lang w:val="en-GB"/>
        </w:rPr>
        <w:t>Since</w:t>
      </w:r>
      <w:r w:rsidR="00223729" w:rsidRPr="004806F2">
        <w:rPr>
          <w:lang w:val="en-GB"/>
        </w:rPr>
        <w:t xml:space="preserve"> water resources are increasingly scarce, resulting in competition over water resources, sustainable water management is an essential component </w:t>
      </w:r>
      <w:r w:rsidR="001D407B" w:rsidRPr="004806F2">
        <w:rPr>
          <w:lang w:val="en-GB"/>
        </w:rPr>
        <w:t xml:space="preserve">of economic recovery and social cohesion. </w:t>
      </w:r>
      <w:r w:rsidR="00ED5FEB" w:rsidRPr="004806F2">
        <w:rPr>
          <w:lang w:val="en-GB"/>
        </w:rPr>
        <w:t xml:space="preserve">UNDP, </w:t>
      </w:r>
      <w:r w:rsidR="00A2394E">
        <w:rPr>
          <w:lang w:val="en-GB"/>
        </w:rPr>
        <w:t>the Food and Agriculture Organization</w:t>
      </w:r>
      <w:r w:rsidR="000F00F6">
        <w:rPr>
          <w:lang w:val="en-GB"/>
        </w:rPr>
        <w:t xml:space="preserve"> (FAO)</w:t>
      </w:r>
      <w:r w:rsidR="00ED5FEB" w:rsidRPr="004806F2">
        <w:rPr>
          <w:lang w:val="en-GB"/>
        </w:rPr>
        <w:t xml:space="preserve"> and </w:t>
      </w:r>
      <w:r w:rsidR="00E30C65" w:rsidRPr="004806F2">
        <w:rPr>
          <w:lang w:val="en-GB"/>
        </w:rPr>
        <w:t>partners</w:t>
      </w:r>
      <w:r w:rsidR="00ED5FEB" w:rsidRPr="004806F2">
        <w:rPr>
          <w:lang w:val="en-GB"/>
        </w:rPr>
        <w:t xml:space="preserve"> will </w:t>
      </w:r>
      <w:r w:rsidR="00C231E5" w:rsidRPr="004806F2">
        <w:rPr>
          <w:lang w:val="en-GB"/>
        </w:rPr>
        <w:t xml:space="preserve">build the </w:t>
      </w:r>
      <w:r w:rsidR="00ED5FEB" w:rsidRPr="004806F2">
        <w:rPr>
          <w:lang w:val="en-GB"/>
        </w:rPr>
        <w:t xml:space="preserve">capacity of local </w:t>
      </w:r>
      <w:r w:rsidR="00ED5FEB" w:rsidRPr="00A2394E">
        <w:rPr>
          <w:lang w:val="en-GB"/>
        </w:rPr>
        <w:t xml:space="preserve">institutions </w:t>
      </w:r>
      <w:r w:rsidR="00921432" w:rsidRPr="00CA5B30">
        <w:rPr>
          <w:bCs/>
          <w:lang w:val="en-GB"/>
        </w:rPr>
        <w:t>to</w:t>
      </w:r>
      <w:r w:rsidR="00921432" w:rsidRPr="004806F2">
        <w:rPr>
          <w:b/>
          <w:bCs/>
          <w:lang w:val="en-GB"/>
        </w:rPr>
        <w:t xml:space="preserve"> </w:t>
      </w:r>
      <w:r w:rsidR="003C3080" w:rsidRPr="004806F2">
        <w:rPr>
          <w:b/>
          <w:bCs/>
          <w:lang w:val="en-GB"/>
        </w:rPr>
        <w:t xml:space="preserve">undertake </w:t>
      </w:r>
      <w:r w:rsidR="00921432" w:rsidRPr="004806F2">
        <w:rPr>
          <w:b/>
          <w:bCs/>
          <w:lang w:val="en-GB"/>
        </w:rPr>
        <w:t>climate-resilient</w:t>
      </w:r>
      <w:r w:rsidR="00EE4AF2" w:rsidRPr="004806F2">
        <w:rPr>
          <w:b/>
          <w:bCs/>
          <w:lang w:val="en-GB"/>
        </w:rPr>
        <w:t xml:space="preserve"> livelihoods</w:t>
      </w:r>
      <w:r w:rsidR="00921432" w:rsidRPr="004806F2">
        <w:rPr>
          <w:b/>
          <w:bCs/>
          <w:lang w:val="en-GB"/>
        </w:rPr>
        <w:t xml:space="preserve"> and </w:t>
      </w:r>
      <w:r w:rsidR="001D407B" w:rsidRPr="004806F2">
        <w:rPr>
          <w:b/>
          <w:bCs/>
          <w:lang w:val="en-GB"/>
        </w:rPr>
        <w:t>integrated</w:t>
      </w:r>
      <w:r w:rsidR="00135355" w:rsidRPr="004806F2">
        <w:rPr>
          <w:b/>
          <w:bCs/>
          <w:lang w:val="en-GB"/>
        </w:rPr>
        <w:t xml:space="preserve"> </w:t>
      </w:r>
      <w:r w:rsidR="00ED5FEB" w:rsidRPr="004806F2">
        <w:rPr>
          <w:b/>
          <w:bCs/>
          <w:lang w:val="en-GB"/>
        </w:rPr>
        <w:t>water resource management</w:t>
      </w:r>
      <w:r w:rsidR="00167C03">
        <w:rPr>
          <w:b/>
          <w:bCs/>
          <w:lang w:val="en-GB"/>
        </w:rPr>
        <w:t>,</w:t>
      </w:r>
      <w:r w:rsidR="00E3394A" w:rsidRPr="004806F2">
        <w:rPr>
          <w:lang w:val="en-GB"/>
        </w:rPr>
        <w:t xml:space="preserve"> r</w:t>
      </w:r>
      <w:r w:rsidR="00382A0B" w:rsidRPr="004806F2">
        <w:rPr>
          <w:lang w:val="en-GB"/>
        </w:rPr>
        <w:t>estor</w:t>
      </w:r>
      <w:r w:rsidR="00167C03">
        <w:rPr>
          <w:lang w:val="en-GB"/>
        </w:rPr>
        <w:t>ing</w:t>
      </w:r>
      <w:r w:rsidR="00382A0B" w:rsidRPr="004806F2">
        <w:rPr>
          <w:lang w:val="en-GB"/>
        </w:rPr>
        <w:t xml:space="preserve"> and improv</w:t>
      </w:r>
      <w:r w:rsidR="00167C03">
        <w:rPr>
          <w:lang w:val="en-GB"/>
        </w:rPr>
        <w:t>ing</w:t>
      </w:r>
      <w:r w:rsidR="00382A0B" w:rsidRPr="004806F2">
        <w:rPr>
          <w:lang w:val="en-GB"/>
        </w:rPr>
        <w:t xml:space="preserve"> access to water</w:t>
      </w:r>
      <w:r w:rsidR="000F00F6">
        <w:rPr>
          <w:lang w:val="en-GB"/>
        </w:rPr>
        <w:t>.</w:t>
      </w:r>
    </w:p>
    <w:p w14:paraId="6916A7FF" w14:textId="3B96057A" w:rsidR="00C43B52" w:rsidRPr="004806F2" w:rsidRDefault="00444069" w:rsidP="000156B4">
      <w:pPr>
        <w:pStyle w:val="ListParagraph"/>
        <w:numPr>
          <w:ilvl w:val="0"/>
          <w:numId w:val="7"/>
        </w:numPr>
        <w:spacing w:after="120" w:line="240" w:lineRule="exact"/>
        <w:ind w:left="1080" w:right="1210" w:firstLine="0"/>
        <w:jc w:val="both"/>
        <w:rPr>
          <w:lang w:val="en-GB"/>
        </w:rPr>
      </w:pPr>
      <w:r>
        <w:rPr>
          <w:lang w:val="en-GB"/>
        </w:rPr>
        <w:t>The theory of change</w:t>
      </w:r>
      <w:r w:rsidR="003C3080" w:rsidRPr="00444069">
        <w:rPr>
          <w:lang w:val="en-GB"/>
        </w:rPr>
        <w:t xml:space="preserve"> </w:t>
      </w:r>
      <w:r w:rsidR="00E946DB" w:rsidRPr="00444069">
        <w:rPr>
          <w:lang w:val="en-GB"/>
        </w:rPr>
        <w:t xml:space="preserve">for </w:t>
      </w:r>
      <w:r w:rsidR="00652736" w:rsidRPr="00444069">
        <w:rPr>
          <w:lang w:val="en-GB"/>
        </w:rPr>
        <w:t xml:space="preserve">programme priority area </w:t>
      </w:r>
      <w:r w:rsidR="00241AAD" w:rsidRPr="00444069">
        <w:rPr>
          <w:lang w:val="en-GB"/>
        </w:rPr>
        <w:t>two</w:t>
      </w:r>
      <w:r w:rsidR="00552C65" w:rsidRPr="00444069">
        <w:rPr>
          <w:lang w:val="en-GB"/>
        </w:rPr>
        <w:t xml:space="preserve"> is</w:t>
      </w:r>
      <w:r>
        <w:rPr>
          <w:lang w:val="en-GB"/>
        </w:rPr>
        <w:t>:</w:t>
      </w:r>
      <w:r w:rsidR="00552C65" w:rsidRPr="00444069">
        <w:rPr>
          <w:lang w:val="en-GB"/>
        </w:rPr>
        <w:t xml:space="preserve"> </w:t>
      </w:r>
      <w:r w:rsidRPr="00444069">
        <w:rPr>
          <w:b/>
          <w:i/>
          <w:lang w:val="en-GB"/>
        </w:rPr>
        <w:t>if</w:t>
      </w:r>
      <w:r w:rsidR="00552C65" w:rsidRPr="00444069">
        <w:rPr>
          <w:lang w:val="en-GB"/>
        </w:rPr>
        <w:t xml:space="preserve"> </w:t>
      </w:r>
      <w:r w:rsidR="009C6134" w:rsidRPr="00444069">
        <w:rPr>
          <w:lang w:val="en-GB"/>
        </w:rPr>
        <w:t xml:space="preserve">subnational </w:t>
      </w:r>
      <w:r w:rsidR="00552C65" w:rsidRPr="00444069">
        <w:rPr>
          <w:lang w:val="en-GB"/>
        </w:rPr>
        <w:t>governance institutions</w:t>
      </w:r>
      <w:r w:rsidR="00AC4F84" w:rsidRPr="00444069">
        <w:rPr>
          <w:lang w:val="en-GB"/>
        </w:rPr>
        <w:t xml:space="preserve">, civil society </w:t>
      </w:r>
      <w:r w:rsidR="00552C65" w:rsidRPr="00444069">
        <w:rPr>
          <w:lang w:val="en-GB"/>
        </w:rPr>
        <w:t>and the private sector</w:t>
      </w:r>
      <w:r w:rsidR="00AC4F84" w:rsidRPr="00444069">
        <w:rPr>
          <w:lang w:val="en-GB"/>
        </w:rPr>
        <w:t xml:space="preserve"> are enabled to foster local governance, and </w:t>
      </w:r>
      <w:r w:rsidRPr="00444069">
        <w:rPr>
          <w:b/>
          <w:i/>
          <w:lang w:val="en-GB"/>
        </w:rPr>
        <w:t>if</w:t>
      </w:r>
      <w:r w:rsidR="00167C03">
        <w:rPr>
          <w:lang w:val="en-GB"/>
        </w:rPr>
        <w:t xml:space="preserve"> rule-of-</w:t>
      </w:r>
      <w:r w:rsidR="00AC4F84" w:rsidRPr="00444069">
        <w:rPr>
          <w:lang w:val="en-GB"/>
        </w:rPr>
        <w:t>law institutions</w:t>
      </w:r>
      <w:r w:rsidR="00476784" w:rsidRPr="00444069">
        <w:rPr>
          <w:lang w:val="en-GB"/>
        </w:rPr>
        <w:t xml:space="preserve"> are capacitated to ensure the security, </w:t>
      </w:r>
      <w:r w:rsidR="008C66F0" w:rsidRPr="00444069">
        <w:rPr>
          <w:lang w:val="en-GB"/>
        </w:rPr>
        <w:t>safety,</w:t>
      </w:r>
      <w:r w:rsidR="00476784" w:rsidRPr="00444069">
        <w:rPr>
          <w:lang w:val="en-GB"/>
        </w:rPr>
        <w:t xml:space="preserve"> and protection of Yemenis, </w:t>
      </w:r>
      <w:r>
        <w:rPr>
          <w:b/>
          <w:i/>
          <w:lang w:val="en-GB"/>
        </w:rPr>
        <w:t>then</w:t>
      </w:r>
      <w:r w:rsidRPr="00444069">
        <w:rPr>
          <w:lang w:val="en-GB"/>
        </w:rPr>
        <w:t xml:space="preserve"> </w:t>
      </w:r>
      <w:r w:rsidR="008C66F0" w:rsidRPr="00CA5B30">
        <w:rPr>
          <w:i/>
          <w:lang w:val="en-GB"/>
        </w:rPr>
        <w:t>subnational</w:t>
      </w:r>
      <w:r w:rsidR="00AB4FD0" w:rsidRPr="004806F2">
        <w:rPr>
          <w:i/>
          <w:iCs/>
          <w:lang w:val="en-GB"/>
        </w:rPr>
        <w:t xml:space="preserve"> </w:t>
      </w:r>
      <w:r w:rsidR="00AB4FD0" w:rsidRPr="00444069">
        <w:rPr>
          <w:i/>
          <w:iCs/>
          <w:lang w:val="en-GB"/>
        </w:rPr>
        <w:t>governance structures</w:t>
      </w:r>
      <w:r w:rsidR="00A85D44" w:rsidRPr="00444069">
        <w:rPr>
          <w:i/>
          <w:iCs/>
          <w:lang w:val="en-GB"/>
        </w:rPr>
        <w:t xml:space="preserve"> </w:t>
      </w:r>
      <w:r w:rsidR="009C6134" w:rsidRPr="00444069">
        <w:rPr>
          <w:i/>
          <w:iCs/>
          <w:lang w:val="en-GB"/>
        </w:rPr>
        <w:t xml:space="preserve">will be preserved and strengthened to deliver on their respective mandates. </w:t>
      </w:r>
      <w:r w:rsidR="00EA7920" w:rsidRPr="00CA5B30">
        <w:rPr>
          <w:iCs/>
          <w:lang w:val="en-GB"/>
        </w:rPr>
        <w:t xml:space="preserve">This </w:t>
      </w:r>
      <w:r w:rsidR="008C66F0" w:rsidRPr="00CA5B30">
        <w:rPr>
          <w:iCs/>
          <w:lang w:val="en-GB"/>
        </w:rPr>
        <w:t>programme area</w:t>
      </w:r>
      <w:r w:rsidR="008C66F0" w:rsidRPr="00444069">
        <w:rPr>
          <w:i/>
          <w:iCs/>
          <w:lang w:val="en-GB"/>
        </w:rPr>
        <w:t xml:space="preserve"> </w:t>
      </w:r>
      <w:r w:rsidR="00A25F58" w:rsidRPr="00444069">
        <w:rPr>
          <w:lang w:val="en-GB"/>
        </w:rPr>
        <w:t xml:space="preserve">addresses </w:t>
      </w:r>
      <w:r w:rsidR="003A0E2D" w:rsidRPr="00444069">
        <w:rPr>
          <w:lang w:val="en-GB"/>
        </w:rPr>
        <w:t xml:space="preserve">the </w:t>
      </w:r>
      <w:r w:rsidR="00EC3478" w:rsidRPr="00444069">
        <w:rPr>
          <w:lang w:val="en-GB"/>
        </w:rPr>
        <w:t xml:space="preserve">Framework </w:t>
      </w:r>
      <w:r w:rsidR="003A0E2D" w:rsidRPr="00444069">
        <w:rPr>
          <w:lang w:val="en-GB"/>
        </w:rPr>
        <w:t>priority</w:t>
      </w:r>
      <w:r w:rsidR="00BF0AE1" w:rsidRPr="00444069">
        <w:rPr>
          <w:lang w:val="en-GB"/>
        </w:rPr>
        <w:t xml:space="preserve"> of</w:t>
      </w:r>
      <w:r w:rsidR="0086500D" w:rsidRPr="00CA5B30">
        <w:rPr>
          <w:lang w:val="en-GB"/>
        </w:rPr>
        <w:t xml:space="preserve"> </w:t>
      </w:r>
      <w:r w:rsidR="0086500D" w:rsidRPr="00444069">
        <w:rPr>
          <w:b/>
          <w:bCs/>
          <w:lang w:val="en-GB"/>
        </w:rPr>
        <w:t>preserving inclusive, effective and efficient national and local development</w:t>
      </w:r>
      <w:r w:rsidR="000F00F6">
        <w:rPr>
          <w:b/>
          <w:bCs/>
          <w:lang w:val="en-GB"/>
        </w:rPr>
        <w:t>,</w:t>
      </w:r>
      <w:r w:rsidR="0086500D" w:rsidRPr="00444069">
        <w:rPr>
          <w:b/>
          <w:bCs/>
          <w:lang w:val="en-GB"/>
        </w:rPr>
        <w:t xml:space="preserve"> and systems strengthening</w:t>
      </w:r>
      <w:r w:rsidR="001428A5" w:rsidRPr="00444069">
        <w:rPr>
          <w:b/>
          <w:bCs/>
          <w:lang w:val="en-GB"/>
        </w:rPr>
        <w:t xml:space="preserve">. </w:t>
      </w:r>
      <w:r w:rsidR="00AD7687" w:rsidRPr="00444069">
        <w:rPr>
          <w:lang w:val="en-GB"/>
        </w:rPr>
        <w:t xml:space="preserve">UNDP </w:t>
      </w:r>
      <w:r w:rsidR="00EA7920" w:rsidRPr="00444069">
        <w:rPr>
          <w:lang w:val="en-GB"/>
        </w:rPr>
        <w:t>will partner</w:t>
      </w:r>
      <w:r w:rsidR="00AD7687" w:rsidRPr="00444069">
        <w:rPr>
          <w:lang w:val="en-GB"/>
        </w:rPr>
        <w:t xml:space="preserve"> with the </w:t>
      </w:r>
      <w:r w:rsidR="00A2394E" w:rsidRPr="00444069">
        <w:rPr>
          <w:lang w:val="en-GB"/>
        </w:rPr>
        <w:t>E</w:t>
      </w:r>
      <w:r w:rsidR="00A2394E">
        <w:rPr>
          <w:lang w:val="en-GB"/>
        </w:rPr>
        <w:t>uropean Union</w:t>
      </w:r>
      <w:r w:rsidR="00AD7687" w:rsidRPr="00444069">
        <w:rPr>
          <w:lang w:val="en-GB"/>
        </w:rPr>
        <w:t xml:space="preserve">, Japan, </w:t>
      </w:r>
      <w:r w:rsidR="00A2394E">
        <w:rPr>
          <w:lang w:val="en-GB"/>
        </w:rPr>
        <w:t xml:space="preserve">the </w:t>
      </w:r>
      <w:r w:rsidR="00AD7687" w:rsidRPr="00444069">
        <w:rPr>
          <w:lang w:val="en-GB"/>
        </w:rPr>
        <w:t>Netherlands</w:t>
      </w:r>
      <w:r w:rsidR="003B265A" w:rsidRPr="00444069">
        <w:rPr>
          <w:lang w:val="en-GB"/>
        </w:rPr>
        <w:t xml:space="preserve">, </w:t>
      </w:r>
      <w:r w:rsidR="00A2394E">
        <w:rPr>
          <w:lang w:val="en-GB"/>
        </w:rPr>
        <w:t xml:space="preserve">the </w:t>
      </w:r>
      <w:r w:rsidR="004F6213" w:rsidRPr="00444069">
        <w:rPr>
          <w:lang w:val="en-GB"/>
        </w:rPr>
        <w:t>Republic of Korea</w:t>
      </w:r>
      <w:r w:rsidR="00C2390E" w:rsidRPr="00444069">
        <w:rPr>
          <w:lang w:val="en-GB"/>
        </w:rPr>
        <w:t xml:space="preserve">, </w:t>
      </w:r>
      <w:r w:rsidR="00F13153" w:rsidRPr="00444069">
        <w:rPr>
          <w:lang w:val="en-GB"/>
        </w:rPr>
        <w:t xml:space="preserve">other donors, </w:t>
      </w:r>
      <w:r w:rsidR="003B265A" w:rsidRPr="00444069">
        <w:rPr>
          <w:lang w:val="en-GB"/>
        </w:rPr>
        <w:t xml:space="preserve">local </w:t>
      </w:r>
      <w:r w:rsidR="00B61654" w:rsidRPr="00444069">
        <w:rPr>
          <w:lang w:val="en-GB"/>
        </w:rPr>
        <w:t>institutions</w:t>
      </w:r>
      <w:r w:rsidR="003B265A" w:rsidRPr="004806F2">
        <w:rPr>
          <w:lang w:val="en-GB"/>
        </w:rPr>
        <w:t xml:space="preserve"> and the private sector</w:t>
      </w:r>
      <w:r w:rsidR="00F13153" w:rsidRPr="004806F2">
        <w:rPr>
          <w:lang w:val="en-GB"/>
        </w:rPr>
        <w:t xml:space="preserve"> </w:t>
      </w:r>
      <w:r w:rsidR="00167C03">
        <w:rPr>
          <w:lang w:val="en-GB"/>
        </w:rPr>
        <w:t>in this area</w:t>
      </w:r>
      <w:r w:rsidR="00EA7920" w:rsidRPr="004806F2">
        <w:rPr>
          <w:lang w:val="en-GB"/>
        </w:rPr>
        <w:t xml:space="preserve">. </w:t>
      </w:r>
      <w:r w:rsidR="003253CA" w:rsidRPr="004806F2">
        <w:rPr>
          <w:lang w:val="en-GB"/>
        </w:rPr>
        <w:t xml:space="preserve"> </w:t>
      </w:r>
    </w:p>
    <w:p w14:paraId="6A7BE6DD" w14:textId="4B361708" w:rsidR="00B10C06" w:rsidRPr="00CA5B30" w:rsidRDefault="00F46910" w:rsidP="000156B4">
      <w:pPr>
        <w:pStyle w:val="ListParagraph"/>
        <w:numPr>
          <w:ilvl w:val="0"/>
          <w:numId w:val="7"/>
        </w:numPr>
        <w:spacing w:after="120" w:line="240" w:lineRule="exact"/>
        <w:ind w:left="1080" w:right="1210" w:firstLine="0"/>
        <w:jc w:val="both"/>
        <w:rPr>
          <w:lang w:val="en-GB"/>
        </w:rPr>
      </w:pPr>
      <w:r>
        <w:rPr>
          <w:lang w:val="en-GB"/>
        </w:rPr>
        <w:t>I</w:t>
      </w:r>
      <w:r w:rsidRPr="004806F2">
        <w:rPr>
          <w:lang w:val="en-GB"/>
        </w:rPr>
        <w:t xml:space="preserve">n partnership with the World Bank, </w:t>
      </w:r>
      <w:r>
        <w:rPr>
          <w:lang w:val="en-GB"/>
        </w:rPr>
        <w:t>the European Union</w:t>
      </w:r>
      <w:r w:rsidRPr="004806F2">
        <w:rPr>
          <w:lang w:val="en-GB"/>
        </w:rPr>
        <w:t>, Sweden, Japan</w:t>
      </w:r>
      <w:r>
        <w:rPr>
          <w:lang w:val="en-GB"/>
        </w:rPr>
        <w:t>,</w:t>
      </w:r>
      <w:r w:rsidRPr="004806F2">
        <w:rPr>
          <w:lang w:val="en-GB"/>
        </w:rPr>
        <w:t xml:space="preserve"> and other donors</w:t>
      </w:r>
      <w:r>
        <w:rPr>
          <w:lang w:val="en-GB"/>
        </w:rPr>
        <w:t>,</w:t>
      </w:r>
      <w:r w:rsidRPr="004806F2">
        <w:rPr>
          <w:lang w:val="en-GB"/>
        </w:rPr>
        <w:t xml:space="preserve"> </w:t>
      </w:r>
      <w:r w:rsidR="00E72E1E" w:rsidRPr="004806F2">
        <w:rPr>
          <w:lang w:val="en-GB"/>
        </w:rPr>
        <w:t>UNDP</w:t>
      </w:r>
      <w:r w:rsidR="0068065B" w:rsidRPr="004806F2">
        <w:rPr>
          <w:lang w:val="en-GB"/>
        </w:rPr>
        <w:t xml:space="preserve"> </w:t>
      </w:r>
      <w:r w:rsidR="00E72E1E" w:rsidRPr="004806F2">
        <w:rPr>
          <w:lang w:val="en-GB"/>
        </w:rPr>
        <w:t xml:space="preserve">will enhance </w:t>
      </w:r>
      <w:r w:rsidR="00EA7920" w:rsidRPr="004806F2">
        <w:rPr>
          <w:lang w:val="en-GB"/>
        </w:rPr>
        <w:t xml:space="preserve">the </w:t>
      </w:r>
      <w:r w:rsidR="00A2394E">
        <w:rPr>
          <w:lang w:val="en-GB"/>
        </w:rPr>
        <w:t xml:space="preserve">capacity of the </w:t>
      </w:r>
      <w:r w:rsidR="00E72E1E" w:rsidRPr="004806F2">
        <w:rPr>
          <w:lang w:val="en-GB"/>
        </w:rPr>
        <w:t xml:space="preserve">private sector </w:t>
      </w:r>
      <w:r w:rsidR="00C96769" w:rsidRPr="004806F2">
        <w:rPr>
          <w:lang w:val="en-GB"/>
        </w:rPr>
        <w:t xml:space="preserve">and civil </w:t>
      </w:r>
      <w:r w:rsidR="00EA7920" w:rsidRPr="004806F2">
        <w:rPr>
          <w:lang w:val="en-GB"/>
        </w:rPr>
        <w:t>society</w:t>
      </w:r>
      <w:r w:rsidR="00C96769" w:rsidRPr="004806F2">
        <w:rPr>
          <w:lang w:val="en-GB"/>
        </w:rPr>
        <w:t xml:space="preserve"> </w:t>
      </w:r>
      <w:r w:rsidR="00E72E1E" w:rsidRPr="004806F2">
        <w:rPr>
          <w:lang w:val="en-GB"/>
        </w:rPr>
        <w:t>to engage with subnational authorities on local economic recovery and development</w:t>
      </w:r>
      <w:r w:rsidR="0043669F">
        <w:rPr>
          <w:lang w:val="en-GB"/>
        </w:rPr>
        <w:t>;</w:t>
      </w:r>
      <w:r w:rsidR="00E72E1E" w:rsidRPr="004806F2">
        <w:rPr>
          <w:lang w:val="en-GB"/>
        </w:rPr>
        <w:t xml:space="preserve"> promote public-private partnership opportunities to improve community service delivery</w:t>
      </w:r>
      <w:r w:rsidR="000F00F6">
        <w:rPr>
          <w:lang w:val="en-GB"/>
        </w:rPr>
        <w:t>;</w:t>
      </w:r>
      <w:r w:rsidR="00E72E1E" w:rsidRPr="004806F2">
        <w:rPr>
          <w:lang w:val="en-GB"/>
        </w:rPr>
        <w:t xml:space="preserve"> and ensure that local economic recovery and development plans are inclusive, integrating, and addressing the needs</w:t>
      </w:r>
      <w:r w:rsidR="00EA7920" w:rsidRPr="004806F2">
        <w:rPr>
          <w:lang w:val="en-GB"/>
        </w:rPr>
        <w:t xml:space="preserve"> </w:t>
      </w:r>
      <w:r w:rsidR="00F72146" w:rsidRPr="004806F2">
        <w:rPr>
          <w:lang w:val="en-GB"/>
        </w:rPr>
        <w:lastRenderedPageBreak/>
        <w:t xml:space="preserve">of </w:t>
      </w:r>
      <w:r w:rsidR="003C146B" w:rsidRPr="004806F2">
        <w:rPr>
          <w:lang w:val="en-GB"/>
        </w:rPr>
        <w:t xml:space="preserve">women, youth, and </w:t>
      </w:r>
      <w:r w:rsidR="00325E1B" w:rsidRPr="004806F2">
        <w:rPr>
          <w:lang w:val="en-GB"/>
        </w:rPr>
        <w:t>those at the risk of being left fur</w:t>
      </w:r>
      <w:r w:rsidR="00325E1B" w:rsidRPr="00DB3165">
        <w:rPr>
          <w:lang w:val="en-GB"/>
        </w:rPr>
        <w:t xml:space="preserve">thest behind, including the </w:t>
      </w:r>
      <w:r w:rsidR="00E72E1E" w:rsidRPr="00DB3165">
        <w:rPr>
          <w:lang w:val="en-GB"/>
        </w:rPr>
        <w:t xml:space="preserve">Muhamasheen, </w:t>
      </w:r>
      <w:r w:rsidR="003C146B" w:rsidRPr="00DB3165">
        <w:rPr>
          <w:lang w:val="en-GB"/>
        </w:rPr>
        <w:t>people with disabilities,</w:t>
      </w:r>
      <w:r w:rsidR="00E72E1E" w:rsidRPr="00DB3165">
        <w:rPr>
          <w:lang w:val="en-GB"/>
        </w:rPr>
        <w:t xml:space="preserve"> </w:t>
      </w:r>
      <w:r w:rsidR="00F53064" w:rsidRPr="00DB3165">
        <w:rPr>
          <w:lang w:val="en-GB"/>
        </w:rPr>
        <w:t>internally displaced persons</w:t>
      </w:r>
      <w:r w:rsidR="00E72E1E" w:rsidRPr="00DB3165">
        <w:rPr>
          <w:lang w:val="en-GB"/>
        </w:rPr>
        <w:t xml:space="preserve">, and </w:t>
      </w:r>
      <w:r w:rsidR="00325E1B" w:rsidRPr="00DB3165">
        <w:rPr>
          <w:lang w:val="en-GB"/>
        </w:rPr>
        <w:t>r</w:t>
      </w:r>
      <w:r w:rsidR="00E72E1E" w:rsidRPr="00DB3165">
        <w:rPr>
          <w:lang w:val="en-GB"/>
        </w:rPr>
        <w:t>eturnees.</w:t>
      </w:r>
      <w:r w:rsidR="002A030F" w:rsidRPr="00CA5B30">
        <w:rPr>
          <w:lang w:val="en-GB"/>
        </w:rPr>
        <w:t xml:space="preserve"> </w:t>
      </w:r>
    </w:p>
    <w:p w14:paraId="6EF711BD" w14:textId="2BE8BB87" w:rsidR="00993E75" w:rsidRPr="00444069" w:rsidRDefault="00B10C06" w:rsidP="000156B4">
      <w:pPr>
        <w:pStyle w:val="ListParagraph"/>
        <w:numPr>
          <w:ilvl w:val="0"/>
          <w:numId w:val="7"/>
        </w:numPr>
        <w:spacing w:after="120" w:line="240" w:lineRule="exact"/>
        <w:ind w:left="1080" w:right="1210" w:firstLine="0"/>
        <w:jc w:val="both"/>
        <w:rPr>
          <w:lang w:val="en-GB"/>
        </w:rPr>
      </w:pPr>
      <w:r w:rsidRPr="00444069">
        <w:rPr>
          <w:lang w:val="en-GB"/>
        </w:rPr>
        <w:t>To facilitate the security, safety and protection of Yemenis, UNDP</w:t>
      </w:r>
      <w:r w:rsidR="00ED026E" w:rsidRPr="00444069">
        <w:rPr>
          <w:lang w:val="en-GB"/>
        </w:rPr>
        <w:t xml:space="preserve"> will </w:t>
      </w:r>
      <w:r w:rsidR="00925AF2" w:rsidRPr="00444069">
        <w:rPr>
          <w:lang w:val="en-GB"/>
        </w:rPr>
        <w:t>collaborate with the Netherlands</w:t>
      </w:r>
      <w:r w:rsidR="00B555D6" w:rsidRPr="00444069">
        <w:rPr>
          <w:lang w:val="en-GB"/>
        </w:rPr>
        <w:t xml:space="preserve">, </w:t>
      </w:r>
      <w:r w:rsidR="009016B3" w:rsidRPr="00444069">
        <w:rPr>
          <w:lang w:val="en-GB"/>
        </w:rPr>
        <w:t xml:space="preserve">the </w:t>
      </w:r>
      <w:r w:rsidR="00B555D6" w:rsidRPr="00444069">
        <w:rPr>
          <w:lang w:val="en-GB"/>
        </w:rPr>
        <w:t xml:space="preserve">Republic of Korea, </w:t>
      </w:r>
      <w:r w:rsidR="00096066" w:rsidRPr="00444069">
        <w:rPr>
          <w:lang w:val="en-GB"/>
        </w:rPr>
        <w:t xml:space="preserve">the </w:t>
      </w:r>
      <w:r w:rsidR="00423766" w:rsidRPr="00444069">
        <w:rPr>
          <w:lang w:val="en-GB"/>
        </w:rPr>
        <w:t xml:space="preserve">United Kingdom, </w:t>
      </w:r>
      <w:r w:rsidR="00B555D6" w:rsidRPr="00444069">
        <w:rPr>
          <w:lang w:val="en-GB"/>
        </w:rPr>
        <w:t xml:space="preserve">other donors, </w:t>
      </w:r>
      <w:r w:rsidR="00BD43AF" w:rsidRPr="00444069">
        <w:rPr>
          <w:lang w:val="en-GB"/>
        </w:rPr>
        <w:t>the Office of the Special Envoy of the Secretary-General for Yemen</w:t>
      </w:r>
      <w:r w:rsidRPr="00444069">
        <w:rPr>
          <w:lang w:val="en-GB"/>
        </w:rPr>
        <w:t>, UNICEF, UN</w:t>
      </w:r>
      <w:r w:rsidR="00AD061F" w:rsidRPr="00444069">
        <w:rPr>
          <w:lang w:val="en-GB"/>
        </w:rPr>
        <w:t>-</w:t>
      </w:r>
      <w:r w:rsidRPr="00444069">
        <w:rPr>
          <w:lang w:val="en-GB"/>
        </w:rPr>
        <w:t xml:space="preserve">Women, </w:t>
      </w:r>
      <w:r w:rsidR="007F7FE4">
        <w:rPr>
          <w:lang w:val="en-GB"/>
        </w:rPr>
        <w:t xml:space="preserve">the </w:t>
      </w:r>
      <w:r w:rsidR="007F7FE4" w:rsidRPr="00CA5B30">
        <w:rPr>
          <w:lang w:val="en-GB"/>
        </w:rPr>
        <w:t>Office of the United Nations High Commissioner for Refugees (</w:t>
      </w:r>
      <w:r w:rsidRPr="00444069">
        <w:rPr>
          <w:lang w:val="en-GB"/>
        </w:rPr>
        <w:t>UNHCR</w:t>
      </w:r>
      <w:r w:rsidR="007F7FE4">
        <w:rPr>
          <w:lang w:val="en-GB"/>
        </w:rPr>
        <w:t>)</w:t>
      </w:r>
      <w:r w:rsidRPr="00444069">
        <w:rPr>
          <w:lang w:val="en-GB"/>
        </w:rPr>
        <w:t xml:space="preserve"> and </w:t>
      </w:r>
      <w:r w:rsidR="00C94D94">
        <w:rPr>
          <w:lang w:val="en-GB"/>
        </w:rPr>
        <w:t>the United Nations Office on Drugs and Crime</w:t>
      </w:r>
      <w:r w:rsidRPr="00444069">
        <w:rPr>
          <w:lang w:val="en-GB"/>
        </w:rPr>
        <w:t xml:space="preserve"> under the umbrella of the rule</w:t>
      </w:r>
      <w:r w:rsidR="00C94D94">
        <w:rPr>
          <w:lang w:val="en-GB"/>
        </w:rPr>
        <w:t>-</w:t>
      </w:r>
      <w:r w:rsidRPr="00444069">
        <w:rPr>
          <w:lang w:val="en-GB"/>
        </w:rPr>
        <w:t>of</w:t>
      </w:r>
      <w:r w:rsidR="00C94D94">
        <w:rPr>
          <w:lang w:val="en-GB"/>
        </w:rPr>
        <w:t>-</w:t>
      </w:r>
      <w:r w:rsidRPr="00444069">
        <w:rPr>
          <w:lang w:val="en-GB"/>
        </w:rPr>
        <w:t>law sector-wide approach</w:t>
      </w:r>
      <w:r w:rsidR="0074597C" w:rsidRPr="004806F2">
        <w:rPr>
          <w:lang w:val="en-GB"/>
        </w:rPr>
        <w:t xml:space="preserve"> to</w:t>
      </w:r>
      <w:r w:rsidR="000A1926" w:rsidRPr="004806F2">
        <w:rPr>
          <w:lang w:val="en-GB"/>
        </w:rPr>
        <w:t xml:space="preserve"> ensure that rural and urban areas receive support based </w:t>
      </w:r>
      <w:r w:rsidR="00B35CC8" w:rsidRPr="004806F2">
        <w:rPr>
          <w:lang w:val="en-GB"/>
        </w:rPr>
        <w:t>on</w:t>
      </w:r>
      <w:r w:rsidR="000A1926" w:rsidRPr="004806F2">
        <w:rPr>
          <w:lang w:val="en-GB"/>
        </w:rPr>
        <w:t xml:space="preserve"> their needs and capacities. Support to the security sector</w:t>
      </w:r>
      <w:r w:rsidR="009B4526">
        <w:rPr>
          <w:lang w:val="en-GB"/>
        </w:rPr>
        <w:t xml:space="preserve"> – </w:t>
      </w:r>
      <w:r w:rsidR="000A1926" w:rsidRPr="004806F2">
        <w:rPr>
          <w:lang w:val="en-GB"/>
        </w:rPr>
        <w:t>particularly the police</w:t>
      </w:r>
      <w:r w:rsidR="00976E9F" w:rsidRPr="004806F2">
        <w:rPr>
          <w:lang w:val="en-GB"/>
        </w:rPr>
        <w:t>, prisons</w:t>
      </w:r>
      <w:r w:rsidR="00A270B8" w:rsidRPr="004806F2">
        <w:rPr>
          <w:lang w:val="en-GB"/>
        </w:rPr>
        <w:t>,</w:t>
      </w:r>
      <w:r w:rsidR="000A1926" w:rsidRPr="004806F2">
        <w:rPr>
          <w:lang w:val="en-GB"/>
        </w:rPr>
        <w:t xml:space="preserve"> and coast guard</w:t>
      </w:r>
      <w:r w:rsidR="009B4526">
        <w:rPr>
          <w:lang w:val="en-GB"/>
        </w:rPr>
        <w:t xml:space="preserve"> –</w:t>
      </w:r>
      <w:r w:rsidR="000A1926" w:rsidRPr="004806F2">
        <w:rPr>
          <w:lang w:val="en-GB"/>
        </w:rPr>
        <w:t xml:space="preserve"> will focus on developing operational and planning capacit</w:t>
      </w:r>
      <w:r w:rsidR="009B4526">
        <w:rPr>
          <w:lang w:val="en-GB"/>
        </w:rPr>
        <w:t>ies</w:t>
      </w:r>
      <w:r w:rsidR="000A1926" w:rsidRPr="004806F2">
        <w:rPr>
          <w:lang w:val="en-GB"/>
        </w:rPr>
        <w:t xml:space="preserve"> through human resources management, training, and gender-sensitive infrastructure development.</w:t>
      </w:r>
      <w:r w:rsidR="005B7163" w:rsidRPr="00CA5B30">
        <w:rPr>
          <w:lang w:val="en-GB"/>
        </w:rPr>
        <w:t xml:space="preserve"> </w:t>
      </w:r>
      <w:r w:rsidR="005B7163" w:rsidRPr="00444069">
        <w:rPr>
          <w:lang w:val="en-GB"/>
        </w:rPr>
        <w:t>In stable areas, and where politically feasible, UNDP will work on improving access to justice, particularly for women, by working with civil society on legal rights awareness-raising</w:t>
      </w:r>
      <w:r w:rsidR="009B4526">
        <w:rPr>
          <w:lang w:val="en-GB"/>
        </w:rPr>
        <w:t>;</w:t>
      </w:r>
      <w:r w:rsidR="005B7163" w:rsidRPr="00444069">
        <w:rPr>
          <w:lang w:val="en-GB"/>
        </w:rPr>
        <w:t xml:space="preserve"> establishing legal help</w:t>
      </w:r>
      <w:r w:rsidR="009B4526">
        <w:rPr>
          <w:lang w:val="en-GB"/>
        </w:rPr>
        <w:t xml:space="preserve"> </w:t>
      </w:r>
      <w:r w:rsidR="005B7163" w:rsidRPr="00444069">
        <w:rPr>
          <w:lang w:val="en-GB"/>
        </w:rPr>
        <w:t>desks in police stations and other sites easily accessible by vulnerable groups</w:t>
      </w:r>
      <w:r w:rsidR="009B4526">
        <w:rPr>
          <w:lang w:val="en-GB"/>
        </w:rPr>
        <w:t>;</w:t>
      </w:r>
      <w:r w:rsidR="005B7163" w:rsidRPr="00444069">
        <w:rPr>
          <w:lang w:val="en-GB"/>
        </w:rPr>
        <w:t xml:space="preserve"> training legal aid providers</w:t>
      </w:r>
      <w:r w:rsidR="009B4526">
        <w:rPr>
          <w:lang w:val="en-GB"/>
        </w:rPr>
        <w:t>;</w:t>
      </w:r>
      <w:r w:rsidR="00B35CC8" w:rsidRPr="00444069">
        <w:rPr>
          <w:lang w:val="en-GB"/>
        </w:rPr>
        <w:t xml:space="preserve"> paralegal outreach</w:t>
      </w:r>
      <w:r w:rsidR="009B4526">
        <w:rPr>
          <w:lang w:val="en-GB"/>
        </w:rPr>
        <w:t>;</w:t>
      </w:r>
      <w:r w:rsidR="00B35CC8" w:rsidRPr="00444069">
        <w:rPr>
          <w:lang w:val="en-GB"/>
        </w:rPr>
        <w:t xml:space="preserve"> and providing access to direct legal aid through </w:t>
      </w:r>
      <w:r w:rsidR="009B4526">
        <w:rPr>
          <w:lang w:val="en-GB"/>
        </w:rPr>
        <w:t>b</w:t>
      </w:r>
      <w:r w:rsidR="00B35CC8" w:rsidRPr="00444069">
        <w:rPr>
          <w:lang w:val="en-GB"/>
        </w:rPr>
        <w:t xml:space="preserve">ar associations, lawyers networks and civil rights </w:t>
      </w:r>
      <w:r w:rsidR="009B4526">
        <w:rPr>
          <w:lang w:val="en-GB"/>
        </w:rPr>
        <w:t>civil society organization</w:t>
      </w:r>
      <w:r w:rsidR="009B4526" w:rsidRPr="00444069">
        <w:rPr>
          <w:lang w:val="en-GB"/>
        </w:rPr>
        <w:t>s</w:t>
      </w:r>
      <w:r w:rsidR="00147616" w:rsidRPr="00444069">
        <w:rPr>
          <w:lang w:val="en-GB"/>
        </w:rPr>
        <w:t xml:space="preserve">. </w:t>
      </w:r>
    </w:p>
    <w:p w14:paraId="0451FA5A" w14:textId="589F12CB" w:rsidR="00E72E1E" w:rsidRPr="009B4526" w:rsidRDefault="009A4731" w:rsidP="000156B4">
      <w:pPr>
        <w:pStyle w:val="ListParagraph"/>
        <w:numPr>
          <w:ilvl w:val="0"/>
          <w:numId w:val="7"/>
        </w:numPr>
        <w:spacing w:after="120" w:line="240" w:lineRule="exact"/>
        <w:ind w:left="1080" w:right="1210" w:firstLine="0"/>
        <w:jc w:val="both"/>
        <w:rPr>
          <w:lang w:val="en-GB"/>
        </w:rPr>
      </w:pPr>
      <w:r w:rsidRPr="004806F2">
        <w:rPr>
          <w:lang w:val="en-GB"/>
        </w:rPr>
        <w:t xml:space="preserve">The high penetration of mobile phones </w:t>
      </w:r>
      <w:r w:rsidR="00FA11A1" w:rsidRPr="004806F2">
        <w:rPr>
          <w:lang w:val="en-GB"/>
        </w:rPr>
        <w:t>provides</w:t>
      </w:r>
      <w:r w:rsidR="008A770C" w:rsidRPr="004806F2">
        <w:rPr>
          <w:lang w:val="en-GB"/>
        </w:rPr>
        <w:t xml:space="preserve"> opportunities to de</w:t>
      </w:r>
      <w:r w:rsidR="00FA11A1" w:rsidRPr="004806F2">
        <w:rPr>
          <w:lang w:val="en-GB"/>
        </w:rPr>
        <w:t>ploy</w:t>
      </w:r>
      <w:r w:rsidR="008A770C" w:rsidRPr="004806F2">
        <w:rPr>
          <w:lang w:val="en-GB"/>
        </w:rPr>
        <w:t xml:space="preserve"> mobile applications</w:t>
      </w:r>
      <w:r w:rsidR="00FA11A1" w:rsidRPr="004806F2">
        <w:rPr>
          <w:lang w:val="en-GB"/>
        </w:rPr>
        <w:t xml:space="preserve"> </w:t>
      </w:r>
      <w:r w:rsidR="00787F7D" w:rsidRPr="004806F2">
        <w:rPr>
          <w:lang w:val="en-GB"/>
        </w:rPr>
        <w:t xml:space="preserve">to disseminate and gather information on gender-based violence. </w:t>
      </w:r>
      <w:r w:rsidR="00147616" w:rsidRPr="004806F2">
        <w:rPr>
          <w:lang w:val="en-GB"/>
        </w:rPr>
        <w:t>UNDP will support institutional capacity</w:t>
      </w:r>
      <w:r w:rsidR="000F00F6">
        <w:rPr>
          <w:lang w:val="en-GB"/>
        </w:rPr>
        <w:t>-</w:t>
      </w:r>
      <w:r w:rsidR="00147616" w:rsidRPr="004806F2">
        <w:rPr>
          <w:lang w:val="en-GB"/>
        </w:rPr>
        <w:t xml:space="preserve">building </w:t>
      </w:r>
      <w:r w:rsidR="00E32D11" w:rsidRPr="004806F2">
        <w:rPr>
          <w:lang w:val="en-GB"/>
        </w:rPr>
        <w:t>for key government institutions</w:t>
      </w:r>
      <w:r w:rsidR="00EA429A" w:rsidRPr="004806F2">
        <w:rPr>
          <w:lang w:val="en-GB"/>
        </w:rPr>
        <w:t xml:space="preserve"> and</w:t>
      </w:r>
      <w:r w:rsidR="00E32D11" w:rsidRPr="004806F2">
        <w:rPr>
          <w:lang w:val="en-GB"/>
        </w:rPr>
        <w:t xml:space="preserve"> </w:t>
      </w:r>
      <w:r w:rsidR="00EA429A" w:rsidRPr="004806F2">
        <w:rPr>
          <w:lang w:val="en-GB"/>
        </w:rPr>
        <w:t>enhance digital</w:t>
      </w:r>
      <w:r w:rsidR="007830DB" w:rsidRPr="004806F2">
        <w:rPr>
          <w:lang w:val="en-GB"/>
        </w:rPr>
        <w:t xml:space="preserve"> services and data management</w:t>
      </w:r>
      <w:r w:rsidR="00077C96" w:rsidRPr="004806F2">
        <w:rPr>
          <w:lang w:val="en-GB"/>
        </w:rPr>
        <w:t xml:space="preserve">, exploring opportunities for </w:t>
      </w:r>
      <w:r w:rsidR="004F17DF" w:rsidRPr="004806F2">
        <w:rPr>
          <w:lang w:val="en-GB"/>
        </w:rPr>
        <w:t>S</w:t>
      </w:r>
      <w:r w:rsidR="00077C96" w:rsidRPr="004806F2">
        <w:rPr>
          <w:lang w:val="en-GB"/>
        </w:rPr>
        <w:t>outh</w:t>
      </w:r>
      <w:r w:rsidR="009B4526">
        <w:rPr>
          <w:lang w:val="en-GB"/>
        </w:rPr>
        <w:t>-</w:t>
      </w:r>
      <w:r w:rsidR="004F17DF" w:rsidRPr="004806F2">
        <w:rPr>
          <w:lang w:val="en-GB"/>
        </w:rPr>
        <w:t>S</w:t>
      </w:r>
      <w:r w:rsidR="00077C96" w:rsidRPr="004806F2">
        <w:rPr>
          <w:lang w:val="en-GB"/>
        </w:rPr>
        <w:t xml:space="preserve">outh and </w:t>
      </w:r>
      <w:r w:rsidR="009B4526">
        <w:rPr>
          <w:lang w:val="en-GB"/>
        </w:rPr>
        <w:t>t</w:t>
      </w:r>
      <w:r w:rsidR="00077C96" w:rsidRPr="00DB3165">
        <w:rPr>
          <w:lang w:val="en-GB"/>
        </w:rPr>
        <w:t xml:space="preserve">riangular </w:t>
      </w:r>
      <w:r w:rsidR="009B4526">
        <w:rPr>
          <w:lang w:val="en-GB"/>
        </w:rPr>
        <w:t>c</w:t>
      </w:r>
      <w:r w:rsidR="004F17DF" w:rsidRPr="009B4526">
        <w:rPr>
          <w:lang w:val="en-GB"/>
        </w:rPr>
        <w:t>ooperation</w:t>
      </w:r>
      <w:r w:rsidR="005E319E" w:rsidRPr="009B4526">
        <w:rPr>
          <w:lang w:val="en-GB"/>
        </w:rPr>
        <w:t xml:space="preserve"> with countries in the region</w:t>
      </w:r>
      <w:r w:rsidR="00644AC0" w:rsidRPr="009B4526">
        <w:rPr>
          <w:lang w:val="en-GB"/>
        </w:rPr>
        <w:t xml:space="preserve"> and </w:t>
      </w:r>
      <w:r w:rsidR="001F501A" w:rsidRPr="009B4526">
        <w:rPr>
          <w:lang w:val="en-GB"/>
        </w:rPr>
        <w:t>beyond</w:t>
      </w:r>
      <w:r w:rsidR="00C10AD2" w:rsidRPr="009B4526">
        <w:rPr>
          <w:lang w:val="en-GB"/>
        </w:rPr>
        <w:t xml:space="preserve">. </w:t>
      </w:r>
    </w:p>
    <w:p w14:paraId="38458C73" w14:textId="45993E49" w:rsidR="00361D9F" w:rsidRPr="004806F2" w:rsidRDefault="00444069" w:rsidP="000156B4">
      <w:pPr>
        <w:pStyle w:val="ListParagraph"/>
        <w:numPr>
          <w:ilvl w:val="0"/>
          <w:numId w:val="7"/>
        </w:numPr>
        <w:spacing w:after="120" w:line="240" w:lineRule="exact"/>
        <w:ind w:left="1080" w:right="1210" w:firstLine="0"/>
        <w:jc w:val="both"/>
        <w:rPr>
          <w:lang w:val="en-GB"/>
        </w:rPr>
      </w:pPr>
      <w:r>
        <w:rPr>
          <w:lang w:val="en-GB"/>
        </w:rPr>
        <w:t>The theory of change</w:t>
      </w:r>
      <w:r w:rsidR="00B25C7C" w:rsidRPr="00444069">
        <w:rPr>
          <w:lang w:val="en-GB"/>
        </w:rPr>
        <w:t xml:space="preserve"> </w:t>
      </w:r>
      <w:r w:rsidR="00C2390E" w:rsidRPr="00444069">
        <w:rPr>
          <w:lang w:val="en-GB"/>
        </w:rPr>
        <w:t xml:space="preserve">for </w:t>
      </w:r>
      <w:r w:rsidR="00361D9F" w:rsidRPr="00444069">
        <w:rPr>
          <w:lang w:val="en-GB"/>
        </w:rPr>
        <w:t xml:space="preserve">programme priority area </w:t>
      </w:r>
      <w:r w:rsidR="00EA429A" w:rsidRPr="00444069">
        <w:rPr>
          <w:lang w:val="en-GB"/>
        </w:rPr>
        <w:t>three</w:t>
      </w:r>
      <w:r w:rsidR="00BD0EEE" w:rsidRPr="00444069">
        <w:rPr>
          <w:lang w:val="en-GB"/>
        </w:rPr>
        <w:t xml:space="preserve"> is</w:t>
      </w:r>
      <w:r>
        <w:rPr>
          <w:lang w:val="en-GB"/>
        </w:rPr>
        <w:t>:</w:t>
      </w:r>
      <w:r w:rsidR="00BD0EEE" w:rsidRPr="00444069">
        <w:rPr>
          <w:lang w:val="en-GB"/>
        </w:rPr>
        <w:t xml:space="preserve"> </w:t>
      </w:r>
      <w:r w:rsidRPr="00444069">
        <w:rPr>
          <w:b/>
          <w:i/>
          <w:lang w:val="en-GB"/>
        </w:rPr>
        <w:t>if</w:t>
      </w:r>
      <w:r w:rsidR="008C3561" w:rsidRPr="00444069">
        <w:rPr>
          <w:lang w:val="en-GB"/>
        </w:rPr>
        <w:t xml:space="preserve"> social cohesion, livelihoods, </w:t>
      </w:r>
      <w:r w:rsidR="0039028C" w:rsidRPr="00444069">
        <w:rPr>
          <w:lang w:val="en-GB"/>
        </w:rPr>
        <w:t xml:space="preserve">productive </w:t>
      </w:r>
      <w:r w:rsidR="008C3561" w:rsidRPr="00444069">
        <w:rPr>
          <w:lang w:val="en-GB"/>
        </w:rPr>
        <w:t>assets, and production levels of crisis-affected communities are restored</w:t>
      </w:r>
      <w:r w:rsidR="000F00F6">
        <w:rPr>
          <w:lang w:val="en-GB"/>
        </w:rPr>
        <w:t>,</w:t>
      </w:r>
      <w:r w:rsidR="00C45EBD" w:rsidRPr="00444069">
        <w:rPr>
          <w:lang w:val="en-GB"/>
        </w:rPr>
        <w:t xml:space="preserve"> trust </w:t>
      </w:r>
      <w:r w:rsidR="0039028C" w:rsidRPr="00444069">
        <w:rPr>
          <w:lang w:val="en-GB"/>
        </w:rPr>
        <w:t>is</w:t>
      </w:r>
      <w:r w:rsidR="00C45EBD" w:rsidRPr="00444069">
        <w:rPr>
          <w:lang w:val="en-GB"/>
        </w:rPr>
        <w:t xml:space="preserve"> (re)built among conflicting parties</w:t>
      </w:r>
      <w:r w:rsidR="0039028C" w:rsidRPr="00444069">
        <w:rPr>
          <w:lang w:val="en-GB"/>
        </w:rPr>
        <w:t xml:space="preserve">; and </w:t>
      </w:r>
      <w:r w:rsidRPr="00444069">
        <w:rPr>
          <w:b/>
          <w:i/>
          <w:lang w:val="en-GB"/>
        </w:rPr>
        <w:t>if</w:t>
      </w:r>
      <w:r w:rsidR="0039028C" w:rsidRPr="00444069">
        <w:rPr>
          <w:lang w:val="en-GB"/>
        </w:rPr>
        <w:t xml:space="preserve"> deep-rooted social divisions are addressed to overcome the threat of political tensions and social unrest</w:t>
      </w:r>
      <w:r w:rsidR="00695206" w:rsidRPr="00444069">
        <w:rPr>
          <w:lang w:val="en-GB"/>
        </w:rPr>
        <w:t xml:space="preserve">, </w:t>
      </w:r>
      <w:r w:rsidRPr="004806F2">
        <w:rPr>
          <w:b/>
          <w:i/>
          <w:iCs/>
          <w:lang w:val="en-GB"/>
        </w:rPr>
        <w:t>then</w:t>
      </w:r>
      <w:r w:rsidR="004A0BFF" w:rsidRPr="00444069">
        <w:rPr>
          <w:i/>
          <w:iCs/>
          <w:lang w:val="en-GB"/>
        </w:rPr>
        <w:t xml:space="preserve"> confidence</w:t>
      </w:r>
      <w:r w:rsidR="002C0DEB" w:rsidRPr="00444069">
        <w:rPr>
          <w:i/>
          <w:iCs/>
          <w:lang w:val="en-GB"/>
        </w:rPr>
        <w:t xml:space="preserve"> among in the peace process</w:t>
      </w:r>
      <w:r w:rsidR="000C1E9C" w:rsidRPr="004806F2">
        <w:rPr>
          <w:i/>
          <w:iCs/>
          <w:lang w:val="en-GB"/>
        </w:rPr>
        <w:t>es is enhanced, laying the ground for sustainable peace</w:t>
      </w:r>
      <w:r w:rsidR="000C1E9C" w:rsidRPr="004806F2">
        <w:rPr>
          <w:lang w:val="en-GB"/>
        </w:rPr>
        <w:t>. This</w:t>
      </w:r>
      <w:r w:rsidR="00122B32" w:rsidRPr="004806F2">
        <w:rPr>
          <w:lang w:val="en-GB"/>
        </w:rPr>
        <w:t xml:space="preserve"> </w:t>
      </w:r>
      <w:r w:rsidR="00FE29AB" w:rsidRPr="004806F2">
        <w:rPr>
          <w:lang w:val="en-GB"/>
        </w:rPr>
        <w:t xml:space="preserve">programme area </w:t>
      </w:r>
      <w:r w:rsidR="00122B32" w:rsidRPr="004806F2">
        <w:rPr>
          <w:lang w:val="en-GB"/>
        </w:rPr>
        <w:t xml:space="preserve">addresses </w:t>
      </w:r>
      <w:r w:rsidR="00CF1B67" w:rsidRPr="004806F2">
        <w:rPr>
          <w:lang w:val="en-GB"/>
        </w:rPr>
        <w:t xml:space="preserve">the </w:t>
      </w:r>
      <w:r w:rsidR="008B28F2" w:rsidRPr="004806F2">
        <w:rPr>
          <w:lang w:val="en-GB"/>
        </w:rPr>
        <w:t>F</w:t>
      </w:r>
      <w:r w:rsidR="009B4526">
        <w:rPr>
          <w:lang w:val="en-GB"/>
        </w:rPr>
        <w:t>ramework</w:t>
      </w:r>
      <w:r w:rsidR="008B28F2" w:rsidRPr="004806F2">
        <w:rPr>
          <w:lang w:val="en-GB"/>
        </w:rPr>
        <w:t xml:space="preserve"> priority </w:t>
      </w:r>
      <w:r w:rsidR="00677DD3" w:rsidRPr="004806F2">
        <w:rPr>
          <w:lang w:val="en-GB"/>
        </w:rPr>
        <w:t xml:space="preserve">of </w:t>
      </w:r>
      <w:r w:rsidR="00677DD3" w:rsidRPr="004806F2">
        <w:rPr>
          <w:b/>
          <w:bCs/>
          <w:lang w:val="en-GB"/>
        </w:rPr>
        <w:t>increasing food security, creating livelihood</w:t>
      </w:r>
      <w:r w:rsidR="009B4526">
        <w:rPr>
          <w:b/>
          <w:bCs/>
          <w:lang w:val="en-GB"/>
        </w:rPr>
        <w:t>s</w:t>
      </w:r>
      <w:r w:rsidR="00677DD3" w:rsidRPr="004806F2">
        <w:rPr>
          <w:b/>
          <w:bCs/>
          <w:lang w:val="en-GB"/>
        </w:rPr>
        <w:t xml:space="preserve"> options and job</w:t>
      </w:r>
      <w:r w:rsidR="009B4526">
        <w:rPr>
          <w:b/>
          <w:bCs/>
          <w:lang w:val="en-GB"/>
        </w:rPr>
        <w:t>s</w:t>
      </w:r>
      <w:r w:rsidR="00677DD3" w:rsidRPr="004806F2">
        <w:rPr>
          <w:b/>
          <w:bCs/>
          <w:lang w:val="en-GB"/>
        </w:rPr>
        <w:t xml:space="preserve"> </w:t>
      </w:r>
      <w:r w:rsidR="004F6B54" w:rsidRPr="004806F2">
        <w:rPr>
          <w:lang w:val="en-GB"/>
        </w:rPr>
        <w:t xml:space="preserve">and </w:t>
      </w:r>
      <w:r w:rsidR="009B4526" w:rsidRPr="004806F2">
        <w:rPr>
          <w:b/>
          <w:bCs/>
          <w:lang w:val="en-GB"/>
        </w:rPr>
        <w:t>strengthening</w:t>
      </w:r>
      <w:r w:rsidR="004F6B54" w:rsidRPr="004806F2">
        <w:rPr>
          <w:b/>
          <w:bCs/>
          <w:lang w:val="en-GB"/>
        </w:rPr>
        <w:t xml:space="preserve"> inclusive, effective and efficient national and local development and systems. </w:t>
      </w:r>
    </w:p>
    <w:p w14:paraId="0AE340D2" w14:textId="20DD0C8C" w:rsidR="00330879" w:rsidRPr="009B4526" w:rsidRDefault="003527D9" w:rsidP="000156B4">
      <w:pPr>
        <w:pStyle w:val="ListParagraph"/>
        <w:numPr>
          <w:ilvl w:val="0"/>
          <w:numId w:val="7"/>
        </w:numPr>
        <w:spacing w:after="120" w:line="240" w:lineRule="exact"/>
        <w:ind w:left="1080" w:right="1210" w:firstLine="0"/>
        <w:jc w:val="both"/>
        <w:rPr>
          <w:lang w:val="en-GB"/>
        </w:rPr>
      </w:pPr>
      <w:r w:rsidRPr="004806F2">
        <w:rPr>
          <w:lang w:val="en-GB"/>
        </w:rPr>
        <w:t xml:space="preserve">In </w:t>
      </w:r>
      <w:r w:rsidRPr="00CA5B30">
        <w:rPr>
          <w:lang w:val="en-GB" w:eastAsia="en-CA"/>
        </w:rPr>
        <w:t>partnership</w:t>
      </w:r>
      <w:r w:rsidRPr="00444069">
        <w:rPr>
          <w:lang w:val="en-GB"/>
        </w:rPr>
        <w:t xml:space="preserve"> with </w:t>
      </w:r>
      <w:r w:rsidR="009D4EF1" w:rsidRPr="00CA5B30">
        <w:rPr>
          <w:lang w:val="en-GB" w:eastAsia="en-CA"/>
        </w:rPr>
        <w:t xml:space="preserve">Canada, </w:t>
      </w:r>
      <w:r w:rsidR="009D4EF1" w:rsidRPr="00444069">
        <w:rPr>
          <w:lang w:val="en-GB"/>
        </w:rPr>
        <w:t>Denmark</w:t>
      </w:r>
      <w:r w:rsidR="009D4EF1" w:rsidRPr="00CA5B30">
        <w:rPr>
          <w:lang w:val="en-GB" w:eastAsia="en-CA"/>
        </w:rPr>
        <w:t xml:space="preserve">, </w:t>
      </w:r>
      <w:r w:rsidR="009B4526">
        <w:rPr>
          <w:lang w:val="en-GB" w:eastAsia="en-CA"/>
        </w:rPr>
        <w:t>the European Union</w:t>
      </w:r>
      <w:r w:rsidR="009D4EF1" w:rsidRPr="00CA5B30">
        <w:rPr>
          <w:lang w:val="en-GB" w:eastAsia="en-CA"/>
        </w:rPr>
        <w:t xml:space="preserve">, France, Germany, </w:t>
      </w:r>
      <w:r w:rsidR="009D4EF1" w:rsidRPr="00444069">
        <w:rPr>
          <w:lang w:val="en-GB"/>
        </w:rPr>
        <w:t xml:space="preserve">Italy, </w:t>
      </w:r>
      <w:r w:rsidR="000F00F6">
        <w:rPr>
          <w:lang w:val="en-GB"/>
        </w:rPr>
        <w:t xml:space="preserve">the </w:t>
      </w:r>
      <w:r w:rsidR="00A57EF5" w:rsidRPr="00CA5B30">
        <w:rPr>
          <w:lang w:val="en-GB" w:eastAsia="en-CA"/>
        </w:rPr>
        <w:t xml:space="preserve">Netherlands, </w:t>
      </w:r>
      <w:r w:rsidR="009D4EF1" w:rsidRPr="00CA5B30">
        <w:rPr>
          <w:lang w:val="en-GB" w:eastAsia="en-CA"/>
        </w:rPr>
        <w:t xml:space="preserve">Norway, </w:t>
      </w:r>
      <w:r w:rsidR="009B4526">
        <w:rPr>
          <w:lang w:val="en-GB" w:eastAsia="en-CA"/>
        </w:rPr>
        <w:t>the Swedish International Development Cooperation Agency</w:t>
      </w:r>
      <w:r w:rsidR="009D4EF1" w:rsidRPr="00CA5B30">
        <w:rPr>
          <w:lang w:val="en-GB" w:eastAsia="en-CA"/>
        </w:rPr>
        <w:t xml:space="preserve">, </w:t>
      </w:r>
      <w:r w:rsidR="009B4526">
        <w:rPr>
          <w:lang w:val="en-GB" w:eastAsia="en-CA"/>
        </w:rPr>
        <w:t xml:space="preserve">the </w:t>
      </w:r>
      <w:r w:rsidR="00E73F67" w:rsidRPr="00444069">
        <w:rPr>
          <w:lang w:val="en-GB"/>
        </w:rPr>
        <w:t>Swiss Agency for Development and Cooperation</w:t>
      </w:r>
      <w:r w:rsidR="009D4EF1" w:rsidRPr="00CA5B30">
        <w:rPr>
          <w:lang w:val="en-GB" w:eastAsia="en-CA"/>
        </w:rPr>
        <w:t xml:space="preserve">, </w:t>
      </w:r>
      <w:r w:rsidR="009B4526">
        <w:rPr>
          <w:lang w:val="en-GB" w:eastAsia="en-CA"/>
        </w:rPr>
        <w:t>the United Kingdom</w:t>
      </w:r>
      <w:r w:rsidR="00A57EF5" w:rsidRPr="00CA5B30">
        <w:rPr>
          <w:lang w:val="en-GB" w:eastAsia="en-CA"/>
        </w:rPr>
        <w:t xml:space="preserve">, </w:t>
      </w:r>
      <w:r w:rsidR="00BD43AF" w:rsidRPr="00444069">
        <w:rPr>
          <w:lang w:val="en-GB"/>
        </w:rPr>
        <w:t>the Office of the Special Envoy of the Secretary-General for Yemen</w:t>
      </w:r>
      <w:r w:rsidRPr="00444069">
        <w:rPr>
          <w:lang w:val="en-GB"/>
        </w:rPr>
        <w:t xml:space="preserve">, UNMHA and the </w:t>
      </w:r>
      <w:r w:rsidR="009B4526">
        <w:rPr>
          <w:lang w:val="en-GB"/>
        </w:rPr>
        <w:t>Resident Coordinator’s Office</w:t>
      </w:r>
      <w:r w:rsidRPr="00444069">
        <w:rPr>
          <w:lang w:val="en-GB"/>
        </w:rPr>
        <w:t xml:space="preserve">, UNDP will deliver on national and local peace process support through </w:t>
      </w:r>
      <w:r w:rsidR="000F0D61" w:rsidRPr="00444069">
        <w:rPr>
          <w:lang w:val="en-GB"/>
        </w:rPr>
        <w:t>three</w:t>
      </w:r>
      <w:r w:rsidRPr="00444069">
        <w:rPr>
          <w:lang w:val="en-GB"/>
        </w:rPr>
        <w:t xml:space="preserve"> main areas under the Peace Support Facility; support to </w:t>
      </w:r>
      <w:r w:rsidR="009B4526">
        <w:rPr>
          <w:lang w:val="en-GB"/>
        </w:rPr>
        <w:t>t</w:t>
      </w:r>
      <w:r w:rsidRPr="00444069">
        <w:rPr>
          <w:lang w:val="en-GB"/>
        </w:rPr>
        <w:t xml:space="preserve">rack I peacebuilding initiatives, including confidence-building measures </w:t>
      </w:r>
      <w:r w:rsidR="00A2394E">
        <w:rPr>
          <w:lang w:val="en-GB"/>
        </w:rPr>
        <w:t>–</w:t>
      </w:r>
      <w:r w:rsidRPr="00444069">
        <w:rPr>
          <w:lang w:val="en-GB"/>
        </w:rPr>
        <w:t xml:space="preserve"> rehabilitation and improved functionality and efficiency of seaports and airports</w:t>
      </w:r>
      <w:r w:rsidR="000F0D61" w:rsidRPr="00444069">
        <w:rPr>
          <w:lang w:val="en-GB"/>
        </w:rPr>
        <w:t xml:space="preserve">; </w:t>
      </w:r>
      <w:r w:rsidR="00A2394E">
        <w:rPr>
          <w:lang w:val="en-GB"/>
        </w:rPr>
        <w:t>t</w:t>
      </w:r>
      <w:r w:rsidRPr="004806F2">
        <w:rPr>
          <w:lang w:val="en-GB"/>
        </w:rPr>
        <w:t>rack II peacebuilding at the community level</w:t>
      </w:r>
      <w:r w:rsidR="00A2394E">
        <w:rPr>
          <w:lang w:val="en-GB"/>
        </w:rPr>
        <w:t>,</w:t>
      </w:r>
      <w:r w:rsidRPr="004806F2">
        <w:rPr>
          <w:lang w:val="en-GB"/>
        </w:rPr>
        <w:t xml:space="preserve"> with an emphasis on women, youth, and civil society</w:t>
      </w:r>
      <w:r w:rsidR="00A004C4" w:rsidRPr="004806F2">
        <w:rPr>
          <w:lang w:val="en-GB"/>
        </w:rPr>
        <w:t xml:space="preserve">, </w:t>
      </w:r>
      <w:r w:rsidR="0029307A" w:rsidRPr="004806F2">
        <w:rPr>
          <w:lang w:val="en-GB"/>
        </w:rPr>
        <w:t>collaborat</w:t>
      </w:r>
      <w:r w:rsidR="00A004C4" w:rsidRPr="004806F2">
        <w:rPr>
          <w:lang w:val="en-GB"/>
        </w:rPr>
        <w:t>ing</w:t>
      </w:r>
      <w:r w:rsidR="0029307A" w:rsidRPr="004806F2">
        <w:rPr>
          <w:lang w:val="en-GB"/>
        </w:rPr>
        <w:t xml:space="preserve"> with academia</w:t>
      </w:r>
      <w:r w:rsidR="005813EC" w:rsidRPr="004806F2">
        <w:rPr>
          <w:lang w:val="en-GB"/>
        </w:rPr>
        <w:t xml:space="preserve"> and</w:t>
      </w:r>
      <w:r w:rsidR="0029307A" w:rsidRPr="004806F2">
        <w:rPr>
          <w:lang w:val="en-GB"/>
        </w:rPr>
        <w:t xml:space="preserve"> </w:t>
      </w:r>
      <w:r w:rsidR="005C170E" w:rsidRPr="004806F2">
        <w:rPr>
          <w:lang w:val="en-GB"/>
        </w:rPr>
        <w:t xml:space="preserve">the </w:t>
      </w:r>
      <w:r w:rsidR="0029307A" w:rsidRPr="004806F2">
        <w:rPr>
          <w:lang w:val="en-GB"/>
        </w:rPr>
        <w:t>private sector</w:t>
      </w:r>
      <w:r w:rsidR="000F0D61" w:rsidRPr="004806F2">
        <w:rPr>
          <w:lang w:val="en-GB"/>
        </w:rPr>
        <w:t xml:space="preserve">; and </w:t>
      </w:r>
      <w:r w:rsidR="00A2394E">
        <w:rPr>
          <w:lang w:val="en-GB"/>
        </w:rPr>
        <w:t>t</w:t>
      </w:r>
      <w:r w:rsidR="000F0D61" w:rsidRPr="004806F2">
        <w:rPr>
          <w:lang w:val="en-GB"/>
        </w:rPr>
        <w:t xml:space="preserve">rack III – </w:t>
      </w:r>
      <w:r w:rsidR="00A2394E">
        <w:rPr>
          <w:lang w:val="en-GB"/>
        </w:rPr>
        <w:t>s</w:t>
      </w:r>
      <w:r w:rsidR="000F0D61" w:rsidRPr="004806F2">
        <w:rPr>
          <w:lang w:val="en-GB"/>
        </w:rPr>
        <w:t xml:space="preserve">pecial initiatives </w:t>
      </w:r>
      <w:r w:rsidR="00601255" w:rsidRPr="004806F2">
        <w:rPr>
          <w:lang w:val="en-GB"/>
        </w:rPr>
        <w:t xml:space="preserve">including </w:t>
      </w:r>
      <w:r w:rsidR="00601255" w:rsidRPr="00CA5B30">
        <w:rPr>
          <w:i/>
          <w:lang w:val="en-GB"/>
        </w:rPr>
        <w:t>Safer</w:t>
      </w:r>
      <w:r w:rsidR="00601255" w:rsidRPr="004806F2">
        <w:rPr>
          <w:lang w:val="en-GB"/>
        </w:rPr>
        <w:t xml:space="preserve"> salvage operations</w:t>
      </w:r>
      <w:r w:rsidR="005C170E" w:rsidRPr="004806F2">
        <w:rPr>
          <w:lang w:val="en-GB"/>
        </w:rPr>
        <w:t xml:space="preserve"> </w:t>
      </w:r>
      <w:r w:rsidR="00601255" w:rsidRPr="004806F2">
        <w:rPr>
          <w:lang w:val="en-GB"/>
        </w:rPr>
        <w:t xml:space="preserve">to </w:t>
      </w:r>
      <w:r w:rsidR="005C170E" w:rsidRPr="004806F2">
        <w:rPr>
          <w:lang w:val="en-GB"/>
        </w:rPr>
        <w:t>reduc</w:t>
      </w:r>
      <w:r w:rsidR="005813EC" w:rsidRPr="004806F2">
        <w:rPr>
          <w:lang w:val="en-GB"/>
        </w:rPr>
        <w:t>e</w:t>
      </w:r>
      <w:r w:rsidR="00601255" w:rsidRPr="004806F2">
        <w:rPr>
          <w:lang w:val="en-GB"/>
        </w:rPr>
        <w:t xml:space="preserve"> environmental and social risks</w:t>
      </w:r>
      <w:r w:rsidR="00F545CC" w:rsidRPr="004806F2">
        <w:rPr>
          <w:lang w:val="en-GB"/>
        </w:rPr>
        <w:t xml:space="preserve">. </w:t>
      </w:r>
      <w:r w:rsidR="008B6220" w:rsidRPr="004806F2">
        <w:rPr>
          <w:lang w:val="en-GB"/>
        </w:rPr>
        <w:t xml:space="preserve">UNDP will continue supporting the Government of Yemen </w:t>
      </w:r>
      <w:r w:rsidR="00C0173F" w:rsidRPr="004806F2">
        <w:rPr>
          <w:lang w:val="en-GB"/>
        </w:rPr>
        <w:t xml:space="preserve">to </w:t>
      </w:r>
      <w:r w:rsidR="008B6220" w:rsidRPr="004806F2">
        <w:rPr>
          <w:lang w:val="en-GB"/>
        </w:rPr>
        <w:t>operationali</w:t>
      </w:r>
      <w:r w:rsidR="00A2394E">
        <w:rPr>
          <w:lang w:val="en-GB"/>
        </w:rPr>
        <w:t>z</w:t>
      </w:r>
      <w:r w:rsidR="00C0173F" w:rsidRPr="00DB3165">
        <w:rPr>
          <w:lang w:val="en-GB"/>
        </w:rPr>
        <w:t xml:space="preserve">e </w:t>
      </w:r>
      <w:r w:rsidR="00A2394E">
        <w:rPr>
          <w:lang w:val="en-GB"/>
        </w:rPr>
        <w:t xml:space="preserve">the </w:t>
      </w:r>
      <w:r w:rsidR="008B6220" w:rsidRPr="00DB3165">
        <w:rPr>
          <w:lang w:val="en-GB"/>
        </w:rPr>
        <w:t>National Action Plan</w:t>
      </w:r>
      <w:r w:rsidR="00C1085D" w:rsidRPr="00DB3165">
        <w:rPr>
          <w:lang w:val="en-GB"/>
        </w:rPr>
        <w:t xml:space="preserve"> </w:t>
      </w:r>
      <w:r w:rsidR="004A35F5" w:rsidRPr="00DB3165">
        <w:rPr>
          <w:lang w:val="en-GB"/>
        </w:rPr>
        <w:t>on women, peace</w:t>
      </w:r>
      <w:r w:rsidR="007148C4" w:rsidRPr="009B4526">
        <w:rPr>
          <w:lang w:val="en-GB"/>
        </w:rPr>
        <w:t>,</w:t>
      </w:r>
      <w:r w:rsidR="004A35F5" w:rsidRPr="009B4526">
        <w:rPr>
          <w:lang w:val="en-GB"/>
        </w:rPr>
        <w:t xml:space="preserve"> and security. </w:t>
      </w:r>
    </w:p>
    <w:p w14:paraId="2ED5F26C" w14:textId="26729C27" w:rsidR="003527D9" w:rsidRPr="00A2394E" w:rsidRDefault="003661FA" w:rsidP="000156B4">
      <w:pPr>
        <w:pStyle w:val="ListParagraph"/>
        <w:numPr>
          <w:ilvl w:val="0"/>
          <w:numId w:val="7"/>
        </w:numPr>
        <w:spacing w:after="120" w:line="240" w:lineRule="exact"/>
        <w:ind w:left="1080" w:right="1210" w:firstLine="0"/>
        <w:jc w:val="both"/>
        <w:rPr>
          <w:lang w:val="en-GB"/>
        </w:rPr>
      </w:pPr>
      <w:r w:rsidRPr="00A2394E">
        <w:rPr>
          <w:lang w:val="en-GB"/>
        </w:rPr>
        <w:t xml:space="preserve">In collaboration with FAO, UNDP will continue to address resources-based conflicts, especially </w:t>
      </w:r>
      <w:r w:rsidR="0043669F">
        <w:rPr>
          <w:lang w:val="en-GB"/>
        </w:rPr>
        <w:t xml:space="preserve">concerning </w:t>
      </w:r>
      <w:r w:rsidR="00C92CF7" w:rsidRPr="00A2394E">
        <w:rPr>
          <w:lang w:val="en-GB"/>
        </w:rPr>
        <w:t xml:space="preserve">water. </w:t>
      </w:r>
      <w:r w:rsidR="003527D9" w:rsidRPr="00A2394E">
        <w:rPr>
          <w:lang w:val="en-GB"/>
        </w:rPr>
        <w:t>As prerequisites for the normali</w:t>
      </w:r>
      <w:r w:rsidR="0043669F">
        <w:rPr>
          <w:lang w:val="en-GB"/>
        </w:rPr>
        <w:t>z</w:t>
      </w:r>
      <w:r w:rsidR="003527D9" w:rsidRPr="00A2394E">
        <w:rPr>
          <w:lang w:val="en-GB"/>
        </w:rPr>
        <w:t xml:space="preserve">ation of social and economic activity in the most conflict-affected areas of the country, UNDP, in partnership with Germany, Italy, Norway, </w:t>
      </w:r>
      <w:r w:rsidR="00A270B8" w:rsidRPr="00A2394E">
        <w:rPr>
          <w:lang w:val="en-GB"/>
        </w:rPr>
        <w:t xml:space="preserve">the </w:t>
      </w:r>
      <w:r w:rsidR="003527D9" w:rsidRPr="00A2394E">
        <w:rPr>
          <w:lang w:val="en-GB"/>
        </w:rPr>
        <w:t>U</w:t>
      </w:r>
      <w:r w:rsidR="0043669F">
        <w:rPr>
          <w:lang w:val="en-GB"/>
        </w:rPr>
        <w:t>nited States</w:t>
      </w:r>
      <w:r w:rsidR="003527D9" w:rsidRPr="00A2394E">
        <w:rPr>
          <w:lang w:val="en-GB"/>
        </w:rPr>
        <w:t xml:space="preserve"> </w:t>
      </w:r>
      <w:r w:rsidR="00290AD5" w:rsidRPr="00A2394E">
        <w:rPr>
          <w:lang w:val="en-GB"/>
        </w:rPr>
        <w:t>Bureau of International Narcotics and Law Enforcement Affairs</w:t>
      </w:r>
      <w:r w:rsidR="003527D9" w:rsidRPr="00A2394E">
        <w:rPr>
          <w:lang w:val="en-GB"/>
        </w:rPr>
        <w:t xml:space="preserve">, other donors, local institutions and </w:t>
      </w:r>
      <w:r w:rsidR="0043669F">
        <w:rPr>
          <w:lang w:val="en-GB"/>
        </w:rPr>
        <w:t>non-governmental organization</w:t>
      </w:r>
      <w:r w:rsidR="0043669F" w:rsidRPr="00A2394E">
        <w:rPr>
          <w:lang w:val="en-GB"/>
        </w:rPr>
        <w:t xml:space="preserve">s </w:t>
      </w:r>
      <w:r w:rsidR="003527D9" w:rsidRPr="00A2394E">
        <w:rPr>
          <w:lang w:val="en-GB"/>
        </w:rPr>
        <w:t xml:space="preserve">will expand mine action operations to enable access to critical infrastructure and essential social and productive services and reduce injuries and fatalities from </w:t>
      </w:r>
      <w:r w:rsidR="0043669F">
        <w:rPr>
          <w:lang w:val="en-GB"/>
        </w:rPr>
        <w:t>unexploded ordnance</w:t>
      </w:r>
      <w:r w:rsidR="003527D9" w:rsidRPr="00A2394E">
        <w:rPr>
          <w:lang w:val="en-GB"/>
        </w:rPr>
        <w:t xml:space="preserve">. </w:t>
      </w:r>
    </w:p>
    <w:p w14:paraId="0EB7511E" w14:textId="4CED6BB6" w:rsidR="00FC51D8" w:rsidRPr="00B8427A" w:rsidRDefault="00FC51D8" w:rsidP="000156B4">
      <w:pPr>
        <w:pStyle w:val="ListParagraph"/>
        <w:numPr>
          <w:ilvl w:val="0"/>
          <w:numId w:val="7"/>
        </w:numPr>
        <w:spacing w:after="200" w:line="240" w:lineRule="exact"/>
        <w:ind w:left="1080" w:right="1210" w:firstLine="0"/>
        <w:jc w:val="both"/>
        <w:rPr>
          <w:lang w:val="en-GB"/>
        </w:rPr>
      </w:pPr>
      <w:r w:rsidRPr="0043669F">
        <w:rPr>
          <w:lang w:val="en-GB"/>
        </w:rPr>
        <w:t xml:space="preserve">The temporary truce and </w:t>
      </w:r>
      <w:r w:rsidR="0043669F">
        <w:rPr>
          <w:lang w:val="en-GB"/>
        </w:rPr>
        <w:t xml:space="preserve">the </w:t>
      </w:r>
      <w:r w:rsidRPr="0043669F">
        <w:rPr>
          <w:lang w:val="en-GB"/>
        </w:rPr>
        <w:t xml:space="preserve">formation of the Yemen Presidential Council provide a unique opportunity for UNDP to expand </w:t>
      </w:r>
      <w:r w:rsidR="00544CDA" w:rsidRPr="0043669F">
        <w:rPr>
          <w:lang w:val="en-GB"/>
        </w:rPr>
        <w:t xml:space="preserve">the </w:t>
      </w:r>
      <w:r w:rsidRPr="0043669F">
        <w:rPr>
          <w:lang w:val="en-GB"/>
        </w:rPr>
        <w:t xml:space="preserve">implementation of </w:t>
      </w:r>
      <w:r w:rsidR="00544CDA" w:rsidRPr="0043669F">
        <w:rPr>
          <w:lang w:val="en-GB"/>
        </w:rPr>
        <w:t>confidence-building</w:t>
      </w:r>
      <w:r w:rsidRPr="0043669F">
        <w:rPr>
          <w:lang w:val="en-GB"/>
        </w:rPr>
        <w:t xml:space="preserve"> measures </w:t>
      </w:r>
      <w:r w:rsidR="0043669F">
        <w:rPr>
          <w:lang w:val="en-GB"/>
        </w:rPr>
        <w:t>such as</w:t>
      </w:r>
      <w:r w:rsidR="0043669F" w:rsidRPr="0043669F">
        <w:rPr>
          <w:lang w:val="en-GB"/>
        </w:rPr>
        <w:t xml:space="preserve"> </w:t>
      </w:r>
      <w:r w:rsidRPr="0043669F">
        <w:rPr>
          <w:lang w:val="en-GB"/>
        </w:rPr>
        <w:lastRenderedPageBreak/>
        <w:t xml:space="preserve">technical support </w:t>
      </w:r>
      <w:r w:rsidR="00544CDA" w:rsidRPr="0043669F">
        <w:rPr>
          <w:lang w:val="en-GB"/>
        </w:rPr>
        <w:t>for</w:t>
      </w:r>
      <w:r w:rsidRPr="0043669F">
        <w:rPr>
          <w:lang w:val="en-GB"/>
        </w:rPr>
        <w:t xml:space="preserve"> reopening airports and seaports</w:t>
      </w:r>
      <w:r w:rsidR="00D63139" w:rsidRPr="00B8427A">
        <w:rPr>
          <w:lang w:val="en-GB"/>
        </w:rPr>
        <w:t xml:space="preserve"> and </w:t>
      </w:r>
      <w:r w:rsidR="0043669F">
        <w:rPr>
          <w:lang w:val="en-GB"/>
        </w:rPr>
        <w:t xml:space="preserve">to </w:t>
      </w:r>
      <w:r w:rsidR="00D63139" w:rsidRPr="0043669F">
        <w:rPr>
          <w:lang w:val="en-GB"/>
        </w:rPr>
        <w:t>lead discourses on peacebuilding and transitional governance milestones as agreed by the parties to the conflict</w:t>
      </w:r>
      <w:r w:rsidR="00644AC0" w:rsidRPr="0043669F">
        <w:rPr>
          <w:lang w:val="en-GB"/>
        </w:rPr>
        <w:t xml:space="preserve"> and </w:t>
      </w:r>
      <w:r w:rsidR="00BD43AF" w:rsidRPr="0043669F">
        <w:rPr>
          <w:lang w:val="en-GB"/>
        </w:rPr>
        <w:t>the Office of the Special Envoy of the Secretary-General for Yemen</w:t>
      </w:r>
      <w:r w:rsidR="00644AC0" w:rsidRPr="00B8427A">
        <w:rPr>
          <w:lang w:val="en-GB"/>
        </w:rPr>
        <w:t xml:space="preserve">. </w:t>
      </w:r>
      <w:r w:rsidRPr="00B8427A">
        <w:rPr>
          <w:lang w:val="en-GB"/>
        </w:rPr>
        <w:t xml:space="preserve"> </w:t>
      </w:r>
    </w:p>
    <w:p w14:paraId="2440D3F7" w14:textId="6C69F793" w:rsidR="0063402B" w:rsidRPr="00444069" w:rsidRDefault="0063402B" w:rsidP="000156B4">
      <w:pPr>
        <w:pStyle w:val="Heading1"/>
        <w:numPr>
          <w:ilvl w:val="0"/>
          <w:numId w:val="10"/>
        </w:numPr>
        <w:tabs>
          <w:tab w:val="left" w:pos="1080"/>
        </w:tabs>
        <w:spacing w:after="200" w:line="240" w:lineRule="exact"/>
        <w:ind w:right="1210" w:hanging="1260"/>
        <w:jc w:val="both"/>
        <w:rPr>
          <w:rFonts w:ascii="Times New Roman" w:hAnsi="Times New Roman"/>
          <w:color w:val="000000"/>
          <w:sz w:val="24"/>
          <w:szCs w:val="24"/>
          <w:lang w:val="en-GB"/>
        </w:rPr>
      </w:pPr>
      <w:r w:rsidRPr="00EC5843">
        <w:rPr>
          <w:rFonts w:ascii="Times New Roman" w:hAnsi="Times New Roman"/>
          <w:color w:val="000000"/>
          <w:sz w:val="24"/>
          <w:szCs w:val="24"/>
          <w:lang w:val="en-GB"/>
        </w:rPr>
        <w:t xml:space="preserve">Programme and </w:t>
      </w:r>
      <w:r w:rsidR="000156B4" w:rsidRPr="00EC5843">
        <w:rPr>
          <w:rFonts w:ascii="Times New Roman" w:hAnsi="Times New Roman"/>
          <w:color w:val="000000"/>
          <w:sz w:val="24"/>
          <w:szCs w:val="24"/>
          <w:lang w:val="en-GB"/>
        </w:rPr>
        <w:t>r</w:t>
      </w:r>
      <w:r w:rsidRPr="00EC5843">
        <w:rPr>
          <w:rFonts w:ascii="Times New Roman" w:hAnsi="Times New Roman"/>
          <w:color w:val="000000"/>
          <w:sz w:val="24"/>
          <w:szCs w:val="24"/>
          <w:lang w:val="en-GB"/>
        </w:rPr>
        <w:t>isk</w:t>
      </w:r>
      <w:r w:rsidR="00AC1BE7" w:rsidRPr="00EC5843">
        <w:rPr>
          <w:rFonts w:ascii="Times New Roman" w:hAnsi="Times New Roman"/>
          <w:color w:val="000000"/>
          <w:sz w:val="24"/>
          <w:szCs w:val="24"/>
          <w:lang w:val="en-GB"/>
        </w:rPr>
        <w:t xml:space="preserve"> </w:t>
      </w:r>
      <w:r w:rsidR="000156B4" w:rsidRPr="00444069">
        <w:rPr>
          <w:rFonts w:ascii="Times New Roman" w:hAnsi="Times New Roman"/>
          <w:color w:val="000000"/>
          <w:sz w:val="24"/>
          <w:szCs w:val="24"/>
          <w:lang w:val="en-GB"/>
        </w:rPr>
        <w:t>m</w:t>
      </w:r>
      <w:r w:rsidR="001C6C08" w:rsidRPr="00444069">
        <w:rPr>
          <w:rFonts w:ascii="Times New Roman" w:hAnsi="Times New Roman"/>
          <w:color w:val="000000"/>
          <w:sz w:val="24"/>
          <w:szCs w:val="24"/>
          <w:lang w:val="en-GB"/>
        </w:rPr>
        <w:t>anagement</w:t>
      </w:r>
      <w:r w:rsidRPr="00444069">
        <w:rPr>
          <w:rFonts w:ascii="Times New Roman" w:hAnsi="Times New Roman"/>
          <w:color w:val="000000"/>
          <w:sz w:val="24"/>
          <w:szCs w:val="24"/>
          <w:lang w:val="en-GB"/>
        </w:rPr>
        <w:t xml:space="preserve"> </w:t>
      </w:r>
    </w:p>
    <w:p w14:paraId="6E89A82E" w14:textId="2C84A723" w:rsidR="005015B3" w:rsidRPr="004806F2" w:rsidRDefault="00F05440" w:rsidP="000156B4">
      <w:pPr>
        <w:pStyle w:val="ListParagraph"/>
        <w:numPr>
          <w:ilvl w:val="0"/>
          <w:numId w:val="7"/>
        </w:numPr>
        <w:spacing w:after="120" w:line="240" w:lineRule="exact"/>
        <w:ind w:left="1080" w:right="1210" w:firstLine="0"/>
        <w:jc w:val="both"/>
        <w:rPr>
          <w:lang w:val="en-GB"/>
        </w:rPr>
      </w:pPr>
      <w:r w:rsidRPr="00444069">
        <w:rPr>
          <w:lang w:val="en-GB"/>
        </w:rPr>
        <w:t>The complex and dynamic context</w:t>
      </w:r>
      <w:r w:rsidR="00290AD5" w:rsidRPr="00444069">
        <w:rPr>
          <w:lang w:val="en-GB"/>
        </w:rPr>
        <w:t xml:space="preserve"> in Yemen</w:t>
      </w:r>
      <w:r w:rsidRPr="00444069">
        <w:rPr>
          <w:lang w:val="en-GB"/>
        </w:rPr>
        <w:t xml:space="preserve"> calls for conflict-sensitive programming </w:t>
      </w:r>
      <w:r w:rsidR="00AB4A7A">
        <w:rPr>
          <w:lang w:val="en-GB"/>
        </w:rPr>
        <w:t>with</w:t>
      </w:r>
      <w:r w:rsidRPr="00444069">
        <w:rPr>
          <w:lang w:val="en-GB"/>
        </w:rPr>
        <w:t xml:space="preserve"> a </w:t>
      </w:r>
      <w:r w:rsidR="00B8427A">
        <w:rPr>
          <w:lang w:val="en-GB"/>
        </w:rPr>
        <w:t>continuous</w:t>
      </w:r>
      <w:r w:rsidR="00B8427A" w:rsidRPr="00960B6D">
        <w:rPr>
          <w:lang w:val="en-GB"/>
        </w:rPr>
        <w:t xml:space="preserve"> </w:t>
      </w:r>
      <w:r w:rsidRPr="00B8427A">
        <w:rPr>
          <w:lang w:val="en-GB"/>
        </w:rPr>
        <w:t xml:space="preserve">‘finger-on-the-pulse’ </w:t>
      </w:r>
      <w:r w:rsidR="00B8427A">
        <w:rPr>
          <w:lang w:val="en-GB"/>
        </w:rPr>
        <w:t>of</w:t>
      </w:r>
      <w:r w:rsidR="00B8427A" w:rsidRPr="00B8427A">
        <w:rPr>
          <w:lang w:val="en-GB"/>
        </w:rPr>
        <w:t xml:space="preserve"> </w:t>
      </w:r>
      <w:r w:rsidRPr="00B8427A">
        <w:rPr>
          <w:lang w:val="en-GB"/>
        </w:rPr>
        <w:t>changes in the national and local context, allowing the programme to</w:t>
      </w:r>
      <w:r w:rsidR="00B8427A">
        <w:rPr>
          <w:lang w:val="en-GB"/>
        </w:rPr>
        <w:t>:</w:t>
      </w:r>
      <w:r w:rsidRPr="00B8427A">
        <w:rPr>
          <w:lang w:val="en-GB"/>
        </w:rPr>
        <w:t xml:space="preserve"> change course in terms of scenarios, strategies, partnerships, and assumptions</w:t>
      </w:r>
      <w:r w:rsidR="00B8427A">
        <w:rPr>
          <w:lang w:val="en-GB"/>
        </w:rPr>
        <w:t>,</w:t>
      </w:r>
      <w:r w:rsidRPr="00B8427A">
        <w:rPr>
          <w:lang w:val="en-GB"/>
        </w:rPr>
        <w:t xml:space="preserve"> without losing track of delivering the desired longer-term results; and identify and address complex and multifaceted challenges and issues from a multidimensional perspective. UNDP Yemen calls this ‘ad</w:t>
      </w:r>
      <w:r w:rsidRPr="00EC5843">
        <w:rPr>
          <w:lang w:val="en-GB"/>
        </w:rPr>
        <w:t xml:space="preserve">aptive management’, </w:t>
      </w:r>
      <w:r w:rsidR="008041E0" w:rsidRPr="00EC5843">
        <w:rPr>
          <w:lang w:val="en-GB"/>
        </w:rPr>
        <w:t>allowing</w:t>
      </w:r>
      <w:r w:rsidRPr="00EC5843">
        <w:rPr>
          <w:lang w:val="en-GB"/>
        </w:rPr>
        <w:t xml:space="preserve"> regular programmatic and operational adaptations based on gender-, age-, and conflict-sensitive analysis and evidence gathered from </w:t>
      </w:r>
      <w:r w:rsidR="00B8427A">
        <w:rPr>
          <w:lang w:val="en-GB"/>
        </w:rPr>
        <w:t xml:space="preserve">internal and </w:t>
      </w:r>
      <w:r w:rsidRPr="00B8427A">
        <w:rPr>
          <w:lang w:val="en-GB"/>
        </w:rPr>
        <w:t>external learning loops to achieve and contribute to better development results. Together, they define adaptations to theories of change, portfolios, and pathways.</w:t>
      </w:r>
      <w:r w:rsidR="002F2AA1" w:rsidRPr="00CA5B30">
        <w:rPr>
          <w:lang w:val="en-GB"/>
        </w:rPr>
        <w:t xml:space="preserve"> UNDP will deploy tools for</w:t>
      </w:r>
      <w:r w:rsidR="002F2AA1" w:rsidRPr="00444069">
        <w:rPr>
          <w:lang w:val="en-GB"/>
        </w:rPr>
        <w:t xml:space="preserve"> </w:t>
      </w:r>
      <w:r w:rsidR="00920944" w:rsidRPr="00444069">
        <w:rPr>
          <w:lang w:val="en-GB"/>
        </w:rPr>
        <w:t>real-time</w:t>
      </w:r>
      <w:r w:rsidR="002F2AA1" w:rsidRPr="00444069">
        <w:rPr>
          <w:lang w:val="en-GB"/>
        </w:rPr>
        <w:t xml:space="preserve"> and geospatial data and conflict analysis </w:t>
      </w:r>
      <w:r w:rsidR="00AB4A7A">
        <w:rPr>
          <w:lang w:val="en-GB"/>
        </w:rPr>
        <w:t>to gain</w:t>
      </w:r>
      <w:r w:rsidR="00AB4A7A" w:rsidRPr="004806F2">
        <w:rPr>
          <w:lang w:val="en-GB"/>
        </w:rPr>
        <w:t xml:space="preserve"> </w:t>
      </w:r>
      <w:r w:rsidR="002F2AA1" w:rsidRPr="004806F2">
        <w:rPr>
          <w:lang w:val="en-GB"/>
        </w:rPr>
        <w:t xml:space="preserve">in-depth understanding of the nature, geographic variation, and trajectory of existing or emerging opportunistic or disruptive factors. </w:t>
      </w:r>
    </w:p>
    <w:p w14:paraId="4E172A09" w14:textId="53CE2EC3" w:rsidR="00CA5ABE" w:rsidRPr="00B8427A" w:rsidRDefault="00F05440" w:rsidP="000156B4">
      <w:pPr>
        <w:pStyle w:val="ListParagraph"/>
        <w:numPr>
          <w:ilvl w:val="0"/>
          <w:numId w:val="7"/>
        </w:numPr>
        <w:spacing w:after="120" w:line="240" w:lineRule="exact"/>
        <w:ind w:left="1080" w:right="1210" w:firstLine="0"/>
        <w:jc w:val="both"/>
        <w:rPr>
          <w:lang w:val="en-GB"/>
        </w:rPr>
      </w:pPr>
      <w:r w:rsidRPr="004806F2">
        <w:rPr>
          <w:lang w:val="en-GB"/>
        </w:rPr>
        <w:t xml:space="preserve">The protracted humanitarian situation, aggravated by the COVID-19 pandemic </w:t>
      </w:r>
      <w:r w:rsidR="00560C0A" w:rsidRPr="004806F2">
        <w:rPr>
          <w:lang w:val="en-GB"/>
        </w:rPr>
        <w:t>and the effect of the war in Ukraine</w:t>
      </w:r>
      <w:r w:rsidR="00B8427A">
        <w:rPr>
          <w:lang w:val="en-GB"/>
        </w:rPr>
        <w:t xml:space="preserve"> – </w:t>
      </w:r>
      <w:r w:rsidR="00560C0A" w:rsidRPr="004806F2">
        <w:rPr>
          <w:lang w:val="en-GB"/>
        </w:rPr>
        <w:t>especially on food security</w:t>
      </w:r>
      <w:r w:rsidR="00B8427A">
        <w:rPr>
          <w:lang w:val="en-GB"/>
        </w:rPr>
        <w:t xml:space="preserve"> –</w:t>
      </w:r>
      <w:r w:rsidR="00560C0A" w:rsidRPr="004806F2">
        <w:rPr>
          <w:lang w:val="en-GB"/>
        </w:rPr>
        <w:t xml:space="preserve"> </w:t>
      </w:r>
      <w:r w:rsidRPr="004806F2">
        <w:rPr>
          <w:lang w:val="en-GB"/>
        </w:rPr>
        <w:t xml:space="preserve">may result in continued </w:t>
      </w:r>
      <w:r w:rsidR="006F659A" w:rsidRPr="004806F2">
        <w:rPr>
          <w:lang w:val="en-GB"/>
        </w:rPr>
        <w:t>prioriti</w:t>
      </w:r>
      <w:r w:rsidR="00B8427A">
        <w:rPr>
          <w:lang w:val="en-GB"/>
        </w:rPr>
        <w:t>z</w:t>
      </w:r>
      <w:r w:rsidR="006F659A" w:rsidRPr="004806F2">
        <w:rPr>
          <w:lang w:val="en-GB"/>
        </w:rPr>
        <w:t xml:space="preserve">ation </w:t>
      </w:r>
      <w:r w:rsidRPr="004806F2">
        <w:rPr>
          <w:lang w:val="en-GB"/>
        </w:rPr>
        <w:t xml:space="preserve">of </w:t>
      </w:r>
      <w:r w:rsidR="00E27FB7" w:rsidRPr="004806F2">
        <w:rPr>
          <w:lang w:val="en-GB"/>
        </w:rPr>
        <w:t xml:space="preserve">humanitarian needs </w:t>
      </w:r>
      <w:r w:rsidRPr="004806F2">
        <w:rPr>
          <w:lang w:val="en-GB"/>
        </w:rPr>
        <w:t xml:space="preserve">by </w:t>
      </w:r>
      <w:r w:rsidR="00E27FB7" w:rsidRPr="004806F2">
        <w:rPr>
          <w:lang w:val="en-GB"/>
        </w:rPr>
        <w:t xml:space="preserve">funding </w:t>
      </w:r>
      <w:r w:rsidRPr="004806F2">
        <w:rPr>
          <w:lang w:val="en-GB"/>
        </w:rPr>
        <w:t>partners</w:t>
      </w:r>
      <w:r w:rsidR="00B8427A">
        <w:rPr>
          <w:lang w:val="en-GB"/>
        </w:rPr>
        <w:t>,</w:t>
      </w:r>
      <w:r w:rsidRPr="004806F2">
        <w:rPr>
          <w:lang w:val="en-GB"/>
        </w:rPr>
        <w:t xml:space="preserve"> with </w:t>
      </w:r>
      <w:r w:rsidR="006F659A" w:rsidRPr="00DB3165">
        <w:rPr>
          <w:lang w:val="en-GB"/>
        </w:rPr>
        <w:t>minimal</w:t>
      </w:r>
      <w:r w:rsidRPr="00DB3165">
        <w:rPr>
          <w:lang w:val="en-GB"/>
        </w:rPr>
        <w:t xml:space="preserve"> allocation</w:t>
      </w:r>
      <w:r w:rsidR="00AB4A7A">
        <w:rPr>
          <w:lang w:val="en-GB"/>
        </w:rPr>
        <w:t>s</w:t>
      </w:r>
      <w:r w:rsidRPr="00DB3165">
        <w:rPr>
          <w:lang w:val="en-GB"/>
        </w:rPr>
        <w:t xml:space="preserve"> to the economic and governance sectors, which could </w:t>
      </w:r>
      <w:r w:rsidR="00B8427A">
        <w:rPr>
          <w:lang w:val="en-GB"/>
        </w:rPr>
        <w:t>leave</w:t>
      </w:r>
      <w:r w:rsidRPr="00DB3165">
        <w:rPr>
          <w:lang w:val="en-GB"/>
        </w:rPr>
        <w:t xml:space="preserve"> UNDP unable to mobili</w:t>
      </w:r>
      <w:r w:rsidR="00B8427A">
        <w:rPr>
          <w:lang w:val="en-GB"/>
        </w:rPr>
        <w:t>z</w:t>
      </w:r>
      <w:r w:rsidRPr="00DB3165">
        <w:rPr>
          <w:lang w:val="en-GB"/>
        </w:rPr>
        <w:t xml:space="preserve">e sufficient financial support to deliver on its </w:t>
      </w:r>
      <w:r w:rsidR="005A0E8A" w:rsidRPr="00B8427A">
        <w:rPr>
          <w:lang w:val="en-GB"/>
        </w:rPr>
        <w:t xml:space="preserve">three programme areas. </w:t>
      </w:r>
      <w:r w:rsidR="00A133F2" w:rsidRPr="00B8427A">
        <w:rPr>
          <w:lang w:val="en-GB"/>
        </w:rPr>
        <w:t>Increasing instabilities and confl</w:t>
      </w:r>
      <w:r w:rsidR="00E65438" w:rsidRPr="00B8427A">
        <w:rPr>
          <w:lang w:val="en-GB"/>
        </w:rPr>
        <w:t>ict</w:t>
      </w:r>
      <w:r w:rsidR="00665122" w:rsidRPr="00B8427A">
        <w:rPr>
          <w:lang w:val="en-GB"/>
        </w:rPr>
        <w:t>s</w:t>
      </w:r>
      <w:r w:rsidR="00E65438" w:rsidRPr="00B8427A">
        <w:rPr>
          <w:lang w:val="en-GB"/>
        </w:rPr>
        <w:t xml:space="preserve"> globally</w:t>
      </w:r>
      <w:r w:rsidR="00AB4A7A">
        <w:rPr>
          <w:lang w:val="en-GB"/>
        </w:rPr>
        <w:t xml:space="preserve"> – </w:t>
      </w:r>
      <w:r w:rsidR="00B32402" w:rsidRPr="00B8427A">
        <w:rPr>
          <w:lang w:val="en-GB"/>
        </w:rPr>
        <w:t xml:space="preserve">as in </w:t>
      </w:r>
      <w:r w:rsidR="00B8427A" w:rsidRPr="00B8427A">
        <w:rPr>
          <w:lang w:val="en-GB"/>
        </w:rPr>
        <w:t>Afghanistan,</w:t>
      </w:r>
      <w:r w:rsidR="00B8427A">
        <w:rPr>
          <w:lang w:val="en-GB"/>
        </w:rPr>
        <w:t xml:space="preserve"> the Democratic Republic of the </w:t>
      </w:r>
      <w:r w:rsidR="00582123" w:rsidRPr="00B8427A">
        <w:rPr>
          <w:lang w:val="en-GB"/>
        </w:rPr>
        <w:t xml:space="preserve">Congo, </w:t>
      </w:r>
      <w:r w:rsidR="00B8427A" w:rsidRPr="00B8427A">
        <w:rPr>
          <w:lang w:val="en-GB"/>
        </w:rPr>
        <w:t xml:space="preserve">Iraq, and </w:t>
      </w:r>
      <w:r w:rsidR="00B32402" w:rsidRPr="00B8427A">
        <w:rPr>
          <w:lang w:val="en-GB"/>
        </w:rPr>
        <w:t>Ukraine</w:t>
      </w:r>
      <w:r w:rsidR="00AB4A7A">
        <w:rPr>
          <w:lang w:val="en-GB"/>
        </w:rPr>
        <w:t xml:space="preserve"> – </w:t>
      </w:r>
      <w:r w:rsidR="00665122" w:rsidRPr="00B8427A">
        <w:rPr>
          <w:lang w:val="en-GB"/>
        </w:rPr>
        <w:t xml:space="preserve">will result in resources </w:t>
      </w:r>
      <w:r w:rsidR="00B8427A">
        <w:rPr>
          <w:lang w:val="en-GB"/>
        </w:rPr>
        <w:t xml:space="preserve">being channelled </w:t>
      </w:r>
      <w:r w:rsidR="00665122" w:rsidRPr="00B8427A">
        <w:rPr>
          <w:lang w:val="en-GB"/>
        </w:rPr>
        <w:t>to other emergencies</w:t>
      </w:r>
      <w:r w:rsidR="00B8427A">
        <w:rPr>
          <w:lang w:val="en-GB"/>
        </w:rPr>
        <w:t>,</w:t>
      </w:r>
      <w:r w:rsidR="00027226" w:rsidRPr="00B8427A">
        <w:rPr>
          <w:lang w:val="en-GB"/>
        </w:rPr>
        <w:t xml:space="preserve"> and a dwindling resource base for Yemen</w:t>
      </w:r>
      <w:r w:rsidR="00B1309E" w:rsidRPr="00B8427A">
        <w:rPr>
          <w:lang w:val="en-GB"/>
        </w:rPr>
        <w:t xml:space="preserve">. </w:t>
      </w:r>
      <w:r w:rsidRPr="00B8427A">
        <w:rPr>
          <w:lang w:val="en-GB"/>
        </w:rPr>
        <w:t>UNDP will explore new partnership</w:t>
      </w:r>
      <w:r w:rsidR="00FE6928" w:rsidRPr="00B8427A">
        <w:rPr>
          <w:lang w:val="en-GB"/>
        </w:rPr>
        <w:t xml:space="preserve"> opportunitie</w:t>
      </w:r>
      <w:r w:rsidRPr="00B8427A">
        <w:rPr>
          <w:lang w:val="en-GB"/>
        </w:rPr>
        <w:t xml:space="preserve">s with </w:t>
      </w:r>
      <w:r w:rsidR="000569F7" w:rsidRPr="00B8427A">
        <w:rPr>
          <w:lang w:val="en-GB"/>
        </w:rPr>
        <w:t>non-tra</w:t>
      </w:r>
      <w:r w:rsidR="00801F82" w:rsidRPr="00B8427A">
        <w:rPr>
          <w:lang w:val="en-GB"/>
        </w:rPr>
        <w:t xml:space="preserve">ditional </w:t>
      </w:r>
      <w:r w:rsidRPr="00B8427A">
        <w:rPr>
          <w:lang w:val="en-GB"/>
        </w:rPr>
        <w:t>donors</w:t>
      </w:r>
      <w:r w:rsidR="00B8427A">
        <w:rPr>
          <w:lang w:val="en-GB"/>
        </w:rPr>
        <w:t>:</w:t>
      </w:r>
      <w:r w:rsidR="000929E4" w:rsidRPr="00B8427A">
        <w:rPr>
          <w:lang w:val="en-GB"/>
        </w:rPr>
        <w:t xml:space="preserve"> the </w:t>
      </w:r>
      <w:r w:rsidR="00C46FAC" w:rsidRPr="00B8427A">
        <w:rPr>
          <w:lang w:val="en-GB"/>
        </w:rPr>
        <w:t xml:space="preserve">Gulf Cooperation Council, </w:t>
      </w:r>
      <w:r w:rsidR="00330879" w:rsidRPr="00B8427A">
        <w:rPr>
          <w:lang w:val="en-GB"/>
        </w:rPr>
        <w:t xml:space="preserve">the </w:t>
      </w:r>
      <w:r w:rsidR="00C46FAC" w:rsidRPr="00B8427A">
        <w:rPr>
          <w:lang w:val="en-GB"/>
        </w:rPr>
        <w:t>private sector</w:t>
      </w:r>
      <w:r w:rsidR="00B1309E" w:rsidRPr="00B8427A">
        <w:rPr>
          <w:lang w:val="en-GB"/>
        </w:rPr>
        <w:t>,</w:t>
      </w:r>
      <w:r w:rsidR="000929E4" w:rsidRPr="00B8427A">
        <w:rPr>
          <w:lang w:val="en-GB"/>
        </w:rPr>
        <w:t xml:space="preserve"> </w:t>
      </w:r>
      <w:r w:rsidRPr="00B8427A">
        <w:rPr>
          <w:lang w:val="en-GB"/>
        </w:rPr>
        <w:t xml:space="preserve">and </w:t>
      </w:r>
      <w:r w:rsidR="000929E4" w:rsidRPr="00B8427A">
        <w:rPr>
          <w:lang w:val="en-GB"/>
        </w:rPr>
        <w:t>foundations</w:t>
      </w:r>
      <w:r w:rsidR="00B8427A">
        <w:rPr>
          <w:lang w:val="en-GB"/>
        </w:rPr>
        <w:t>,</w:t>
      </w:r>
      <w:r w:rsidR="000929E4" w:rsidRPr="00B8427A">
        <w:rPr>
          <w:lang w:val="en-GB"/>
        </w:rPr>
        <w:t xml:space="preserve"> and </w:t>
      </w:r>
      <w:r w:rsidR="00B8427A">
        <w:rPr>
          <w:lang w:val="en-GB"/>
        </w:rPr>
        <w:t xml:space="preserve">will </w:t>
      </w:r>
      <w:r w:rsidRPr="00B8427A">
        <w:rPr>
          <w:lang w:val="en-GB"/>
        </w:rPr>
        <w:t xml:space="preserve">pursue opportunities for </w:t>
      </w:r>
      <w:r w:rsidR="00290AD5" w:rsidRPr="00B8427A">
        <w:rPr>
          <w:lang w:val="en-GB"/>
        </w:rPr>
        <w:t xml:space="preserve">South-South and </w:t>
      </w:r>
      <w:r w:rsidR="00B8427A">
        <w:rPr>
          <w:lang w:val="en-GB"/>
        </w:rPr>
        <w:t>t</w:t>
      </w:r>
      <w:r w:rsidR="00290AD5" w:rsidRPr="00B8427A">
        <w:rPr>
          <w:lang w:val="en-GB"/>
        </w:rPr>
        <w:t>riangular</w:t>
      </w:r>
      <w:r w:rsidR="00920944" w:rsidRPr="00B8427A">
        <w:rPr>
          <w:lang w:val="en-GB"/>
        </w:rPr>
        <w:t xml:space="preserve"> </w:t>
      </w:r>
      <w:r w:rsidR="00B8427A">
        <w:rPr>
          <w:lang w:val="en-GB"/>
        </w:rPr>
        <w:t>c</w:t>
      </w:r>
      <w:r w:rsidR="0072086D" w:rsidRPr="00B8427A">
        <w:rPr>
          <w:lang w:val="en-GB"/>
        </w:rPr>
        <w:t>ooperation</w:t>
      </w:r>
      <w:r w:rsidRPr="00B8427A">
        <w:rPr>
          <w:lang w:val="en-GB"/>
        </w:rPr>
        <w:t>.</w:t>
      </w:r>
      <w:r w:rsidR="00700D6A" w:rsidRPr="00B8427A">
        <w:rPr>
          <w:lang w:val="en-GB"/>
        </w:rPr>
        <w:t xml:space="preserve"> </w:t>
      </w:r>
      <w:r w:rsidR="00CA5ABE" w:rsidRPr="00B8427A">
        <w:rPr>
          <w:lang w:val="en-GB"/>
        </w:rPr>
        <w:t>If the resources do not materiali</w:t>
      </w:r>
      <w:r w:rsidR="00B8427A">
        <w:rPr>
          <w:lang w:val="en-GB"/>
        </w:rPr>
        <w:t>z</w:t>
      </w:r>
      <w:r w:rsidR="00CA5ABE" w:rsidRPr="00B8427A">
        <w:rPr>
          <w:lang w:val="en-GB"/>
        </w:rPr>
        <w:t>e</w:t>
      </w:r>
      <w:r w:rsidR="00B8427A">
        <w:rPr>
          <w:lang w:val="en-GB"/>
        </w:rPr>
        <w:t>,</w:t>
      </w:r>
      <w:r w:rsidR="00CA5ABE" w:rsidRPr="00B8427A">
        <w:rPr>
          <w:lang w:val="en-GB"/>
        </w:rPr>
        <w:t xml:space="preserve"> or the context prevents programme implementation, the programme will scale down </w:t>
      </w:r>
      <w:r w:rsidR="00925AA6">
        <w:rPr>
          <w:lang w:val="en-GB"/>
        </w:rPr>
        <w:t>in accordance with</w:t>
      </w:r>
      <w:r w:rsidR="00B8427A" w:rsidRPr="00B8427A">
        <w:rPr>
          <w:lang w:val="en-GB"/>
        </w:rPr>
        <w:t xml:space="preserve"> </w:t>
      </w:r>
      <w:r w:rsidR="00CA5ABE" w:rsidRPr="00B8427A">
        <w:rPr>
          <w:lang w:val="en-GB"/>
        </w:rPr>
        <w:t>UNDP procedures.</w:t>
      </w:r>
    </w:p>
    <w:p w14:paraId="6EF2A7BF" w14:textId="0E5B33BE" w:rsidR="005015B3" w:rsidRPr="00925AA6" w:rsidRDefault="00CA5ABE" w:rsidP="000156B4">
      <w:pPr>
        <w:pStyle w:val="ListParagraph"/>
        <w:numPr>
          <w:ilvl w:val="0"/>
          <w:numId w:val="7"/>
        </w:numPr>
        <w:spacing w:after="120" w:line="240" w:lineRule="exact"/>
        <w:ind w:left="1080" w:right="1210" w:firstLine="0"/>
        <w:jc w:val="both"/>
        <w:rPr>
          <w:lang w:val="en-GB"/>
        </w:rPr>
      </w:pPr>
      <w:r w:rsidRPr="00925AA6">
        <w:rPr>
          <w:lang w:val="en-GB"/>
        </w:rPr>
        <w:t xml:space="preserve">Given the high dependency of Yemen on food imports, food supply chain disruptions, </w:t>
      </w:r>
      <w:r w:rsidR="00925AA6">
        <w:rPr>
          <w:lang w:val="en-GB"/>
        </w:rPr>
        <w:t xml:space="preserve">and </w:t>
      </w:r>
      <w:r w:rsidRPr="00925AA6">
        <w:rPr>
          <w:lang w:val="en-GB"/>
        </w:rPr>
        <w:t>shortages</w:t>
      </w:r>
      <w:r w:rsidR="006F659A" w:rsidRPr="00925AA6">
        <w:rPr>
          <w:lang w:val="en-GB"/>
        </w:rPr>
        <w:t>,</w:t>
      </w:r>
      <w:r w:rsidRPr="00925AA6">
        <w:rPr>
          <w:lang w:val="en-GB"/>
        </w:rPr>
        <w:t xml:space="preserve"> eventual price increases </w:t>
      </w:r>
      <w:r w:rsidR="001C76EF" w:rsidRPr="00925AA6">
        <w:rPr>
          <w:lang w:val="en-GB"/>
        </w:rPr>
        <w:t xml:space="preserve">may </w:t>
      </w:r>
      <w:r w:rsidR="00EE2833" w:rsidRPr="00925AA6">
        <w:rPr>
          <w:lang w:val="en-GB"/>
        </w:rPr>
        <w:t>undermine</w:t>
      </w:r>
      <w:r w:rsidRPr="00925AA6">
        <w:rPr>
          <w:lang w:val="en-GB"/>
        </w:rPr>
        <w:t xml:space="preserve"> UNDP efforts to improve food security by </w:t>
      </w:r>
      <w:r w:rsidR="00FA3CB0" w:rsidRPr="00EC5843">
        <w:rPr>
          <w:lang w:val="en-GB"/>
        </w:rPr>
        <w:t>i</w:t>
      </w:r>
      <w:r w:rsidR="00E61AEA" w:rsidRPr="00EC5843">
        <w:rPr>
          <w:lang w:val="en-GB"/>
        </w:rPr>
        <w:t>mproving food affordability</w:t>
      </w:r>
      <w:r w:rsidRPr="00EC5843">
        <w:rPr>
          <w:lang w:val="en-GB"/>
        </w:rPr>
        <w:t xml:space="preserve">. </w:t>
      </w:r>
      <w:r w:rsidR="00847145" w:rsidRPr="00EC5843">
        <w:rPr>
          <w:lang w:val="en-GB"/>
        </w:rPr>
        <w:t>UNDP will col</w:t>
      </w:r>
      <w:r w:rsidR="00847145" w:rsidRPr="00444069">
        <w:rPr>
          <w:lang w:val="en-GB"/>
        </w:rPr>
        <w:t>laborate with FAO and other</w:t>
      </w:r>
      <w:r w:rsidR="00DA58D0" w:rsidRPr="00444069">
        <w:rPr>
          <w:lang w:val="en-GB"/>
        </w:rPr>
        <w:t xml:space="preserve"> stakeholders</w:t>
      </w:r>
      <w:r w:rsidR="00847145" w:rsidRPr="00444069">
        <w:rPr>
          <w:lang w:val="en-GB"/>
        </w:rPr>
        <w:t xml:space="preserve"> </w:t>
      </w:r>
      <w:r w:rsidR="00DA58D0" w:rsidRPr="00444069">
        <w:rPr>
          <w:lang w:val="en-GB"/>
        </w:rPr>
        <w:t xml:space="preserve">to boost local </w:t>
      </w:r>
      <w:r w:rsidR="006F659A" w:rsidRPr="00444069">
        <w:rPr>
          <w:lang w:val="en-GB"/>
        </w:rPr>
        <w:t>agricultural productio</w:t>
      </w:r>
      <w:r w:rsidR="00EC7DD0" w:rsidRPr="00444069">
        <w:rPr>
          <w:lang w:val="en-GB"/>
        </w:rPr>
        <w:t>n.</w:t>
      </w:r>
      <w:r w:rsidR="00925AA6" w:rsidRPr="00925AA6">
        <w:rPr>
          <w:lang w:val="en-GB"/>
        </w:rPr>
        <w:t xml:space="preserve"> </w:t>
      </w:r>
    </w:p>
    <w:p w14:paraId="2C100F6D" w14:textId="4579D927" w:rsidR="00554068" w:rsidRPr="00925AA6" w:rsidRDefault="00F05440" w:rsidP="000156B4">
      <w:pPr>
        <w:pStyle w:val="ListParagraph"/>
        <w:numPr>
          <w:ilvl w:val="0"/>
          <w:numId w:val="7"/>
        </w:numPr>
        <w:spacing w:after="120" w:line="240" w:lineRule="exact"/>
        <w:ind w:left="1080" w:right="1210" w:firstLine="0"/>
        <w:jc w:val="both"/>
        <w:rPr>
          <w:lang w:val="en-GB"/>
        </w:rPr>
      </w:pPr>
      <w:r w:rsidRPr="00EC5843">
        <w:rPr>
          <w:lang w:val="en-GB"/>
        </w:rPr>
        <w:t xml:space="preserve">A </w:t>
      </w:r>
      <w:r w:rsidR="003756ED" w:rsidRPr="00EC5843">
        <w:rPr>
          <w:lang w:val="en-GB"/>
        </w:rPr>
        <w:t xml:space="preserve">significant </w:t>
      </w:r>
      <w:r w:rsidRPr="00EC5843">
        <w:rPr>
          <w:lang w:val="en-GB"/>
        </w:rPr>
        <w:t xml:space="preserve">risk is the spread of armed conflict to an increasing number of areas, limiting or impeding access for UNDP and its partners. UNDP Yemen coordinates with </w:t>
      </w:r>
      <w:r w:rsidR="00BD43AF" w:rsidRPr="00EC5843">
        <w:rPr>
          <w:lang w:val="en-GB"/>
        </w:rPr>
        <w:t>the</w:t>
      </w:r>
      <w:r w:rsidR="00AB4A7A">
        <w:rPr>
          <w:lang w:val="en-GB"/>
        </w:rPr>
        <w:t xml:space="preserve"> Office of the Special Envoy</w:t>
      </w:r>
      <w:r w:rsidRPr="00444069">
        <w:rPr>
          <w:lang w:val="en-GB"/>
        </w:rPr>
        <w:t xml:space="preserve">, </w:t>
      </w:r>
      <w:r w:rsidR="00925AA6">
        <w:rPr>
          <w:lang w:val="en-GB"/>
        </w:rPr>
        <w:t>h</w:t>
      </w:r>
      <w:r w:rsidRPr="00925AA6">
        <w:rPr>
          <w:lang w:val="en-GB"/>
        </w:rPr>
        <w:t xml:space="preserve">umanitarian and </w:t>
      </w:r>
      <w:r w:rsidR="00925AA6">
        <w:rPr>
          <w:lang w:val="en-GB"/>
        </w:rPr>
        <w:t>United </w:t>
      </w:r>
      <w:r w:rsidR="00AD061F" w:rsidRPr="00925AA6">
        <w:rPr>
          <w:lang w:val="en-GB"/>
        </w:rPr>
        <w:t>Nations</w:t>
      </w:r>
      <w:r w:rsidRPr="00925AA6">
        <w:rPr>
          <w:lang w:val="en-GB"/>
        </w:rPr>
        <w:t xml:space="preserve"> country teams to address political risks</w:t>
      </w:r>
      <w:r w:rsidR="00AB4A7A">
        <w:rPr>
          <w:lang w:val="en-GB"/>
        </w:rPr>
        <w:t xml:space="preserve"> </w:t>
      </w:r>
      <w:r w:rsidR="00AB4A7A" w:rsidRPr="00925AA6">
        <w:rPr>
          <w:lang w:val="en-GB"/>
        </w:rPr>
        <w:t>collectively</w:t>
      </w:r>
      <w:r w:rsidRPr="00925AA6">
        <w:rPr>
          <w:lang w:val="en-GB"/>
        </w:rPr>
        <w:t xml:space="preserve">. </w:t>
      </w:r>
      <w:r w:rsidR="00925AA6">
        <w:rPr>
          <w:lang w:val="en-GB"/>
        </w:rPr>
        <w:t xml:space="preserve">The </w:t>
      </w:r>
      <w:r w:rsidR="008A64BF" w:rsidRPr="00925AA6">
        <w:rPr>
          <w:lang w:val="en-GB"/>
        </w:rPr>
        <w:t>decentrali</w:t>
      </w:r>
      <w:r w:rsidR="00AB4A7A">
        <w:rPr>
          <w:lang w:val="en-GB"/>
        </w:rPr>
        <w:t>z</w:t>
      </w:r>
      <w:r w:rsidR="008A64BF" w:rsidRPr="00925AA6">
        <w:rPr>
          <w:lang w:val="en-GB"/>
        </w:rPr>
        <w:t>ed structure</w:t>
      </w:r>
      <w:r w:rsidR="00E628B3" w:rsidRPr="00925AA6">
        <w:rPr>
          <w:lang w:val="en-GB"/>
        </w:rPr>
        <w:t xml:space="preserve"> </w:t>
      </w:r>
      <w:r w:rsidR="00925AA6">
        <w:rPr>
          <w:lang w:val="en-GB"/>
        </w:rPr>
        <w:t>of UNDP –</w:t>
      </w:r>
      <w:r w:rsidR="00E628B3" w:rsidRPr="00925AA6">
        <w:rPr>
          <w:lang w:val="en-GB"/>
        </w:rPr>
        <w:t xml:space="preserve"> </w:t>
      </w:r>
      <w:r w:rsidR="00C80B05" w:rsidRPr="00925AA6">
        <w:rPr>
          <w:lang w:val="en-GB"/>
        </w:rPr>
        <w:t>main office in Sana’a</w:t>
      </w:r>
      <w:r w:rsidR="008A64BF" w:rsidRPr="00925AA6">
        <w:rPr>
          <w:lang w:val="en-GB"/>
        </w:rPr>
        <w:t xml:space="preserve"> and sub-offices in Aden</w:t>
      </w:r>
      <w:r w:rsidR="00D71CE9" w:rsidRPr="00925AA6">
        <w:rPr>
          <w:lang w:val="en-GB"/>
        </w:rPr>
        <w:t xml:space="preserve"> (</w:t>
      </w:r>
      <w:r w:rsidR="00925AA6">
        <w:rPr>
          <w:lang w:val="en-GB"/>
        </w:rPr>
        <w:t>s</w:t>
      </w:r>
      <w:r w:rsidR="00D71CE9" w:rsidRPr="00925AA6">
        <w:rPr>
          <w:lang w:val="en-GB"/>
        </w:rPr>
        <w:t>outh)</w:t>
      </w:r>
      <w:r w:rsidR="008A64BF" w:rsidRPr="00925AA6">
        <w:rPr>
          <w:lang w:val="en-GB"/>
        </w:rPr>
        <w:t xml:space="preserve"> and Hodeidah</w:t>
      </w:r>
      <w:r w:rsidR="00D71CE9" w:rsidRPr="00925AA6">
        <w:rPr>
          <w:lang w:val="en-GB"/>
        </w:rPr>
        <w:t xml:space="preserve"> (</w:t>
      </w:r>
      <w:r w:rsidR="00925AA6">
        <w:rPr>
          <w:lang w:val="en-GB"/>
        </w:rPr>
        <w:t>n</w:t>
      </w:r>
      <w:r w:rsidR="00D71CE9" w:rsidRPr="00925AA6">
        <w:rPr>
          <w:lang w:val="en-GB"/>
        </w:rPr>
        <w:t xml:space="preserve">orth) will facilitate business continuity in the event of </w:t>
      </w:r>
      <w:r w:rsidR="0002687E" w:rsidRPr="00925AA6">
        <w:rPr>
          <w:lang w:val="en-GB"/>
        </w:rPr>
        <w:t>programme disruption in Sana’a or any other region</w:t>
      </w:r>
      <w:r w:rsidR="00925AA6">
        <w:rPr>
          <w:lang w:val="en-GB"/>
        </w:rPr>
        <w:t>.</w:t>
      </w:r>
      <w:r w:rsidR="0002687E" w:rsidRPr="00925AA6">
        <w:rPr>
          <w:lang w:val="en-GB"/>
        </w:rPr>
        <w:t xml:space="preserve"> </w:t>
      </w:r>
      <w:r w:rsidR="00C3563A" w:rsidRPr="00925AA6">
        <w:rPr>
          <w:lang w:val="en-GB"/>
        </w:rPr>
        <w:t>Support to non-U</w:t>
      </w:r>
      <w:r w:rsidR="00925AA6">
        <w:rPr>
          <w:lang w:val="en-GB"/>
        </w:rPr>
        <w:t>nited Nations</w:t>
      </w:r>
      <w:r w:rsidR="00C3563A" w:rsidRPr="00925AA6">
        <w:rPr>
          <w:lang w:val="en-GB"/>
        </w:rPr>
        <w:t xml:space="preserve"> security forces will be </w:t>
      </w:r>
      <w:r w:rsidR="005C5581" w:rsidRPr="00925AA6">
        <w:rPr>
          <w:lang w:val="en-GB"/>
        </w:rPr>
        <w:t xml:space="preserve">informed </w:t>
      </w:r>
      <w:r w:rsidR="003756ED" w:rsidRPr="00925AA6">
        <w:rPr>
          <w:lang w:val="en-GB"/>
        </w:rPr>
        <w:t>by applying</w:t>
      </w:r>
      <w:r w:rsidR="005C5581" w:rsidRPr="00925AA6">
        <w:rPr>
          <w:lang w:val="en-GB"/>
        </w:rPr>
        <w:t xml:space="preserve"> the </w:t>
      </w:r>
      <w:r w:rsidR="00925AA6">
        <w:rPr>
          <w:lang w:val="en-GB"/>
        </w:rPr>
        <w:t>human rights d</w:t>
      </w:r>
      <w:r w:rsidR="00925AA6" w:rsidRPr="00925AA6">
        <w:rPr>
          <w:lang w:val="en-GB"/>
        </w:rPr>
        <w:t xml:space="preserve">ue </w:t>
      </w:r>
      <w:r w:rsidR="00925AA6">
        <w:rPr>
          <w:lang w:val="en-GB"/>
        </w:rPr>
        <w:t>d</w:t>
      </w:r>
      <w:r w:rsidR="00925AA6" w:rsidRPr="00925AA6">
        <w:rPr>
          <w:lang w:val="en-GB"/>
        </w:rPr>
        <w:t>iligence</w:t>
      </w:r>
      <w:r w:rsidR="00925AA6">
        <w:rPr>
          <w:lang w:val="en-GB"/>
        </w:rPr>
        <w:t xml:space="preserve"> p</w:t>
      </w:r>
      <w:r w:rsidR="00925AA6" w:rsidRPr="00925AA6">
        <w:rPr>
          <w:lang w:val="en-GB"/>
        </w:rPr>
        <w:t>olicy</w:t>
      </w:r>
      <w:r w:rsidR="004074F8" w:rsidRPr="00925AA6">
        <w:rPr>
          <w:lang w:val="en-GB"/>
        </w:rPr>
        <w:t xml:space="preserve"> issued by the Secretary-General</w:t>
      </w:r>
      <w:r w:rsidR="005C5581" w:rsidRPr="00925AA6">
        <w:rPr>
          <w:lang w:val="en-GB"/>
        </w:rPr>
        <w:t>.</w:t>
      </w:r>
      <w:r w:rsidR="00C3563A" w:rsidRPr="00925AA6">
        <w:rPr>
          <w:lang w:val="en-GB"/>
        </w:rPr>
        <w:t xml:space="preserve"> </w:t>
      </w:r>
    </w:p>
    <w:p w14:paraId="31BF6395" w14:textId="1388D554" w:rsidR="00CA3E88" w:rsidRPr="007E770C" w:rsidRDefault="00F05440" w:rsidP="000156B4">
      <w:pPr>
        <w:pStyle w:val="ListParagraph"/>
        <w:numPr>
          <w:ilvl w:val="0"/>
          <w:numId w:val="7"/>
        </w:numPr>
        <w:spacing w:after="120" w:line="240" w:lineRule="exact"/>
        <w:ind w:left="1080" w:right="1210" w:firstLine="0"/>
        <w:jc w:val="both"/>
        <w:rPr>
          <w:lang w:val="en-GB"/>
        </w:rPr>
      </w:pPr>
      <w:r w:rsidRPr="00925AA6">
        <w:rPr>
          <w:lang w:val="en-GB"/>
        </w:rPr>
        <w:t>In terms of financial risk</w:t>
      </w:r>
      <w:r w:rsidRPr="007E770C">
        <w:rPr>
          <w:lang w:val="en-GB"/>
        </w:rPr>
        <w:t xml:space="preserve"> associated with the weak capacity of partners, UNDP will be guided by the </w:t>
      </w:r>
      <w:r w:rsidR="002838FC">
        <w:rPr>
          <w:lang w:val="en-GB"/>
        </w:rPr>
        <w:t>E</w:t>
      </w:r>
      <w:r w:rsidRPr="007E770C">
        <w:rPr>
          <w:lang w:val="en-GB"/>
        </w:rPr>
        <w:t xml:space="preserve">nterprise </w:t>
      </w:r>
      <w:r w:rsidR="002838FC">
        <w:rPr>
          <w:lang w:val="en-GB"/>
        </w:rPr>
        <w:t>Ri</w:t>
      </w:r>
      <w:r w:rsidRPr="007E770C">
        <w:rPr>
          <w:lang w:val="en-GB"/>
        </w:rPr>
        <w:t xml:space="preserve">sk </w:t>
      </w:r>
      <w:r w:rsidR="002838FC">
        <w:rPr>
          <w:lang w:val="en-GB"/>
        </w:rPr>
        <w:t>M</w:t>
      </w:r>
      <w:r w:rsidRPr="007E770C">
        <w:rPr>
          <w:lang w:val="en-GB"/>
        </w:rPr>
        <w:t xml:space="preserve">anagement </w:t>
      </w:r>
      <w:r w:rsidR="002838FC">
        <w:rPr>
          <w:lang w:val="en-GB"/>
        </w:rPr>
        <w:t>P</w:t>
      </w:r>
      <w:r w:rsidRPr="007E770C">
        <w:rPr>
          <w:lang w:val="en-GB"/>
        </w:rPr>
        <w:t xml:space="preserve">olicy and </w:t>
      </w:r>
      <w:r w:rsidR="007E770C">
        <w:rPr>
          <w:lang w:val="en-GB"/>
        </w:rPr>
        <w:t xml:space="preserve">the </w:t>
      </w:r>
      <w:r w:rsidR="709EF770" w:rsidRPr="007E770C">
        <w:rPr>
          <w:lang w:val="en-GB"/>
        </w:rPr>
        <w:t xml:space="preserve">Harmonized Approach to Cash Transfer </w:t>
      </w:r>
      <w:r w:rsidRPr="007E770C">
        <w:rPr>
          <w:lang w:val="en-GB"/>
        </w:rPr>
        <w:t>guidelines as a mitigation measure. UNDP operates a comprehensive result</w:t>
      </w:r>
      <w:r w:rsidR="007E770C">
        <w:rPr>
          <w:lang w:val="en-GB"/>
        </w:rPr>
        <w:t>s</w:t>
      </w:r>
      <w:r w:rsidRPr="007E770C">
        <w:rPr>
          <w:lang w:val="en-GB"/>
        </w:rPr>
        <w:t xml:space="preserve"> monitoring system, including country office, project and independent (third-party) monitoring. </w:t>
      </w:r>
      <w:r w:rsidR="00CA3E88" w:rsidRPr="007E770C">
        <w:rPr>
          <w:lang w:val="en-GB"/>
        </w:rPr>
        <w:t>UNDP will apply corporate social and environmental safeguards</w:t>
      </w:r>
      <w:r w:rsidR="00B832BB" w:rsidRPr="007E770C">
        <w:rPr>
          <w:lang w:val="en-GB"/>
        </w:rPr>
        <w:t xml:space="preserve">, </w:t>
      </w:r>
      <w:r w:rsidR="00CA3E88" w:rsidRPr="007E770C">
        <w:rPr>
          <w:lang w:val="en-GB"/>
        </w:rPr>
        <w:t>accountability</w:t>
      </w:r>
      <w:r w:rsidR="00B832BB" w:rsidRPr="007E770C">
        <w:rPr>
          <w:lang w:val="en-GB"/>
        </w:rPr>
        <w:t xml:space="preserve">, early warning, </w:t>
      </w:r>
      <w:r w:rsidR="00245175" w:rsidRPr="007E770C">
        <w:rPr>
          <w:lang w:val="en-GB"/>
        </w:rPr>
        <w:t>and grievance</w:t>
      </w:r>
      <w:r w:rsidR="00AB4A7A">
        <w:rPr>
          <w:lang w:val="en-GB"/>
        </w:rPr>
        <w:t>-</w:t>
      </w:r>
      <w:r w:rsidR="002E301B" w:rsidRPr="00845EB2">
        <w:rPr>
          <w:lang w:val="en-GB"/>
        </w:rPr>
        <w:t xml:space="preserve">redress </w:t>
      </w:r>
      <w:r w:rsidR="00245175" w:rsidRPr="00845EB2">
        <w:rPr>
          <w:lang w:val="en-GB"/>
        </w:rPr>
        <w:t xml:space="preserve">mechanisms to communities that could be negatively affected by UNDP actions following the </w:t>
      </w:r>
      <w:r w:rsidR="00245175" w:rsidRPr="007E770C">
        <w:rPr>
          <w:lang w:val="en-GB"/>
        </w:rPr>
        <w:t>Social and Environmental Standards Policy</w:t>
      </w:r>
      <w:r w:rsidR="002E301B" w:rsidRPr="007E770C">
        <w:rPr>
          <w:lang w:val="en-GB"/>
        </w:rPr>
        <w:t>.</w:t>
      </w:r>
    </w:p>
    <w:p w14:paraId="18D0D8AF" w14:textId="7366449A" w:rsidR="005632F1" w:rsidRPr="004806F2" w:rsidRDefault="009F4860" w:rsidP="00C6248C">
      <w:pPr>
        <w:pStyle w:val="ListParagraph"/>
        <w:numPr>
          <w:ilvl w:val="0"/>
          <w:numId w:val="7"/>
        </w:numPr>
        <w:spacing w:after="200" w:line="240" w:lineRule="exact"/>
        <w:ind w:left="1080" w:right="1210" w:firstLine="0"/>
        <w:jc w:val="both"/>
        <w:rPr>
          <w:lang w:val="en-GB"/>
        </w:rPr>
      </w:pPr>
      <w:r w:rsidRPr="007E770C">
        <w:rPr>
          <w:color w:val="000000" w:themeColor="text1"/>
          <w:lang w:val="en-GB"/>
        </w:rPr>
        <w:t>This country programme document outlines UNDP contributions to national results and serves as the primary unit of acco</w:t>
      </w:r>
      <w:r w:rsidRPr="00845EB2">
        <w:rPr>
          <w:color w:val="000000" w:themeColor="text1"/>
          <w:lang w:val="en-GB"/>
        </w:rPr>
        <w:t xml:space="preserve">untability to the Executive Board for results alignment and resources assigned to the programme at </w:t>
      </w:r>
      <w:r w:rsidR="005015B3" w:rsidRPr="00EC5843">
        <w:rPr>
          <w:color w:val="000000" w:themeColor="text1"/>
          <w:lang w:val="en-GB"/>
        </w:rPr>
        <w:t xml:space="preserve">the </w:t>
      </w:r>
      <w:r w:rsidRPr="00EC5843">
        <w:rPr>
          <w:color w:val="000000" w:themeColor="text1"/>
          <w:lang w:val="en-GB"/>
        </w:rPr>
        <w:t>country level. Accountabilities of managers at the country, regional</w:t>
      </w:r>
      <w:r w:rsidR="003756ED" w:rsidRPr="00EC5843">
        <w:rPr>
          <w:color w:val="000000" w:themeColor="text1"/>
          <w:lang w:val="en-GB"/>
        </w:rPr>
        <w:t>,</w:t>
      </w:r>
      <w:r w:rsidRPr="00EC5843">
        <w:rPr>
          <w:color w:val="000000" w:themeColor="text1"/>
          <w:lang w:val="en-GB"/>
        </w:rPr>
        <w:t xml:space="preserve"> and headquarter</w:t>
      </w:r>
      <w:r w:rsidR="007E770C">
        <w:rPr>
          <w:color w:val="000000" w:themeColor="text1"/>
          <w:lang w:val="en-GB"/>
        </w:rPr>
        <w:t>s</w:t>
      </w:r>
      <w:r w:rsidRPr="007E770C">
        <w:rPr>
          <w:color w:val="000000" w:themeColor="text1"/>
          <w:lang w:val="en-GB"/>
        </w:rPr>
        <w:t xml:space="preserve"> levels with respect to country programmes </w:t>
      </w:r>
      <w:r w:rsidR="00330879" w:rsidRPr="007E770C">
        <w:rPr>
          <w:color w:val="000000" w:themeColor="text1"/>
          <w:lang w:val="en-GB"/>
        </w:rPr>
        <w:t>are</w:t>
      </w:r>
      <w:r w:rsidRPr="007E770C">
        <w:rPr>
          <w:color w:val="000000" w:themeColor="text1"/>
          <w:lang w:val="en-GB"/>
        </w:rPr>
        <w:t xml:space="preserve"> prescribed </w:t>
      </w:r>
      <w:r w:rsidRPr="007E770C">
        <w:rPr>
          <w:color w:val="000000" w:themeColor="text1"/>
          <w:lang w:val="en-GB"/>
        </w:rPr>
        <w:lastRenderedPageBreak/>
        <w:t xml:space="preserve">in the </w:t>
      </w:r>
      <w:hyperlink r:id="rId17">
        <w:r w:rsidR="007E770C" w:rsidRPr="00547CB2">
          <w:t>programme and operations policies and procedures</w:t>
        </w:r>
      </w:hyperlink>
      <w:r w:rsidR="007E770C" w:rsidRPr="00547CB2">
        <w:rPr>
          <w:lang w:val="en-GB"/>
        </w:rPr>
        <w:t xml:space="preserve"> and the </w:t>
      </w:r>
      <w:hyperlink r:id="rId18">
        <w:r w:rsidR="007E770C" w:rsidRPr="00547CB2">
          <w:t>internal control framework</w:t>
        </w:r>
      </w:hyperlink>
      <w:r w:rsidR="00A20043" w:rsidRPr="00547CB2">
        <w:rPr>
          <w:lang w:val="en-GB"/>
        </w:rPr>
        <w:t>.</w:t>
      </w:r>
      <w:r w:rsidR="00AE7241" w:rsidRPr="00547CB2">
        <w:rPr>
          <w:lang w:val="en-GB"/>
        </w:rPr>
        <w:t xml:space="preserve"> </w:t>
      </w:r>
      <w:r w:rsidR="005632F1" w:rsidRPr="00444069">
        <w:rPr>
          <w:lang w:val="en-GB"/>
        </w:rPr>
        <w:t xml:space="preserve">The programme will be nationally executed. If necessary, national execution may be replaced by direct execution for part or all of the programme to enable </w:t>
      </w:r>
      <w:r w:rsidR="00330879" w:rsidRPr="00444069">
        <w:rPr>
          <w:lang w:val="en-GB"/>
        </w:rPr>
        <w:t xml:space="preserve">a </w:t>
      </w:r>
      <w:r w:rsidR="005632F1" w:rsidRPr="00444069">
        <w:rPr>
          <w:lang w:val="en-GB"/>
        </w:rPr>
        <w:t xml:space="preserve">response to </w:t>
      </w:r>
      <w:r w:rsidR="005632F1" w:rsidRPr="00444069">
        <w:rPr>
          <w:i/>
          <w:lang w:val="en-GB"/>
        </w:rPr>
        <w:t>force majeure</w:t>
      </w:r>
      <w:r w:rsidR="005632F1" w:rsidRPr="00444069">
        <w:rPr>
          <w:lang w:val="en-GB"/>
        </w:rPr>
        <w:t xml:space="preserve">. </w:t>
      </w:r>
      <w:r w:rsidR="007E770C">
        <w:rPr>
          <w:lang w:val="en-GB"/>
        </w:rPr>
        <w:t xml:space="preserve">The </w:t>
      </w:r>
      <w:r w:rsidR="005632F1" w:rsidRPr="00444069">
        <w:rPr>
          <w:lang w:val="en-GB"/>
        </w:rPr>
        <w:t>Harmoni</w:t>
      </w:r>
      <w:r w:rsidR="007E770C">
        <w:rPr>
          <w:lang w:val="en-GB"/>
        </w:rPr>
        <w:t>z</w:t>
      </w:r>
      <w:r w:rsidR="005632F1" w:rsidRPr="00444069">
        <w:rPr>
          <w:lang w:val="en-GB"/>
        </w:rPr>
        <w:t xml:space="preserve">ed Approach to Cash Transfers </w:t>
      </w:r>
      <w:r w:rsidR="003756ED" w:rsidRPr="004806F2">
        <w:rPr>
          <w:lang w:val="en-GB"/>
        </w:rPr>
        <w:t>will be coordinated</w:t>
      </w:r>
      <w:r w:rsidR="005632F1" w:rsidRPr="004806F2">
        <w:rPr>
          <w:lang w:val="en-GB"/>
        </w:rPr>
        <w:t xml:space="preserve"> with other </w:t>
      </w:r>
      <w:r w:rsidR="00AD061F" w:rsidRPr="004806F2">
        <w:rPr>
          <w:lang w:val="en-GB"/>
        </w:rPr>
        <w:t>United Nations</w:t>
      </w:r>
      <w:r w:rsidR="005632F1" w:rsidRPr="004806F2">
        <w:rPr>
          <w:lang w:val="en-GB"/>
        </w:rPr>
        <w:t xml:space="preserve"> </w:t>
      </w:r>
      <w:r w:rsidR="007E770C">
        <w:rPr>
          <w:lang w:val="en-GB"/>
        </w:rPr>
        <w:t>organization</w:t>
      </w:r>
      <w:r w:rsidR="007E770C" w:rsidRPr="004806F2">
        <w:rPr>
          <w:lang w:val="en-GB"/>
        </w:rPr>
        <w:t xml:space="preserve">s </w:t>
      </w:r>
      <w:r w:rsidR="005632F1" w:rsidRPr="004806F2">
        <w:rPr>
          <w:lang w:val="en-GB"/>
        </w:rPr>
        <w:t xml:space="preserve">to manage financial risks. </w:t>
      </w:r>
      <w:r w:rsidR="005632F1" w:rsidRPr="004806F2">
        <w:rPr>
          <w:iCs/>
          <w:lang w:val="en-GB"/>
        </w:rPr>
        <w:t>Cost definitions and classifications for programme and development effectiveness will be charged to the concerned projects.</w:t>
      </w:r>
    </w:p>
    <w:p w14:paraId="2440D409" w14:textId="1586D654" w:rsidR="00701B6B" w:rsidRPr="004806F2" w:rsidRDefault="001D42D1" w:rsidP="000156B4">
      <w:pPr>
        <w:pStyle w:val="Heading1"/>
        <w:numPr>
          <w:ilvl w:val="0"/>
          <w:numId w:val="10"/>
        </w:numPr>
        <w:tabs>
          <w:tab w:val="left" w:pos="1080"/>
        </w:tabs>
        <w:spacing w:after="200" w:line="240" w:lineRule="exact"/>
        <w:ind w:right="1210" w:hanging="1170"/>
        <w:jc w:val="both"/>
        <w:rPr>
          <w:rFonts w:ascii="Times New Roman" w:hAnsi="Times New Roman"/>
          <w:color w:val="000000"/>
          <w:sz w:val="24"/>
          <w:szCs w:val="24"/>
          <w:lang w:val="en-GB"/>
        </w:rPr>
      </w:pPr>
      <w:r w:rsidRPr="004806F2">
        <w:rPr>
          <w:rFonts w:ascii="Times New Roman" w:hAnsi="Times New Roman"/>
          <w:color w:val="000000"/>
          <w:sz w:val="24"/>
          <w:szCs w:val="24"/>
          <w:lang w:val="en-GB"/>
        </w:rPr>
        <w:t xml:space="preserve">Monitoring and </w:t>
      </w:r>
      <w:r w:rsidR="000156B4" w:rsidRPr="004806F2">
        <w:rPr>
          <w:rFonts w:ascii="Times New Roman" w:hAnsi="Times New Roman"/>
          <w:color w:val="000000"/>
          <w:sz w:val="24"/>
          <w:szCs w:val="24"/>
          <w:lang w:val="en-GB"/>
        </w:rPr>
        <w:t>e</w:t>
      </w:r>
      <w:r w:rsidR="001B3F87" w:rsidRPr="004806F2">
        <w:rPr>
          <w:rFonts w:ascii="Times New Roman" w:hAnsi="Times New Roman"/>
          <w:color w:val="000000"/>
          <w:sz w:val="24"/>
          <w:szCs w:val="24"/>
          <w:lang w:val="en-GB"/>
        </w:rPr>
        <w:t>valuation</w:t>
      </w:r>
    </w:p>
    <w:p w14:paraId="6960E353" w14:textId="38C4421C" w:rsidR="00BC148A" w:rsidRPr="00444069" w:rsidRDefault="00BC148A" w:rsidP="000156B4">
      <w:pPr>
        <w:pStyle w:val="ListParagraph"/>
        <w:numPr>
          <w:ilvl w:val="0"/>
          <w:numId w:val="7"/>
        </w:numPr>
        <w:spacing w:after="120" w:line="240" w:lineRule="exact"/>
        <w:ind w:left="1080" w:right="1210" w:firstLine="0"/>
        <w:jc w:val="both"/>
        <w:rPr>
          <w:lang w:val="en-GB"/>
        </w:rPr>
      </w:pPr>
      <w:r w:rsidRPr="004806F2">
        <w:rPr>
          <w:lang w:val="en-GB"/>
        </w:rPr>
        <w:t xml:space="preserve">The </w:t>
      </w:r>
      <w:r w:rsidR="003756ED" w:rsidRPr="004806F2">
        <w:rPr>
          <w:lang w:val="en-GB"/>
        </w:rPr>
        <w:t xml:space="preserve">country programme outcome areas and performance indicators </w:t>
      </w:r>
      <w:r w:rsidR="008348D1" w:rsidRPr="004806F2">
        <w:rPr>
          <w:lang w:val="en-GB"/>
        </w:rPr>
        <w:t>are</w:t>
      </w:r>
      <w:r w:rsidRPr="004806F2">
        <w:rPr>
          <w:lang w:val="en-GB"/>
        </w:rPr>
        <w:t xml:space="preserve"> aligned </w:t>
      </w:r>
      <w:r w:rsidR="008348D1" w:rsidRPr="004806F2">
        <w:rPr>
          <w:lang w:val="en-GB"/>
        </w:rPr>
        <w:t xml:space="preserve">with </w:t>
      </w:r>
      <w:r w:rsidR="00453A23" w:rsidRPr="004806F2">
        <w:rPr>
          <w:lang w:val="en-GB"/>
        </w:rPr>
        <w:t xml:space="preserve">the </w:t>
      </w:r>
      <w:r w:rsidRPr="004806F2">
        <w:rPr>
          <w:lang w:val="en-GB"/>
        </w:rPr>
        <w:t>UNDP Strategic Plan</w:t>
      </w:r>
      <w:r w:rsidR="00AB4A7A">
        <w:rPr>
          <w:lang w:val="en-GB"/>
        </w:rPr>
        <w:t>,</w:t>
      </w:r>
      <w:r w:rsidRPr="004806F2">
        <w:rPr>
          <w:lang w:val="en-GB"/>
        </w:rPr>
        <w:t xml:space="preserve"> </w:t>
      </w:r>
      <w:r w:rsidR="00290AD5" w:rsidRPr="00DB3165">
        <w:rPr>
          <w:lang w:val="en-GB"/>
        </w:rPr>
        <w:t>2022-2025</w:t>
      </w:r>
      <w:r w:rsidR="00AB4A7A">
        <w:rPr>
          <w:lang w:val="en-GB"/>
        </w:rPr>
        <w:t>,</w:t>
      </w:r>
      <w:r w:rsidR="00290AD5" w:rsidRPr="00DB3165">
        <w:rPr>
          <w:lang w:val="en-GB"/>
        </w:rPr>
        <w:t xml:space="preserve"> </w:t>
      </w:r>
      <w:r w:rsidRPr="00DB3165">
        <w:rPr>
          <w:lang w:val="en-GB"/>
        </w:rPr>
        <w:t xml:space="preserve">and the </w:t>
      </w:r>
      <w:r w:rsidR="00EC3478" w:rsidRPr="00DB3165">
        <w:rPr>
          <w:lang w:val="en-GB"/>
        </w:rPr>
        <w:t>United Nations Sustainable Development Cooperation Framework,</w:t>
      </w:r>
      <w:r w:rsidRPr="00DB3165">
        <w:rPr>
          <w:lang w:val="en-GB"/>
        </w:rPr>
        <w:t xml:space="preserve"> 2022-</w:t>
      </w:r>
      <w:r w:rsidR="004908B3" w:rsidRPr="00DB3165">
        <w:rPr>
          <w:lang w:val="en-GB"/>
        </w:rPr>
        <w:t>2024</w:t>
      </w:r>
      <w:r w:rsidRPr="00DB3165">
        <w:rPr>
          <w:lang w:val="en-GB"/>
        </w:rPr>
        <w:t xml:space="preserve">. Due to the increasing demand for data and evidence-based analysis to complement decision-making processes, UNDP will </w:t>
      </w:r>
      <w:r w:rsidR="00AB4A7A">
        <w:rPr>
          <w:lang w:val="en-GB"/>
        </w:rPr>
        <w:t>use</w:t>
      </w:r>
      <w:r w:rsidRPr="009B4526">
        <w:rPr>
          <w:lang w:val="en-GB"/>
        </w:rPr>
        <w:t xml:space="preserve"> online beneficiary feedback mechanisms, real-time monitoring, </w:t>
      </w:r>
      <w:r w:rsidR="00233D72" w:rsidRPr="007E770C">
        <w:rPr>
          <w:lang w:val="en-GB"/>
        </w:rPr>
        <w:t>reporting,</w:t>
      </w:r>
      <w:r w:rsidRPr="007E770C">
        <w:rPr>
          <w:lang w:val="en-GB"/>
        </w:rPr>
        <w:t xml:space="preserve"> and micro-narratives building </w:t>
      </w:r>
      <w:r w:rsidR="00FA717D" w:rsidRPr="007E770C">
        <w:rPr>
          <w:lang w:val="en-GB"/>
        </w:rPr>
        <w:t>on</w:t>
      </w:r>
      <w:r w:rsidRPr="007E770C">
        <w:rPr>
          <w:lang w:val="en-GB"/>
        </w:rPr>
        <w:t xml:space="preserve"> </w:t>
      </w:r>
      <w:r w:rsidR="002E4CF6" w:rsidRPr="007E770C">
        <w:rPr>
          <w:lang w:val="en-GB"/>
        </w:rPr>
        <w:t>traditional data collection methods</w:t>
      </w:r>
      <w:r w:rsidRPr="00845EB2">
        <w:rPr>
          <w:lang w:val="en-GB"/>
        </w:rPr>
        <w:t>. UNDP will engage third-party monitoring agencies to access hard</w:t>
      </w:r>
      <w:r w:rsidR="00AB4A7A">
        <w:rPr>
          <w:lang w:val="en-GB"/>
        </w:rPr>
        <w:t>-</w:t>
      </w:r>
      <w:r w:rsidRPr="00845EB2">
        <w:rPr>
          <w:lang w:val="en-GB"/>
        </w:rPr>
        <w:t>to</w:t>
      </w:r>
      <w:r w:rsidR="00AB4A7A">
        <w:rPr>
          <w:lang w:val="en-GB"/>
        </w:rPr>
        <w:t>-</w:t>
      </w:r>
      <w:r w:rsidRPr="00845EB2">
        <w:rPr>
          <w:lang w:val="en-GB"/>
        </w:rPr>
        <w:t xml:space="preserve">reach areas for </w:t>
      </w:r>
      <w:r w:rsidRPr="00EC5843">
        <w:rPr>
          <w:lang w:val="en-GB"/>
        </w:rPr>
        <w:t xml:space="preserve">UNDP personnel, due </w:t>
      </w:r>
      <w:r w:rsidR="00AB4A7A" w:rsidRPr="00EC5843">
        <w:rPr>
          <w:lang w:val="en-GB"/>
        </w:rPr>
        <w:t xml:space="preserve">mainly </w:t>
      </w:r>
      <w:r w:rsidRPr="00EC5843">
        <w:rPr>
          <w:lang w:val="en-GB"/>
        </w:rPr>
        <w:t xml:space="preserve">to insecurity. Data generated </w:t>
      </w:r>
      <w:r w:rsidR="00AB4A7A">
        <w:rPr>
          <w:lang w:val="en-GB"/>
        </w:rPr>
        <w:t xml:space="preserve">by </w:t>
      </w:r>
      <w:r w:rsidRPr="00EC5843">
        <w:rPr>
          <w:lang w:val="en-GB"/>
        </w:rPr>
        <w:t xml:space="preserve">the country office will be </w:t>
      </w:r>
      <w:r w:rsidR="006A3D53" w:rsidRPr="00EC5843">
        <w:rPr>
          <w:lang w:val="en-GB"/>
        </w:rPr>
        <w:t>gender-disaggregated</w:t>
      </w:r>
      <w:r w:rsidR="00A36A76" w:rsidRPr="00EC5843">
        <w:rPr>
          <w:lang w:val="en-GB"/>
        </w:rPr>
        <w:t xml:space="preserve"> and </w:t>
      </w:r>
      <w:r w:rsidRPr="00EC5843">
        <w:rPr>
          <w:lang w:val="en-GB"/>
        </w:rPr>
        <w:t>supplemented</w:t>
      </w:r>
      <w:r w:rsidR="000134AF">
        <w:rPr>
          <w:lang w:val="en-GB"/>
        </w:rPr>
        <w:t>, to the extent possible,</w:t>
      </w:r>
      <w:r w:rsidRPr="00EC5843">
        <w:rPr>
          <w:lang w:val="en-GB"/>
        </w:rPr>
        <w:t xml:space="preserve"> by available national qualitative and quantitative data. Routine monitoring across the outcome areas will be undertaken as part of the joint </w:t>
      </w:r>
      <w:r w:rsidR="00EC3478" w:rsidRPr="00444069">
        <w:rPr>
          <w:lang w:val="en-GB"/>
        </w:rPr>
        <w:t xml:space="preserve">Framework </w:t>
      </w:r>
      <w:r w:rsidRPr="00444069">
        <w:rPr>
          <w:lang w:val="en-GB"/>
        </w:rPr>
        <w:t>workplan with stakeholders</w:t>
      </w:r>
      <w:r w:rsidR="008F7DCD" w:rsidRPr="00444069">
        <w:rPr>
          <w:lang w:val="en-GB"/>
        </w:rPr>
        <w:t>, led by results groups</w:t>
      </w:r>
      <w:r w:rsidR="004108C9">
        <w:rPr>
          <w:lang w:val="en-GB"/>
        </w:rPr>
        <w:t>,</w:t>
      </w:r>
      <w:r w:rsidR="00106374" w:rsidRPr="00444069">
        <w:rPr>
          <w:lang w:val="en-GB"/>
        </w:rPr>
        <w:t xml:space="preserve"> with support from the </w:t>
      </w:r>
      <w:r w:rsidR="00AB4A7A">
        <w:rPr>
          <w:lang w:val="en-GB"/>
        </w:rPr>
        <w:t>country team’s</w:t>
      </w:r>
      <w:r w:rsidR="00AB4A7A" w:rsidRPr="00444069">
        <w:rPr>
          <w:lang w:val="en-GB"/>
        </w:rPr>
        <w:t xml:space="preserve"> </w:t>
      </w:r>
      <w:r w:rsidR="001371C8" w:rsidRPr="00444069">
        <w:rPr>
          <w:lang w:val="en-GB"/>
        </w:rPr>
        <w:t xml:space="preserve">monitoring and evaluation </w:t>
      </w:r>
      <w:r w:rsidR="00106374" w:rsidRPr="00444069">
        <w:rPr>
          <w:lang w:val="en-GB"/>
        </w:rPr>
        <w:t xml:space="preserve">working group. </w:t>
      </w:r>
      <w:r w:rsidRPr="00444069">
        <w:rPr>
          <w:lang w:val="en-GB"/>
        </w:rPr>
        <w:t>The results groups</w:t>
      </w:r>
      <w:r w:rsidR="004108C9">
        <w:rPr>
          <w:lang w:val="en-GB"/>
        </w:rPr>
        <w:t>,</w:t>
      </w:r>
      <w:r w:rsidRPr="00444069">
        <w:rPr>
          <w:lang w:val="en-GB"/>
        </w:rPr>
        <w:t xml:space="preserve"> co-chaired by the respective </w:t>
      </w:r>
      <w:r w:rsidR="00AD061F" w:rsidRPr="00444069">
        <w:rPr>
          <w:lang w:val="en-GB"/>
        </w:rPr>
        <w:t>United Nations</w:t>
      </w:r>
      <w:r w:rsidRPr="00444069">
        <w:rPr>
          <w:lang w:val="en-GB"/>
        </w:rPr>
        <w:t xml:space="preserve"> </w:t>
      </w:r>
      <w:r w:rsidR="004108C9">
        <w:rPr>
          <w:lang w:val="en-GB"/>
        </w:rPr>
        <w:t>organization</w:t>
      </w:r>
      <w:r w:rsidR="004108C9" w:rsidRPr="00444069">
        <w:rPr>
          <w:lang w:val="en-GB"/>
        </w:rPr>
        <w:t xml:space="preserve"> </w:t>
      </w:r>
      <w:r w:rsidRPr="00444069">
        <w:rPr>
          <w:lang w:val="en-GB"/>
        </w:rPr>
        <w:t>outcome lead</w:t>
      </w:r>
      <w:r w:rsidR="002261F8" w:rsidRPr="00444069">
        <w:rPr>
          <w:lang w:val="en-GB"/>
        </w:rPr>
        <w:t>s</w:t>
      </w:r>
      <w:r w:rsidR="002838FC">
        <w:rPr>
          <w:lang w:val="en-GB"/>
        </w:rPr>
        <w:t>,</w:t>
      </w:r>
      <w:r w:rsidRPr="00444069">
        <w:rPr>
          <w:lang w:val="en-GB"/>
        </w:rPr>
        <w:t xml:space="preserve"> </w:t>
      </w:r>
      <w:r w:rsidR="004108C9">
        <w:rPr>
          <w:lang w:val="en-GB"/>
        </w:rPr>
        <w:t>will</w:t>
      </w:r>
      <w:r w:rsidR="004108C9" w:rsidRPr="00444069">
        <w:rPr>
          <w:lang w:val="en-GB"/>
        </w:rPr>
        <w:t xml:space="preserve"> </w:t>
      </w:r>
      <w:r w:rsidRPr="00444069">
        <w:rPr>
          <w:lang w:val="en-GB"/>
        </w:rPr>
        <w:t xml:space="preserve">meet on a quarterly basis, while </w:t>
      </w:r>
      <w:r w:rsidR="002E4CF6" w:rsidRPr="00444069">
        <w:rPr>
          <w:lang w:val="en-GB"/>
        </w:rPr>
        <w:t>the Resident Coordinator will chair the high-level annual review</w:t>
      </w:r>
      <w:r w:rsidRPr="00444069">
        <w:rPr>
          <w:lang w:val="en-GB"/>
        </w:rPr>
        <w:t xml:space="preserve">. </w:t>
      </w:r>
    </w:p>
    <w:p w14:paraId="1C950F8A" w14:textId="2906B8CE" w:rsidR="00FA717D" w:rsidRPr="007E770C" w:rsidRDefault="00BC148A" w:rsidP="000156B4">
      <w:pPr>
        <w:pStyle w:val="ListParagraph"/>
        <w:numPr>
          <w:ilvl w:val="0"/>
          <w:numId w:val="7"/>
        </w:numPr>
        <w:spacing w:after="120" w:line="240" w:lineRule="exact"/>
        <w:ind w:left="1080" w:right="1210" w:firstLine="0"/>
        <w:jc w:val="both"/>
        <w:rPr>
          <w:lang w:val="en-GB"/>
        </w:rPr>
      </w:pPr>
      <w:r w:rsidRPr="00444069">
        <w:rPr>
          <w:lang w:val="en-GB"/>
        </w:rPr>
        <w:t xml:space="preserve">Evaluation of projects will be executed as defined in the </w:t>
      </w:r>
      <w:r w:rsidR="007E770C">
        <w:rPr>
          <w:lang w:val="en-GB"/>
        </w:rPr>
        <w:t>e</w:t>
      </w:r>
      <w:r w:rsidRPr="007E770C">
        <w:rPr>
          <w:lang w:val="en-GB"/>
        </w:rPr>
        <w:t xml:space="preserve">valuation </w:t>
      </w:r>
      <w:r w:rsidR="007E770C">
        <w:rPr>
          <w:lang w:val="en-GB"/>
        </w:rPr>
        <w:t>p</w:t>
      </w:r>
      <w:r w:rsidRPr="007E770C">
        <w:rPr>
          <w:lang w:val="en-GB"/>
        </w:rPr>
        <w:t xml:space="preserve">lan for </w:t>
      </w:r>
      <w:r w:rsidR="007E770C">
        <w:rPr>
          <w:lang w:val="en-GB"/>
        </w:rPr>
        <w:t xml:space="preserve">the </w:t>
      </w:r>
      <w:r w:rsidRPr="007E770C">
        <w:rPr>
          <w:lang w:val="en-GB"/>
        </w:rPr>
        <w:t xml:space="preserve">purposes of learning/knowledge management, adaptive programming, and quality assurance. These will include </w:t>
      </w:r>
      <w:r w:rsidR="006A3D53" w:rsidRPr="007E770C">
        <w:rPr>
          <w:lang w:val="en-GB"/>
        </w:rPr>
        <w:t>gender-responsive</w:t>
      </w:r>
      <w:r w:rsidR="00862B1B" w:rsidRPr="007E770C">
        <w:rPr>
          <w:lang w:val="en-GB"/>
        </w:rPr>
        <w:t xml:space="preserve"> </w:t>
      </w:r>
      <w:r w:rsidRPr="007E770C">
        <w:rPr>
          <w:lang w:val="en-GB"/>
        </w:rPr>
        <w:t xml:space="preserve">project, programme, and outcome level evaluations as agreed with development partners in cost-shared agreements. </w:t>
      </w:r>
      <w:r w:rsidR="007E770C">
        <w:rPr>
          <w:lang w:val="en-GB"/>
        </w:rPr>
        <w:t>A</w:t>
      </w:r>
      <w:r w:rsidR="007E770C" w:rsidRPr="007E770C">
        <w:rPr>
          <w:lang w:val="en-GB"/>
        </w:rPr>
        <w:t>s part of U</w:t>
      </w:r>
      <w:r w:rsidR="007E770C">
        <w:rPr>
          <w:lang w:val="en-GB"/>
        </w:rPr>
        <w:t xml:space="preserve">nited Nations Sustainable Cooperation Framework </w:t>
      </w:r>
      <w:r w:rsidR="007E770C" w:rsidRPr="007E770C">
        <w:rPr>
          <w:lang w:val="en-GB"/>
        </w:rPr>
        <w:t>requirements</w:t>
      </w:r>
      <w:r w:rsidR="007E770C">
        <w:rPr>
          <w:lang w:val="en-GB"/>
        </w:rPr>
        <w:t>,</w:t>
      </w:r>
      <w:r w:rsidR="007E770C" w:rsidRPr="007E770C">
        <w:rPr>
          <w:lang w:val="en-GB"/>
        </w:rPr>
        <w:t xml:space="preserve"> </w:t>
      </w:r>
      <w:r w:rsidRPr="007E770C">
        <w:rPr>
          <w:lang w:val="en-GB"/>
        </w:rPr>
        <w:t xml:space="preserve">UNDP will participate in </w:t>
      </w:r>
      <w:r w:rsidR="007E770C">
        <w:rPr>
          <w:lang w:val="en-GB"/>
        </w:rPr>
        <w:t>United Nations system</w:t>
      </w:r>
      <w:r w:rsidRPr="007E770C">
        <w:rPr>
          <w:lang w:val="en-GB"/>
        </w:rPr>
        <w:t xml:space="preserve">-wide evaluations. To enable </w:t>
      </w:r>
      <w:r w:rsidR="00C46981" w:rsidRPr="007E770C">
        <w:rPr>
          <w:lang w:val="en-GB"/>
        </w:rPr>
        <w:t>effective</w:t>
      </w:r>
      <w:r w:rsidRPr="007E770C">
        <w:rPr>
          <w:lang w:val="en-GB"/>
        </w:rPr>
        <w:t xml:space="preserve"> </w:t>
      </w:r>
      <w:r w:rsidR="00EC3478" w:rsidRPr="007E770C">
        <w:rPr>
          <w:lang w:val="en-GB"/>
        </w:rPr>
        <w:t>monitoring and evaluation</w:t>
      </w:r>
      <w:r w:rsidR="001371C8" w:rsidRPr="007E770C">
        <w:rPr>
          <w:lang w:val="en-GB"/>
        </w:rPr>
        <w:t>,</w:t>
      </w:r>
      <w:r w:rsidRPr="007E770C">
        <w:rPr>
          <w:lang w:val="en-GB"/>
        </w:rPr>
        <w:t xml:space="preserve"> </w:t>
      </w:r>
      <w:r w:rsidR="00EC3478" w:rsidRPr="007E770C">
        <w:rPr>
          <w:lang w:val="en-GB"/>
        </w:rPr>
        <w:t xml:space="preserve">5 </w:t>
      </w:r>
      <w:r w:rsidRPr="007E770C">
        <w:rPr>
          <w:lang w:val="en-GB"/>
        </w:rPr>
        <w:t>per cent</w:t>
      </w:r>
      <w:r w:rsidR="004D3DDD" w:rsidRPr="007E770C">
        <w:rPr>
          <w:lang w:val="en-GB"/>
        </w:rPr>
        <w:t xml:space="preserve"> </w:t>
      </w:r>
      <w:r w:rsidRPr="007E770C">
        <w:rPr>
          <w:lang w:val="en-GB"/>
        </w:rPr>
        <w:t xml:space="preserve">of the country programme budget will be allocated to </w:t>
      </w:r>
      <w:r w:rsidR="00EC3478" w:rsidRPr="007E770C">
        <w:rPr>
          <w:lang w:val="en-GB"/>
        </w:rPr>
        <w:t>monitoring and evaluation</w:t>
      </w:r>
      <w:r w:rsidRPr="007E770C">
        <w:rPr>
          <w:lang w:val="en-GB"/>
        </w:rPr>
        <w:t xml:space="preserve"> activities. Project </w:t>
      </w:r>
      <w:r w:rsidR="00170D43" w:rsidRPr="007E770C">
        <w:rPr>
          <w:lang w:val="en-GB"/>
        </w:rPr>
        <w:t>q</w:t>
      </w:r>
      <w:r w:rsidRPr="007E770C">
        <w:rPr>
          <w:lang w:val="en-GB"/>
        </w:rPr>
        <w:t xml:space="preserve">uality </w:t>
      </w:r>
      <w:r w:rsidR="00170D43" w:rsidRPr="007E770C">
        <w:rPr>
          <w:lang w:val="en-GB"/>
        </w:rPr>
        <w:t>a</w:t>
      </w:r>
      <w:r w:rsidRPr="007E770C">
        <w:rPr>
          <w:lang w:val="en-GB"/>
        </w:rPr>
        <w:t>ssessments, including the use of the gender marker, will continue to us</w:t>
      </w:r>
      <w:r w:rsidR="007E770C">
        <w:rPr>
          <w:lang w:val="en-GB"/>
        </w:rPr>
        <w:t>e</w:t>
      </w:r>
      <w:r w:rsidRPr="007E770C">
        <w:rPr>
          <w:lang w:val="en-GB"/>
        </w:rPr>
        <w:t xml:space="preserve"> the corporate programming quality standards to review project performance and progress.</w:t>
      </w:r>
    </w:p>
    <w:p w14:paraId="3111A875" w14:textId="61DCB755" w:rsidR="001D4912" w:rsidRPr="00547CB2" w:rsidRDefault="001D4912" w:rsidP="000156B4">
      <w:pPr>
        <w:pStyle w:val="ListParagraph"/>
        <w:numPr>
          <w:ilvl w:val="0"/>
          <w:numId w:val="7"/>
        </w:numPr>
        <w:spacing w:after="120" w:line="240" w:lineRule="exact"/>
        <w:ind w:left="1080" w:right="1210" w:firstLine="0"/>
        <w:jc w:val="both"/>
        <w:rPr>
          <w:color w:val="000000" w:themeColor="text1"/>
          <w:lang w:val="en-GB"/>
        </w:rPr>
      </w:pPr>
      <w:r w:rsidRPr="007E770C">
        <w:rPr>
          <w:lang w:val="en-GB"/>
        </w:rPr>
        <w:t xml:space="preserve">UNDP will continue to build the </w:t>
      </w:r>
      <w:r w:rsidR="00EC3478" w:rsidRPr="007E770C">
        <w:rPr>
          <w:lang w:val="en-GB"/>
        </w:rPr>
        <w:t xml:space="preserve">monitoring and evaluation </w:t>
      </w:r>
      <w:r w:rsidRPr="007E770C">
        <w:rPr>
          <w:lang w:val="en-GB"/>
        </w:rPr>
        <w:t xml:space="preserve">capacities of its responsible parties and relevant government counterparts and departments. UNDP will provide support to the </w:t>
      </w:r>
      <w:r w:rsidR="00AE6357" w:rsidRPr="007E770C">
        <w:rPr>
          <w:lang w:val="en-GB"/>
        </w:rPr>
        <w:t>M</w:t>
      </w:r>
      <w:r w:rsidR="00150DEE" w:rsidRPr="007E770C">
        <w:rPr>
          <w:lang w:val="en-GB"/>
        </w:rPr>
        <w:t xml:space="preserve">inistries of Finance and </w:t>
      </w:r>
      <w:r w:rsidR="00AE6357" w:rsidRPr="007E770C">
        <w:rPr>
          <w:lang w:val="en-GB"/>
        </w:rPr>
        <w:t xml:space="preserve">Planning </w:t>
      </w:r>
      <w:r w:rsidR="00191188">
        <w:rPr>
          <w:lang w:val="en-GB"/>
        </w:rPr>
        <w:t>and</w:t>
      </w:r>
      <w:r w:rsidR="00AE6357" w:rsidRPr="007E770C">
        <w:rPr>
          <w:lang w:val="en-GB"/>
        </w:rPr>
        <w:t xml:space="preserve"> International Cooperation</w:t>
      </w:r>
      <w:r w:rsidRPr="007E770C">
        <w:rPr>
          <w:lang w:val="en-GB"/>
        </w:rPr>
        <w:t xml:space="preserve">, </w:t>
      </w:r>
      <w:r w:rsidR="00DB39E6" w:rsidRPr="007E770C">
        <w:rPr>
          <w:lang w:val="en-GB"/>
        </w:rPr>
        <w:t>when the context permits</w:t>
      </w:r>
      <w:r w:rsidRPr="007E770C">
        <w:rPr>
          <w:lang w:val="en-GB"/>
        </w:rPr>
        <w:t xml:space="preserve">, on </w:t>
      </w:r>
      <w:r w:rsidR="007E770C">
        <w:rPr>
          <w:lang w:val="en-GB"/>
        </w:rPr>
        <w:t>(</w:t>
      </w:r>
      <w:r w:rsidRPr="007E770C">
        <w:rPr>
          <w:lang w:val="en-GB"/>
        </w:rPr>
        <w:t xml:space="preserve">a) implementation of the </w:t>
      </w:r>
      <w:r w:rsidR="00EC3478" w:rsidRPr="007E770C">
        <w:rPr>
          <w:lang w:val="en-GB"/>
        </w:rPr>
        <w:t>Sustainable Development Goals monitoring and evaluation f</w:t>
      </w:r>
      <w:r w:rsidRPr="007E770C">
        <w:rPr>
          <w:lang w:val="en-GB"/>
        </w:rPr>
        <w:t>ramework to track the progress being made toward</w:t>
      </w:r>
      <w:r w:rsidR="007E770C">
        <w:rPr>
          <w:lang w:val="en-GB"/>
        </w:rPr>
        <w:t>s</w:t>
      </w:r>
      <w:r w:rsidRPr="007E770C">
        <w:rPr>
          <w:lang w:val="en-GB"/>
        </w:rPr>
        <w:t xml:space="preserve"> achievement of the 2030 Agenda</w:t>
      </w:r>
      <w:r w:rsidR="007E770C">
        <w:rPr>
          <w:lang w:val="en-GB"/>
        </w:rPr>
        <w:t xml:space="preserve"> for Sustainable Development;</w:t>
      </w:r>
      <w:r w:rsidRPr="007E770C">
        <w:rPr>
          <w:lang w:val="en-GB"/>
        </w:rPr>
        <w:t xml:space="preserve"> and </w:t>
      </w:r>
      <w:r w:rsidR="007E770C">
        <w:rPr>
          <w:lang w:val="en-GB"/>
        </w:rPr>
        <w:t>(</w:t>
      </w:r>
      <w:r w:rsidRPr="007E770C">
        <w:rPr>
          <w:lang w:val="en-GB"/>
        </w:rPr>
        <w:t xml:space="preserve">b) enhancing the capacities of the statistical office for data </w:t>
      </w:r>
      <w:r w:rsidRPr="00547CB2">
        <w:rPr>
          <w:color w:val="000000" w:themeColor="text1"/>
          <w:lang w:val="en-GB"/>
        </w:rPr>
        <w:t>generation and analysis.</w:t>
      </w:r>
    </w:p>
    <w:p w14:paraId="0F98BEE7" w14:textId="2C37A33A" w:rsidR="004108C9" w:rsidRDefault="004108C9" w:rsidP="00547CB2">
      <w:pPr>
        <w:pStyle w:val="ListParagraph"/>
        <w:spacing w:after="120" w:line="240" w:lineRule="exact"/>
        <w:ind w:left="1080" w:right="1210"/>
        <w:jc w:val="both"/>
        <w:rPr>
          <w:lang w:val="en-GB"/>
        </w:rPr>
      </w:pPr>
      <w:r>
        <w:rPr>
          <w:color w:val="000000" w:themeColor="text1"/>
          <w:lang w:val="en-GB"/>
        </w:rPr>
        <w:t>39.</w:t>
      </w:r>
      <w:r>
        <w:rPr>
          <w:color w:val="000000" w:themeColor="text1"/>
          <w:lang w:val="en-GB"/>
        </w:rPr>
        <w:tab/>
      </w:r>
      <w:r w:rsidR="00DB7237" w:rsidRPr="00547CB2">
        <w:rPr>
          <w:color w:val="000000" w:themeColor="text1"/>
          <w:lang w:val="en-GB"/>
        </w:rPr>
        <w:t xml:space="preserve">UNDP will use various communications strategies and tools to provide information about its results </w:t>
      </w:r>
      <w:r w:rsidR="007E770C">
        <w:rPr>
          <w:lang w:val="en-GB"/>
        </w:rPr>
        <w:t>and</w:t>
      </w:r>
      <w:r w:rsidR="00DB7237" w:rsidRPr="007E770C">
        <w:rPr>
          <w:lang w:val="en-GB"/>
        </w:rPr>
        <w:t xml:space="preserve"> to augment its advocacy efforts around key development issues. Traditional and social media platforms will be used to tailor communication products to specific audiences, and communications costs will be covered by programme and project budgets</w:t>
      </w:r>
      <w:r>
        <w:rPr>
          <w:lang w:val="en-GB"/>
        </w:rPr>
        <w:t>.</w:t>
      </w:r>
    </w:p>
    <w:p w14:paraId="2440D41D" w14:textId="3A9F6B15" w:rsidR="00EE0DF2" w:rsidRPr="00444069" w:rsidRDefault="00EE0DF2" w:rsidP="00DC5B77">
      <w:pPr>
        <w:ind w:right="1210"/>
        <w:jc w:val="both"/>
        <w:rPr>
          <w:color w:val="000000"/>
          <w:lang w:val="en-GB"/>
        </w:rPr>
        <w:sectPr w:rsidR="00EE0DF2" w:rsidRPr="00444069" w:rsidSect="00677A8F">
          <w:headerReference w:type="even" r:id="rId19"/>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15A28FF9" w14:textId="436AB1CE" w:rsidR="00BC34CA" w:rsidRPr="00CA5B30" w:rsidRDefault="00BC34CA" w:rsidP="00BC34CA">
      <w:pPr>
        <w:spacing w:after="120"/>
        <w:ind w:left="1151" w:right="1151" w:hanging="881"/>
        <w:rPr>
          <w:b/>
          <w:color w:val="000000"/>
          <w:lang w:val="en-GB"/>
        </w:rPr>
      </w:pPr>
      <w:r w:rsidRPr="00CA5B30">
        <w:rPr>
          <w:b/>
          <w:color w:val="000000"/>
          <w:sz w:val="24"/>
          <w:szCs w:val="24"/>
          <w:lang w:val="en-GB"/>
        </w:rPr>
        <w:lastRenderedPageBreak/>
        <w:t>Annex. Results and resources framework for Yemen (2023-2024)</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07"/>
        <w:gridCol w:w="1416"/>
        <w:gridCol w:w="5621"/>
        <w:gridCol w:w="2340"/>
        <w:gridCol w:w="1301"/>
      </w:tblGrid>
      <w:tr w:rsidR="00C6248C" w:rsidRPr="00444069" w14:paraId="6A49969E" w14:textId="77777777" w:rsidTr="00BC34CA">
        <w:trPr>
          <w:trHeight w:val="25"/>
        </w:trPr>
        <w:tc>
          <w:tcPr>
            <w:tcW w:w="5000" w:type="pct"/>
            <w:gridSpan w:val="5"/>
            <w:shd w:val="clear" w:color="auto" w:fill="DBE5F1" w:themeFill="accent1" w:themeFillTint="33"/>
            <w:tcMar>
              <w:top w:w="72" w:type="dxa"/>
              <w:left w:w="144" w:type="dxa"/>
              <w:bottom w:w="72" w:type="dxa"/>
              <w:right w:w="144" w:type="dxa"/>
            </w:tcMar>
          </w:tcPr>
          <w:p w14:paraId="6A80CD1C" w14:textId="202DCC02" w:rsidR="0024569A" w:rsidRPr="00444069" w:rsidRDefault="0024569A" w:rsidP="00BD43AF">
            <w:pPr>
              <w:rPr>
                <w:sz w:val="17"/>
                <w:szCs w:val="17"/>
                <w:lang w:val="en-GB"/>
              </w:rPr>
            </w:pPr>
            <w:bookmarkStart w:id="4" w:name="_Hlk102776343"/>
            <w:r w:rsidRPr="00444069">
              <w:rPr>
                <w:b/>
                <w:bCs/>
                <w:sz w:val="17"/>
                <w:szCs w:val="17"/>
                <w:lang w:val="en-GB"/>
              </w:rPr>
              <w:t>NATIONAL PRIORITY OR GOAL</w:t>
            </w:r>
            <w:r w:rsidRPr="00845EB2">
              <w:rPr>
                <w:b/>
                <w:bCs/>
                <w:sz w:val="17"/>
                <w:szCs w:val="17"/>
                <w:lang w:val="en-GB"/>
              </w:rPr>
              <w:t>:</w:t>
            </w:r>
            <w:r w:rsidRPr="00CA5B30">
              <w:rPr>
                <w:bCs/>
                <w:sz w:val="17"/>
                <w:szCs w:val="17"/>
                <w:lang w:val="en-GB"/>
              </w:rPr>
              <w:t xml:space="preserve"> </w:t>
            </w:r>
            <w:r w:rsidR="00845EB2" w:rsidRPr="00CA5B30">
              <w:rPr>
                <w:bCs/>
                <w:sz w:val="17"/>
                <w:szCs w:val="17"/>
                <w:lang w:val="en-GB"/>
              </w:rPr>
              <w:t>Not applicable (</w:t>
            </w:r>
            <w:r w:rsidR="00C40D20" w:rsidRPr="00444069">
              <w:rPr>
                <w:bCs/>
                <w:sz w:val="17"/>
                <w:szCs w:val="17"/>
                <w:lang w:val="en-GB"/>
              </w:rPr>
              <w:t>N/A</w:t>
            </w:r>
            <w:r w:rsidR="00845EB2">
              <w:rPr>
                <w:bCs/>
                <w:sz w:val="17"/>
                <w:szCs w:val="17"/>
                <w:lang w:val="en-GB"/>
              </w:rPr>
              <w:t>)</w:t>
            </w:r>
          </w:p>
        </w:tc>
      </w:tr>
      <w:tr w:rsidR="000134AF" w:rsidRPr="00444069" w14:paraId="17A1678A" w14:textId="77777777" w:rsidTr="00BC34CA">
        <w:trPr>
          <w:trHeight w:val="124"/>
        </w:trPr>
        <w:tc>
          <w:tcPr>
            <w:tcW w:w="5000" w:type="pct"/>
            <w:gridSpan w:val="5"/>
            <w:shd w:val="clear" w:color="auto" w:fill="DBE5F1" w:themeFill="accent1" w:themeFillTint="33"/>
            <w:tcMar>
              <w:top w:w="72" w:type="dxa"/>
              <w:left w:w="144" w:type="dxa"/>
              <w:bottom w:w="72" w:type="dxa"/>
              <w:right w:w="144" w:type="dxa"/>
            </w:tcMar>
          </w:tcPr>
          <w:p w14:paraId="2424175F" w14:textId="0E5295F3" w:rsidR="000134AF" w:rsidRPr="00444069" w:rsidRDefault="000134AF" w:rsidP="000134AF">
            <w:pPr>
              <w:rPr>
                <w:sz w:val="17"/>
                <w:szCs w:val="17"/>
                <w:lang w:val="en-GB"/>
              </w:rPr>
            </w:pPr>
            <w:r w:rsidRPr="00444069">
              <w:rPr>
                <w:b/>
                <w:bCs/>
                <w:sz w:val="17"/>
                <w:szCs w:val="17"/>
                <w:lang w:val="en-GB"/>
              </w:rPr>
              <w:t xml:space="preserve">COOPERATION FRAMEWORK (OR EQUIVALENT) OUTCOME INVOLVING UNDP </w:t>
            </w:r>
            <w:r>
              <w:rPr>
                <w:b/>
                <w:bCs/>
                <w:sz w:val="17"/>
                <w:szCs w:val="17"/>
                <w:lang w:val="en-GB"/>
              </w:rPr>
              <w:t xml:space="preserve">No. </w:t>
            </w:r>
            <w:r w:rsidRPr="00444069">
              <w:rPr>
                <w:b/>
                <w:bCs/>
                <w:sz w:val="17"/>
                <w:szCs w:val="17"/>
                <w:lang w:val="en-GB"/>
              </w:rPr>
              <w:t>1</w:t>
            </w:r>
            <w:r>
              <w:rPr>
                <w:b/>
                <w:bCs/>
                <w:sz w:val="17"/>
                <w:szCs w:val="17"/>
                <w:lang w:val="en-GB"/>
              </w:rPr>
              <w:t>.</w:t>
            </w:r>
            <w:r w:rsidRPr="00444069">
              <w:rPr>
                <w:sz w:val="17"/>
                <w:szCs w:val="17"/>
                <w:lang w:val="en-GB"/>
              </w:rPr>
              <w:t xml:space="preserve"> By 2024, people in Yemen, especially women, adolescents and girls and those in the most vulnerable and marginalized communities benefit from better, equal and inclusive access to nutritious food, sustainable and resilient livelihoods</w:t>
            </w:r>
            <w:r>
              <w:rPr>
                <w:sz w:val="17"/>
                <w:szCs w:val="17"/>
                <w:lang w:val="en-GB"/>
              </w:rPr>
              <w:t>,</w:t>
            </w:r>
            <w:r w:rsidRPr="00444069">
              <w:rPr>
                <w:sz w:val="17"/>
                <w:szCs w:val="17"/>
                <w:lang w:val="en-GB"/>
              </w:rPr>
              <w:t xml:space="preserve"> and environmental stability.</w:t>
            </w:r>
          </w:p>
        </w:tc>
      </w:tr>
      <w:tr w:rsidR="000134AF" w:rsidRPr="00444069" w14:paraId="7A63CEDC" w14:textId="77777777" w:rsidTr="00BC34CA">
        <w:trPr>
          <w:trHeight w:val="124"/>
        </w:trPr>
        <w:tc>
          <w:tcPr>
            <w:tcW w:w="5000" w:type="pct"/>
            <w:gridSpan w:val="5"/>
            <w:shd w:val="clear" w:color="auto" w:fill="DBE5F1" w:themeFill="accent1" w:themeFillTint="33"/>
            <w:tcMar>
              <w:top w:w="72" w:type="dxa"/>
              <w:left w:w="144" w:type="dxa"/>
              <w:bottom w:w="72" w:type="dxa"/>
              <w:right w:w="144" w:type="dxa"/>
            </w:tcMar>
          </w:tcPr>
          <w:p w14:paraId="260DCC50" w14:textId="27D6C768" w:rsidR="000134AF" w:rsidRPr="00444069" w:rsidRDefault="000134AF" w:rsidP="000134AF">
            <w:pPr>
              <w:rPr>
                <w:b/>
                <w:bCs/>
                <w:sz w:val="17"/>
                <w:szCs w:val="17"/>
                <w:lang w:val="en-GB"/>
              </w:rPr>
            </w:pPr>
            <w:r w:rsidRPr="00444069">
              <w:rPr>
                <w:b/>
                <w:bCs/>
                <w:sz w:val="17"/>
                <w:szCs w:val="17"/>
                <w:lang w:val="en-GB"/>
              </w:rPr>
              <w:t>RELATED STRATEGIC PLAN OUTCOME 1</w:t>
            </w:r>
            <w:r>
              <w:rPr>
                <w:b/>
                <w:bCs/>
                <w:sz w:val="17"/>
                <w:szCs w:val="17"/>
                <w:lang w:val="en-GB"/>
              </w:rPr>
              <w:t>.</w:t>
            </w:r>
            <w:r w:rsidRPr="00444069">
              <w:rPr>
                <w:b/>
                <w:bCs/>
                <w:sz w:val="17"/>
                <w:szCs w:val="17"/>
                <w:lang w:val="en-GB"/>
              </w:rPr>
              <w:t xml:space="preserve"> </w:t>
            </w:r>
            <w:r w:rsidRPr="00444069">
              <w:rPr>
                <w:sz w:val="17"/>
                <w:szCs w:val="17"/>
                <w:lang w:val="en-GB"/>
              </w:rPr>
              <w:t>Structural transformation accelerated, particularly green, inclusive and digital transitions</w:t>
            </w:r>
          </w:p>
        </w:tc>
      </w:tr>
      <w:tr w:rsidR="00C6248C" w:rsidRPr="00444069" w14:paraId="6E8ABE3F" w14:textId="77777777" w:rsidTr="00BC34CA">
        <w:trPr>
          <w:trHeight w:val="322"/>
        </w:trPr>
        <w:tc>
          <w:tcPr>
            <w:tcW w:w="920" w:type="pct"/>
            <w:shd w:val="clear" w:color="auto" w:fill="DBE5F1" w:themeFill="accent1" w:themeFillTint="33"/>
            <w:tcMar>
              <w:top w:w="72" w:type="dxa"/>
              <w:left w:w="144" w:type="dxa"/>
              <w:bottom w:w="72" w:type="dxa"/>
              <w:right w:w="144" w:type="dxa"/>
            </w:tcMar>
            <w:vAlign w:val="center"/>
          </w:tcPr>
          <w:p w14:paraId="6203B7CB" w14:textId="77777777" w:rsidR="0024569A" w:rsidRPr="00444069" w:rsidRDefault="0024569A" w:rsidP="00BD43AF">
            <w:pPr>
              <w:jc w:val="center"/>
              <w:rPr>
                <w:sz w:val="17"/>
                <w:szCs w:val="17"/>
                <w:lang w:val="en-GB"/>
              </w:rPr>
            </w:pPr>
            <w:r w:rsidRPr="00444069">
              <w:rPr>
                <w:b/>
                <w:bCs/>
                <w:sz w:val="17"/>
                <w:szCs w:val="17"/>
                <w:lang w:val="en-GB"/>
              </w:rPr>
              <w:t>Cooperation framework outcome indicator(s), baselines, target(s)</w:t>
            </w:r>
          </w:p>
        </w:tc>
        <w:tc>
          <w:tcPr>
            <w:tcW w:w="541" w:type="pct"/>
            <w:shd w:val="clear" w:color="auto" w:fill="DBE5F1" w:themeFill="accent1" w:themeFillTint="33"/>
            <w:vAlign w:val="center"/>
          </w:tcPr>
          <w:p w14:paraId="43AED9E9" w14:textId="77777777" w:rsidR="0024569A" w:rsidRPr="00444069" w:rsidRDefault="0024569A" w:rsidP="00BD43AF">
            <w:pPr>
              <w:jc w:val="center"/>
              <w:rPr>
                <w:b/>
                <w:sz w:val="17"/>
                <w:szCs w:val="17"/>
                <w:lang w:val="en-GB"/>
              </w:rPr>
            </w:pPr>
            <w:r w:rsidRPr="00444069">
              <w:rPr>
                <w:b/>
                <w:sz w:val="17"/>
                <w:szCs w:val="17"/>
                <w:lang w:val="en-GB"/>
              </w:rPr>
              <w:t>Data source and frequency of data collection, and responsibilities</w:t>
            </w:r>
          </w:p>
        </w:tc>
        <w:tc>
          <w:tcPr>
            <w:tcW w:w="2148" w:type="pct"/>
            <w:shd w:val="clear" w:color="auto" w:fill="DBE5F1" w:themeFill="accent1" w:themeFillTint="33"/>
            <w:tcMar>
              <w:top w:w="72" w:type="dxa"/>
              <w:left w:w="144" w:type="dxa"/>
              <w:bottom w:w="72" w:type="dxa"/>
              <w:right w:w="144" w:type="dxa"/>
            </w:tcMar>
            <w:vAlign w:val="center"/>
          </w:tcPr>
          <w:p w14:paraId="25EAA074" w14:textId="73D62786" w:rsidR="0024569A" w:rsidRPr="00444069" w:rsidRDefault="0024569A" w:rsidP="00BD43AF">
            <w:pPr>
              <w:jc w:val="center"/>
              <w:rPr>
                <w:sz w:val="17"/>
                <w:szCs w:val="17"/>
                <w:lang w:val="en-GB"/>
              </w:rPr>
            </w:pPr>
            <w:r w:rsidRPr="00444069">
              <w:rPr>
                <w:b/>
                <w:bCs/>
                <w:sz w:val="17"/>
                <w:szCs w:val="17"/>
                <w:lang w:val="en-GB"/>
              </w:rPr>
              <w:t xml:space="preserve">Indicative country programme outputs </w:t>
            </w:r>
          </w:p>
        </w:tc>
        <w:tc>
          <w:tcPr>
            <w:tcW w:w="894" w:type="pct"/>
            <w:shd w:val="clear" w:color="auto" w:fill="DBE5F1" w:themeFill="accent1" w:themeFillTint="33"/>
            <w:vAlign w:val="center"/>
          </w:tcPr>
          <w:p w14:paraId="351A4FB1" w14:textId="77777777" w:rsidR="0024569A" w:rsidRPr="004806F2" w:rsidRDefault="0024569A" w:rsidP="00BD43AF">
            <w:pPr>
              <w:jc w:val="center"/>
              <w:rPr>
                <w:b/>
                <w:bCs/>
                <w:sz w:val="17"/>
                <w:szCs w:val="17"/>
                <w:lang w:val="en-GB"/>
              </w:rPr>
            </w:pPr>
            <w:r w:rsidRPr="004806F2">
              <w:rPr>
                <w:b/>
                <w:bCs/>
                <w:sz w:val="17"/>
                <w:szCs w:val="17"/>
                <w:lang w:val="en-GB"/>
              </w:rPr>
              <w:t>Major partners/partnerships</w:t>
            </w:r>
          </w:p>
          <w:p w14:paraId="4D701310" w14:textId="77777777" w:rsidR="0024569A" w:rsidRPr="004806F2" w:rsidRDefault="0024569A" w:rsidP="00BD43AF">
            <w:pPr>
              <w:jc w:val="center"/>
              <w:rPr>
                <w:b/>
                <w:bCs/>
                <w:sz w:val="17"/>
                <w:szCs w:val="17"/>
                <w:lang w:val="en-GB"/>
              </w:rPr>
            </w:pPr>
            <w:r w:rsidRPr="004806F2">
              <w:rPr>
                <w:b/>
                <w:bCs/>
                <w:sz w:val="17"/>
                <w:szCs w:val="17"/>
                <w:lang w:val="en-GB"/>
              </w:rPr>
              <w:t>Frameworks</w:t>
            </w:r>
          </w:p>
        </w:tc>
        <w:tc>
          <w:tcPr>
            <w:tcW w:w="497" w:type="pct"/>
            <w:shd w:val="clear" w:color="auto" w:fill="DBE5F1" w:themeFill="accent1" w:themeFillTint="33"/>
            <w:tcMar>
              <w:top w:w="15" w:type="dxa"/>
              <w:left w:w="108" w:type="dxa"/>
              <w:bottom w:w="0" w:type="dxa"/>
              <w:right w:w="108" w:type="dxa"/>
            </w:tcMar>
            <w:vAlign w:val="center"/>
          </w:tcPr>
          <w:p w14:paraId="5F983DE1" w14:textId="6A3A9B5F" w:rsidR="0024569A" w:rsidRPr="004806F2" w:rsidRDefault="0024569A" w:rsidP="00BD43AF">
            <w:pPr>
              <w:jc w:val="center"/>
              <w:rPr>
                <w:sz w:val="17"/>
                <w:szCs w:val="17"/>
                <w:lang w:val="en-GB"/>
              </w:rPr>
            </w:pPr>
            <w:r w:rsidRPr="004806F2">
              <w:rPr>
                <w:b/>
                <w:bCs/>
                <w:sz w:val="17"/>
                <w:szCs w:val="17"/>
                <w:lang w:val="en-GB"/>
              </w:rPr>
              <w:t>Estimated cost by outcome ($)</w:t>
            </w:r>
          </w:p>
        </w:tc>
      </w:tr>
      <w:tr w:rsidR="00C6248C" w:rsidRPr="00444069" w14:paraId="56ECA315" w14:textId="77777777" w:rsidTr="00BC34CA">
        <w:trPr>
          <w:trHeight w:val="133"/>
        </w:trPr>
        <w:tc>
          <w:tcPr>
            <w:tcW w:w="920" w:type="pct"/>
            <w:vMerge w:val="restart"/>
            <w:tcMar>
              <w:top w:w="72" w:type="dxa"/>
              <w:left w:w="144" w:type="dxa"/>
              <w:bottom w:w="72" w:type="dxa"/>
              <w:right w:w="144" w:type="dxa"/>
            </w:tcMar>
          </w:tcPr>
          <w:p w14:paraId="5BB16B19" w14:textId="300F0CDB" w:rsidR="0024569A" w:rsidRPr="00444069" w:rsidRDefault="0024569A" w:rsidP="00BD43AF">
            <w:pPr>
              <w:rPr>
                <w:sz w:val="17"/>
                <w:szCs w:val="17"/>
                <w:lang w:val="en-GB"/>
              </w:rPr>
            </w:pPr>
            <w:r w:rsidRPr="00444069">
              <w:rPr>
                <w:sz w:val="17"/>
                <w:szCs w:val="17"/>
                <w:lang w:val="en-GB"/>
              </w:rPr>
              <w:t>Indicator</w:t>
            </w:r>
            <w:r w:rsidR="00A41F08" w:rsidRPr="00444069">
              <w:rPr>
                <w:sz w:val="17"/>
                <w:szCs w:val="17"/>
                <w:lang w:val="en-GB"/>
              </w:rPr>
              <w:t xml:space="preserve"> </w:t>
            </w:r>
            <w:r w:rsidR="007A3553" w:rsidRPr="00444069">
              <w:rPr>
                <w:sz w:val="17"/>
                <w:szCs w:val="17"/>
                <w:lang w:val="en-GB"/>
              </w:rPr>
              <w:t>1.</w:t>
            </w:r>
            <w:r w:rsidR="00A41F08" w:rsidRPr="00444069">
              <w:rPr>
                <w:sz w:val="17"/>
                <w:szCs w:val="17"/>
                <w:lang w:val="en-GB"/>
              </w:rPr>
              <w:t>1</w:t>
            </w:r>
            <w:r w:rsidRPr="00444069">
              <w:rPr>
                <w:sz w:val="17"/>
                <w:szCs w:val="17"/>
                <w:lang w:val="en-GB"/>
              </w:rPr>
              <w:t xml:space="preserve"> </w:t>
            </w:r>
            <w:r w:rsidR="00845EB2">
              <w:rPr>
                <w:sz w:val="17"/>
                <w:szCs w:val="17"/>
                <w:lang w:val="en-GB"/>
              </w:rPr>
              <w:t>P</w:t>
            </w:r>
            <w:r w:rsidRPr="00444069">
              <w:rPr>
                <w:sz w:val="17"/>
                <w:szCs w:val="17"/>
                <w:lang w:val="en-GB"/>
              </w:rPr>
              <w:t>roportion of the population experiencing moderate to severe food insecurity (</w:t>
            </w:r>
            <w:r w:rsidR="00845EB2">
              <w:rPr>
                <w:sz w:val="17"/>
                <w:szCs w:val="17"/>
                <w:lang w:val="en-GB"/>
              </w:rPr>
              <w:t>m</w:t>
            </w:r>
            <w:r w:rsidRPr="00444069">
              <w:rPr>
                <w:sz w:val="17"/>
                <w:szCs w:val="17"/>
                <w:lang w:val="en-GB"/>
              </w:rPr>
              <w:t xml:space="preserve">odified </w:t>
            </w:r>
            <w:r w:rsidR="00EC3478" w:rsidRPr="00CA5B30">
              <w:rPr>
                <w:sz w:val="17"/>
                <w:szCs w:val="17"/>
                <w:lang w:val="en-GB"/>
              </w:rPr>
              <w:t>Sustainable Development Goal</w:t>
            </w:r>
            <w:r w:rsidR="00EC3478" w:rsidRPr="00444069">
              <w:rPr>
                <w:sz w:val="17"/>
                <w:szCs w:val="17"/>
                <w:lang w:val="en-GB"/>
              </w:rPr>
              <w:t xml:space="preserve"> (</w:t>
            </w:r>
            <w:r w:rsidRPr="00444069">
              <w:rPr>
                <w:sz w:val="17"/>
                <w:szCs w:val="17"/>
                <w:lang w:val="en-GB"/>
              </w:rPr>
              <w:t>SDG</w:t>
            </w:r>
            <w:r w:rsidR="00EC3478" w:rsidRPr="00444069">
              <w:rPr>
                <w:sz w:val="17"/>
                <w:szCs w:val="17"/>
                <w:lang w:val="en-GB"/>
              </w:rPr>
              <w:t>)</w:t>
            </w:r>
            <w:r w:rsidRPr="00444069">
              <w:rPr>
                <w:sz w:val="17"/>
                <w:szCs w:val="17"/>
                <w:lang w:val="en-GB"/>
              </w:rPr>
              <w:t xml:space="preserve"> 2.1.2)</w:t>
            </w:r>
            <w:r w:rsidRPr="00CA5B30">
              <w:rPr>
                <w:sz w:val="17"/>
                <w:szCs w:val="17"/>
                <w:lang w:val="en-GB"/>
              </w:rPr>
              <w:br/>
            </w:r>
            <w:r w:rsidRPr="00444069">
              <w:rPr>
                <w:sz w:val="17"/>
                <w:szCs w:val="17"/>
                <w:lang w:val="en-GB"/>
              </w:rPr>
              <w:t>Baseline (202</w:t>
            </w:r>
            <w:r w:rsidR="00484B99" w:rsidRPr="00444069">
              <w:rPr>
                <w:sz w:val="17"/>
                <w:szCs w:val="17"/>
                <w:lang w:val="en-GB"/>
              </w:rPr>
              <w:t>1</w:t>
            </w:r>
            <w:r w:rsidRPr="00444069">
              <w:rPr>
                <w:sz w:val="17"/>
                <w:szCs w:val="17"/>
                <w:lang w:val="en-GB"/>
              </w:rPr>
              <w:t>):16.2 million</w:t>
            </w:r>
            <w:r w:rsidR="00023F8A" w:rsidRPr="00444069">
              <w:rPr>
                <w:sz w:val="17"/>
                <w:szCs w:val="17"/>
                <w:lang w:val="en-GB"/>
              </w:rPr>
              <w:t xml:space="preserve"> (54%)</w:t>
            </w:r>
            <w:r w:rsidRPr="00444069">
              <w:rPr>
                <w:bCs/>
                <w:sz w:val="17"/>
                <w:szCs w:val="17"/>
                <w:lang w:val="en-GB"/>
              </w:rPr>
              <w:br/>
              <w:t>Target (2024):</w:t>
            </w:r>
            <w:r w:rsidRPr="00444069">
              <w:rPr>
                <w:sz w:val="17"/>
                <w:szCs w:val="17"/>
                <w:lang w:val="en-GB"/>
              </w:rPr>
              <w:t xml:space="preserve"> 13 million</w:t>
            </w:r>
            <w:r w:rsidR="00023F8A" w:rsidRPr="00444069">
              <w:rPr>
                <w:sz w:val="17"/>
                <w:szCs w:val="17"/>
                <w:lang w:val="en-GB"/>
              </w:rPr>
              <w:t xml:space="preserve"> (</w:t>
            </w:r>
            <w:r w:rsidR="00AB6C14" w:rsidRPr="00444069">
              <w:rPr>
                <w:sz w:val="17"/>
                <w:szCs w:val="17"/>
                <w:lang w:val="en-GB"/>
              </w:rPr>
              <w:t>43%)</w:t>
            </w:r>
          </w:p>
          <w:p w14:paraId="406693CB" w14:textId="77777777" w:rsidR="0024569A" w:rsidRPr="004806F2" w:rsidRDefault="0024569A" w:rsidP="00BD43AF">
            <w:pPr>
              <w:ind w:left="360"/>
              <w:rPr>
                <w:bCs/>
                <w:sz w:val="17"/>
                <w:szCs w:val="17"/>
                <w:lang w:val="en-GB"/>
              </w:rPr>
            </w:pPr>
          </w:p>
        </w:tc>
        <w:tc>
          <w:tcPr>
            <w:tcW w:w="541" w:type="pct"/>
            <w:vMerge w:val="restart"/>
          </w:tcPr>
          <w:p w14:paraId="3A40BA4C" w14:textId="032AEFD4" w:rsidR="0024569A" w:rsidRDefault="008C57A7" w:rsidP="00BD43AF">
            <w:pPr>
              <w:rPr>
                <w:sz w:val="17"/>
                <w:szCs w:val="17"/>
                <w:lang w:val="en-GB"/>
              </w:rPr>
            </w:pPr>
            <w:r w:rsidRPr="004806F2">
              <w:rPr>
                <w:sz w:val="17"/>
                <w:szCs w:val="17"/>
                <w:lang w:val="en-GB"/>
              </w:rPr>
              <w:t xml:space="preserve">Integrated Food Security Phase Classification </w:t>
            </w:r>
            <w:r w:rsidR="0024569A" w:rsidRPr="004806F2">
              <w:rPr>
                <w:sz w:val="17"/>
                <w:szCs w:val="17"/>
                <w:lang w:val="en-GB"/>
              </w:rPr>
              <w:t>reports</w:t>
            </w:r>
          </w:p>
          <w:p w14:paraId="38D13BC9" w14:textId="77777777" w:rsidR="00EC5843" w:rsidRDefault="00EC5843" w:rsidP="00BD43AF">
            <w:pPr>
              <w:rPr>
                <w:sz w:val="17"/>
                <w:szCs w:val="17"/>
                <w:lang w:val="en-GB"/>
              </w:rPr>
            </w:pPr>
          </w:p>
          <w:p w14:paraId="4DEF6D5E" w14:textId="77777777" w:rsidR="00EC5843" w:rsidRDefault="00EC5843" w:rsidP="00BD43AF">
            <w:pPr>
              <w:rPr>
                <w:sz w:val="17"/>
                <w:szCs w:val="17"/>
                <w:lang w:val="en-GB"/>
              </w:rPr>
            </w:pPr>
          </w:p>
          <w:p w14:paraId="486DABA1" w14:textId="77777777" w:rsidR="00EC5843" w:rsidRDefault="00EC5843" w:rsidP="00BD43AF">
            <w:pPr>
              <w:rPr>
                <w:sz w:val="17"/>
                <w:szCs w:val="17"/>
                <w:lang w:val="en-GB"/>
              </w:rPr>
            </w:pPr>
          </w:p>
          <w:p w14:paraId="3F83E45C" w14:textId="77777777" w:rsidR="00B65C1E" w:rsidRDefault="00B65C1E" w:rsidP="00B65C1E">
            <w:pPr>
              <w:rPr>
                <w:sz w:val="17"/>
                <w:szCs w:val="17"/>
                <w:lang w:val="en-GB"/>
              </w:rPr>
            </w:pPr>
          </w:p>
          <w:p w14:paraId="429B60A6" w14:textId="77777777" w:rsidR="00EC5843" w:rsidRDefault="00EC5843" w:rsidP="00BD43AF">
            <w:pPr>
              <w:rPr>
                <w:sz w:val="17"/>
                <w:szCs w:val="17"/>
                <w:lang w:val="en-GB"/>
              </w:rPr>
            </w:pPr>
          </w:p>
          <w:p w14:paraId="5DD79FC3" w14:textId="77777777" w:rsidR="00EC5843" w:rsidRDefault="00EC5843" w:rsidP="00BD43AF">
            <w:pPr>
              <w:rPr>
                <w:sz w:val="17"/>
                <w:szCs w:val="17"/>
                <w:lang w:val="en-GB"/>
              </w:rPr>
            </w:pPr>
          </w:p>
          <w:p w14:paraId="3418E56A" w14:textId="77777777" w:rsidR="00EC5843" w:rsidRDefault="00EC5843" w:rsidP="00BD43AF">
            <w:pPr>
              <w:rPr>
                <w:sz w:val="17"/>
                <w:szCs w:val="17"/>
                <w:lang w:val="en-GB"/>
              </w:rPr>
            </w:pPr>
          </w:p>
          <w:p w14:paraId="3A25EABA" w14:textId="77777777" w:rsidR="00EC5843" w:rsidRDefault="00EC5843" w:rsidP="00BD43AF">
            <w:pPr>
              <w:rPr>
                <w:sz w:val="17"/>
                <w:szCs w:val="17"/>
                <w:lang w:val="en-GB"/>
              </w:rPr>
            </w:pPr>
          </w:p>
          <w:p w14:paraId="5BAAA587" w14:textId="77777777" w:rsidR="00EC5843" w:rsidRDefault="00EC5843" w:rsidP="00BD43AF">
            <w:pPr>
              <w:rPr>
                <w:sz w:val="17"/>
                <w:szCs w:val="17"/>
                <w:lang w:val="en-GB"/>
              </w:rPr>
            </w:pPr>
          </w:p>
          <w:p w14:paraId="664FF433" w14:textId="77777777" w:rsidR="00EC5843" w:rsidRDefault="00EC5843" w:rsidP="00BD43AF">
            <w:pPr>
              <w:rPr>
                <w:sz w:val="17"/>
                <w:szCs w:val="17"/>
                <w:lang w:val="en-GB"/>
              </w:rPr>
            </w:pPr>
          </w:p>
          <w:p w14:paraId="24582DFB" w14:textId="77777777" w:rsidR="00EC5843" w:rsidRDefault="00EC5843" w:rsidP="00BD43AF">
            <w:pPr>
              <w:rPr>
                <w:sz w:val="17"/>
                <w:szCs w:val="17"/>
                <w:lang w:val="en-GB"/>
              </w:rPr>
            </w:pPr>
          </w:p>
          <w:p w14:paraId="65E8CDC6" w14:textId="77777777" w:rsidR="00EC5843" w:rsidRDefault="00EC5843" w:rsidP="00BD43AF">
            <w:pPr>
              <w:rPr>
                <w:sz w:val="17"/>
                <w:szCs w:val="17"/>
                <w:lang w:val="en-GB"/>
              </w:rPr>
            </w:pPr>
          </w:p>
          <w:p w14:paraId="1CC11B5E" w14:textId="77777777" w:rsidR="00EC5843" w:rsidRDefault="00EC5843" w:rsidP="00BD43AF">
            <w:pPr>
              <w:rPr>
                <w:sz w:val="17"/>
                <w:szCs w:val="17"/>
                <w:lang w:val="en-GB"/>
              </w:rPr>
            </w:pPr>
          </w:p>
          <w:p w14:paraId="3743B433" w14:textId="77777777" w:rsidR="00EC5843" w:rsidRDefault="00EC5843" w:rsidP="00BD43AF">
            <w:pPr>
              <w:rPr>
                <w:sz w:val="17"/>
                <w:szCs w:val="17"/>
                <w:lang w:val="en-GB"/>
              </w:rPr>
            </w:pPr>
          </w:p>
          <w:p w14:paraId="5C21E11D" w14:textId="77777777" w:rsidR="00EC5843" w:rsidRDefault="00EC5843" w:rsidP="00BD43AF">
            <w:pPr>
              <w:rPr>
                <w:sz w:val="17"/>
                <w:szCs w:val="17"/>
                <w:lang w:val="en-GB"/>
              </w:rPr>
            </w:pPr>
          </w:p>
          <w:p w14:paraId="42B83F1D" w14:textId="77777777" w:rsidR="00B65C1E" w:rsidRDefault="00B65C1E" w:rsidP="00EC5843">
            <w:pPr>
              <w:rPr>
                <w:sz w:val="17"/>
                <w:szCs w:val="17"/>
                <w:lang w:val="en-GB"/>
              </w:rPr>
            </w:pPr>
          </w:p>
          <w:p w14:paraId="315A1F57" w14:textId="77777777" w:rsidR="00B65C1E" w:rsidRDefault="00B65C1E" w:rsidP="00EC5843">
            <w:pPr>
              <w:rPr>
                <w:sz w:val="17"/>
                <w:szCs w:val="17"/>
                <w:lang w:val="en-GB"/>
              </w:rPr>
            </w:pPr>
          </w:p>
          <w:p w14:paraId="69712458" w14:textId="77777777" w:rsidR="00B65C1E" w:rsidRDefault="00B65C1E" w:rsidP="00EC5843">
            <w:pPr>
              <w:rPr>
                <w:sz w:val="17"/>
                <w:szCs w:val="17"/>
                <w:lang w:val="en-GB"/>
              </w:rPr>
            </w:pPr>
          </w:p>
          <w:p w14:paraId="01CC6AEE" w14:textId="77777777" w:rsidR="003527E9" w:rsidRDefault="003527E9" w:rsidP="00EC5843">
            <w:pPr>
              <w:rPr>
                <w:sz w:val="17"/>
                <w:szCs w:val="17"/>
                <w:lang w:val="en-GB"/>
              </w:rPr>
            </w:pPr>
          </w:p>
          <w:p w14:paraId="3C0DBFBD" w14:textId="77777777" w:rsidR="003527E9" w:rsidRDefault="003527E9" w:rsidP="00EC5843">
            <w:pPr>
              <w:rPr>
                <w:sz w:val="17"/>
                <w:szCs w:val="17"/>
                <w:lang w:val="en-GB"/>
              </w:rPr>
            </w:pPr>
          </w:p>
          <w:p w14:paraId="0D3908C0" w14:textId="77777777" w:rsidR="003527E9" w:rsidRDefault="003527E9" w:rsidP="00EC5843">
            <w:pPr>
              <w:rPr>
                <w:sz w:val="17"/>
                <w:szCs w:val="17"/>
                <w:lang w:val="en-GB"/>
              </w:rPr>
            </w:pPr>
          </w:p>
          <w:p w14:paraId="5498A1AC" w14:textId="77777777" w:rsidR="003527E9" w:rsidRDefault="003527E9" w:rsidP="00EC5843">
            <w:pPr>
              <w:rPr>
                <w:sz w:val="17"/>
                <w:szCs w:val="17"/>
                <w:lang w:val="en-GB"/>
              </w:rPr>
            </w:pPr>
          </w:p>
          <w:p w14:paraId="258FEA54" w14:textId="77777777" w:rsidR="003527E9" w:rsidRDefault="003527E9" w:rsidP="00EC5843">
            <w:pPr>
              <w:rPr>
                <w:sz w:val="17"/>
                <w:szCs w:val="17"/>
                <w:lang w:val="en-GB"/>
              </w:rPr>
            </w:pPr>
          </w:p>
          <w:p w14:paraId="5FD85B8D" w14:textId="77777777" w:rsidR="003527E9" w:rsidRDefault="003527E9" w:rsidP="00EC5843">
            <w:pPr>
              <w:rPr>
                <w:sz w:val="17"/>
                <w:szCs w:val="17"/>
                <w:lang w:val="en-GB"/>
              </w:rPr>
            </w:pPr>
          </w:p>
          <w:p w14:paraId="005205A9" w14:textId="77777777" w:rsidR="003527E9" w:rsidRDefault="003527E9" w:rsidP="00EC5843">
            <w:pPr>
              <w:rPr>
                <w:sz w:val="17"/>
                <w:szCs w:val="17"/>
                <w:lang w:val="en-GB"/>
              </w:rPr>
            </w:pPr>
          </w:p>
          <w:p w14:paraId="28B24A52" w14:textId="77777777" w:rsidR="003527E9" w:rsidRDefault="003527E9" w:rsidP="00EC5843">
            <w:pPr>
              <w:rPr>
                <w:sz w:val="17"/>
                <w:szCs w:val="17"/>
                <w:lang w:val="en-GB"/>
              </w:rPr>
            </w:pPr>
          </w:p>
          <w:p w14:paraId="5F188712" w14:textId="77777777" w:rsidR="003527E9" w:rsidRDefault="003527E9" w:rsidP="00EC5843">
            <w:pPr>
              <w:rPr>
                <w:sz w:val="17"/>
                <w:szCs w:val="17"/>
                <w:lang w:val="en-GB"/>
              </w:rPr>
            </w:pPr>
          </w:p>
          <w:p w14:paraId="0859C401" w14:textId="77777777" w:rsidR="003527E9" w:rsidRDefault="003527E9" w:rsidP="00EC5843">
            <w:pPr>
              <w:rPr>
                <w:sz w:val="17"/>
                <w:szCs w:val="17"/>
                <w:lang w:val="en-GB"/>
              </w:rPr>
            </w:pPr>
          </w:p>
          <w:p w14:paraId="06970343" w14:textId="77777777" w:rsidR="003527E9" w:rsidRDefault="003527E9" w:rsidP="00EC5843">
            <w:pPr>
              <w:rPr>
                <w:sz w:val="17"/>
                <w:szCs w:val="17"/>
                <w:lang w:val="en-GB"/>
              </w:rPr>
            </w:pPr>
          </w:p>
          <w:p w14:paraId="7006652C" w14:textId="77777777" w:rsidR="003527E9" w:rsidRDefault="003527E9" w:rsidP="00EC5843">
            <w:pPr>
              <w:rPr>
                <w:sz w:val="17"/>
                <w:szCs w:val="17"/>
                <w:lang w:val="en-GB"/>
              </w:rPr>
            </w:pPr>
          </w:p>
          <w:p w14:paraId="5D020399" w14:textId="77777777" w:rsidR="003527E9" w:rsidRDefault="003527E9" w:rsidP="00EC5843">
            <w:pPr>
              <w:rPr>
                <w:sz w:val="17"/>
                <w:szCs w:val="17"/>
                <w:lang w:val="en-GB"/>
              </w:rPr>
            </w:pPr>
          </w:p>
          <w:p w14:paraId="11A9BB14" w14:textId="77777777" w:rsidR="003527E9" w:rsidRDefault="003527E9" w:rsidP="00EC5843">
            <w:pPr>
              <w:rPr>
                <w:sz w:val="17"/>
                <w:szCs w:val="17"/>
                <w:lang w:val="en-GB"/>
              </w:rPr>
            </w:pPr>
          </w:p>
          <w:p w14:paraId="1AC5EEB4" w14:textId="77777777" w:rsidR="00EC5843" w:rsidRDefault="00EC5843" w:rsidP="00BD43AF">
            <w:pPr>
              <w:rPr>
                <w:sz w:val="17"/>
                <w:szCs w:val="17"/>
                <w:lang w:val="en-GB"/>
              </w:rPr>
            </w:pPr>
          </w:p>
          <w:p w14:paraId="2A3860D2" w14:textId="77777777" w:rsidR="00EC5843" w:rsidRDefault="00EC5843" w:rsidP="00BD43AF">
            <w:pPr>
              <w:rPr>
                <w:sz w:val="17"/>
                <w:szCs w:val="17"/>
                <w:lang w:val="en-GB"/>
              </w:rPr>
            </w:pPr>
          </w:p>
          <w:p w14:paraId="13B7B921" w14:textId="77777777" w:rsidR="009A1BE1" w:rsidRDefault="009A1BE1" w:rsidP="00BD43AF">
            <w:pPr>
              <w:rPr>
                <w:sz w:val="17"/>
                <w:szCs w:val="17"/>
                <w:lang w:val="en-GB"/>
              </w:rPr>
            </w:pPr>
          </w:p>
          <w:p w14:paraId="0A1BCC34" w14:textId="77777777" w:rsidR="009A1BE1" w:rsidRDefault="009A1BE1" w:rsidP="00BD43AF">
            <w:pPr>
              <w:rPr>
                <w:sz w:val="17"/>
                <w:szCs w:val="17"/>
                <w:lang w:val="en-GB"/>
              </w:rPr>
            </w:pPr>
          </w:p>
          <w:p w14:paraId="6775ABBF" w14:textId="77777777" w:rsidR="009A1BE1" w:rsidRDefault="009A1BE1" w:rsidP="00BD43AF">
            <w:pPr>
              <w:rPr>
                <w:sz w:val="17"/>
                <w:szCs w:val="17"/>
                <w:lang w:val="en-GB"/>
              </w:rPr>
            </w:pPr>
          </w:p>
          <w:p w14:paraId="757C236F" w14:textId="77777777" w:rsidR="009A1BE1" w:rsidRDefault="009A1BE1" w:rsidP="00BD43AF">
            <w:pPr>
              <w:rPr>
                <w:sz w:val="17"/>
                <w:szCs w:val="17"/>
                <w:lang w:val="en-GB"/>
              </w:rPr>
            </w:pPr>
          </w:p>
          <w:p w14:paraId="36684A78" w14:textId="77777777" w:rsidR="009A1BE1" w:rsidRDefault="009A1BE1" w:rsidP="00BD43AF">
            <w:pPr>
              <w:rPr>
                <w:sz w:val="17"/>
                <w:szCs w:val="17"/>
                <w:lang w:val="en-GB"/>
              </w:rPr>
            </w:pPr>
          </w:p>
          <w:p w14:paraId="6037D07F" w14:textId="16120E6D" w:rsidR="0024569A" w:rsidRPr="004806F2" w:rsidRDefault="0024569A">
            <w:pPr>
              <w:rPr>
                <w:b/>
                <w:bCs/>
                <w:sz w:val="17"/>
                <w:szCs w:val="17"/>
                <w:lang w:val="en-GB"/>
              </w:rPr>
            </w:pPr>
          </w:p>
        </w:tc>
        <w:tc>
          <w:tcPr>
            <w:tcW w:w="2148" w:type="pct"/>
            <w:vMerge w:val="restart"/>
            <w:tcMar>
              <w:top w:w="72" w:type="dxa"/>
              <w:left w:w="144" w:type="dxa"/>
              <w:bottom w:w="72" w:type="dxa"/>
              <w:right w:w="144" w:type="dxa"/>
            </w:tcMar>
            <w:vAlign w:val="center"/>
          </w:tcPr>
          <w:p w14:paraId="58467EA3" w14:textId="121AEB27" w:rsidR="0024569A" w:rsidRPr="00444069" w:rsidRDefault="0024569A" w:rsidP="00BD43AF">
            <w:pPr>
              <w:rPr>
                <w:sz w:val="17"/>
                <w:szCs w:val="17"/>
                <w:lang w:val="en-GB"/>
              </w:rPr>
            </w:pPr>
            <w:r w:rsidRPr="004806F2">
              <w:rPr>
                <w:b/>
                <w:bCs/>
                <w:sz w:val="17"/>
                <w:szCs w:val="17"/>
                <w:lang w:val="en-GB"/>
              </w:rPr>
              <w:lastRenderedPageBreak/>
              <w:t>Output 1.1</w:t>
            </w:r>
            <w:r w:rsidR="00845EB2">
              <w:rPr>
                <w:b/>
                <w:bCs/>
                <w:sz w:val="17"/>
                <w:szCs w:val="17"/>
                <w:lang w:val="en-GB"/>
              </w:rPr>
              <w:t>.</w:t>
            </w:r>
            <w:r w:rsidRPr="004806F2">
              <w:rPr>
                <w:sz w:val="17"/>
                <w:szCs w:val="17"/>
                <w:lang w:val="en-GB"/>
              </w:rPr>
              <w:t xml:space="preserve"> </w:t>
            </w:r>
            <w:r w:rsidR="00DF53D9" w:rsidRPr="004806F2">
              <w:rPr>
                <w:sz w:val="17"/>
                <w:szCs w:val="17"/>
                <w:lang w:val="en-GB"/>
              </w:rPr>
              <w:t>Improved p</w:t>
            </w:r>
            <w:r w:rsidRPr="004806F2">
              <w:rPr>
                <w:sz w:val="17"/>
                <w:szCs w:val="17"/>
                <w:lang w:val="en-GB"/>
              </w:rPr>
              <w:t xml:space="preserve">roductive infrastructures and assets to </w:t>
            </w:r>
            <w:r w:rsidR="00DF53D9" w:rsidRPr="004806F2">
              <w:rPr>
                <w:sz w:val="17"/>
                <w:szCs w:val="17"/>
                <w:lang w:val="en-GB"/>
              </w:rPr>
              <w:t xml:space="preserve">increase </w:t>
            </w:r>
            <w:r w:rsidRPr="004806F2">
              <w:rPr>
                <w:sz w:val="17"/>
                <w:szCs w:val="17"/>
                <w:lang w:val="en-GB"/>
              </w:rPr>
              <w:t>food security, local economic recovery, and access to services</w:t>
            </w:r>
            <w:r w:rsidRPr="00444069">
              <w:rPr>
                <w:rStyle w:val="FootnoteReference"/>
                <w:sz w:val="17"/>
                <w:szCs w:val="17"/>
                <w:lang w:val="en-GB"/>
              </w:rPr>
              <w:footnoteReference w:id="29"/>
            </w:r>
          </w:p>
          <w:p w14:paraId="23751FA3" w14:textId="77777777" w:rsidR="0024569A" w:rsidRPr="00444069" w:rsidRDefault="0024569A" w:rsidP="00BD43AF">
            <w:pPr>
              <w:rPr>
                <w:sz w:val="17"/>
                <w:szCs w:val="17"/>
                <w:lang w:val="en-GB"/>
              </w:rPr>
            </w:pPr>
          </w:p>
          <w:p w14:paraId="5F4B83AF" w14:textId="1DC0C6A2" w:rsidR="0024569A" w:rsidRPr="00444069" w:rsidRDefault="0024569A" w:rsidP="00BD43AF">
            <w:pPr>
              <w:rPr>
                <w:sz w:val="17"/>
                <w:szCs w:val="17"/>
                <w:lang w:val="en-GB"/>
              </w:rPr>
            </w:pPr>
            <w:r w:rsidRPr="00444069">
              <w:rPr>
                <w:sz w:val="17"/>
                <w:szCs w:val="17"/>
                <w:lang w:val="en-GB"/>
              </w:rPr>
              <w:t xml:space="preserve">Indicator 1.1.1 Number of people benefiting from increased access to </w:t>
            </w:r>
            <w:r w:rsidR="00B56B63" w:rsidRPr="00444069">
              <w:rPr>
                <w:sz w:val="17"/>
                <w:szCs w:val="17"/>
                <w:lang w:val="en-GB"/>
              </w:rPr>
              <w:t xml:space="preserve">community </w:t>
            </w:r>
            <w:r w:rsidRPr="00444069">
              <w:rPr>
                <w:sz w:val="17"/>
                <w:szCs w:val="17"/>
                <w:lang w:val="en-GB"/>
              </w:rPr>
              <w:t xml:space="preserve">infrastructures </w:t>
            </w:r>
          </w:p>
          <w:p w14:paraId="6F07B7BF" w14:textId="1734B055" w:rsidR="0024569A" w:rsidRPr="00444069" w:rsidRDefault="0024569A" w:rsidP="00BD43AF">
            <w:pPr>
              <w:rPr>
                <w:sz w:val="17"/>
                <w:szCs w:val="17"/>
                <w:lang w:val="en-GB"/>
              </w:rPr>
            </w:pPr>
            <w:r w:rsidRPr="00444069">
              <w:rPr>
                <w:sz w:val="17"/>
                <w:szCs w:val="17"/>
                <w:lang w:val="en-GB"/>
              </w:rPr>
              <w:t>Baseline (2022): 5,715,006; Female 2,743,203, Male 2,971,803)</w:t>
            </w:r>
          </w:p>
          <w:p w14:paraId="16211F2A" w14:textId="2BEC8AB3" w:rsidR="0024569A" w:rsidRPr="00444069" w:rsidRDefault="0024569A" w:rsidP="00BD43AF">
            <w:pPr>
              <w:rPr>
                <w:sz w:val="17"/>
                <w:szCs w:val="17"/>
                <w:lang w:val="en-GB"/>
              </w:rPr>
            </w:pPr>
            <w:r w:rsidRPr="00444069">
              <w:rPr>
                <w:sz w:val="17"/>
                <w:szCs w:val="17"/>
                <w:lang w:val="en-GB"/>
              </w:rPr>
              <w:t>Target (202</w:t>
            </w:r>
            <w:r w:rsidR="00B16179" w:rsidRPr="00444069">
              <w:rPr>
                <w:sz w:val="17"/>
                <w:szCs w:val="17"/>
                <w:lang w:val="en-GB"/>
              </w:rPr>
              <w:t>4</w:t>
            </w:r>
            <w:r w:rsidRPr="00444069">
              <w:rPr>
                <w:sz w:val="17"/>
                <w:szCs w:val="17"/>
                <w:lang w:val="en-GB"/>
              </w:rPr>
              <w:t>): 6,584,130</w:t>
            </w:r>
            <w:r w:rsidR="00B65C1E">
              <w:rPr>
                <w:sz w:val="17"/>
                <w:szCs w:val="17"/>
                <w:lang w:val="en-GB"/>
              </w:rPr>
              <w:t>;</w:t>
            </w:r>
            <w:r w:rsidRPr="00444069">
              <w:rPr>
                <w:sz w:val="17"/>
                <w:szCs w:val="17"/>
                <w:lang w:val="en-GB"/>
              </w:rPr>
              <w:t xml:space="preserve"> Female 2,962,858; Male 3,621,272</w:t>
            </w:r>
          </w:p>
          <w:p w14:paraId="54BAD567" w14:textId="77777777" w:rsidR="003527E9" w:rsidRPr="00444069" w:rsidRDefault="003527E9" w:rsidP="003527E9">
            <w:pPr>
              <w:rPr>
                <w:sz w:val="17"/>
                <w:szCs w:val="17"/>
                <w:lang w:val="en-GB"/>
              </w:rPr>
            </w:pPr>
            <w:r w:rsidRPr="00444069">
              <w:rPr>
                <w:sz w:val="17"/>
                <w:szCs w:val="17"/>
                <w:lang w:val="en-GB"/>
              </w:rPr>
              <w:t xml:space="preserve">Data source: Programme </w:t>
            </w:r>
            <w:r>
              <w:rPr>
                <w:sz w:val="17"/>
                <w:szCs w:val="17"/>
                <w:lang w:val="en-GB"/>
              </w:rPr>
              <w:t>r</w:t>
            </w:r>
            <w:r w:rsidRPr="00444069">
              <w:rPr>
                <w:sz w:val="17"/>
                <w:szCs w:val="17"/>
                <w:lang w:val="en-GB"/>
              </w:rPr>
              <w:t>eports</w:t>
            </w:r>
            <w:r>
              <w:rPr>
                <w:sz w:val="17"/>
                <w:szCs w:val="17"/>
                <w:lang w:val="en-GB"/>
              </w:rPr>
              <w:t>; f</w:t>
            </w:r>
            <w:r w:rsidRPr="00444069">
              <w:rPr>
                <w:sz w:val="17"/>
                <w:szCs w:val="17"/>
                <w:lang w:val="en-GB"/>
              </w:rPr>
              <w:t xml:space="preserve">requency: semi-annual </w:t>
            </w:r>
          </w:p>
          <w:p w14:paraId="36E423C4" w14:textId="712A0746" w:rsidR="0024569A" w:rsidRDefault="0024569A" w:rsidP="00BD43AF">
            <w:pPr>
              <w:rPr>
                <w:sz w:val="17"/>
                <w:szCs w:val="17"/>
                <w:lang w:val="en-GB"/>
              </w:rPr>
            </w:pPr>
          </w:p>
          <w:p w14:paraId="693CD4EA" w14:textId="77777777" w:rsidR="0024569A" w:rsidRPr="004806F2" w:rsidRDefault="0024569A" w:rsidP="00BD43AF">
            <w:pPr>
              <w:rPr>
                <w:sz w:val="17"/>
                <w:szCs w:val="17"/>
                <w:lang w:val="en-GB" w:eastAsia="en-GB"/>
              </w:rPr>
            </w:pPr>
            <w:r w:rsidRPr="004806F2">
              <w:rPr>
                <w:sz w:val="17"/>
                <w:szCs w:val="17"/>
                <w:lang w:val="en-GB" w:eastAsia="en-GB"/>
              </w:rPr>
              <w:t xml:space="preserve">Indicator 1.1.2: Number of people benefitting from immediate income opportunities </w:t>
            </w:r>
          </w:p>
          <w:p w14:paraId="5DC1167B" w14:textId="2BB820D0" w:rsidR="0024569A" w:rsidRPr="00CA5B30" w:rsidRDefault="00EC5843" w:rsidP="00CA5B30">
            <w:pPr>
              <w:rPr>
                <w:sz w:val="17"/>
                <w:szCs w:val="17"/>
                <w:lang w:val="en-GB"/>
              </w:rPr>
            </w:pPr>
            <w:r>
              <w:rPr>
                <w:sz w:val="17"/>
                <w:szCs w:val="17"/>
                <w:lang w:val="en-GB"/>
              </w:rPr>
              <w:t xml:space="preserve">   (a)    </w:t>
            </w:r>
            <w:r w:rsidR="0024569A" w:rsidRPr="00CA5B30">
              <w:rPr>
                <w:sz w:val="17"/>
                <w:szCs w:val="17"/>
                <w:lang w:val="en-GB"/>
              </w:rPr>
              <w:t>Jobs created</w:t>
            </w:r>
          </w:p>
          <w:p w14:paraId="53886817" w14:textId="083DEDD9" w:rsidR="0024569A" w:rsidRPr="004806F2" w:rsidRDefault="0024569A" w:rsidP="00BD43AF">
            <w:pPr>
              <w:rPr>
                <w:sz w:val="17"/>
                <w:szCs w:val="17"/>
                <w:lang w:val="en-GB"/>
              </w:rPr>
            </w:pPr>
            <w:r w:rsidRPr="004806F2">
              <w:rPr>
                <w:sz w:val="17"/>
                <w:szCs w:val="17"/>
                <w:lang w:val="en-GB"/>
              </w:rPr>
              <w:t>Baseline (2022): 461,706</w:t>
            </w:r>
            <w:r w:rsidR="00B65C1E">
              <w:rPr>
                <w:sz w:val="17"/>
                <w:szCs w:val="17"/>
                <w:lang w:val="en-GB"/>
              </w:rPr>
              <w:t>;</w:t>
            </w:r>
            <w:r w:rsidRPr="004806F2">
              <w:rPr>
                <w:sz w:val="17"/>
                <w:szCs w:val="17"/>
                <w:lang w:val="en-GB"/>
              </w:rPr>
              <w:t xml:space="preserve"> Female 92,341; Male 369,365 </w:t>
            </w:r>
          </w:p>
          <w:p w14:paraId="330E1A6A" w14:textId="34BE91C0" w:rsidR="0024569A" w:rsidRPr="004806F2" w:rsidRDefault="0024569A" w:rsidP="00BD43AF">
            <w:pPr>
              <w:rPr>
                <w:sz w:val="17"/>
                <w:szCs w:val="17"/>
                <w:lang w:val="en-GB"/>
              </w:rPr>
            </w:pPr>
            <w:r w:rsidRPr="004806F2">
              <w:rPr>
                <w:sz w:val="17"/>
                <w:szCs w:val="17"/>
                <w:lang w:val="en-GB"/>
              </w:rPr>
              <w:t>Target (</w:t>
            </w:r>
            <w:r w:rsidR="00B16179" w:rsidRPr="004806F2">
              <w:rPr>
                <w:sz w:val="17"/>
                <w:szCs w:val="17"/>
                <w:lang w:val="en-GB"/>
              </w:rPr>
              <w:t>2024</w:t>
            </w:r>
            <w:r w:rsidRPr="004806F2">
              <w:rPr>
                <w:sz w:val="17"/>
                <w:szCs w:val="17"/>
                <w:lang w:val="en-GB"/>
              </w:rPr>
              <w:t>): 646,771</w:t>
            </w:r>
            <w:r w:rsidR="00B65C1E">
              <w:rPr>
                <w:sz w:val="17"/>
                <w:szCs w:val="17"/>
                <w:lang w:val="en-GB"/>
              </w:rPr>
              <w:t>;</w:t>
            </w:r>
            <w:r w:rsidRPr="004806F2">
              <w:rPr>
                <w:sz w:val="17"/>
                <w:szCs w:val="17"/>
                <w:lang w:val="en-GB"/>
              </w:rPr>
              <w:t xml:space="preserve"> Female 129,354;</w:t>
            </w:r>
            <w:r w:rsidR="00CC19B2" w:rsidRPr="004806F2">
              <w:rPr>
                <w:sz w:val="17"/>
                <w:szCs w:val="17"/>
                <w:lang w:val="en-GB"/>
              </w:rPr>
              <w:t xml:space="preserve"> </w:t>
            </w:r>
            <w:r w:rsidRPr="004806F2">
              <w:rPr>
                <w:sz w:val="17"/>
                <w:szCs w:val="17"/>
                <w:lang w:val="en-GB"/>
              </w:rPr>
              <w:t>Male 517,417</w:t>
            </w:r>
          </w:p>
          <w:p w14:paraId="1CEDA70F" w14:textId="43180637" w:rsidR="0024569A" w:rsidRPr="00CA5B30" w:rsidRDefault="0024569A" w:rsidP="00CA5B30">
            <w:pPr>
              <w:pStyle w:val="ListParagraph"/>
              <w:numPr>
                <w:ilvl w:val="0"/>
                <w:numId w:val="13"/>
              </w:numPr>
              <w:rPr>
                <w:sz w:val="17"/>
                <w:szCs w:val="17"/>
                <w:lang w:val="en-GB"/>
              </w:rPr>
            </w:pPr>
            <w:r w:rsidRPr="00CA5B30">
              <w:rPr>
                <w:sz w:val="17"/>
                <w:szCs w:val="17"/>
                <w:lang w:val="en-GB"/>
              </w:rPr>
              <w:t>Access to business opportunities</w:t>
            </w:r>
          </w:p>
          <w:p w14:paraId="642EB168" w14:textId="77777777" w:rsidR="0024569A" w:rsidRPr="004806F2" w:rsidRDefault="0024569A" w:rsidP="00BD43AF">
            <w:pPr>
              <w:rPr>
                <w:sz w:val="17"/>
                <w:szCs w:val="17"/>
                <w:lang w:val="en-GB"/>
              </w:rPr>
            </w:pPr>
            <w:r w:rsidRPr="004806F2">
              <w:rPr>
                <w:sz w:val="17"/>
                <w:szCs w:val="17"/>
                <w:lang w:val="en-GB"/>
              </w:rPr>
              <w:t xml:space="preserve">Baseline (2022): 6,901 Female: 3,243; Male: 3,658 </w:t>
            </w:r>
          </w:p>
          <w:p w14:paraId="6E58BD24" w14:textId="16E71357" w:rsidR="0024569A" w:rsidRPr="00DB3165" w:rsidRDefault="0024569A" w:rsidP="00BD43AF">
            <w:pPr>
              <w:rPr>
                <w:sz w:val="17"/>
                <w:szCs w:val="17"/>
                <w:lang w:val="en-GB"/>
              </w:rPr>
            </w:pPr>
            <w:r w:rsidRPr="00DB3165">
              <w:rPr>
                <w:sz w:val="17"/>
                <w:szCs w:val="17"/>
                <w:lang w:val="en-GB"/>
              </w:rPr>
              <w:t>Target (</w:t>
            </w:r>
            <w:r w:rsidR="00827384" w:rsidRPr="00DB3165">
              <w:rPr>
                <w:sz w:val="17"/>
                <w:szCs w:val="17"/>
                <w:lang w:val="en-GB"/>
              </w:rPr>
              <w:t>2024</w:t>
            </w:r>
            <w:r w:rsidRPr="00DB3165">
              <w:rPr>
                <w:sz w:val="17"/>
                <w:szCs w:val="17"/>
                <w:lang w:val="en-GB"/>
              </w:rPr>
              <w:t xml:space="preserve">): 16,322 Female: 6,991; Male: 9,331 </w:t>
            </w:r>
          </w:p>
          <w:p w14:paraId="19DACF24" w14:textId="77777777" w:rsidR="00547CB2" w:rsidRPr="00444069" w:rsidRDefault="00547CB2" w:rsidP="00547CB2">
            <w:pPr>
              <w:rPr>
                <w:sz w:val="17"/>
                <w:szCs w:val="17"/>
                <w:lang w:val="en-GB"/>
              </w:rPr>
            </w:pPr>
            <w:r w:rsidRPr="00444069">
              <w:rPr>
                <w:sz w:val="17"/>
                <w:szCs w:val="17"/>
                <w:lang w:val="en-GB"/>
              </w:rPr>
              <w:t xml:space="preserve">Data source: Programme </w:t>
            </w:r>
            <w:r>
              <w:rPr>
                <w:sz w:val="17"/>
                <w:szCs w:val="17"/>
                <w:lang w:val="en-GB"/>
              </w:rPr>
              <w:t>r</w:t>
            </w:r>
            <w:r w:rsidRPr="00444069">
              <w:rPr>
                <w:sz w:val="17"/>
                <w:szCs w:val="17"/>
                <w:lang w:val="en-GB"/>
              </w:rPr>
              <w:t>eports</w:t>
            </w:r>
            <w:r>
              <w:rPr>
                <w:sz w:val="17"/>
                <w:szCs w:val="17"/>
                <w:lang w:val="en-GB"/>
              </w:rPr>
              <w:t>; f</w:t>
            </w:r>
            <w:r w:rsidRPr="00444069">
              <w:rPr>
                <w:sz w:val="17"/>
                <w:szCs w:val="17"/>
                <w:lang w:val="en-GB"/>
              </w:rPr>
              <w:t xml:space="preserve">requency: semi-annual </w:t>
            </w:r>
          </w:p>
          <w:p w14:paraId="564FEE06" w14:textId="77777777" w:rsidR="0024569A" w:rsidRPr="009B4526" w:rsidRDefault="0024569A" w:rsidP="00BD43AF">
            <w:pPr>
              <w:rPr>
                <w:sz w:val="17"/>
                <w:szCs w:val="17"/>
                <w:lang w:val="en-GB"/>
              </w:rPr>
            </w:pPr>
          </w:p>
          <w:p w14:paraId="536B33FF" w14:textId="3B109099" w:rsidR="0024569A" w:rsidRPr="009B4526" w:rsidRDefault="0024569A" w:rsidP="00BD43AF">
            <w:pPr>
              <w:autoSpaceDE w:val="0"/>
              <w:autoSpaceDN w:val="0"/>
              <w:adjustRightInd w:val="0"/>
              <w:rPr>
                <w:sz w:val="17"/>
                <w:szCs w:val="17"/>
                <w:lang w:val="en-GB" w:eastAsia="en-GB"/>
              </w:rPr>
            </w:pPr>
            <w:r w:rsidRPr="009B4526">
              <w:rPr>
                <w:b/>
                <w:bCs/>
                <w:sz w:val="17"/>
                <w:szCs w:val="17"/>
                <w:lang w:val="en-GB" w:eastAsia="en-GB"/>
              </w:rPr>
              <w:t>Output 1.2</w:t>
            </w:r>
            <w:r w:rsidR="00EC5843">
              <w:rPr>
                <w:b/>
                <w:bCs/>
                <w:sz w:val="17"/>
                <w:szCs w:val="17"/>
                <w:lang w:val="en-GB" w:eastAsia="en-GB"/>
              </w:rPr>
              <w:t>.</w:t>
            </w:r>
            <w:r w:rsidRPr="009B4526">
              <w:rPr>
                <w:b/>
                <w:bCs/>
                <w:sz w:val="17"/>
                <w:szCs w:val="17"/>
                <w:lang w:val="en-GB" w:eastAsia="en-GB"/>
              </w:rPr>
              <w:t xml:space="preserve"> </w:t>
            </w:r>
            <w:r w:rsidRPr="009B4526">
              <w:rPr>
                <w:sz w:val="17"/>
                <w:szCs w:val="17"/>
                <w:lang w:val="en-GB" w:eastAsia="en-GB"/>
              </w:rPr>
              <w:t>Increased access to renewable energy sources</w:t>
            </w:r>
            <w:r w:rsidR="009E197B" w:rsidRPr="009B4526">
              <w:rPr>
                <w:sz w:val="17"/>
                <w:szCs w:val="17"/>
                <w:lang w:val="en-GB" w:eastAsia="en-GB"/>
              </w:rPr>
              <w:t xml:space="preserve"> </w:t>
            </w:r>
            <w:r w:rsidR="00A64A04" w:rsidRPr="009B4526">
              <w:rPr>
                <w:sz w:val="17"/>
                <w:szCs w:val="17"/>
                <w:lang w:val="en-GB" w:eastAsia="en-GB"/>
              </w:rPr>
              <w:t>for vulnerable population groups</w:t>
            </w:r>
          </w:p>
          <w:p w14:paraId="52B692FB" w14:textId="05880D29" w:rsidR="0024569A" w:rsidRPr="009B4526" w:rsidRDefault="0024569A" w:rsidP="00BD43AF">
            <w:pPr>
              <w:autoSpaceDE w:val="0"/>
              <w:autoSpaceDN w:val="0"/>
              <w:adjustRightInd w:val="0"/>
              <w:rPr>
                <w:sz w:val="17"/>
                <w:szCs w:val="17"/>
                <w:lang w:val="en-GB" w:eastAsia="en-GB"/>
              </w:rPr>
            </w:pPr>
          </w:p>
          <w:p w14:paraId="41317CC1" w14:textId="222E6EA8" w:rsidR="0024569A" w:rsidRPr="009B4526" w:rsidRDefault="0024569A" w:rsidP="00BD43AF">
            <w:pPr>
              <w:autoSpaceDE w:val="0"/>
              <w:autoSpaceDN w:val="0"/>
              <w:adjustRightInd w:val="0"/>
              <w:rPr>
                <w:sz w:val="17"/>
                <w:szCs w:val="17"/>
                <w:lang w:val="en-GB" w:eastAsia="en-GB"/>
              </w:rPr>
            </w:pPr>
            <w:r w:rsidRPr="009B4526">
              <w:rPr>
                <w:sz w:val="17"/>
                <w:szCs w:val="17"/>
                <w:lang w:val="en-GB" w:eastAsia="en-GB"/>
              </w:rPr>
              <w:t xml:space="preserve">Indicator 1.2.1 Number of social </w:t>
            </w:r>
            <w:r w:rsidR="00EF78CE" w:rsidRPr="009B4526">
              <w:rPr>
                <w:sz w:val="17"/>
                <w:szCs w:val="17"/>
                <w:lang w:val="en-GB" w:eastAsia="en-GB"/>
              </w:rPr>
              <w:t xml:space="preserve">facilities </w:t>
            </w:r>
            <w:r w:rsidRPr="009B4526">
              <w:rPr>
                <w:sz w:val="17"/>
                <w:szCs w:val="17"/>
                <w:lang w:val="en-GB" w:eastAsia="en-GB"/>
              </w:rPr>
              <w:t>supported with renewable energy</w:t>
            </w:r>
          </w:p>
          <w:p w14:paraId="228BBC3A" w14:textId="77777777" w:rsidR="0024569A" w:rsidRPr="009B4526" w:rsidRDefault="0024569A" w:rsidP="00BD43AF">
            <w:pPr>
              <w:autoSpaceDE w:val="0"/>
              <w:autoSpaceDN w:val="0"/>
              <w:adjustRightInd w:val="0"/>
              <w:rPr>
                <w:sz w:val="17"/>
                <w:szCs w:val="17"/>
                <w:lang w:val="en-GB" w:eastAsia="en-GB"/>
              </w:rPr>
            </w:pPr>
            <w:r w:rsidRPr="009B4526">
              <w:rPr>
                <w:sz w:val="17"/>
                <w:szCs w:val="17"/>
                <w:lang w:val="en-GB" w:eastAsia="en-GB"/>
              </w:rPr>
              <w:t xml:space="preserve">Baseline (2022): Solar 593 </w:t>
            </w:r>
          </w:p>
          <w:p w14:paraId="65C0B4D1" w14:textId="667D8CD4" w:rsidR="0024569A" w:rsidRPr="009B4526" w:rsidRDefault="0024569A" w:rsidP="00BD43AF">
            <w:pPr>
              <w:autoSpaceDE w:val="0"/>
              <w:autoSpaceDN w:val="0"/>
              <w:adjustRightInd w:val="0"/>
              <w:rPr>
                <w:sz w:val="17"/>
                <w:szCs w:val="17"/>
                <w:lang w:val="en-GB" w:eastAsia="en-GB"/>
              </w:rPr>
            </w:pPr>
            <w:r w:rsidRPr="009B4526">
              <w:rPr>
                <w:sz w:val="17"/>
                <w:szCs w:val="17"/>
                <w:lang w:val="en-GB" w:eastAsia="en-GB"/>
              </w:rPr>
              <w:t>Target (202</w:t>
            </w:r>
            <w:r w:rsidR="00827384" w:rsidRPr="009B4526">
              <w:rPr>
                <w:sz w:val="17"/>
                <w:szCs w:val="17"/>
                <w:lang w:val="en-GB" w:eastAsia="en-GB"/>
              </w:rPr>
              <w:t>4</w:t>
            </w:r>
            <w:r w:rsidRPr="009B4526">
              <w:rPr>
                <w:sz w:val="17"/>
                <w:szCs w:val="17"/>
                <w:lang w:val="en-GB" w:eastAsia="en-GB"/>
              </w:rPr>
              <w:t xml:space="preserve">): Solar </w:t>
            </w:r>
            <w:r w:rsidR="0080314F" w:rsidRPr="009B4526">
              <w:rPr>
                <w:sz w:val="17"/>
                <w:szCs w:val="17"/>
                <w:lang w:val="en-GB" w:eastAsia="en-GB"/>
              </w:rPr>
              <w:t>697</w:t>
            </w:r>
            <w:r w:rsidRPr="009B4526">
              <w:rPr>
                <w:sz w:val="17"/>
                <w:szCs w:val="17"/>
                <w:lang w:val="en-GB" w:eastAsia="en-GB"/>
              </w:rPr>
              <w:t xml:space="preserve"> </w:t>
            </w:r>
          </w:p>
          <w:p w14:paraId="40A77119" w14:textId="77777777" w:rsidR="003527E9" w:rsidRPr="00A2394E" w:rsidRDefault="003527E9" w:rsidP="003527E9">
            <w:pPr>
              <w:autoSpaceDE w:val="0"/>
              <w:autoSpaceDN w:val="0"/>
              <w:adjustRightInd w:val="0"/>
              <w:rPr>
                <w:sz w:val="17"/>
                <w:szCs w:val="17"/>
                <w:lang w:val="en-GB"/>
              </w:rPr>
            </w:pPr>
            <w:r w:rsidRPr="00A2394E">
              <w:rPr>
                <w:sz w:val="17"/>
                <w:szCs w:val="17"/>
                <w:lang w:val="en-GB"/>
              </w:rPr>
              <w:t>Data source: Project reports</w:t>
            </w:r>
          </w:p>
          <w:p w14:paraId="7E981A8F" w14:textId="77777777" w:rsidR="0024569A" w:rsidRPr="009B4526" w:rsidRDefault="0024569A" w:rsidP="00BD43AF">
            <w:pPr>
              <w:rPr>
                <w:sz w:val="17"/>
                <w:szCs w:val="17"/>
                <w:lang w:val="en-GB"/>
              </w:rPr>
            </w:pPr>
          </w:p>
          <w:p w14:paraId="2C3FE9E5" w14:textId="4F6D8DA0" w:rsidR="0024569A" w:rsidRPr="00A2394E" w:rsidRDefault="0024569A" w:rsidP="00BD43AF">
            <w:pPr>
              <w:autoSpaceDE w:val="0"/>
              <w:autoSpaceDN w:val="0"/>
              <w:adjustRightInd w:val="0"/>
              <w:rPr>
                <w:sz w:val="17"/>
                <w:szCs w:val="17"/>
                <w:lang w:val="en-GB" w:eastAsia="en-GB"/>
              </w:rPr>
            </w:pPr>
            <w:r w:rsidRPr="00A2394E">
              <w:rPr>
                <w:sz w:val="17"/>
                <w:szCs w:val="17"/>
                <w:lang w:val="en-GB" w:eastAsia="en-GB"/>
              </w:rPr>
              <w:t xml:space="preserve">Indicator 1.2.2 Number of people benefiting from access to clean energy. </w:t>
            </w:r>
          </w:p>
          <w:p w14:paraId="2AFCB91B" w14:textId="0A465CB2" w:rsidR="0024569A" w:rsidRPr="00A2394E" w:rsidRDefault="0024569A" w:rsidP="00BD43AF">
            <w:pPr>
              <w:rPr>
                <w:sz w:val="17"/>
                <w:szCs w:val="17"/>
                <w:lang w:val="en-GB"/>
              </w:rPr>
            </w:pPr>
            <w:r w:rsidRPr="00A2394E">
              <w:rPr>
                <w:sz w:val="17"/>
                <w:szCs w:val="17"/>
                <w:lang w:val="en-GB"/>
              </w:rPr>
              <w:t>Baseline (2022): Female 585,000; Male 585,000</w:t>
            </w:r>
          </w:p>
          <w:p w14:paraId="3C55FC27" w14:textId="7A3A0E3D" w:rsidR="0024569A" w:rsidRPr="00A2394E" w:rsidRDefault="0024569A" w:rsidP="00BD43AF">
            <w:pPr>
              <w:rPr>
                <w:sz w:val="17"/>
                <w:szCs w:val="17"/>
                <w:lang w:val="en-GB"/>
              </w:rPr>
            </w:pPr>
            <w:r w:rsidRPr="00A2394E">
              <w:rPr>
                <w:sz w:val="17"/>
                <w:szCs w:val="17"/>
                <w:lang w:val="en-GB"/>
              </w:rPr>
              <w:t>Target (202</w:t>
            </w:r>
            <w:r w:rsidR="00827384" w:rsidRPr="00A2394E">
              <w:rPr>
                <w:sz w:val="17"/>
                <w:szCs w:val="17"/>
                <w:lang w:val="en-GB"/>
              </w:rPr>
              <w:t>4</w:t>
            </w:r>
            <w:r w:rsidRPr="00A2394E">
              <w:rPr>
                <w:sz w:val="17"/>
                <w:szCs w:val="17"/>
                <w:lang w:val="en-GB"/>
              </w:rPr>
              <w:t xml:space="preserve">): Female </w:t>
            </w:r>
            <w:r w:rsidR="0080314F" w:rsidRPr="00A2394E">
              <w:rPr>
                <w:sz w:val="17"/>
                <w:szCs w:val="17"/>
                <w:lang w:val="en-GB"/>
              </w:rPr>
              <w:t>6</w:t>
            </w:r>
            <w:r w:rsidR="000B4930" w:rsidRPr="00A2394E">
              <w:rPr>
                <w:sz w:val="17"/>
                <w:szCs w:val="17"/>
                <w:lang w:val="en-GB"/>
              </w:rPr>
              <w:t>85,000</w:t>
            </w:r>
            <w:r w:rsidRPr="00A2394E">
              <w:rPr>
                <w:sz w:val="17"/>
                <w:szCs w:val="17"/>
                <w:lang w:val="en-GB"/>
              </w:rPr>
              <w:t xml:space="preserve">; Male </w:t>
            </w:r>
            <w:r w:rsidR="000B4930" w:rsidRPr="00A2394E">
              <w:rPr>
                <w:sz w:val="17"/>
                <w:szCs w:val="17"/>
                <w:lang w:val="en-GB"/>
              </w:rPr>
              <w:t>685,000</w:t>
            </w:r>
          </w:p>
          <w:p w14:paraId="2613C9DA" w14:textId="77777777" w:rsidR="003527E9" w:rsidRPr="00A2394E" w:rsidRDefault="003527E9" w:rsidP="003527E9">
            <w:pPr>
              <w:autoSpaceDE w:val="0"/>
              <w:autoSpaceDN w:val="0"/>
              <w:adjustRightInd w:val="0"/>
              <w:rPr>
                <w:sz w:val="17"/>
                <w:szCs w:val="17"/>
                <w:lang w:val="en-GB"/>
              </w:rPr>
            </w:pPr>
            <w:r w:rsidRPr="00A2394E">
              <w:rPr>
                <w:sz w:val="17"/>
                <w:szCs w:val="17"/>
                <w:lang w:val="en-GB"/>
              </w:rPr>
              <w:t>Data source: Project reports</w:t>
            </w:r>
          </w:p>
          <w:p w14:paraId="405CA815" w14:textId="77777777" w:rsidR="00B65C1E" w:rsidRDefault="00B65C1E" w:rsidP="00BD43AF">
            <w:pPr>
              <w:autoSpaceDE w:val="0"/>
              <w:autoSpaceDN w:val="0"/>
              <w:adjustRightInd w:val="0"/>
              <w:rPr>
                <w:b/>
                <w:bCs/>
                <w:sz w:val="17"/>
                <w:szCs w:val="17"/>
                <w:lang w:val="en-GB"/>
              </w:rPr>
            </w:pPr>
          </w:p>
          <w:p w14:paraId="1503ADB6" w14:textId="5E4F24EE" w:rsidR="0024569A" w:rsidRPr="00A2394E" w:rsidRDefault="0024569A" w:rsidP="00BD43AF">
            <w:pPr>
              <w:autoSpaceDE w:val="0"/>
              <w:autoSpaceDN w:val="0"/>
              <w:adjustRightInd w:val="0"/>
              <w:rPr>
                <w:sz w:val="17"/>
                <w:szCs w:val="17"/>
                <w:lang w:val="en-GB"/>
              </w:rPr>
            </w:pPr>
            <w:r w:rsidRPr="00A2394E">
              <w:rPr>
                <w:b/>
                <w:bCs/>
                <w:sz w:val="17"/>
                <w:szCs w:val="17"/>
                <w:lang w:val="en-GB"/>
              </w:rPr>
              <w:t>Output 1.3</w:t>
            </w:r>
            <w:r w:rsidR="009A1BE1">
              <w:rPr>
                <w:b/>
                <w:bCs/>
                <w:sz w:val="17"/>
                <w:szCs w:val="17"/>
                <w:lang w:val="en-GB"/>
              </w:rPr>
              <w:t>.</w:t>
            </w:r>
            <w:r w:rsidRPr="00A2394E">
              <w:rPr>
                <w:sz w:val="17"/>
                <w:szCs w:val="17"/>
                <w:lang w:val="en-GB"/>
              </w:rPr>
              <w:t xml:space="preserve"> Natural resources management improved to enhance sustainable agricultural productivity and climate resilience</w:t>
            </w:r>
          </w:p>
          <w:p w14:paraId="492BEE51" w14:textId="77777777" w:rsidR="0024569A" w:rsidRPr="00A2394E" w:rsidRDefault="0024569A" w:rsidP="00BD43AF">
            <w:pPr>
              <w:autoSpaceDE w:val="0"/>
              <w:autoSpaceDN w:val="0"/>
              <w:adjustRightInd w:val="0"/>
              <w:rPr>
                <w:sz w:val="17"/>
                <w:szCs w:val="17"/>
                <w:lang w:val="en-GB"/>
              </w:rPr>
            </w:pPr>
          </w:p>
          <w:p w14:paraId="3562730A" w14:textId="063B25CF" w:rsidR="0024569A" w:rsidRPr="00B8427A" w:rsidRDefault="0024569A" w:rsidP="00BD43AF">
            <w:pPr>
              <w:autoSpaceDE w:val="0"/>
              <w:autoSpaceDN w:val="0"/>
              <w:adjustRightInd w:val="0"/>
              <w:rPr>
                <w:sz w:val="17"/>
                <w:szCs w:val="17"/>
                <w:lang w:val="en-GB" w:eastAsia="en-GB"/>
              </w:rPr>
            </w:pPr>
            <w:r w:rsidRPr="0043669F">
              <w:rPr>
                <w:sz w:val="17"/>
                <w:szCs w:val="17"/>
                <w:lang w:val="en-GB"/>
              </w:rPr>
              <w:t xml:space="preserve">Indicator 1.3.1 </w:t>
            </w:r>
            <w:r w:rsidRPr="0043669F">
              <w:rPr>
                <w:sz w:val="17"/>
                <w:szCs w:val="17"/>
                <w:lang w:val="en-GB" w:eastAsia="en-GB"/>
              </w:rPr>
              <w:t xml:space="preserve">Number of </w:t>
            </w:r>
            <w:r w:rsidR="00CF3331" w:rsidRPr="0043669F">
              <w:rPr>
                <w:sz w:val="17"/>
                <w:szCs w:val="17"/>
                <w:lang w:val="en-GB" w:eastAsia="en-GB"/>
              </w:rPr>
              <w:t>households</w:t>
            </w:r>
            <w:r w:rsidR="000C7784" w:rsidRPr="0043669F">
              <w:rPr>
                <w:sz w:val="17"/>
                <w:szCs w:val="17"/>
                <w:lang w:val="en-GB" w:eastAsia="en-GB"/>
              </w:rPr>
              <w:t xml:space="preserve"> </w:t>
            </w:r>
            <w:r w:rsidRPr="0043669F">
              <w:rPr>
                <w:sz w:val="17"/>
                <w:szCs w:val="17"/>
                <w:lang w:val="en-GB" w:eastAsia="en-GB"/>
              </w:rPr>
              <w:t>directly benefiting from water resource management initiatives</w:t>
            </w:r>
            <w:r w:rsidR="00536E7E" w:rsidRPr="0043669F">
              <w:rPr>
                <w:sz w:val="17"/>
                <w:szCs w:val="17"/>
                <w:lang w:val="en-GB" w:eastAsia="en-GB"/>
              </w:rPr>
              <w:t xml:space="preserve">, </w:t>
            </w:r>
            <w:r w:rsidR="00BB0A22" w:rsidRPr="0043669F">
              <w:rPr>
                <w:sz w:val="17"/>
                <w:szCs w:val="17"/>
                <w:lang w:val="en-GB" w:eastAsia="en-GB"/>
              </w:rPr>
              <w:t xml:space="preserve">disaggregated </w:t>
            </w:r>
            <w:r w:rsidR="00536E7E" w:rsidRPr="0043669F">
              <w:rPr>
                <w:sz w:val="17"/>
                <w:szCs w:val="17"/>
                <w:lang w:val="en-GB" w:eastAsia="en-GB"/>
              </w:rPr>
              <w:t>by</w:t>
            </w:r>
            <w:r w:rsidR="00CF3331" w:rsidRPr="0043669F">
              <w:rPr>
                <w:sz w:val="17"/>
                <w:szCs w:val="17"/>
                <w:lang w:val="en-GB" w:eastAsia="en-GB"/>
              </w:rPr>
              <w:t xml:space="preserve"> sex </w:t>
            </w:r>
            <w:r w:rsidR="007D16E7" w:rsidRPr="0043669F">
              <w:rPr>
                <w:sz w:val="17"/>
                <w:szCs w:val="17"/>
                <w:lang w:val="en-GB" w:eastAsia="en-GB"/>
              </w:rPr>
              <w:t>of head</w:t>
            </w:r>
            <w:r w:rsidR="00536E7E" w:rsidRPr="0043669F">
              <w:rPr>
                <w:sz w:val="17"/>
                <w:szCs w:val="17"/>
                <w:lang w:val="en-GB" w:eastAsia="en-GB"/>
              </w:rPr>
              <w:t xml:space="preserve"> of household</w:t>
            </w:r>
            <w:r w:rsidR="003146F6" w:rsidRPr="00B8427A">
              <w:rPr>
                <w:sz w:val="17"/>
                <w:szCs w:val="17"/>
                <w:lang w:val="en-GB" w:eastAsia="en-GB"/>
              </w:rPr>
              <w:t>.</w:t>
            </w:r>
          </w:p>
          <w:p w14:paraId="1CE429C4" w14:textId="23F0E2CD" w:rsidR="0024569A" w:rsidRPr="00B8427A" w:rsidRDefault="0024569A" w:rsidP="00BD43AF">
            <w:pPr>
              <w:rPr>
                <w:sz w:val="17"/>
                <w:szCs w:val="17"/>
                <w:lang w:val="en-GB"/>
              </w:rPr>
            </w:pPr>
            <w:r w:rsidRPr="00B8427A">
              <w:rPr>
                <w:sz w:val="17"/>
                <w:szCs w:val="17"/>
                <w:lang w:val="en-GB"/>
              </w:rPr>
              <w:t xml:space="preserve">Baseline (2022): </w:t>
            </w:r>
            <w:r w:rsidR="002D3E34" w:rsidRPr="00B8427A">
              <w:rPr>
                <w:sz w:val="17"/>
                <w:szCs w:val="17"/>
                <w:lang w:val="en-GB"/>
              </w:rPr>
              <w:t xml:space="preserve">0; </w:t>
            </w:r>
            <w:r w:rsidRPr="00B8427A">
              <w:rPr>
                <w:sz w:val="17"/>
                <w:szCs w:val="17"/>
                <w:lang w:val="en-GB"/>
              </w:rPr>
              <w:t>0 Female</w:t>
            </w:r>
            <w:r w:rsidR="00EC5843">
              <w:rPr>
                <w:sz w:val="17"/>
                <w:szCs w:val="17"/>
                <w:lang w:val="en-GB"/>
              </w:rPr>
              <w:t xml:space="preserve"> </w:t>
            </w:r>
            <w:r w:rsidRPr="00B8427A">
              <w:rPr>
                <w:sz w:val="17"/>
                <w:szCs w:val="17"/>
                <w:lang w:val="en-GB"/>
              </w:rPr>
              <w:t>0; Male</w:t>
            </w:r>
            <w:r w:rsidR="00EC5843">
              <w:rPr>
                <w:sz w:val="17"/>
                <w:szCs w:val="17"/>
                <w:lang w:val="en-GB"/>
              </w:rPr>
              <w:t xml:space="preserve"> </w:t>
            </w:r>
            <w:r w:rsidRPr="00B8427A">
              <w:rPr>
                <w:sz w:val="17"/>
                <w:szCs w:val="17"/>
                <w:lang w:val="en-GB"/>
              </w:rPr>
              <w:t>0</w:t>
            </w:r>
          </w:p>
          <w:p w14:paraId="78230397" w14:textId="1D7D7748" w:rsidR="0024569A" w:rsidRPr="00B8427A" w:rsidRDefault="0024569A" w:rsidP="00BD43AF">
            <w:pPr>
              <w:rPr>
                <w:sz w:val="17"/>
                <w:szCs w:val="17"/>
                <w:lang w:val="en-GB"/>
              </w:rPr>
            </w:pPr>
            <w:r w:rsidRPr="00B8427A">
              <w:rPr>
                <w:sz w:val="17"/>
                <w:szCs w:val="17"/>
                <w:lang w:val="en-GB"/>
              </w:rPr>
              <w:t>Target (</w:t>
            </w:r>
            <w:r w:rsidR="00827384" w:rsidRPr="00B8427A">
              <w:rPr>
                <w:sz w:val="17"/>
                <w:szCs w:val="17"/>
                <w:lang w:val="en-GB"/>
              </w:rPr>
              <w:t>2024</w:t>
            </w:r>
            <w:r w:rsidRPr="00B8427A">
              <w:rPr>
                <w:sz w:val="17"/>
                <w:szCs w:val="17"/>
                <w:lang w:val="en-GB"/>
              </w:rPr>
              <w:t>): 34,186 Female</w:t>
            </w:r>
            <w:r w:rsidR="00EC5843">
              <w:rPr>
                <w:sz w:val="17"/>
                <w:szCs w:val="17"/>
                <w:lang w:val="en-GB"/>
              </w:rPr>
              <w:t xml:space="preserve"> </w:t>
            </w:r>
            <w:r w:rsidRPr="00B8427A">
              <w:rPr>
                <w:sz w:val="17"/>
                <w:szCs w:val="17"/>
                <w:lang w:val="en-GB"/>
              </w:rPr>
              <w:t>8,826; Male</w:t>
            </w:r>
            <w:r w:rsidR="00EC5843">
              <w:rPr>
                <w:sz w:val="17"/>
                <w:szCs w:val="17"/>
                <w:lang w:val="en-GB"/>
              </w:rPr>
              <w:t xml:space="preserve"> </w:t>
            </w:r>
            <w:r w:rsidRPr="00B8427A">
              <w:rPr>
                <w:sz w:val="17"/>
                <w:szCs w:val="17"/>
                <w:lang w:val="en-GB"/>
              </w:rPr>
              <w:t>25,360</w:t>
            </w:r>
          </w:p>
          <w:p w14:paraId="70A1188F" w14:textId="14754027" w:rsidR="003527E9" w:rsidRPr="007E770C" w:rsidRDefault="003527E9" w:rsidP="003527E9">
            <w:pPr>
              <w:rPr>
                <w:sz w:val="17"/>
                <w:szCs w:val="17"/>
                <w:lang w:val="en-GB"/>
              </w:rPr>
            </w:pPr>
            <w:r w:rsidRPr="007E770C">
              <w:rPr>
                <w:sz w:val="17"/>
                <w:szCs w:val="17"/>
                <w:lang w:val="en-GB"/>
              </w:rPr>
              <w:t>D</w:t>
            </w:r>
            <w:r>
              <w:rPr>
                <w:sz w:val="17"/>
                <w:szCs w:val="17"/>
                <w:lang w:val="en-GB"/>
              </w:rPr>
              <w:t>ata source: Programme r</w:t>
            </w:r>
            <w:r w:rsidRPr="007E770C">
              <w:rPr>
                <w:sz w:val="17"/>
                <w:szCs w:val="17"/>
                <w:lang w:val="en-GB"/>
              </w:rPr>
              <w:t>eports</w:t>
            </w:r>
            <w:r>
              <w:rPr>
                <w:sz w:val="17"/>
                <w:szCs w:val="17"/>
                <w:lang w:val="en-GB"/>
              </w:rPr>
              <w:t>; frequency: semi-annual</w:t>
            </w:r>
          </w:p>
          <w:p w14:paraId="28B23F2F" w14:textId="77777777" w:rsidR="0024569A" w:rsidRPr="00B8427A" w:rsidRDefault="0024569A" w:rsidP="00BD43AF">
            <w:pPr>
              <w:rPr>
                <w:sz w:val="17"/>
                <w:szCs w:val="17"/>
                <w:lang w:val="en-GB"/>
              </w:rPr>
            </w:pPr>
          </w:p>
          <w:p w14:paraId="592EB22F" w14:textId="7155C85D" w:rsidR="0024569A" w:rsidRPr="00925AA6" w:rsidRDefault="0024569A" w:rsidP="00BD43AF">
            <w:pPr>
              <w:rPr>
                <w:sz w:val="17"/>
                <w:szCs w:val="17"/>
                <w:lang w:val="en-GB"/>
              </w:rPr>
            </w:pPr>
            <w:r w:rsidRPr="00B8427A">
              <w:rPr>
                <w:sz w:val="17"/>
                <w:szCs w:val="17"/>
                <w:lang w:val="en-GB"/>
              </w:rPr>
              <w:t xml:space="preserve">Indicator 1.3.2 </w:t>
            </w:r>
            <w:r w:rsidR="00FE2929" w:rsidRPr="00B8427A">
              <w:rPr>
                <w:sz w:val="17"/>
                <w:szCs w:val="17"/>
                <w:lang w:val="en-GB"/>
              </w:rPr>
              <w:t xml:space="preserve">Number of </w:t>
            </w:r>
            <w:r w:rsidR="000834ED" w:rsidRPr="00B8427A">
              <w:rPr>
                <w:sz w:val="17"/>
                <w:szCs w:val="17"/>
                <w:lang w:val="en-GB"/>
              </w:rPr>
              <w:t>a</w:t>
            </w:r>
            <w:r w:rsidRPr="00B8427A">
              <w:rPr>
                <w:sz w:val="17"/>
                <w:szCs w:val="17"/>
                <w:lang w:val="en-GB"/>
              </w:rPr>
              <w:t>ssess</w:t>
            </w:r>
            <w:r w:rsidR="000834ED" w:rsidRPr="00B8427A">
              <w:rPr>
                <w:sz w:val="17"/>
                <w:szCs w:val="17"/>
                <w:lang w:val="en-GB"/>
              </w:rPr>
              <w:t>ment</w:t>
            </w:r>
            <w:r w:rsidR="00BB0EEC" w:rsidRPr="00925AA6">
              <w:rPr>
                <w:sz w:val="17"/>
                <w:szCs w:val="17"/>
                <w:lang w:val="en-GB"/>
              </w:rPr>
              <w:t xml:space="preserve"> </w:t>
            </w:r>
            <w:r w:rsidR="000834ED" w:rsidRPr="00925AA6">
              <w:rPr>
                <w:sz w:val="17"/>
                <w:szCs w:val="17"/>
                <w:lang w:val="en-GB"/>
              </w:rPr>
              <w:t>s</w:t>
            </w:r>
            <w:r w:rsidR="00BB0EEC" w:rsidRPr="00925AA6">
              <w:rPr>
                <w:sz w:val="17"/>
                <w:szCs w:val="17"/>
                <w:lang w:val="en-GB"/>
              </w:rPr>
              <w:t>tudies</w:t>
            </w:r>
            <w:r w:rsidR="000834ED" w:rsidRPr="00925AA6">
              <w:rPr>
                <w:sz w:val="17"/>
                <w:szCs w:val="17"/>
                <w:lang w:val="en-GB"/>
              </w:rPr>
              <w:t xml:space="preserve"> on</w:t>
            </w:r>
            <w:r w:rsidRPr="00925AA6">
              <w:rPr>
                <w:sz w:val="17"/>
                <w:szCs w:val="17"/>
                <w:lang w:val="en-GB"/>
              </w:rPr>
              <w:t xml:space="preserve"> climate change impact</w:t>
            </w:r>
            <w:r w:rsidR="00EE5FB8" w:rsidRPr="00925AA6">
              <w:rPr>
                <w:sz w:val="17"/>
                <w:szCs w:val="17"/>
                <w:lang w:val="en-GB"/>
              </w:rPr>
              <w:t>s</w:t>
            </w:r>
            <w:r w:rsidRPr="00925AA6">
              <w:rPr>
                <w:sz w:val="17"/>
                <w:szCs w:val="17"/>
                <w:lang w:val="en-GB"/>
              </w:rPr>
              <w:t xml:space="preserve"> on Yemen natural resources and livelihood</w:t>
            </w:r>
            <w:r w:rsidR="00B65C1E">
              <w:rPr>
                <w:sz w:val="17"/>
                <w:szCs w:val="17"/>
                <w:lang w:val="en-GB"/>
              </w:rPr>
              <w:t>s</w:t>
            </w:r>
            <w:r w:rsidRPr="00925AA6">
              <w:rPr>
                <w:sz w:val="17"/>
                <w:szCs w:val="17"/>
                <w:lang w:val="en-GB"/>
              </w:rPr>
              <w:t xml:space="preserve"> base</w:t>
            </w:r>
            <w:r w:rsidR="003146F6" w:rsidRPr="00925AA6">
              <w:rPr>
                <w:sz w:val="17"/>
                <w:szCs w:val="17"/>
                <w:lang w:val="en-GB"/>
              </w:rPr>
              <w:t>.</w:t>
            </w:r>
          </w:p>
          <w:p w14:paraId="6F76932E" w14:textId="77777777" w:rsidR="0024569A" w:rsidRPr="00925AA6" w:rsidRDefault="0024569A" w:rsidP="00BD43AF">
            <w:pPr>
              <w:rPr>
                <w:sz w:val="17"/>
                <w:szCs w:val="17"/>
                <w:lang w:val="en-GB"/>
              </w:rPr>
            </w:pPr>
            <w:r w:rsidRPr="00925AA6">
              <w:rPr>
                <w:sz w:val="17"/>
                <w:szCs w:val="17"/>
                <w:lang w:val="en-GB"/>
              </w:rPr>
              <w:t>Baseline (2022): 0</w:t>
            </w:r>
          </w:p>
          <w:p w14:paraId="32F9514F" w14:textId="26D3E28E" w:rsidR="0024569A" w:rsidRPr="00925AA6" w:rsidRDefault="0024569A" w:rsidP="00BD43AF">
            <w:pPr>
              <w:rPr>
                <w:sz w:val="17"/>
                <w:szCs w:val="17"/>
                <w:lang w:val="en-GB"/>
              </w:rPr>
            </w:pPr>
            <w:r w:rsidRPr="00925AA6">
              <w:rPr>
                <w:sz w:val="17"/>
                <w:szCs w:val="17"/>
                <w:lang w:val="en-GB"/>
              </w:rPr>
              <w:t>Target (202</w:t>
            </w:r>
            <w:r w:rsidR="00827384" w:rsidRPr="00925AA6">
              <w:rPr>
                <w:sz w:val="17"/>
                <w:szCs w:val="17"/>
                <w:lang w:val="en-GB"/>
              </w:rPr>
              <w:t>4</w:t>
            </w:r>
            <w:r w:rsidRPr="00925AA6">
              <w:rPr>
                <w:sz w:val="17"/>
                <w:szCs w:val="17"/>
                <w:lang w:val="en-GB"/>
              </w:rPr>
              <w:t xml:space="preserve">): 1 </w:t>
            </w:r>
          </w:p>
          <w:p w14:paraId="2565747A" w14:textId="77777777" w:rsidR="00F755B0" w:rsidRPr="00925AA6" w:rsidRDefault="00F755B0" w:rsidP="00F755B0">
            <w:pPr>
              <w:rPr>
                <w:sz w:val="17"/>
                <w:szCs w:val="17"/>
                <w:lang w:val="en-GB"/>
              </w:rPr>
            </w:pPr>
            <w:r w:rsidRPr="00925AA6">
              <w:rPr>
                <w:sz w:val="17"/>
                <w:szCs w:val="17"/>
                <w:lang w:val="en-GB"/>
              </w:rPr>
              <w:t>Data source: Assessment study delivered</w:t>
            </w:r>
          </w:p>
          <w:p w14:paraId="015763E7" w14:textId="77777777" w:rsidR="003527E9" w:rsidRPr="00925AA6" w:rsidRDefault="003527E9" w:rsidP="00BD43AF">
            <w:pPr>
              <w:rPr>
                <w:sz w:val="17"/>
                <w:szCs w:val="17"/>
                <w:lang w:val="en-GB"/>
              </w:rPr>
            </w:pPr>
          </w:p>
          <w:p w14:paraId="4E2F5182" w14:textId="02F4955E" w:rsidR="0024569A" w:rsidRPr="00925AA6" w:rsidRDefault="0024569A" w:rsidP="00BD43AF">
            <w:pPr>
              <w:rPr>
                <w:sz w:val="17"/>
                <w:szCs w:val="17"/>
                <w:lang w:val="en-GB"/>
              </w:rPr>
            </w:pPr>
            <w:r w:rsidRPr="00925AA6">
              <w:rPr>
                <w:b/>
                <w:bCs/>
                <w:sz w:val="17"/>
                <w:szCs w:val="17"/>
                <w:lang w:val="en-GB"/>
              </w:rPr>
              <w:t>Output 1.4</w:t>
            </w:r>
            <w:r w:rsidR="009A1BE1" w:rsidRPr="00CA5B30">
              <w:rPr>
                <w:b/>
                <w:sz w:val="17"/>
                <w:szCs w:val="17"/>
                <w:lang w:val="en-GB"/>
              </w:rPr>
              <w:t>.</w:t>
            </w:r>
            <w:r w:rsidRPr="00925AA6">
              <w:rPr>
                <w:sz w:val="17"/>
                <w:szCs w:val="17"/>
                <w:lang w:val="en-GB"/>
              </w:rPr>
              <w:t xml:space="preserve"> Yemeni women’s access to finance, cash transfers and business development in the fishery value chain improved</w:t>
            </w:r>
            <w:r w:rsidR="00A3411A" w:rsidRPr="00925AA6">
              <w:rPr>
                <w:sz w:val="17"/>
                <w:szCs w:val="17"/>
                <w:lang w:val="en-GB"/>
              </w:rPr>
              <w:t>.</w:t>
            </w:r>
          </w:p>
          <w:p w14:paraId="0856BD46" w14:textId="77777777" w:rsidR="0024569A" w:rsidRPr="00925AA6" w:rsidRDefault="0024569A" w:rsidP="00BD43AF">
            <w:pPr>
              <w:rPr>
                <w:sz w:val="17"/>
                <w:szCs w:val="17"/>
                <w:lang w:val="en-GB"/>
              </w:rPr>
            </w:pPr>
          </w:p>
          <w:p w14:paraId="02A7E021" w14:textId="7C12FB1B" w:rsidR="0024569A" w:rsidRPr="00925AA6" w:rsidRDefault="0024569A" w:rsidP="00BD43AF">
            <w:pPr>
              <w:rPr>
                <w:sz w:val="17"/>
                <w:szCs w:val="17"/>
                <w:lang w:val="en-GB"/>
              </w:rPr>
            </w:pPr>
            <w:r w:rsidRPr="00925AA6">
              <w:rPr>
                <w:sz w:val="17"/>
                <w:szCs w:val="17"/>
                <w:lang w:val="en-GB"/>
              </w:rPr>
              <w:t>Indicator 1.4.1 Number of women-owned businesses accessing financial and business development support.</w:t>
            </w:r>
          </w:p>
          <w:p w14:paraId="7D4E0037" w14:textId="77777777" w:rsidR="0024569A" w:rsidRPr="007E770C" w:rsidRDefault="0024569A" w:rsidP="00BD43AF">
            <w:pPr>
              <w:rPr>
                <w:sz w:val="17"/>
                <w:szCs w:val="17"/>
                <w:lang w:val="en-GB"/>
              </w:rPr>
            </w:pPr>
            <w:r w:rsidRPr="007E770C">
              <w:rPr>
                <w:sz w:val="17"/>
                <w:szCs w:val="17"/>
                <w:lang w:val="en-GB"/>
              </w:rPr>
              <w:t>Baseline (2021): Female 0</w:t>
            </w:r>
          </w:p>
          <w:p w14:paraId="346B40F5" w14:textId="77777777" w:rsidR="0024569A" w:rsidRPr="007E770C" w:rsidRDefault="0024569A" w:rsidP="00BD43AF">
            <w:pPr>
              <w:rPr>
                <w:sz w:val="17"/>
                <w:szCs w:val="17"/>
                <w:lang w:val="en-GB"/>
              </w:rPr>
            </w:pPr>
            <w:r w:rsidRPr="007E770C">
              <w:rPr>
                <w:sz w:val="17"/>
                <w:szCs w:val="17"/>
                <w:lang w:val="en-GB"/>
              </w:rPr>
              <w:t>Target (2024): Female 420</w:t>
            </w:r>
          </w:p>
          <w:p w14:paraId="6EA4B8E5" w14:textId="6DF2AA7C" w:rsidR="0024569A" w:rsidRDefault="00F755B0" w:rsidP="00BD43AF">
            <w:pPr>
              <w:rPr>
                <w:sz w:val="17"/>
                <w:szCs w:val="17"/>
                <w:lang w:val="en-GB"/>
              </w:rPr>
            </w:pPr>
            <w:r>
              <w:rPr>
                <w:sz w:val="17"/>
                <w:szCs w:val="17"/>
                <w:lang w:val="en-GB"/>
              </w:rPr>
              <w:t>Data source: programme reports</w:t>
            </w:r>
          </w:p>
          <w:p w14:paraId="4D0E84E0" w14:textId="77777777" w:rsidR="00F755B0" w:rsidRPr="007E770C" w:rsidRDefault="00F755B0" w:rsidP="00BD43AF">
            <w:pPr>
              <w:rPr>
                <w:sz w:val="17"/>
                <w:szCs w:val="17"/>
                <w:lang w:val="en-GB"/>
              </w:rPr>
            </w:pPr>
          </w:p>
          <w:p w14:paraId="40562858" w14:textId="7F383158" w:rsidR="0024569A" w:rsidRPr="007E770C" w:rsidRDefault="0024569A" w:rsidP="00BD43AF">
            <w:pPr>
              <w:rPr>
                <w:sz w:val="17"/>
                <w:szCs w:val="17"/>
                <w:lang w:val="en-GB"/>
              </w:rPr>
            </w:pPr>
            <w:r w:rsidRPr="007E770C">
              <w:rPr>
                <w:sz w:val="17"/>
                <w:szCs w:val="17"/>
                <w:lang w:val="en-GB"/>
              </w:rPr>
              <w:t>Indicator 1.4.2 Number of women supported with cash for nutrition or other social services</w:t>
            </w:r>
          </w:p>
          <w:p w14:paraId="44569B40" w14:textId="77777777" w:rsidR="0024569A" w:rsidRPr="007E770C" w:rsidRDefault="0024569A" w:rsidP="00BD43AF">
            <w:pPr>
              <w:rPr>
                <w:sz w:val="17"/>
                <w:szCs w:val="17"/>
                <w:lang w:val="en-GB"/>
              </w:rPr>
            </w:pPr>
            <w:r w:rsidRPr="007E770C">
              <w:rPr>
                <w:sz w:val="17"/>
                <w:szCs w:val="17"/>
                <w:lang w:val="en-GB"/>
              </w:rPr>
              <w:t xml:space="preserve">Baseline (2022): 275,197 </w:t>
            </w:r>
          </w:p>
          <w:p w14:paraId="3CDFD912" w14:textId="77777777" w:rsidR="009A1BE1" w:rsidRDefault="0024569A">
            <w:pPr>
              <w:rPr>
                <w:sz w:val="17"/>
                <w:szCs w:val="17"/>
                <w:lang w:val="en-GB"/>
              </w:rPr>
            </w:pPr>
            <w:r w:rsidRPr="007E770C">
              <w:rPr>
                <w:sz w:val="17"/>
                <w:szCs w:val="17"/>
                <w:lang w:val="en-GB"/>
              </w:rPr>
              <w:t>Target (</w:t>
            </w:r>
            <w:r w:rsidR="00827384" w:rsidRPr="007E770C">
              <w:rPr>
                <w:sz w:val="17"/>
                <w:szCs w:val="17"/>
                <w:lang w:val="en-GB"/>
              </w:rPr>
              <w:t>2024</w:t>
            </w:r>
            <w:r w:rsidRPr="007E770C">
              <w:rPr>
                <w:sz w:val="17"/>
                <w:szCs w:val="17"/>
                <w:lang w:val="en-GB"/>
              </w:rPr>
              <w:t>): 345,397</w:t>
            </w:r>
          </w:p>
          <w:p w14:paraId="4EF44631" w14:textId="164A0C0D" w:rsidR="00F755B0" w:rsidRPr="00EC5843" w:rsidRDefault="00F755B0">
            <w:pPr>
              <w:rPr>
                <w:sz w:val="17"/>
                <w:szCs w:val="17"/>
                <w:lang w:val="en-GB"/>
              </w:rPr>
            </w:pPr>
            <w:r>
              <w:rPr>
                <w:sz w:val="17"/>
                <w:szCs w:val="17"/>
                <w:lang w:val="en-GB"/>
              </w:rPr>
              <w:t>Data source: programme reports</w:t>
            </w:r>
          </w:p>
        </w:tc>
        <w:tc>
          <w:tcPr>
            <w:tcW w:w="894" w:type="pct"/>
            <w:vMerge w:val="restart"/>
          </w:tcPr>
          <w:p w14:paraId="0C35A231" w14:textId="5014FC13" w:rsidR="0024569A" w:rsidRPr="00CA5B30" w:rsidRDefault="003D365D" w:rsidP="00BD43AF">
            <w:pPr>
              <w:rPr>
                <w:sz w:val="17"/>
                <w:szCs w:val="17"/>
                <w:lang w:val="en-GB"/>
              </w:rPr>
            </w:pPr>
            <w:r w:rsidRPr="00CA5B30">
              <w:rPr>
                <w:sz w:val="17"/>
                <w:szCs w:val="17"/>
                <w:lang w:val="en-GB"/>
              </w:rPr>
              <w:lastRenderedPageBreak/>
              <w:t>-</w:t>
            </w:r>
            <w:r w:rsidR="0024569A" w:rsidRPr="00CA5B30">
              <w:rPr>
                <w:sz w:val="17"/>
                <w:szCs w:val="17"/>
                <w:lang w:val="en-GB"/>
              </w:rPr>
              <w:t>World Bank</w:t>
            </w:r>
          </w:p>
          <w:p w14:paraId="009BFADC" w14:textId="0B1F96B3" w:rsidR="0024569A" w:rsidRPr="00CA5B30" w:rsidRDefault="003D365D" w:rsidP="00BD43AF">
            <w:pPr>
              <w:rPr>
                <w:sz w:val="17"/>
                <w:szCs w:val="17"/>
                <w:lang w:val="en-GB"/>
              </w:rPr>
            </w:pPr>
            <w:r w:rsidRPr="00CA5B30">
              <w:rPr>
                <w:sz w:val="17"/>
                <w:szCs w:val="17"/>
                <w:lang w:val="en-GB"/>
              </w:rPr>
              <w:t>-</w:t>
            </w:r>
            <w:r w:rsidR="0024569A" w:rsidRPr="00CA5B30">
              <w:rPr>
                <w:sz w:val="17"/>
                <w:szCs w:val="17"/>
                <w:lang w:val="en-GB"/>
              </w:rPr>
              <w:t>E</w:t>
            </w:r>
            <w:r w:rsidR="00EC5843">
              <w:rPr>
                <w:sz w:val="17"/>
                <w:szCs w:val="17"/>
                <w:lang w:val="en-GB"/>
              </w:rPr>
              <w:t>uropean Union</w:t>
            </w:r>
          </w:p>
          <w:p w14:paraId="7AF38137" w14:textId="6D6BA626" w:rsidR="0024569A" w:rsidRPr="00CA5B30" w:rsidRDefault="003D365D" w:rsidP="00BD43AF">
            <w:pPr>
              <w:rPr>
                <w:sz w:val="17"/>
                <w:szCs w:val="17"/>
                <w:lang w:val="en-GB"/>
              </w:rPr>
            </w:pPr>
            <w:r w:rsidRPr="00CA5B30">
              <w:rPr>
                <w:sz w:val="17"/>
                <w:szCs w:val="17"/>
                <w:lang w:val="en-GB"/>
              </w:rPr>
              <w:t>-</w:t>
            </w:r>
            <w:r w:rsidR="0024569A" w:rsidRPr="00CA5B30">
              <w:rPr>
                <w:sz w:val="17"/>
                <w:szCs w:val="17"/>
                <w:lang w:val="en-GB"/>
              </w:rPr>
              <w:t>S</w:t>
            </w:r>
            <w:r w:rsidR="00CD7E06" w:rsidRPr="00CA5B30">
              <w:rPr>
                <w:sz w:val="17"/>
                <w:szCs w:val="17"/>
                <w:lang w:val="en-GB"/>
              </w:rPr>
              <w:t>weden</w:t>
            </w:r>
          </w:p>
          <w:p w14:paraId="6AB11D21" w14:textId="04C878FA" w:rsidR="0024569A" w:rsidRPr="00CA5B30" w:rsidRDefault="003D365D" w:rsidP="00BD43AF">
            <w:pPr>
              <w:rPr>
                <w:sz w:val="17"/>
                <w:szCs w:val="17"/>
                <w:lang w:val="en-GB"/>
              </w:rPr>
            </w:pPr>
            <w:r w:rsidRPr="00CA5B30">
              <w:rPr>
                <w:sz w:val="17"/>
                <w:szCs w:val="17"/>
                <w:lang w:val="en-GB"/>
              </w:rPr>
              <w:t>-</w:t>
            </w:r>
            <w:r w:rsidR="0024569A" w:rsidRPr="00CA5B30">
              <w:rPr>
                <w:sz w:val="17"/>
                <w:szCs w:val="17"/>
                <w:lang w:val="en-GB"/>
              </w:rPr>
              <w:t>Japan</w:t>
            </w:r>
          </w:p>
          <w:p w14:paraId="27B77400" w14:textId="2F100A78" w:rsidR="0024569A" w:rsidRPr="00CA5B30" w:rsidRDefault="003D365D" w:rsidP="00BD43AF">
            <w:pPr>
              <w:rPr>
                <w:sz w:val="17"/>
                <w:szCs w:val="17"/>
                <w:lang w:val="en-GB"/>
              </w:rPr>
            </w:pPr>
            <w:r w:rsidRPr="00CA5B30">
              <w:rPr>
                <w:sz w:val="17"/>
                <w:szCs w:val="17"/>
                <w:lang w:val="en-GB"/>
              </w:rPr>
              <w:t>-</w:t>
            </w:r>
            <w:r w:rsidR="00965C2D" w:rsidRPr="00CA5B30">
              <w:rPr>
                <w:sz w:val="17"/>
                <w:szCs w:val="17"/>
                <w:lang w:val="en-GB"/>
              </w:rPr>
              <w:t>King Salman Humanitarian Aid and Relief Centre</w:t>
            </w:r>
          </w:p>
          <w:p w14:paraId="43E9E4E3" w14:textId="3A071E36" w:rsidR="0024569A" w:rsidRPr="00444069" w:rsidRDefault="003D365D" w:rsidP="00BD43AF">
            <w:pPr>
              <w:rPr>
                <w:sz w:val="17"/>
                <w:szCs w:val="17"/>
                <w:lang w:val="en-GB"/>
              </w:rPr>
            </w:pPr>
            <w:r w:rsidRPr="00444069">
              <w:rPr>
                <w:sz w:val="17"/>
                <w:szCs w:val="17"/>
                <w:lang w:val="en-GB"/>
              </w:rPr>
              <w:t>-</w:t>
            </w:r>
            <w:r w:rsidR="0024569A" w:rsidRPr="00444069">
              <w:rPr>
                <w:sz w:val="17"/>
                <w:szCs w:val="17"/>
                <w:lang w:val="en-GB"/>
              </w:rPr>
              <w:t>FAO</w:t>
            </w:r>
          </w:p>
          <w:p w14:paraId="7EFEBDD7" w14:textId="3E1ED01D" w:rsidR="0024569A" w:rsidRPr="00444069" w:rsidRDefault="003D365D" w:rsidP="00BD43AF">
            <w:pPr>
              <w:rPr>
                <w:sz w:val="17"/>
                <w:szCs w:val="17"/>
                <w:lang w:val="en-GB"/>
              </w:rPr>
            </w:pPr>
            <w:r w:rsidRPr="00444069">
              <w:rPr>
                <w:sz w:val="17"/>
                <w:szCs w:val="17"/>
                <w:lang w:val="en-GB"/>
              </w:rPr>
              <w:t>-</w:t>
            </w:r>
            <w:r w:rsidR="0024569A" w:rsidRPr="00444069">
              <w:rPr>
                <w:sz w:val="17"/>
                <w:szCs w:val="17"/>
                <w:lang w:val="en-GB"/>
              </w:rPr>
              <w:t>WFP</w:t>
            </w:r>
          </w:p>
          <w:p w14:paraId="0DC5D818" w14:textId="156E6680" w:rsidR="0024569A" w:rsidRPr="00444069" w:rsidRDefault="003D365D" w:rsidP="00BD43AF">
            <w:pPr>
              <w:rPr>
                <w:sz w:val="17"/>
                <w:szCs w:val="17"/>
                <w:lang w:val="en-GB"/>
              </w:rPr>
            </w:pPr>
            <w:r w:rsidRPr="00444069">
              <w:rPr>
                <w:sz w:val="17"/>
                <w:szCs w:val="17"/>
                <w:lang w:val="en-GB"/>
              </w:rPr>
              <w:t>-</w:t>
            </w:r>
            <w:r w:rsidR="00B65C1E">
              <w:rPr>
                <w:sz w:val="17"/>
                <w:szCs w:val="17"/>
                <w:lang w:val="en-GB"/>
              </w:rPr>
              <w:t xml:space="preserve">International Labour Organization </w:t>
            </w:r>
          </w:p>
          <w:p w14:paraId="79FFD546" w14:textId="33738F74" w:rsidR="0024569A" w:rsidRPr="00444069" w:rsidRDefault="003D365D" w:rsidP="00BD43AF">
            <w:pPr>
              <w:rPr>
                <w:sz w:val="17"/>
                <w:szCs w:val="17"/>
                <w:lang w:val="en-GB"/>
              </w:rPr>
            </w:pPr>
            <w:r w:rsidRPr="00444069">
              <w:rPr>
                <w:sz w:val="17"/>
                <w:szCs w:val="17"/>
                <w:lang w:val="en-GB"/>
              </w:rPr>
              <w:t>-</w:t>
            </w:r>
            <w:r w:rsidR="0024569A" w:rsidRPr="00444069">
              <w:rPr>
                <w:sz w:val="17"/>
                <w:szCs w:val="17"/>
                <w:lang w:val="en-GB"/>
              </w:rPr>
              <w:t>UNICEF</w:t>
            </w:r>
          </w:p>
          <w:p w14:paraId="66A5E659" w14:textId="49C27AF1" w:rsidR="0024569A" w:rsidRPr="00444069" w:rsidRDefault="003D365D" w:rsidP="00BD43AF">
            <w:pPr>
              <w:rPr>
                <w:sz w:val="17"/>
                <w:szCs w:val="17"/>
                <w:lang w:val="en-GB"/>
              </w:rPr>
            </w:pPr>
            <w:r w:rsidRPr="00444069">
              <w:rPr>
                <w:sz w:val="17"/>
                <w:szCs w:val="17"/>
                <w:lang w:val="en-GB"/>
              </w:rPr>
              <w:t xml:space="preserve">-Ministry of Planning and International Cooperation </w:t>
            </w:r>
          </w:p>
          <w:p w14:paraId="0582D15B" w14:textId="5D003F2D" w:rsidR="0024569A" w:rsidRPr="004806F2" w:rsidRDefault="003D365D" w:rsidP="00BD43AF">
            <w:pPr>
              <w:rPr>
                <w:sz w:val="17"/>
                <w:szCs w:val="17"/>
                <w:lang w:val="en-GB"/>
              </w:rPr>
            </w:pPr>
            <w:r w:rsidRPr="00444069">
              <w:rPr>
                <w:sz w:val="17"/>
                <w:szCs w:val="17"/>
                <w:lang w:val="en-GB"/>
              </w:rPr>
              <w:t>-Social Fund for Development</w:t>
            </w:r>
          </w:p>
          <w:p w14:paraId="06A64E8D" w14:textId="7FF30A81" w:rsidR="0024569A" w:rsidRPr="004806F2" w:rsidRDefault="003D365D" w:rsidP="00BD43AF">
            <w:pPr>
              <w:rPr>
                <w:sz w:val="17"/>
                <w:szCs w:val="17"/>
                <w:lang w:val="en-GB"/>
              </w:rPr>
            </w:pPr>
            <w:r w:rsidRPr="004806F2">
              <w:rPr>
                <w:sz w:val="17"/>
                <w:szCs w:val="17"/>
                <w:lang w:val="en-GB"/>
              </w:rPr>
              <w:t>-Public Work</w:t>
            </w:r>
            <w:r w:rsidR="00B65C1E">
              <w:rPr>
                <w:sz w:val="17"/>
                <w:szCs w:val="17"/>
                <w:lang w:val="en-GB"/>
              </w:rPr>
              <w:t>s</w:t>
            </w:r>
            <w:r w:rsidRPr="004806F2">
              <w:rPr>
                <w:sz w:val="17"/>
                <w:szCs w:val="17"/>
                <w:lang w:val="en-GB"/>
              </w:rPr>
              <w:t xml:space="preserve"> Project </w:t>
            </w:r>
          </w:p>
          <w:p w14:paraId="35203D6E" w14:textId="2A6EC14C" w:rsidR="0024569A" w:rsidRPr="004806F2" w:rsidRDefault="003D365D">
            <w:pPr>
              <w:rPr>
                <w:sz w:val="17"/>
                <w:szCs w:val="17"/>
                <w:lang w:val="en-GB"/>
              </w:rPr>
            </w:pPr>
            <w:r w:rsidRPr="004806F2">
              <w:rPr>
                <w:sz w:val="17"/>
                <w:szCs w:val="17"/>
                <w:lang w:val="en-GB"/>
              </w:rPr>
              <w:t>-</w:t>
            </w:r>
            <w:r w:rsidR="00CF708F" w:rsidRPr="004806F2">
              <w:rPr>
                <w:sz w:val="17"/>
                <w:szCs w:val="17"/>
                <w:lang w:val="en-GB"/>
              </w:rPr>
              <w:t xml:space="preserve">Small and Micro Enterprise Promotion Service </w:t>
            </w:r>
          </w:p>
        </w:tc>
        <w:tc>
          <w:tcPr>
            <w:tcW w:w="497" w:type="pct"/>
            <w:tcMar>
              <w:top w:w="15" w:type="dxa"/>
              <w:left w:w="108" w:type="dxa"/>
              <w:bottom w:w="0" w:type="dxa"/>
              <w:right w:w="108" w:type="dxa"/>
            </w:tcMar>
          </w:tcPr>
          <w:p w14:paraId="23821450" w14:textId="77777777" w:rsidR="00EC3478" w:rsidRPr="004806F2" w:rsidRDefault="0024569A" w:rsidP="00BD43AF">
            <w:pPr>
              <w:rPr>
                <w:b/>
                <w:sz w:val="17"/>
                <w:szCs w:val="17"/>
                <w:lang w:val="en-GB"/>
              </w:rPr>
            </w:pPr>
            <w:r w:rsidRPr="004806F2">
              <w:rPr>
                <w:b/>
                <w:sz w:val="17"/>
                <w:szCs w:val="17"/>
                <w:lang w:val="en-GB"/>
              </w:rPr>
              <w:t xml:space="preserve">Regular </w:t>
            </w:r>
          </w:p>
          <w:p w14:paraId="30E1865E" w14:textId="1FC606F4" w:rsidR="0024569A" w:rsidRPr="00DB3165" w:rsidRDefault="0024569A" w:rsidP="00BD43AF">
            <w:pPr>
              <w:rPr>
                <w:b/>
                <w:sz w:val="17"/>
                <w:szCs w:val="17"/>
                <w:lang w:val="en-GB"/>
              </w:rPr>
            </w:pPr>
            <w:r w:rsidRPr="004806F2">
              <w:rPr>
                <w:b/>
                <w:sz w:val="17"/>
                <w:szCs w:val="17"/>
                <w:lang w:val="en-GB"/>
              </w:rPr>
              <w:t xml:space="preserve">$2.9 </w:t>
            </w:r>
            <w:r w:rsidR="00EC3478" w:rsidRPr="004806F2">
              <w:rPr>
                <w:b/>
                <w:sz w:val="17"/>
                <w:szCs w:val="17"/>
                <w:lang w:val="en-GB"/>
              </w:rPr>
              <w:t>m</w:t>
            </w:r>
            <w:r w:rsidRPr="00DB3165">
              <w:rPr>
                <w:b/>
                <w:sz w:val="17"/>
                <w:szCs w:val="17"/>
                <w:lang w:val="en-GB"/>
              </w:rPr>
              <w:t>illion</w:t>
            </w:r>
          </w:p>
        </w:tc>
      </w:tr>
      <w:tr w:rsidR="00C6248C" w:rsidRPr="00444069" w14:paraId="46CC82A9" w14:textId="77777777" w:rsidTr="00BC34CA">
        <w:trPr>
          <w:trHeight w:val="461"/>
        </w:trPr>
        <w:tc>
          <w:tcPr>
            <w:tcW w:w="920" w:type="pct"/>
            <w:vMerge/>
            <w:tcMar>
              <w:top w:w="72" w:type="dxa"/>
              <w:left w:w="144" w:type="dxa"/>
              <w:bottom w:w="72" w:type="dxa"/>
              <w:right w:w="144" w:type="dxa"/>
            </w:tcMar>
          </w:tcPr>
          <w:p w14:paraId="4F393BCA" w14:textId="410C6668" w:rsidR="0024569A" w:rsidRPr="00444069" w:rsidRDefault="0024569A" w:rsidP="00BD43AF">
            <w:pPr>
              <w:rPr>
                <w:sz w:val="17"/>
                <w:szCs w:val="17"/>
                <w:lang w:val="en-GB"/>
              </w:rPr>
            </w:pPr>
          </w:p>
        </w:tc>
        <w:tc>
          <w:tcPr>
            <w:tcW w:w="541" w:type="pct"/>
            <w:vMerge/>
          </w:tcPr>
          <w:p w14:paraId="61B78215" w14:textId="77777777" w:rsidR="0024569A" w:rsidRPr="00444069" w:rsidRDefault="0024569A" w:rsidP="00BD43AF">
            <w:pPr>
              <w:rPr>
                <w:sz w:val="17"/>
                <w:szCs w:val="17"/>
                <w:lang w:val="en-GB"/>
              </w:rPr>
            </w:pPr>
          </w:p>
        </w:tc>
        <w:tc>
          <w:tcPr>
            <w:tcW w:w="2148" w:type="pct"/>
            <w:vMerge/>
            <w:tcMar>
              <w:top w:w="72" w:type="dxa"/>
              <w:left w:w="144" w:type="dxa"/>
              <w:bottom w:w="72" w:type="dxa"/>
              <w:right w:w="144" w:type="dxa"/>
            </w:tcMar>
          </w:tcPr>
          <w:p w14:paraId="58064754" w14:textId="77777777" w:rsidR="0024569A" w:rsidRPr="00444069" w:rsidRDefault="0024569A" w:rsidP="00BD43AF">
            <w:pPr>
              <w:rPr>
                <w:sz w:val="17"/>
                <w:szCs w:val="17"/>
                <w:lang w:val="en-GB"/>
              </w:rPr>
            </w:pPr>
          </w:p>
        </w:tc>
        <w:tc>
          <w:tcPr>
            <w:tcW w:w="894" w:type="pct"/>
            <w:vMerge/>
          </w:tcPr>
          <w:p w14:paraId="03EB4A58" w14:textId="77777777" w:rsidR="0024569A" w:rsidRPr="00444069" w:rsidRDefault="0024569A" w:rsidP="00BD43AF">
            <w:pPr>
              <w:rPr>
                <w:sz w:val="17"/>
                <w:szCs w:val="17"/>
                <w:lang w:val="en-GB"/>
              </w:rPr>
            </w:pPr>
          </w:p>
        </w:tc>
        <w:tc>
          <w:tcPr>
            <w:tcW w:w="497" w:type="pct"/>
            <w:tcMar>
              <w:top w:w="15" w:type="dxa"/>
              <w:left w:w="108" w:type="dxa"/>
              <w:bottom w:w="0" w:type="dxa"/>
              <w:right w:w="108" w:type="dxa"/>
            </w:tcMar>
          </w:tcPr>
          <w:p w14:paraId="1E612D4A" w14:textId="77777777" w:rsidR="009A1BE1" w:rsidRDefault="0024569A" w:rsidP="00BD43AF">
            <w:pPr>
              <w:rPr>
                <w:b/>
                <w:sz w:val="17"/>
                <w:szCs w:val="17"/>
                <w:lang w:val="en-GB"/>
              </w:rPr>
            </w:pPr>
            <w:r w:rsidRPr="00444069">
              <w:rPr>
                <w:b/>
                <w:sz w:val="17"/>
                <w:szCs w:val="17"/>
                <w:lang w:val="en-GB"/>
              </w:rPr>
              <w:t xml:space="preserve">Other </w:t>
            </w:r>
          </w:p>
          <w:p w14:paraId="4B401075" w14:textId="0B057A83" w:rsidR="0024569A" w:rsidRPr="00444069" w:rsidRDefault="0024569A" w:rsidP="00BD43AF">
            <w:pPr>
              <w:rPr>
                <w:b/>
                <w:sz w:val="17"/>
                <w:szCs w:val="17"/>
                <w:lang w:val="en-GB"/>
              </w:rPr>
            </w:pPr>
            <w:r w:rsidRPr="00444069">
              <w:rPr>
                <w:b/>
                <w:sz w:val="17"/>
                <w:szCs w:val="17"/>
                <w:lang w:val="en-GB"/>
              </w:rPr>
              <w:t xml:space="preserve">$148.2 </w:t>
            </w:r>
            <w:r w:rsidR="00EC3478" w:rsidRPr="00444069">
              <w:rPr>
                <w:b/>
                <w:sz w:val="17"/>
                <w:szCs w:val="17"/>
                <w:lang w:val="en-GB"/>
              </w:rPr>
              <w:t>m</w:t>
            </w:r>
            <w:r w:rsidRPr="00444069">
              <w:rPr>
                <w:b/>
                <w:sz w:val="17"/>
                <w:szCs w:val="17"/>
                <w:lang w:val="en-GB"/>
              </w:rPr>
              <w:t>illion</w:t>
            </w:r>
          </w:p>
          <w:p w14:paraId="73C42501" w14:textId="77777777" w:rsidR="0024569A" w:rsidRPr="00444069" w:rsidRDefault="0024569A" w:rsidP="00BD43AF">
            <w:pPr>
              <w:rPr>
                <w:b/>
                <w:sz w:val="17"/>
                <w:szCs w:val="17"/>
                <w:lang w:val="en-GB"/>
              </w:rPr>
            </w:pPr>
            <w:r w:rsidRPr="00444069">
              <w:rPr>
                <w:sz w:val="17"/>
                <w:szCs w:val="17"/>
                <w:lang w:val="en-GB"/>
              </w:rPr>
              <w:t xml:space="preserve"> </w:t>
            </w:r>
          </w:p>
        </w:tc>
      </w:tr>
      <w:tr w:rsidR="00C6248C" w:rsidRPr="00444069" w14:paraId="33CF333A" w14:textId="77777777" w:rsidTr="00BC34CA">
        <w:trPr>
          <w:trHeight w:val="25"/>
        </w:trPr>
        <w:tc>
          <w:tcPr>
            <w:tcW w:w="5000" w:type="pct"/>
            <w:gridSpan w:val="5"/>
            <w:shd w:val="clear" w:color="auto" w:fill="DBE5F1" w:themeFill="accent1" w:themeFillTint="33"/>
            <w:tcMar>
              <w:top w:w="72" w:type="dxa"/>
              <w:left w:w="144" w:type="dxa"/>
              <w:bottom w:w="72" w:type="dxa"/>
              <w:right w:w="144" w:type="dxa"/>
            </w:tcMar>
          </w:tcPr>
          <w:p w14:paraId="2EBD6B6E" w14:textId="77777777" w:rsidR="0024569A" w:rsidRPr="00444069" w:rsidRDefault="0024569A" w:rsidP="00BD43AF">
            <w:pPr>
              <w:rPr>
                <w:sz w:val="17"/>
                <w:szCs w:val="17"/>
                <w:lang w:val="en-GB"/>
              </w:rPr>
            </w:pPr>
            <w:r w:rsidRPr="00444069">
              <w:rPr>
                <w:b/>
                <w:bCs/>
                <w:sz w:val="17"/>
                <w:szCs w:val="17"/>
                <w:lang w:val="en-GB"/>
              </w:rPr>
              <w:t>NATIONAL PRIORITY OR GOAL: N/A</w:t>
            </w:r>
          </w:p>
        </w:tc>
      </w:tr>
      <w:tr w:rsidR="000134AF" w:rsidRPr="00444069" w14:paraId="57ACAB20" w14:textId="77777777" w:rsidTr="00BC34CA">
        <w:trPr>
          <w:trHeight w:val="124"/>
        </w:trPr>
        <w:tc>
          <w:tcPr>
            <w:tcW w:w="5000" w:type="pct"/>
            <w:gridSpan w:val="5"/>
            <w:shd w:val="clear" w:color="auto" w:fill="DBE5F1" w:themeFill="accent1" w:themeFillTint="33"/>
            <w:tcMar>
              <w:top w:w="72" w:type="dxa"/>
              <w:left w:w="144" w:type="dxa"/>
              <w:bottom w:w="72" w:type="dxa"/>
              <w:right w:w="144" w:type="dxa"/>
            </w:tcMar>
          </w:tcPr>
          <w:p w14:paraId="2EED10DD" w14:textId="3436A3CB" w:rsidR="000134AF" w:rsidRPr="00444069" w:rsidRDefault="000134AF" w:rsidP="000134AF">
            <w:pPr>
              <w:rPr>
                <w:sz w:val="17"/>
                <w:szCs w:val="17"/>
                <w:lang w:val="en-GB"/>
              </w:rPr>
            </w:pPr>
            <w:r w:rsidRPr="00444069">
              <w:rPr>
                <w:b/>
                <w:bCs/>
                <w:sz w:val="17"/>
                <w:szCs w:val="17"/>
                <w:lang w:val="en-GB"/>
              </w:rPr>
              <w:t xml:space="preserve">COOPERATION FRAMEWORK (OR EQUIVALENT) OUTCOME INVOLVING UNDP </w:t>
            </w:r>
            <w:r>
              <w:rPr>
                <w:b/>
                <w:bCs/>
                <w:sz w:val="17"/>
                <w:szCs w:val="17"/>
                <w:lang w:val="en-GB"/>
              </w:rPr>
              <w:t xml:space="preserve">No. </w:t>
            </w:r>
            <w:r w:rsidRPr="00444069">
              <w:rPr>
                <w:b/>
                <w:bCs/>
                <w:sz w:val="17"/>
                <w:szCs w:val="17"/>
                <w:lang w:val="en-GB"/>
              </w:rPr>
              <w:t>2</w:t>
            </w:r>
            <w:r>
              <w:rPr>
                <w:b/>
                <w:bCs/>
                <w:sz w:val="17"/>
                <w:szCs w:val="17"/>
                <w:lang w:val="en-GB"/>
              </w:rPr>
              <w:t>.</w:t>
            </w:r>
            <w:r w:rsidRPr="00444069">
              <w:rPr>
                <w:sz w:val="17"/>
                <w:szCs w:val="17"/>
                <w:lang w:val="en-GB"/>
              </w:rPr>
              <w:t xml:space="preserve"> </w:t>
            </w:r>
            <w:r w:rsidRPr="00200683">
              <w:rPr>
                <w:sz w:val="17"/>
                <w:szCs w:val="17"/>
              </w:rPr>
              <w:t>By 2024, people in Yemen, especially women, adolescents and girls and those in the most vulnerable and marginalized communities experience more rights-based good governance, comprised of effective people-centred, equitable and inclusive gender and age-responsive improved public services, and rule of law.</w:t>
            </w:r>
            <w:r w:rsidRPr="00444069">
              <w:rPr>
                <w:sz w:val="17"/>
                <w:szCs w:val="17"/>
                <w:lang w:val="en-GB"/>
              </w:rPr>
              <w:t xml:space="preserve"> </w:t>
            </w:r>
          </w:p>
        </w:tc>
      </w:tr>
      <w:tr w:rsidR="000134AF" w:rsidRPr="00444069" w14:paraId="77AB3A4F" w14:textId="77777777" w:rsidTr="00BC34CA">
        <w:trPr>
          <w:trHeight w:val="124"/>
        </w:trPr>
        <w:tc>
          <w:tcPr>
            <w:tcW w:w="5000" w:type="pct"/>
            <w:gridSpan w:val="5"/>
            <w:shd w:val="clear" w:color="auto" w:fill="DBE5F1" w:themeFill="accent1" w:themeFillTint="33"/>
            <w:tcMar>
              <w:top w:w="72" w:type="dxa"/>
              <w:left w:w="144" w:type="dxa"/>
              <w:bottom w:w="72" w:type="dxa"/>
              <w:right w:w="144" w:type="dxa"/>
            </w:tcMar>
          </w:tcPr>
          <w:p w14:paraId="162DD759" w14:textId="545CC5F2" w:rsidR="000134AF" w:rsidRPr="00444069" w:rsidRDefault="000134AF" w:rsidP="000134AF">
            <w:pPr>
              <w:rPr>
                <w:b/>
                <w:bCs/>
                <w:sz w:val="17"/>
                <w:szCs w:val="17"/>
                <w:lang w:val="en-GB"/>
              </w:rPr>
            </w:pPr>
            <w:r w:rsidRPr="00444069">
              <w:rPr>
                <w:b/>
                <w:bCs/>
                <w:sz w:val="17"/>
                <w:szCs w:val="17"/>
                <w:lang w:val="en-GB"/>
              </w:rPr>
              <w:t>RELATED STRATEGIC PLAN OUTCOME 2</w:t>
            </w:r>
            <w:r>
              <w:rPr>
                <w:b/>
                <w:bCs/>
                <w:sz w:val="17"/>
                <w:szCs w:val="17"/>
                <w:lang w:val="en-GB"/>
              </w:rPr>
              <w:t>.</w:t>
            </w:r>
            <w:r w:rsidRPr="00444069">
              <w:rPr>
                <w:b/>
                <w:bCs/>
                <w:sz w:val="17"/>
                <w:szCs w:val="17"/>
                <w:lang w:val="en-GB"/>
              </w:rPr>
              <w:t xml:space="preserve"> </w:t>
            </w:r>
            <w:r w:rsidRPr="00444069">
              <w:rPr>
                <w:sz w:val="17"/>
                <w:szCs w:val="17"/>
                <w:lang w:val="en-GB"/>
              </w:rPr>
              <w:t>No one left behind centring on equitable access to opportunities and a rights-based approach to human agency and human development</w:t>
            </w:r>
            <w:r w:rsidRPr="00444069" w:rsidDel="007E5629">
              <w:rPr>
                <w:b/>
                <w:bCs/>
                <w:sz w:val="17"/>
                <w:szCs w:val="17"/>
                <w:lang w:val="en-GB"/>
              </w:rPr>
              <w:t xml:space="preserve"> </w:t>
            </w:r>
          </w:p>
        </w:tc>
      </w:tr>
      <w:tr w:rsidR="00C6248C" w:rsidRPr="00444069" w14:paraId="3B7D8C9C" w14:textId="77777777" w:rsidTr="00BC34CA">
        <w:trPr>
          <w:trHeight w:val="133"/>
        </w:trPr>
        <w:tc>
          <w:tcPr>
            <w:tcW w:w="920" w:type="pct"/>
            <w:vMerge w:val="restart"/>
            <w:tcMar>
              <w:top w:w="72" w:type="dxa"/>
              <w:left w:w="144" w:type="dxa"/>
              <w:bottom w:w="72" w:type="dxa"/>
              <w:right w:w="144" w:type="dxa"/>
            </w:tcMar>
          </w:tcPr>
          <w:p w14:paraId="1C63A0D8" w14:textId="77777777" w:rsidR="007F7FE4" w:rsidRDefault="007F7FE4" w:rsidP="00BD43AF">
            <w:pPr>
              <w:rPr>
                <w:sz w:val="17"/>
                <w:szCs w:val="17"/>
                <w:lang w:val="en-GB"/>
              </w:rPr>
            </w:pPr>
          </w:p>
          <w:p w14:paraId="2D400648" w14:textId="77777777" w:rsidR="007F7FE4" w:rsidRDefault="007F7FE4" w:rsidP="00BD43AF">
            <w:pPr>
              <w:rPr>
                <w:sz w:val="17"/>
                <w:szCs w:val="17"/>
                <w:lang w:val="en-GB"/>
              </w:rPr>
            </w:pPr>
          </w:p>
          <w:p w14:paraId="76999F89" w14:textId="5A9F320F" w:rsidR="0024569A" w:rsidRPr="00444069" w:rsidRDefault="0024569A" w:rsidP="00BD43AF">
            <w:pPr>
              <w:rPr>
                <w:sz w:val="17"/>
                <w:szCs w:val="17"/>
                <w:lang w:val="en-GB"/>
              </w:rPr>
            </w:pPr>
            <w:r w:rsidRPr="00444069">
              <w:rPr>
                <w:sz w:val="17"/>
                <w:szCs w:val="17"/>
                <w:lang w:val="en-GB"/>
              </w:rPr>
              <w:t xml:space="preserve">Indicator </w:t>
            </w:r>
            <w:r w:rsidR="007A3553" w:rsidRPr="00444069">
              <w:rPr>
                <w:sz w:val="17"/>
                <w:szCs w:val="17"/>
                <w:lang w:val="en-GB"/>
              </w:rPr>
              <w:t>2.</w:t>
            </w:r>
            <w:r w:rsidRPr="00444069">
              <w:rPr>
                <w:sz w:val="17"/>
                <w:szCs w:val="17"/>
                <w:lang w:val="en-GB"/>
              </w:rPr>
              <w:t xml:space="preserve">1 </w:t>
            </w:r>
            <w:r w:rsidRPr="00CA5B30">
              <w:rPr>
                <w:sz w:val="17"/>
                <w:szCs w:val="17"/>
                <w:lang w:val="en-GB"/>
              </w:rPr>
              <w:t xml:space="preserve">Number of gender-responsive </w:t>
            </w:r>
            <w:r w:rsidR="009A1BE1" w:rsidRPr="00444069">
              <w:rPr>
                <w:sz w:val="17"/>
                <w:szCs w:val="17"/>
                <w:lang w:val="en-GB"/>
              </w:rPr>
              <w:t xml:space="preserve">district capacity development plans </w:t>
            </w:r>
            <w:r w:rsidRPr="00CA5B30">
              <w:rPr>
                <w:sz w:val="17"/>
                <w:szCs w:val="17"/>
                <w:lang w:val="en-GB"/>
              </w:rPr>
              <w:t>implemented</w:t>
            </w:r>
            <w:r w:rsidRPr="00444069">
              <w:rPr>
                <w:b/>
                <w:bCs/>
                <w:sz w:val="17"/>
                <w:szCs w:val="17"/>
                <w:lang w:val="en-GB"/>
              </w:rPr>
              <w:br/>
            </w:r>
            <w:r w:rsidRPr="00444069">
              <w:rPr>
                <w:sz w:val="17"/>
                <w:szCs w:val="17"/>
                <w:lang w:val="en-GB"/>
              </w:rPr>
              <w:lastRenderedPageBreak/>
              <w:t>Baseline (2019):</w:t>
            </w:r>
            <w:r w:rsidR="009A1BE1">
              <w:rPr>
                <w:sz w:val="17"/>
                <w:szCs w:val="17"/>
                <w:lang w:val="en-GB"/>
              </w:rPr>
              <w:t xml:space="preserve"> </w:t>
            </w:r>
            <w:r w:rsidRPr="00444069">
              <w:rPr>
                <w:sz w:val="17"/>
                <w:szCs w:val="17"/>
                <w:lang w:val="en-GB"/>
              </w:rPr>
              <w:t>0</w:t>
            </w:r>
            <w:r w:rsidRPr="00444069">
              <w:rPr>
                <w:bCs/>
                <w:sz w:val="17"/>
                <w:szCs w:val="17"/>
                <w:lang w:val="en-GB"/>
              </w:rPr>
              <w:br/>
              <w:t>Target (2024):</w:t>
            </w:r>
            <w:r w:rsidRPr="00444069">
              <w:rPr>
                <w:sz w:val="17"/>
                <w:szCs w:val="17"/>
                <w:lang w:val="en-GB"/>
              </w:rPr>
              <w:t xml:space="preserve"> 40</w:t>
            </w:r>
          </w:p>
          <w:p w14:paraId="7E8A4679" w14:textId="77777777" w:rsidR="0024569A" w:rsidRDefault="0024569A" w:rsidP="00BD43AF">
            <w:pPr>
              <w:rPr>
                <w:sz w:val="17"/>
                <w:szCs w:val="17"/>
                <w:u w:val="single"/>
                <w:lang w:val="en-GB"/>
              </w:rPr>
            </w:pPr>
          </w:p>
          <w:p w14:paraId="351E3E02" w14:textId="77777777" w:rsidR="007F7FE4" w:rsidRDefault="007F7FE4" w:rsidP="00BD43AF">
            <w:pPr>
              <w:rPr>
                <w:sz w:val="17"/>
                <w:szCs w:val="17"/>
                <w:u w:val="single"/>
                <w:lang w:val="en-GB"/>
              </w:rPr>
            </w:pPr>
          </w:p>
          <w:p w14:paraId="643DADC3" w14:textId="77777777" w:rsidR="007F7FE4" w:rsidRDefault="007F7FE4" w:rsidP="00BD43AF">
            <w:pPr>
              <w:rPr>
                <w:sz w:val="17"/>
                <w:szCs w:val="17"/>
                <w:u w:val="single"/>
                <w:lang w:val="en-GB"/>
              </w:rPr>
            </w:pPr>
          </w:p>
          <w:p w14:paraId="6D0BE9C8" w14:textId="77777777" w:rsidR="007F7FE4" w:rsidRPr="00444069" w:rsidRDefault="007F7FE4" w:rsidP="00BD43AF">
            <w:pPr>
              <w:rPr>
                <w:sz w:val="17"/>
                <w:szCs w:val="17"/>
                <w:u w:val="single"/>
                <w:lang w:val="en-GB"/>
              </w:rPr>
            </w:pPr>
          </w:p>
          <w:p w14:paraId="19BE8BF7" w14:textId="3ADA7CED" w:rsidR="0024569A" w:rsidRPr="00444069" w:rsidRDefault="0024569A" w:rsidP="00BD43AF">
            <w:pPr>
              <w:rPr>
                <w:sz w:val="17"/>
                <w:szCs w:val="17"/>
                <w:u w:val="single"/>
                <w:lang w:val="en-GB"/>
              </w:rPr>
            </w:pPr>
            <w:r w:rsidRPr="00444069">
              <w:rPr>
                <w:sz w:val="17"/>
                <w:szCs w:val="17"/>
                <w:lang w:val="en-GB"/>
              </w:rPr>
              <w:t xml:space="preserve">Indicator </w:t>
            </w:r>
            <w:r w:rsidR="007A3553" w:rsidRPr="00444069">
              <w:rPr>
                <w:sz w:val="17"/>
                <w:szCs w:val="17"/>
                <w:lang w:val="en-GB"/>
              </w:rPr>
              <w:t>2.</w:t>
            </w:r>
            <w:r w:rsidRPr="00444069">
              <w:rPr>
                <w:sz w:val="17"/>
                <w:szCs w:val="17"/>
                <w:lang w:val="en-GB"/>
              </w:rPr>
              <w:t>2</w:t>
            </w:r>
            <w:r w:rsidRPr="00CA5B30">
              <w:rPr>
                <w:sz w:val="17"/>
                <w:szCs w:val="17"/>
                <w:lang w:val="en-GB"/>
              </w:rPr>
              <w:t xml:space="preserve"> Number of districts with an increase</w:t>
            </w:r>
            <w:r w:rsidR="007F7FE4">
              <w:rPr>
                <w:sz w:val="17"/>
                <w:szCs w:val="17"/>
                <w:lang w:val="en-GB"/>
              </w:rPr>
              <w:t>d</w:t>
            </w:r>
            <w:r w:rsidRPr="00CA5B30">
              <w:rPr>
                <w:sz w:val="17"/>
                <w:szCs w:val="17"/>
                <w:lang w:val="en-GB"/>
              </w:rPr>
              <w:t xml:space="preserve"> investment budget (actual) per</w:t>
            </w:r>
            <w:r w:rsidR="009A1BE1">
              <w:rPr>
                <w:sz w:val="17"/>
                <w:szCs w:val="17"/>
                <w:lang w:val="en-GB"/>
              </w:rPr>
              <w:t> </w:t>
            </w:r>
            <w:r w:rsidRPr="00CA5B30">
              <w:rPr>
                <w:sz w:val="17"/>
                <w:szCs w:val="17"/>
                <w:lang w:val="en-GB"/>
              </w:rPr>
              <w:t>capita</w:t>
            </w:r>
          </w:p>
          <w:p w14:paraId="3E0C4DE2" w14:textId="77777777" w:rsidR="0024569A" w:rsidRPr="00444069" w:rsidRDefault="0024569A" w:rsidP="00BD43AF">
            <w:pPr>
              <w:rPr>
                <w:bCs/>
                <w:sz w:val="17"/>
                <w:szCs w:val="17"/>
                <w:lang w:val="en-GB"/>
              </w:rPr>
            </w:pPr>
          </w:p>
          <w:p w14:paraId="7914B80E" w14:textId="6300C1B1" w:rsidR="0024569A" w:rsidRPr="00444069" w:rsidRDefault="0024569A" w:rsidP="00BD43AF">
            <w:pPr>
              <w:rPr>
                <w:bCs/>
                <w:sz w:val="17"/>
                <w:szCs w:val="17"/>
                <w:lang w:val="en-GB"/>
              </w:rPr>
            </w:pPr>
            <w:r w:rsidRPr="00444069">
              <w:rPr>
                <w:sz w:val="17"/>
                <w:szCs w:val="17"/>
                <w:lang w:val="en-GB"/>
              </w:rPr>
              <w:t>Baseline (2019):</w:t>
            </w:r>
            <w:r w:rsidR="007F7FE4">
              <w:rPr>
                <w:sz w:val="17"/>
                <w:szCs w:val="17"/>
                <w:lang w:val="en-GB"/>
              </w:rPr>
              <w:t xml:space="preserve"> </w:t>
            </w:r>
            <w:r w:rsidRPr="00444069">
              <w:rPr>
                <w:sz w:val="17"/>
                <w:szCs w:val="17"/>
                <w:lang w:val="en-GB"/>
              </w:rPr>
              <w:t>0</w:t>
            </w:r>
            <w:r w:rsidRPr="00444069">
              <w:rPr>
                <w:bCs/>
                <w:sz w:val="17"/>
                <w:szCs w:val="17"/>
                <w:lang w:val="en-GB"/>
              </w:rPr>
              <w:br/>
              <w:t>Target (2024):</w:t>
            </w:r>
            <w:r w:rsidRPr="00CA5B30">
              <w:rPr>
                <w:sz w:val="17"/>
                <w:szCs w:val="17"/>
                <w:lang w:val="en-GB"/>
              </w:rPr>
              <w:t xml:space="preserve"> 40</w:t>
            </w:r>
          </w:p>
        </w:tc>
        <w:tc>
          <w:tcPr>
            <w:tcW w:w="541" w:type="pct"/>
            <w:vMerge w:val="restart"/>
          </w:tcPr>
          <w:p w14:paraId="0C3DB5FA" w14:textId="77777777" w:rsidR="007F7FE4" w:rsidRDefault="007F7FE4" w:rsidP="00BD43AF">
            <w:pPr>
              <w:rPr>
                <w:sz w:val="17"/>
                <w:szCs w:val="17"/>
                <w:lang w:val="en-GB"/>
              </w:rPr>
            </w:pPr>
          </w:p>
          <w:p w14:paraId="367AE5AD" w14:textId="77777777" w:rsidR="007F7FE4" w:rsidRDefault="007F7FE4" w:rsidP="00BD43AF">
            <w:pPr>
              <w:rPr>
                <w:sz w:val="17"/>
                <w:szCs w:val="17"/>
                <w:lang w:val="en-GB"/>
              </w:rPr>
            </w:pPr>
          </w:p>
          <w:p w14:paraId="35E6719E" w14:textId="4ACFC635" w:rsidR="009A1BE1" w:rsidRDefault="0024569A" w:rsidP="00BD43AF">
            <w:pPr>
              <w:rPr>
                <w:sz w:val="17"/>
                <w:szCs w:val="17"/>
                <w:lang w:val="en-GB"/>
              </w:rPr>
            </w:pPr>
            <w:r w:rsidRPr="00CA5B30">
              <w:rPr>
                <w:sz w:val="17"/>
                <w:szCs w:val="17"/>
                <w:lang w:val="en-GB"/>
              </w:rPr>
              <w:t>M</w:t>
            </w:r>
            <w:r w:rsidR="00A3227D" w:rsidRPr="00CA5B30">
              <w:rPr>
                <w:sz w:val="17"/>
                <w:szCs w:val="17"/>
                <w:lang w:val="en-GB"/>
              </w:rPr>
              <w:t>inistry of Education</w:t>
            </w:r>
            <w:r w:rsidRPr="00CA5B30">
              <w:rPr>
                <w:sz w:val="17"/>
                <w:szCs w:val="17"/>
                <w:lang w:val="en-GB"/>
              </w:rPr>
              <w:t xml:space="preserve"> </w:t>
            </w:r>
          </w:p>
          <w:p w14:paraId="240EAD5D" w14:textId="05F5A1FB" w:rsidR="009A1BE1" w:rsidRDefault="00A3227D" w:rsidP="00BD43AF">
            <w:pPr>
              <w:rPr>
                <w:sz w:val="17"/>
                <w:szCs w:val="17"/>
                <w:lang w:val="en-GB"/>
              </w:rPr>
            </w:pPr>
            <w:r w:rsidRPr="00CA5B30">
              <w:rPr>
                <w:sz w:val="17"/>
                <w:szCs w:val="17"/>
                <w:lang w:val="en-GB"/>
              </w:rPr>
              <w:t>Ministry of Legal Affairs,</w:t>
            </w:r>
          </w:p>
          <w:p w14:paraId="2AE5F2F0" w14:textId="3B53C33F" w:rsidR="0024569A" w:rsidRPr="00CA5B30" w:rsidRDefault="0024569A" w:rsidP="00BD43AF">
            <w:pPr>
              <w:rPr>
                <w:sz w:val="17"/>
                <w:szCs w:val="17"/>
                <w:lang w:val="en-GB"/>
              </w:rPr>
            </w:pPr>
            <w:r w:rsidRPr="00CA5B30">
              <w:rPr>
                <w:sz w:val="17"/>
                <w:szCs w:val="17"/>
                <w:lang w:val="en-GB"/>
              </w:rPr>
              <w:t>Administrative data</w:t>
            </w:r>
          </w:p>
          <w:p w14:paraId="1BE8AD5F" w14:textId="1776100C" w:rsidR="00050C01" w:rsidRDefault="0024569A">
            <w:pPr>
              <w:rPr>
                <w:sz w:val="17"/>
                <w:szCs w:val="17"/>
                <w:lang w:val="en-GB"/>
              </w:rPr>
            </w:pPr>
            <w:r w:rsidRPr="00CA5B30">
              <w:rPr>
                <w:sz w:val="17"/>
                <w:szCs w:val="17"/>
                <w:lang w:val="en-GB"/>
              </w:rPr>
              <w:lastRenderedPageBreak/>
              <w:t xml:space="preserve">Investment funds </w:t>
            </w:r>
            <w:r w:rsidR="00B306B3" w:rsidRPr="00CA5B30">
              <w:rPr>
                <w:sz w:val="17"/>
                <w:szCs w:val="17"/>
                <w:lang w:val="en-GB"/>
              </w:rPr>
              <w:t>channel</w:t>
            </w:r>
            <w:r w:rsidR="009A1BE1">
              <w:rPr>
                <w:sz w:val="17"/>
                <w:szCs w:val="17"/>
                <w:lang w:val="en-GB"/>
              </w:rPr>
              <w:t>l</w:t>
            </w:r>
            <w:r w:rsidR="00B306B3" w:rsidRPr="00CA5B30">
              <w:rPr>
                <w:sz w:val="17"/>
                <w:szCs w:val="17"/>
                <w:lang w:val="en-GB"/>
              </w:rPr>
              <w:t xml:space="preserve">ed </w:t>
            </w:r>
            <w:r w:rsidRPr="00CA5B30">
              <w:rPr>
                <w:sz w:val="17"/>
                <w:szCs w:val="17"/>
                <w:lang w:val="en-GB"/>
              </w:rPr>
              <w:t>through</w:t>
            </w:r>
            <w:r w:rsidR="00B73CDD" w:rsidRPr="00CA5B30">
              <w:rPr>
                <w:sz w:val="17"/>
                <w:szCs w:val="17"/>
                <w:lang w:val="en-GB"/>
              </w:rPr>
              <w:t xml:space="preserve"> Local Resilience and Recovery Fund</w:t>
            </w:r>
          </w:p>
          <w:p w14:paraId="3900B685" w14:textId="77777777" w:rsidR="00050C01" w:rsidRDefault="00050C01">
            <w:pPr>
              <w:rPr>
                <w:sz w:val="17"/>
                <w:szCs w:val="17"/>
                <w:lang w:val="en-GB"/>
              </w:rPr>
            </w:pPr>
          </w:p>
          <w:p w14:paraId="6B66EB79" w14:textId="77777777" w:rsidR="00050C01" w:rsidRDefault="00050C01">
            <w:pPr>
              <w:rPr>
                <w:sz w:val="17"/>
                <w:szCs w:val="17"/>
                <w:lang w:val="en-GB"/>
              </w:rPr>
            </w:pPr>
          </w:p>
          <w:p w14:paraId="1C79CC01" w14:textId="77777777" w:rsidR="00050C01" w:rsidRDefault="00050C01">
            <w:pPr>
              <w:rPr>
                <w:sz w:val="17"/>
                <w:szCs w:val="17"/>
                <w:lang w:val="en-GB"/>
              </w:rPr>
            </w:pPr>
          </w:p>
          <w:p w14:paraId="21D5F94A" w14:textId="77777777" w:rsidR="00DB18CD" w:rsidRDefault="00DB18CD" w:rsidP="00050C01">
            <w:pPr>
              <w:autoSpaceDE w:val="0"/>
              <w:autoSpaceDN w:val="0"/>
              <w:adjustRightInd w:val="0"/>
              <w:rPr>
                <w:sz w:val="17"/>
                <w:szCs w:val="17"/>
                <w:lang w:val="en-GB"/>
              </w:rPr>
            </w:pPr>
          </w:p>
          <w:p w14:paraId="6AB08903" w14:textId="77777777" w:rsidR="00050C01" w:rsidRDefault="00050C01">
            <w:pPr>
              <w:rPr>
                <w:sz w:val="17"/>
                <w:szCs w:val="17"/>
                <w:lang w:val="en-GB"/>
              </w:rPr>
            </w:pPr>
          </w:p>
          <w:p w14:paraId="79606256" w14:textId="77777777" w:rsidR="00050C01" w:rsidRDefault="00050C01">
            <w:pPr>
              <w:rPr>
                <w:sz w:val="17"/>
                <w:szCs w:val="17"/>
                <w:lang w:val="en-GB"/>
              </w:rPr>
            </w:pPr>
          </w:p>
          <w:p w14:paraId="01A983AB" w14:textId="77777777" w:rsidR="00050C01" w:rsidRDefault="00050C01">
            <w:pPr>
              <w:rPr>
                <w:sz w:val="17"/>
                <w:szCs w:val="17"/>
                <w:lang w:val="en-GB"/>
              </w:rPr>
            </w:pPr>
          </w:p>
          <w:p w14:paraId="5F2CE580" w14:textId="77777777" w:rsidR="00050C01" w:rsidRDefault="00050C01">
            <w:pPr>
              <w:rPr>
                <w:sz w:val="17"/>
                <w:szCs w:val="17"/>
                <w:lang w:val="en-GB"/>
              </w:rPr>
            </w:pPr>
          </w:p>
          <w:p w14:paraId="73BE9EE6" w14:textId="77777777" w:rsidR="00050C01" w:rsidRDefault="00050C01">
            <w:pPr>
              <w:rPr>
                <w:sz w:val="17"/>
                <w:szCs w:val="17"/>
                <w:lang w:val="en-GB"/>
              </w:rPr>
            </w:pPr>
          </w:p>
          <w:p w14:paraId="52A5B2C9" w14:textId="37512278" w:rsidR="0024569A" w:rsidRPr="00444069" w:rsidRDefault="0024569A" w:rsidP="00F67A59">
            <w:pPr>
              <w:rPr>
                <w:b/>
                <w:bCs/>
                <w:sz w:val="17"/>
                <w:szCs w:val="17"/>
                <w:lang w:val="en-GB"/>
              </w:rPr>
            </w:pPr>
          </w:p>
        </w:tc>
        <w:tc>
          <w:tcPr>
            <w:tcW w:w="2148" w:type="pct"/>
            <w:vMerge w:val="restart"/>
            <w:tcMar>
              <w:top w:w="72" w:type="dxa"/>
              <w:left w:w="144" w:type="dxa"/>
              <w:bottom w:w="72" w:type="dxa"/>
              <w:right w:w="144" w:type="dxa"/>
            </w:tcMar>
          </w:tcPr>
          <w:p w14:paraId="39C89B71" w14:textId="3EA41848" w:rsidR="0024569A" w:rsidRPr="00444069" w:rsidRDefault="0024569A" w:rsidP="00BD43AF">
            <w:pPr>
              <w:autoSpaceDE w:val="0"/>
              <w:autoSpaceDN w:val="0"/>
              <w:adjustRightInd w:val="0"/>
              <w:rPr>
                <w:sz w:val="17"/>
                <w:szCs w:val="17"/>
                <w:lang w:val="en-GB"/>
              </w:rPr>
            </w:pPr>
            <w:r w:rsidRPr="00444069">
              <w:rPr>
                <w:b/>
                <w:bCs/>
                <w:sz w:val="17"/>
                <w:szCs w:val="17"/>
                <w:lang w:val="en-GB"/>
              </w:rPr>
              <w:lastRenderedPageBreak/>
              <w:t>Output 2.1</w:t>
            </w:r>
            <w:r w:rsidR="00050C01">
              <w:rPr>
                <w:b/>
                <w:bCs/>
                <w:sz w:val="17"/>
                <w:szCs w:val="17"/>
                <w:lang w:val="en-GB"/>
              </w:rPr>
              <w:t>.</w:t>
            </w:r>
            <w:r w:rsidRPr="00444069">
              <w:rPr>
                <w:sz w:val="17"/>
                <w:szCs w:val="17"/>
                <w:lang w:val="en-GB"/>
              </w:rPr>
              <w:t xml:space="preserve"> Local governance systems strengthened for </w:t>
            </w:r>
            <w:r w:rsidR="00B306B3" w:rsidRPr="00444069">
              <w:rPr>
                <w:sz w:val="17"/>
                <w:szCs w:val="17"/>
                <w:lang w:val="en-GB"/>
              </w:rPr>
              <w:t xml:space="preserve">the </w:t>
            </w:r>
            <w:r w:rsidRPr="00444069">
              <w:rPr>
                <w:sz w:val="17"/>
                <w:szCs w:val="17"/>
                <w:lang w:val="en-GB"/>
              </w:rPr>
              <w:t>socio-economic opportunity and inclusive basic service delivery</w:t>
            </w:r>
          </w:p>
          <w:p w14:paraId="60001065" w14:textId="77777777" w:rsidR="0024569A" w:rsidRPr="00444069" w:rsidRDefault="0024569A" w:rsidP="00BD43AF">
            <w:pPr>
              <w:spacing w:line="276" w:lineRule="auto"/>
              <w:rPr>
                <w:sz w:val="17"/>
                <w:szCs w:val="17"/>
                <w:lang w:val="en-GB"/>
              </w:rPr>
            </w:pPr>
          </w:p>
          <w:p w14:paraId="7D81E46E" w14:textId="60B0BC4C" w:rsidR="0024569A" w:rsidRPr="004806F2" w:rsidRDefault="0024569A" w:rsidP="00BD43AF">
            <w:pPr>
              <w:spacing w:line="276" w:lineRule="auto"/>
              <w:rPr>
                <w:sz w:val="17"/>
                <w:szCs w:val="17"/>
                <w:lang w:val="en-GB"/>
              </w:rPr>
            </w:pPr>
            <w:r w:rsidRPr="00444069">
              <w:rPr>
                <w:sz w:val="17"/>
                <w:szCs w:val="17"/>
                <w:lang w:val="en-GB"/>
              </w:rPr>
              <w:t>Indicator 2.1.1  Number of sub</w:t>
            </w:r>
            <w:r w:rsidR="0083739F" w:rsidRPr="00444069">
              <w:rPr>
                <w:sz w:val="17"/>
                <w:szCs w:val="17"/>
                <w:lang w:val="en-GB"/>
              </w:rPr>
              <w:t>national governments</w:t>
            </w:r>
            <w:r w:rsidRPr="00444069">
              <w:rPr>
                <w:sz w:val="17"/>
                <w:szCs w:val="17"/>
                <w:lang w:val="en-GB"/>
              </w:rPr>
              <w:t xml:space="preserve"> </w:t>
            </w:r>
            <w:r w:rsidR="00827384" w:rsidRPr="00444069">
              <w:rPr>
                <w:sz w:val="17"/>
                <w:szCs w:val="17"/>
                <w:lang w:val="en-GB"/>
              </w:rPr>
              <w:t>(at district level)</w:t>
            </w:r>
            <w:r w:rsidR="002250E9" w:rsidRPr="00444069">
              <w:rPr>
                <w:sz w:val="17"/>
                <w:szCs w:val="17"/>
                <w:lang w:val="en-GB"/>
              </w:rPr>
              <w:t xml:space="preserve"> </w:t>
            </w:r>
            <w:r w:rsidRPr="004806F2">
              <w:rPr>
                <w:sz w:val="17"/>
                <w:szCs w:val="17"/>
                <w:lang w:val="en-GB"/>
              </w:rPr>
              <w:t>with improved capacities to plan, budget, manage and monitor basic services</w:t>
            </w:r>
          </w:p>
          <w:p w14:paraId="0A163F6D" w14:textId="77777777" w:rsidR="00F755B0" w:rsidRDefault="00F755B0" w:rsidP="00BD43AF">
            <w:pPr>
              <w:spacing w:line="276" w:lineRule="auto"/>
              <w:rPr>
                <w:sz w:val="17"/>
                <w:szCs w:val="17"/>
                <w:lang w:val="en-GB"/>
              </w:rPr>
            </w:pPr>
          </w:p>
          <w:p w14:paraId="033309B0" w14:textId="77777777" w:rsidR="00F755B0" w:rsidRDefault="00F755B0" w:rsidP="00BD43AF">
            <w:pPr>
              <w:spacing w:line="276" w:lineRule="auto"/>
              <w:rPr>
                <w:sz w:val="17"/>
                <w:szCs w:val="17"/>
                <w:lang w:val="en-GB"/>
              </w:rPr>
            </w:pPr>
          </w:p>
          <w:p w14:paraId="7B2545D2" w14:textId="77777777" w:rsidR="0024569A" w:rsidRPr="004806F2" w:rsidRDefault="0024569A" w:rsidP="00BD43AF">
            <w:pPr>
              <w:spacing w:line="276" w:lineRule="auto"/>
              <w:rPr>
                <w:sz w:val="17"/>
                <w:szCs w:val="17"/>
                <w:lang w:val="en-GB"/>
              </w:rPr>
            </w:pPr>
            <w:r w:rsidRPr="004806F2">
              <w:rPr>
                <w:sz w:val="17"/>
                <w:szCs w:val="17"/>
                <w:lang w:val="en-GB"/>
              </w:rPr>
              <w:lastRenderedPageBreak/>
              <w:t>Baseline (2021): 24</w:t>
            </w:r>
          </w:p>
          <w:p w14:paraId="5FF47EDA" w14:textId="77777777" w:rsidR="0024569A" w:rsidRDefault="0024569A" w:rsidP="00BD43AF">
            <w:pPr>
              <w:spacing w:line="276" w:lineRule="auto"/>
              <w:rPr>
                <w:sz w:val="17"/>
                <w:szCs w:val="17"/>
                <w:lang w:val="en-GB"/>
              </w:rPr>
            </w:pPr>
            <w:r w:rsidRPr="004806F2">
              <w:rPr>
                <w:sz w:val="17"/>
                <w:szCs w:val="17"/>
                <w:lang w:val="en-GB"/>
              </w:rPr>
              <w:t xml:space="preserve">Target (2024): 40 </w:t>
            </w:r>
          </w:p>
          <w:p w14:paraId="711B31AD" w14:textId="77777777" w:rsidR="00F755B0" w:rsidRDefault="00F755B0" w:rsidP="00F755B0">
            <w:pPr>
              <w:rPr>
                <w:sz w:val="17"/>
                <w:szCs w:val="17"/>
                <w:lang w:val="en-GB"/>
              </w:rPr>
            </w:pPr>
            <w:r w:rsidRPr="004806F2">
              <w:rPr>
                <w:sz w:val="17"/>
                <w:szCs w:val="17"/>
                <w:lang w:val="en-GB"/>
              </w:rPr>
              <w:t xml:space="preserve">Data source: Strengthen Institutional </w:t>
            </w:r>
            <w:r>
              <w:rPr>
                <w:sz w:val="17"/>
                <w:szCs w:val="17"/>
                <w:lang w:val="en-GB"/>
              </w:rPr>
              <w:t>and</w:t>
            </w:r>
            <w:r w:rsidRPr="004806F2">
              <w:rPr>
                <w:sz w:val="17"/>
                <w:szCs w:val="17"/>
                <w:lang w:val="en-GB"/>
              </w:rPr>
              <w:t xml:space="preserve"> Economic Resilience project report</w:t>
            </w:r>
            <w:r>
              <w:rPr>
                <w:sz w:val="17"/>
                <w:szCs w:val="17"/>
                <w:lang w:val="en-GB"/>
              </w:rPr>
              <w:t>s</w:t>
            </w:r>
          </w:p>
          <w:p w14:paraId="3B4DA419" w14:textId="77777777" w:rsidR="00F755B0" w:rsidRPr="004806F2" w:rsidRDefault="00F755B0" w:rsidP="00F755B0">
            <w:pPr>
              <w:rPr>
                <w:sz w:val="17"/>
                <w:szCs w:val="17"/>
                <w:lang w:val="en-GB"/>
              </w:rPr>
            </w:pPr>
            <w:r>
              <w:rPr>
                <w:sz w:val="17"/>
                <w:szCs w:val="17"/>
                <w:lang w:val="en-GB"/>
              </w:rPr>
              <w:t>F</w:t>
            </w:r>
            <w:r w:rsidRPr="004806F2">
              <w:rPr>
                <w:sz w:val="17"/>
                <w:szCs w:val="17"/>
                <w:lang w:val="en-GB"/>
              </w:rPr>
              <w:t>requency: annual</w:t>
            </w:r>
          </w:p>
          <w:p w14:paraId="5052D266" w14:textId="77777777" w:rsidR="00F755B0" w:rsidRPr="004806F2" w:rsidRDefault="00F755B0" w:rsidP="00BD43AF">
            <w:pPr>
              <w:spacing w:line="276" w:lineRule="auto"/>
              <w:rPr>
                <w:sz w:val="17"/>
                <w:szCs w:val="17"/>
                <w:lang w:val="en-GB"/>
              </w:rPr>
            </w:pPr>
          </w:p>
          <w:p w14:paraId="162A4829" w14:textId="61C7E1B4" w:rsidR="0024569A" w:rsidRPr="00444069" w:rsidRDefault="0024569A" w:rsidP="00CA5B30">
            <w:pPr>
              <w:rPr>
                <w:sz w:val="17"/>
                <w:szCs w:val="17"/>
                <w:lang w:val="en-GB"/>
              </w:rPr>
            </w:pPr>
            <w:r w:rsidRPr="004806F2">
              <w:rPr>
                <w:sz w:val="17"/>
                <w:szCs w:val="17"/>
                <w:lang w:val="en-GB"/>
              </w:rPr>
              <w:t xml:space="preserve">Indicator 2.1.2 </w:t>
            </w:r>
            <w:r w:rsidRPr="00CA5B30">
              <w:rPr>
                <w:lang w:val="en-GB"/>
              </w:rPr>
              <w:t xml:space="preserve"> </w:t>
            </w:r>
            <w:r w:rsidRPr="00444069">
              <w:rPr>
                <w:sz w:val="17"/>
                <w:szCs w:val="17"/>
                <w:lang w:val="en-GB"/>
              </w:rPr>
              <w:t>Number of new measures that improve agility and</w:t>
            </w:r>
          </w:p>
          <w:p w14:paraId="6F1F1A5E" w14:textId="77777777" w:rsidR="0024569A" w:rsidRPr="00444069" w:rsidRDefault="0024569A" w:rsidP="00CA5B30">
            <w:pPr>
              <w:rPr>
                <w:sz w:val="17"/>
                <w:szCs w:val="17"/>
                <w:lang w:val="en-GB"/>
              </w:rPr>
            </w:pPr>
            <w:r w:rsidRPr="00444069">
              <w:rPr>
                <w:sz w:val="17"/>
                <w:szCs w:val="17"/>
                <w:lang w:val="en-GB"/>
              </w:rPr>
              <w:t>responsiveness of local governance institutions for basic service delivery</w:t>
            </w:r>
          </w:p>
          <w:p w14:paraId="1743814F" w14:textId="77777777" w:rsidR="0024569A" w:rsidRPr="00444069" w:rsidRDefault="0024569A" w:rsidP="00CA5B30">
            <w:pPr>
              <w:rPr>
                <w:sz w:val="17"/>
                <w:szCs w:val="17"/>
                <w:lang w:val="en-GB"/>
              </w:rPr>
            </w:pPr>
            <w:r w:rsidRPr="00444069">
              <w:rPr>
                <w:sz w:val="17"/>
                <w:szCs w:val="17"/>
                <w:lang w:val="en-GB"/>
              </w:rPr>
              <w:t>Baseline (2022): 0</w:t>
            </w:r>
          </w:p>
          <w:p w14:paraId="13C4829A" w14:textId="77777777" w:rsidR="0024569A" w:rsidRPr="00444069" w:rsidRDefault="0024569A" w:rsidP="00CA5B30">
            <w:pPr>
              <w:rPr>
                <w:sz w:val="17"/>
                <w:szCs w:val="17"/>
                <w:lang w:val="en-GB"/>
              </w:rPr>
            </w:pPr>
            <w:r w:rsidRPr="00444069">
              <w:rPr>
                <w:sz w:val="17"/>
                <w:szCs w:val="17"/>
                <w:lang w:val="en-GB"/>
              </w:rPr>
              <w:t>Target (2024): 2</w:t>
            </w:r>
          </w:p>
          <w:p w14:paraId="04CC45AB" w14:textId="7E95B47E" w:rsidR="00F67A59" w:rsidRPr="00A2394E" w:rsidRDefault="00F67A59" w:rsidP="00F67A59">
            <w:pPr>
              <w:autoSpaceDE w:val="0"/>
              <w:autoSpaceDN w:val="0"/>
              <w:adjustRightInd w:val="0"/>
              <w:rPr>
                <w:sz w:val="17"/>
                <w:szCs w:val="17"/>
                <w:lang w:val="en-GB"/>
              </w:rPr>
            </w:pPr>
            <w:r w:rsidRPr="00A2394E">
              <w:rPr>
                <w:sz w:val="17"/>
                <w:szCs w:val="17"/>
                <w:lang w:val="en-GB"/>
              </w:rPr>
              <w:t xml:space="preserve">Data source: Rule of Law </w:t>
            </w:r>
            <w:r>
              <w:rPr>
                <w:sz w:val="17"/>
                <w:szCs w:val="17"/>
                <w:lang w:val="en-GB"/>
              </w:rPr>
              <w:t>project reports; f</w:t>
            </w:r>
            <w:r w:rsidRPr="00A2394E">
              <w:rPr>
                <w:sz w:val="17"/>
                <w:szCs w:val="17"/>
                <w:lang w:val="en-GB"/>
              </w:rPr>
              <w:t>requency: annual</w:t>
            </w:r>
          </w:p>
          <w:p w14:paraId="35D3C7E5" w14:textId="77777777" w:rsidR="00050C01" w:rsidRDefault="00050C01" w:rsidP="00BD43AF">
            <w:pPr>
              <w:autoSpaceDE w:val="0"/>
              <w:autoSpaceDN w:val="0"/>
              <w:adjustRightInd w:val="0"/>
              <w:rPr>
                <w:sz w:val="17"/>
                <w:szCs w:val="17"/>
                <w:lang w:val="en-GB"/>
              </w:rPr>
            </w:pPr>
          </w:p>
          <w:p w14:paraId="6896A874" w14:textId="77777777" w:rsidR="00F67A59" w:rsidRDefault="00F67A59" w:rsidP="00BD43AF">
            <w:pPr>
              <w:autoSpaceDE w:val="0"/>
              <w:autoSpaceDN w:val="0"/>
              <w:adjustRightInd w:val="0"/>
              <w:rPr>
                <w:sz w:val="17"/>
                <w:szCs w:val="17"/>
                <w:lang w:val="en-GB"/>
              </w:rPr>
            </w:pPr>
          </w:p>
          <w:p w14:paraId="06D011C5" w14:textId="61255700" w:rsidR="0024569A" w:rsidRPr="00444069" w:rsidRDefault="0024569A" w:rsidP="00BD43AF">
            <w:pPr>
              <w:autoSpaceDE w:val="0"/>
              <w:autoSpaceDN w:val="0"/>
              <w:adjustRightInd w:val="0"/>
              <w:rPr>
                <w:sz w:val="17"/>
                <w:szCs w:val="17"/>
                <w:lang w:val="en-GB"/>
              </w:rPr>
            </w:pPr>
            <w:r w:rsidRPr="00444069">
              <w:rPr>
                <w:b/>
                <w:bCs/>
                <w:sz w:val="17"/>
                <w:szCs w:val="17"/>
                <w:lang w:val="en-GB"/>
              </w:rPr>
              <w:t>Output 2.2</w:t>
            </w:r>
            <w:r w:rsidR="00050C01">
              <w:rPr>
                <w:b/>
                <w:bCs/>
                <w:sz w:val="17"/>
                <w:szCs w:val="17"/>
                <w:lang w:val="en-GB"/>
              </w:rPr>
              <w:t>.</w:t>
            </w:r>
            <w:r w:rsidRPr="00444069">
              <w:rPr>
                <w:sz w:val="17"/>
                <w:szCs w:val="17"/>
                <w:lang w:val="en-GB"/>
              </w:rPr>
              <w:t xml:space="preserve"> Women empowered to contribute to local decision</w:t>
            </w:r>
            <w:r w:rsidR="00050C01">
              <w:rPr>
                <w:sz w:val="17"/>
                <w:szCs w:val="17"/>
                <w:lang w:val="en-GB"/>
              </w:rPr>
              <w:t>-</w:t>
            </w:r>
            <w:r w:rsidRPr="00444069">
              <w:rPr>
                <w:sz w:val="17"/>
                <w:szCs w:val="17"/>
                <w:lang w:val="en-GB"/>
              </w:rPr>
              <w:t>making.</w:t>
            </w:r>
          </w:p>
          <w:p w14:paraId="77466E5B" w14:textId="77777777" w:rsidR="0024569A" w:rsidRPr="00444069" w:rsidRDefault="0024569A" w:rsidP="00BD43AF">
            <w:pPr>
              <w:autoSpaceDE w:val="0"/>
              <w:autoSpaceDN w:val="0"/>
              <w:adjustRightInd w:val="0"/>
              <w:rPr>
                <w:sz w:val="17"/>
                <w:szCs w:val="17"/>
                <w:lang w:val="en-GB"/>
              </w:rPr>
            </w:pPr>
          </w:p>
          <w:p w14:paraId="64049750" w14:textId="691D9BE8" w:rsidR="0024569A" w:rsidRPr="004806F2" w:rsidRDefault="0024569A" w:rsidP="00BD43AF">
            <w:pPr>
              <w:spacing w:line="276" w:lineRule="auto"/>
              <w:rPr>
                <w:sz w:val="17"/>
                <w:szCs w:val="17"/>
                <w:lang w:val="en-GB"/>
              </w:rPr>
            </w:pPr>
            <w:r w:rsidRPr="004806F2">
              <w:rPr>
                <w:sz w:val="17"/>
                <w:szCs w:val="17"/>
                <w:lang w:val="en-GB"/>
              </w:rPr>
              <w:t xml:space="preserve">Indicator 2.2.1 Proportion of women empowered to participate </w:t>
            </w:r>
            <w:r w:rsidR="00050C01" w:rsidRPr="004806F2">
              <w:rPr>
                <w:sz w:val="17"/>
                <w:szCs w:val="17"/>
                <w:lang w:val="en-GB"/>
              </w:rPr>
              <w:t xml:space="preserve">actively </w:t>
            </w:r>
            <w:r w:rsidRPr="004806F2">
              <w:rPr>
                <w:sz w:val="17"/>
                <w:szCs w:val="17"/>
                <w:lang w:val="en-GB"/>
              </w:rPr>
              <w:t>in local decision</w:t>
            </w:r>
            <w:r w:rsidR="00050C01">
              <w:rPr>
                <w:sz w:val="17"/>
                <w:szCs w:val="17"/>
                <w:lang w:val="en-GB"/>
              </w:rPr>
              <w:t>-</w:t>
            </w:r>
            <w:r w:rsidRPr="004806F2">
              <w:rPr>
                <w:sz w:val="17"/>
                <w:szCs w:val="17"/>
                <w:lang w:val="en-GB"/>
              </w:rPr>
              <w:t>making</w:t>
            </w:r>
          </w:p>
          <w:p w14:paraId="1F2DB474" w14:textId="33F0856A" w:rsidR="0024569A" w:rsidRPr="004806F2" w:rsidRDefault="0024569A" w:rsidP="00BD43AF">
            <w:pPr>
              <w:pStyle w:val="Heading1"/>
              <w:rPr>
                <w:rFonts w:ascii="Times New Roman" w:hAnsi="Times New Roman"/>
                <w:b w:val="0"/>
                <w:spacing w:val="0"/>
                <w:sz w:val="17"/>
                <w:szCs w:val="17"/>
                <w:lang w:val="en-GB" w:eastAsia="en-US"/>
              </w:rPr>
            </w:pPr>
            <w:r w:rsidRPr="004806F2">
              <w:rPr>
                <w:rFonts w:ascii="Times New Roman" w:hAnsi="Times New Roman"/>
                <w:b w:val="0"/>
                <w:spacing w:val="0"/>
                <w:sz w:val="17"/>
                <w:szCs w:val="17"/>
                <w:lang w:val="en-GB" w:eastAsia="en-US"/>
              </w:rPr>
              <w:t>Baseline (</w:t>
            </w:r>
            <w:r w:rsidR="00827384" w:rsidRPr="004806F2">
              <w:rPr>
                <w:rFonts w:ascii="Times New Roman" w:hAnsi="Times New Roman"/>
                <w:b w:val="0"/>
                <w:spacing w:val="0"/>
                <w:sz w:val="17"/>
                <w:szCs w:val="17"/>
                <w:lang w:val="en-GB" w:eastAsia="en-US"/>
              </w:rPr>
              <w:t>2021</w:t>
            </w:r>
            <w:r w:rsidRPr="004806F2">
              <w:rPr>
                <w:rFonts w:ascii="Times New Roman" w:hAnsi="Times New Roman"/>
                <w:b w:val="0"/>
                <w:spacing w:val="0"/>
                <w:sz w:val="17"/>
                <w:szCs w:val="17"/>
                <w:lang w:val="en-GB" w:eastAsia="en-US"/>
              </w:rPr>
              <w:t xml:space="preserve">): </w:t>
            </w:r>
            <w:r w:rsidR="00827384" w:rsidRPr="004806F2">
              <w:rPr>
                <w:rFonts w:ascii="Times New Roman" w:hAnsi="Times New Roman"/>
                <w:b w:val="0"/>
                <w:spacing w:val="0"/>
                <w:sz w:val="17"/>
                <w:szCs w:val="17"/>
                <w:lang w:val="en-GB" w:eastAsia="en-US"/>
              </w:rPr>
              <w:t>0</w:t>
            </w:r>
            <w:r w:rsidR="00DB18CD">
              <w:rPr>
                <w:rFonts w:ascii="Times New Roman" w:hAnsi="Times New Roman"/>
                <w:b w:val="0"/>
                <w:spacing w:val="0"/>
                <w:sz w:val="17"/>
                <w:szCs w:val="17"/>
                <w:lang w:val="en-GB" w:eastAsia="en-US"/>
              </w:rPr>
              <w:t>%</w:t>
            </w:r>
          </w:p>
          <w:p w14:paraId="37707832" w14:textId="616324F2" w:rsidR="0024569A" w:rsidRPr="004806F2" w:rsidRDefault="0024569A" w:rsidP="00BD43AF">
            <w:pPr>
              <w:spacing w:line="276" w:lineRule="auto"/>
              <w:rPr>
                <w:sz w:val="17"/>
                <w:szCs w:val="17"/>
                <w:lang w:val="en-GB"/>
              </w:rPr>
            </w:pPr>
            <w:r w:rsidRPr="004806F2">
              <w:rPr>
                <w:sz w:val="17"/>
                <w:szCs w:val="17"/>
                <w:lang w:val="en-GB"/>
              </w:rPr>
              <w:t xml:space="preserve">Target (2024): </w:t>
            </w:r>
            <w:r w:rsidR="00D90505" w:rsidRPr="004806F2">
              <w:rPr>
                <w:sz w:val="17"/>
                <w:szCs w:val="17"/>
                <w:lang w:val="en-GB"/>
              </w:rPr>
              <w:t>10%</w:t>
            </w:r>
          </w:p>
          <w:p w14:paraId="5D0263DA" w14:textId="2A701842" w:rsidR="00F67A59" w:rsidRPr="00DB3165" w:rsidRDefault="00F67A59" w:rsidP="00F67A59">
            <w:pPr>
              <w:autoSpaceDE w:val="0"/>
              <w:autoSpaceDN w:val="0"/>
              <w:adjustRightInd w:val="0"/>
              <w:rPr>
                <w:sz w:val="17"/>
                <w:szCs w:val="17"/>
                <w:lang w:val="en-GB"/>
              </w:rPr>
            </w:pPr>
            <w:r w:rsidRPr="004806F2">
              <w:rPr>
                <w:sz w:val="17"/>
                <w:szCs w:val="17"/>
                <w:lang w:val="en-GB"/>
              </w:rPr>
              <w:t xml:space="preserve">Data source: </w:t>
            </w:r>
            <w:r>
              <w:rPr>
                <w:sz w:val="17"/>
                <w:szCs w:val="17"/>
                <w:lang w:val="en-GB"/>
              </w:rPr>
              <w:t>Strengthen Institutional and</w:t>
            </w:r>
            <w:r w:rsidRPr="004806F2">
              <w:rPr>
                <w:sz w:val="17"/>
                <w:szCs w:val="17"/>
                <w:lang w:val="en-GB"/>
              </w:rPr>
              <w:t xml:space="preserve"> Economic Resilience, </w:t>
            </w:r>
            <w:r>
              <w:rPr>
                <w:sz w:val="17"/>
                <w:szCs w:val="17"/>
                <w:lang w:val="en-GB"/>
              </w:rPr>
              <w:t>Rule of Law project reports;</w:t>
            </w:r>
            <w:r w:rsidRPr="00DB3165">
              <w:rPr>
                <w:sz w:val="17"/>
                <w:szCs w:val="17"/>
                <w:lang w:val="en-GB"/>
              </w:rPr>
              <w:t xml:space="preserve"> frequency: annual </w:t>
            </w:r>
          </w:p>
          <w:p w14:paraId="70BFD686" w14:textId="3040CC0F" w:rsidR="0024569A" w:rsidRPr="00DB3165" w:rsidRDefault="0024569A" w:rsidP="00BD43AF">
            <w:pPr>
              <w:autoSpaceDE w:val="0"/>
              <w:autoSpaceDN w:val="0"/>
              <w:adjustRightInd w:val="0"/>
              <w:rPr>
                <w:sz w:val="17"/>
                <w:szCs w:val="17"/>
                <w:lang w:val="en-GB"/>
              </w:rPr>
            </w:pPr>
          </w:p>
          <w:p w14:paraId="0A95D402" w14:textId="77777777" w:rsidR="0024569A" w:rsidRPr="00DB3165" w:rsidRDefault="0024569A" w:rsidP="00BD43AF">
            <w:pPr>
              <w:autoSpaceDE w:val="0"/>
              <w:autoSpaceDN w:val="0"/>
              <w:adjustRightInd w:val="0"/>
              <w:rPr>
                <w:sz w:val="17"/>
                <w:szCs w:val="17"/>
                <w:lang w:val="en-GB"/>
              </w:rPr>
            </w:pPr>
          </w:p>
          <w:p w14:paraId="30F317FC" w14:textId="6A62DF8E" w:rsidR="0024569A" w:rsidRPr="009B4526" w:rsidRDefault="0024569A" w:rsidP="00BD43AF">
            <w:pPr>
              <w:autoSpaceDE w:val="0"/>
              <w:autoSpaceDN w:val="0"/>
              <w:adjustRightInd w:val="0"/>
              <w:rPr>
                <w:sz w:val="17"/>
                <w:szCs w:val="17"/>
                <w:lang w:val="en-GB"/>
              </w:rPr>
            </w:pPr>
            <w:r w:rsidRPr="009B4526">
              <w:rPr>
                <w:b/>
                <w:bCs/>
                <w:sz w:val="17"/>
                <w:szCs w:val="17"/>
                <w:lang w:val="en-GB"/>
              </w:rPr>
              <w:t>Output 2.3</w:t>
            </w:r>
            <w:r w:rsidR="00050C01">
              <w:rPr>
                <w:b/>
                <w:bCs/>
                <w:sz w:val="17"/>
                <w:szCs w:val="17"/>
                <w:lang w:val="en-GB"/>
              </w:rPr>
              <w:t>.</w:t>
            </w:r>
            <w:r w:rsidRPr="009B4526">
              <w:rPr>
                <w:sz w:val="17"/>
                <w:szCs w:val="17"/>
                <w:lang w:val="en-GB"/>
              </w:rPr>
              <w:t xml:space="preserve"> Capacities of justice and rule of law institutions strengthened to expand </w:t>
            </w:r>
            <w:r w:rsidR="009D7E5C" w:rsidRPr="009B4526">
              <w:rPr>
                <w:sz w:val="17"/>
                <w:szCs w:val="17"/>
                <w:lang w:val="en-GB"/>
              </w:rPr>
              <w:t xml:space="preserve">human rights, </w:t>
            </w:r>
            <w:r w:rsidRPr="009B4526">
              <w:rPr>
                <w:sz w:val="17"/>
                <w:szCs w:val="17"/>
                <w:lang w:val="en-GB"/>
              </w:rPr>
              <w:t>access to justice, safety, and security with a focus on women, girls and other marginali</w:t>
            </w:r>
            <w:r w:rsidR="00050C01">
              <w:rPr>
                <w:sz w:val="17"/>
                <w:szCs w:val="17"/>
                <w:lang w:val="en-GB"/>
              </w:rPr>
              <w:t>z</w:t>
            </w:r>
            <w:r w:rsidRPr="009B4526">
              <w:rPr>
                <w:sz w:val="17"/>
                <w:szCs w:val="17"/>
                <w:lang w:val="en-GB"/>
              </w:rPr>
              <w:t>ed groups</w:t>
            </w:r>
          </w:p>
          <w:p w14:paraId="78EBEE6B" w14:textId="77777777" w:rsidR="0024569A" w:rsidRPr="009B4526" w:rsidRDefault="0024569A" w:rsidP="00BD43AF">
            <w:pPr>
              <w:autoSpaceDE w:val="0"/>
              <w:autoSpaceDN w:val="0"/>
              <w:adjustRightInd w:val="0"/>
              <w:rPr>
                <w:sz w:val="17"/>
                <w:szCs w:val="17"/>
                <w:lang w:val="en-GB"/>
              </w:rPr>
            </w:pPr>
          </w:p>
          <w:p w14:paraId="6545EA22" w14:textId="71425D86" w:rsidR="00D83169" w:rsidRPr="009B4526" w:rsidRDefault="0024569A" w:rsidP="00BD43AF">
            <w:pPr>
              <w:autoSpaceDE w:val="0"/>
              <w:autoSpaceDN w:val="0"/>
              <w:adjustRightInd w:val="0"/>
              <w:rPr>
                <w:sz w:val="17"/>
                <w:szCs w:val="17"/>
                <w:lang w:val="en-GB"/>
              </w:rPr>
            </w:pPr>
            <w:r w:rsidRPr="009B4526">
              <w:rPr>
                <w:sz w:val="17"/>
                <w:szCs w:val="17"/>
                <w:lang w:val="en-GB"/>
              </w:rPr>
              <w:t xml:space="preserve">Indicator 2.3.1 </w:t>
            </w:r>
            <w:r w:rsidR="00D83169" w:rsidRPr="009B4526">
              <w:rPr>
                <w:sz w:val="17"/>
                <w:szCs w:val="17"/>
                <w:lang w:val="en-GB"/>
              </w:rPr>
              <w:t xml:space="preserve">Number of </w:t>
            </w:r>
            <w:r w:rsidR="00A422DE" w:rsidRPr="009B4526">
              <w:rPr>
                <w:sz w:val="17"/>
                <w:szCs w:val="17"/>
                <w:lang w:val="en-GB"/>
              </w:rPr>
              <w:t>r</w:t>
            </w:r>
            <w:r w:rsidR="00D83169" w:rsidRPr="009B4526">
              <w:rPr>
                <w:sz w:val="17"/>
                <w:szCs w:val="17"/>
                <w:lang w:val="en-GB"/>
              </w:rPr>
              <w:t xml:space="preserve">ule of </w:t>
            </w:r>
            <w:r w:rsidR="00B306B3" w:rsidRPr="009B4526">
              <w:rPr>
                <w:sz w:val="17"/>
                <w:szCs w:val="17"/>
                <w:lang w:val="en-GB"/>
              </w:rPr>
              <w:t>law-related</w:t>
            </w:r>
            <w:r w:rsidR="00D83169" w:rsidRPr="009B4526">
              <w:rPr>
                <w:sz w:val="17"/>
                <w:szCs w:val="17"/>
                <w:lang w:val="en-GB"/>
              </w:rPr>
              <w:t xml:space="preserve"> institutions rehabilitated and operationalized </w:t>
            </w:r>
          </w:p>
          <w:p w14:paraId="73C3A638" w14:textId="5A5463E7" w:rsidR="0024569A" w:rsidRPr="009B4526" w:rsidRDefault="0024569A" w:rsidP="00BD43AF">
            <w:pPr>
              <w:autoSpaceDE w:val="0"/>
              <w:autoSpaceDN w:val="0"/>
              <w:adjustRightInd w:val="0"/>
              <w:rPr>
                <w:sz w:val="17"/>
                <w:szCs w:val="17"/>
                <w:lang w:val="en-GB"/>
              </w:rPr>
            </w:pPr>
            <w:r w:rsidRPr="009B4526">
              <w:rPr>
                <w:sz w:val="17"/>
                <w:szCs w:val="17"/>
                <w:lang w:val="en-GB"/>
              </w:rPr>
              <w:t>Baseline (202</w:t>
            </w:r>
            <w:r w:rsidR="00C849BE" w:rsidRPr="009B4526">
              <w:rPr>
                <w:sz w:val="17"/>
                <w:szCs w:val="17"/>
                <w:lang w:val="en-GB"/>
              </w:rPr>
              <w:t>1</w:t>
            </w:r>
            <w:r w:rsidRPr="009B4526">
              <w:rPr>
                <w:sz w:val="17"/>
                <w:szCs w:val="17"/>
                <w:lang w:val="en-GB"/>
              </w:rPr>
              <w:t>):</w:t>
            </w:r>
            <w:r w:rsidR="00C849BE" w:rsidRPr="009B4526">
              <w:rPr>
                <w:sz w:val="17"/>
                <w:szCs w:val="17"/>
                <w:lang w:val="en-GB"/>
              </w:rPr>
              <w:t>18</w:t>
            </w:r>
          </w:p>
          <w:p w14:paraId="33CCA270" w14:textId="72896922" w:rsidR="0024569A" w:rsidRPr="00A2394E" w:rsidRDefault="0024569A" w:rsidP="00BD43AF">
            <w:pPr>
              <w:autoSpaceDE w:val="0"/>
              <w:autoSpaceDN w:val="0"/>
              <w:adjustRightInd w:val="0"/>
              <w:rPr>
                <w:sz w:val="17"/>
                <w:szCs w:val="17"/>
                <w:lang w:val="en-GB"/>
              </w:rPr>
            </w:pPr>
            <w:r w:rsidRPr="009B4526">
              <w:rPr>
                <w:sz w:val="17"/>
                <w:szCs w:val="17"/>
                <w:lang w:val="en-GB"/>
              </w:rPr>
              <w:t xml:space="preserve">Target (2024): </w:t>
            </w:r>
            <w:r w:rsidR="00C849BE" w:rsidRPr="009B4526">
              <w:rPr>
                <w:sz w:val="17"/>
                <w:szCs w:val="17"/>
                <w:lang w:val="en-GB"/>
              </w:rPr>
              <w:t>25</w:t>
            </w:r>
          </w:p>
          <w:p w14:paraId="24E4CC82" w14:textId="6D9093C5" w:rsidR="00F67A59" w:rsidRPr="00A2394E" w:rsidRDefault="00F67A59" w:rsidP="00F67A59">
            <w:pPr>
              <w:autoSpaceDE w:val="0"/>
              <w:autoSpaceDN w:val="0"/>
              <w:adjustRightInd w:val="0"/>
              <w:rPr>
                <w:sz w:val="17"/>
                <w:szCs w:val="17"/>
                <w:lang w:val="en-GB"/>
              </w:rPr>
            </w:pPr>
            <w:r w:rsidRPr="00A2394E">
              <w:rPr>
                <w:sz w:val="17"/>
                <w:szCs w:val="17"/>
                <w:lang w:val="en-GB"/>
              </w:rPr>
              <w:t xml:space="preserve">Data source: Rule of Law </w:t>
            </w:r>
            <w:r>
              <w:rPr>
                <w:sz w:val="17"/>
                <w:szCs w:val="17"/>
                <w:lang w:val="en-GB"/>
              </w:rPr>
              <w:t>project reports; frequency: annual</w:t>
            </w:r>
          </w:p>
          <w:p w14:paraId="76AF2A4D" w14:textId="0D59E811" w:rsidR="0024569A" w:rsidRPr="00A2394E" w:rsidRDefault="0024569A" w:rsidP="00BD43AF">
            <w:pPr>
              <w:autoSpaceDE w:val="0"/>
              <w:autoSpaceDN w:val="0"/>
              <w:adjustRightInd w:val="0"/>
              <w:rPr>
                <w:sz w:val="17"/>
                <w:szCs w:val="17"/>
                <w:lang w:val="en-GB"/>
              </w:rPr>
            </w:pPr>
          </w:p>
          <w:p w14:paraId="4FB50775" w14:textId="199A0108" w:rsidR="0024569A" w:rsidRPr="00A2394E" w:rsidRDefault="0024569A" w:rsidP="00BD43AF">
            <w:pPr>
              <w:autoSpaceDE w:val="0"/>
              <w:autoSpaceDN w:val="0"/>
              <w:adjustRightInd w:val="0"/>
              <w:rPr>
                <w:sz w:val="17"/>
                <w:szCs w:val="17"/>
                <w:lang w:val="en-GB"/>
              </w:rPr>
            </w:pPr>
            <w:r w:rsidRPr="00A2394E">
              <w:rPr>
                <w:sz w:val="17"/>
                <w:szCs w:val="17"/>
                <w:lang w:val="en-GB"/>
              </w:rPr>
              <w:t>Indicator 2.3.</w:t>
            </w:r>
            <w:r w:rsidR="0084574B" w:rsidRPr="00A2394E">
              <w:rPr>
                <w:sz w:val="17"/>
                <w:szCs w:val="17"/>
                <w:lang w:val="en-GB"/>
              </w:rPr>
              <w:t>2</w:t>
            </w:r>
            <w:r w:rsidRPr="00A2394E">
              <w:rPr>
                <w:sz w:val="17"/>
                <w:szCs w:val="17"/>
                <w:lang w:val="en-GB"/>
              </w:rPr>
              <w:t xml:space="preserve"> Number of people who have access to justice, disaggregated by sex and marginali</w:t>
            </w:r>
            <w:r w:rsidR="00050C01">
              <w:rPr>
                <w:sz w:val="17"/>
                <w:szCs w:val="17"/>
                <w:lang w:val="en-GB"/>
              </w:rPr>
              <w:t>z</w:t>
            </w:r>
            <w:r w:rsidRPr="00A2394E">
              <w:rPr>
                <w:sz w:val="17"/>
                <w:szCs w:val="17"/>
                <w:lang w:val="en-GB"/>
              </w:rPr>
              <w:t>ed groups.</w:t>
            </w:r>
          </w:p>
          <w:p w14:paraId="6EEBEB8B" w14:textId="5959B27C" w:rsidR="0024569A" w:rsidRPr="00444069" w:rsidRDefault="0024569A" w:rsidP="00BD43AF">
            <w:pPr>
              <w:autoSpaceDE w:val="0"/>
              <w:autoSpaceDN w:val="0"/>
              <w:adjustRightInd w:val="0"/>
              <w:rPr>
                <w:sz w:val="17"/>
                <w:szCs w:val="17"/>
                <w:lang w:val="en-GB"/>
              </w:rPr>
            </w:pPr>
            <w:r w:rsidRPr="00A2394E">
              <w:rPr>
                <w:sz w:val="17"/>
                <w:szCs w:val="17"/>
                <w:lang w:val="en-GB"/>
              </w:rPr>
              <w:t xml:space="preserve">Baseline (2021): </w:t>
            </w:r>
            <w:r w:rsidR="002504FF" w:rsidRPr="00A2394E">
              <w:rPr>
                <w:sz w:val="17"/>
                <w:szCs w:val="17"/>
                <w:lang w:val="en-GB"/>
              </w:rPr>
              <w:t>1,315,286</w:t>
            </w:r>
            <w:r w:rsidR="00050C01">
              <w:rPr>
                <w:sz w:val="17"/>
                <w:szCs w:val="17"/>
                <w:lang w:val="en-GB"/>
              </w:rPr>
              <w:t>;</w:t>
            </w:r>
            <w:r w:rsidRPr="00A2394E">
              <w:rPr>
                <w:sz w:val="17"/>
                <w:szCs w:val="17"/>
                <w:lang w:val="en-GB"/>
              </w:rPr>
              <w:t xml:space="preserve"> female </w:t>
            </w:r>
            <w:r w:rsidR="002504FF" w:rsidRPr="00A2394E">
              <w:rPr>
                <w:sz w:val="17"/>
                <w:szCs w:val="17"/>
                <w:lang w:val="en-GB"/>
              </w:rPr>
              <w:t>216,403</w:t>
            </w:r>
            <w:r w:rsidR="00050C01">
              <w:rPr>
                <w:sz w:val="17"/>
                <w:szCs w:val="17"/>
                <w:lang w:val="en-GB"/>
              </w:rPr>
              <w:t>;</w:t>
            </w:r>
            <w:r w:rsidRPr="00A2394E">
              <w:rPr>
                <w:sz w:val="17"/>
                <w:szCs w:val="17"/>
                <w:lang w:val="en-GB"/>
              </w:rPr>
              <w:t xml:space="preserve"> </w:t>
            </w:r>
            <w:r w:rsidR="00F53064" w:rsidRPr="00CA5B30">
              <w:rPr>
                <w:sz w:val="17"/>
                <w:szCs w:val="17"/>
                <w:lang w:val="en-GB"/>
              </w:rPr>
              <w:t>internally displaced persons (</w:t>
            </w:r>
            <w:r w:rsidRPr="00444069">
              <w:rPr>
                <w:sz w:val="17"/>
                <w:szCs w:val="17"/>
                <w:lang w:val="en-GB"/>
              </w:rPr>
              <w:t>IDPs</w:t>
            </w:r>
            <w:r w:rsidR="00F53064" w:rsidRPr="00444069">
              <w:rPr>
                <w:sz w:val="17"/>
                <w:szCs w:val="17"/>
                <w:lang w:val="en-GB"/>
              </w:rPr>
              <w:t xml:space="preserve">) </w:t>
            </w:r>
            <w:r w:rsidR="002504FF" w:rsidRPr="00444069">
              <w:rPr>
                <w:sz w:val="17"/>
                <w:szCs w:val="17"/>
                <w:lang w:val="en-GB"/>
              </w:rPr>
              <w:t>0</w:t>
            </w:r>
            <w:r w:rsidR="00050C01">
              <w:rPr>
                <w:sz w:val="17"/>
                <w:szCs w:val="17"/>
                <w:lang w:val="en-GB"/>
              </w:rPr>
              <w:t>;</w:t>
            </w:r>
            <w:r w:rsidRPr="00444069">
              <w:rPr>
                <w:sz w:val="17"/>
                <w:szCs w:val="17"/>
                <w:lang w:val="en-GB"/>
              </w:rPr>
              <w:t xml:space="preserve"> P</w:t>
            </w:r>
            <w:r w:rsidR="00050C01">
              <w:rPr>
                <w:sz w:val="17"/>
                <w:szCs w:val="17"/>
                <w:lang w:val="en-GB"/>
              </w:rPr>
              <w:t>ersons living with disabilities</w:t>
            </w:r>
            <w:r w:rsidRPr="00444069">
              <w:rPr>
                <w:sz w:val="17"/>
                <w:szCs w:val="17"/>
                <w:lang w:val="en-GB"/>
              </w:rPr>
              <w:t xml:space="preserve"> </w:t>
            </w:r>
            <w:r w:rsidR="002504FF" w:rsidRPr="00444069">
              <w:rPr>
                <w:sz w:val="17"/>
                <w:szCs w:val="17"/>
                <w:lang w:val="en-GB"/>
              </w:rPr>
              <w:t>0</w:t>
            </w:r>
          </w:p>
          <w:p w14:paraId="6BB81DBE" w14:textId="5239BACB" w:rsidR="0024569A" w:rsidRPr="00444069" w:rsidRDefault="0024569A" w:rsidP="00BD43AF">
            <w:pPr>
              <w:autoSpaceDE w:val="0"/>
              <w:autoSpaceDN w:val="0"/>
              <w:adjustRightInd w:val="0"/>
              <w:rPr>
                <w:sz w:val="17"/>
                <w:szCs w:val="17"/>
                <w:lang w:val="en-GB"/>
              </w:rPr>
            </w:pPr>
            <w:r w:rsidRPr="00444069">
              <w:rPr>
                <w:sz w:val="17"/>
                <w:szCs w:val="17"/>
                <w:lang w:val="en-GB"/>
              </w:rPr>
              <w:t xml:space="preserve">Target (2024): </w:t>
            </w:r>
            <w:r w:rsidR="000F67B4" w:rsidRPr="00444069">
              <w:rPr>
                <w:sz w:val="17"/>
                <w:szCs w:val="17"/>
                <w:lang w:val="en-GB"/>
              </w:rPr>
              <w:t>1</w:t>
            </w:r>
            <w:r w:rsidR="00183229" w:rsidRPr="00444069">
              <w:rPr>
                <w:sz w:val="17"/>
                <w:szCs w:val="17"/>
                <w:lang w:val="en-GB"/>
              </w:rPr>
              <w:t>,500,000</w:t>
            </w:r>
            <w:r w:rsidR="00050C01">
              <w:rPr>
                <w:sz w:val="17"/>
                <w:szCs w:val="17"/>
                <w:lang w:val="en-GB"/>
              </w:rPr>
              <w:t>;</w:t>
            </w:r>
            <w:r w:rsidRPr="00444069">
              <w:rPr>
                <w:sz w:val="17"/>
                <w:szCs w:val="17"/>
                <w:lang w:val="en-GB"/>
              </w:rPr>
              <w:t xml:space="preserve"> female </w:t>
            </w:r>
            <w:r w:rsidR="000F67B4" w:rsidRPr="00444069">
              <w:rPr>
                <w:sz w:val="17"/>
                <w:szCs w:val="17"/>
                <w:lang w:val="en-GB"/>
              </w:rPr>
              <w:t>300</w:t>
            </w:r>
            <w:r w:rsidR="00183229" w:rsidRPr="00444069">
              <w:rPr>
                <w:sz w:val="17"/>
                <w:szCs w:val="17"/>
                <w:lang w:val="en-GB"/>
              </w:rPr>
              <w:t>,000</w:t>
            </w:r>
            <w:r w:rsidRPr="00444069">
              <w:rPr>
                <w:sz w:val="17"/>
                <w:szCs w:val="17"/>
                <w:lang w:val="en-GB"/>
              </w:rPr>
              <w:t xml:space="preserve">, IDPs </w:t>
            </w:r>
            <w:r w:rsidR="000F67B4" w:rsidRPr="00444069">
              <w:rPr>
                <w:sz w:val="17"/>
                <w:szCs w:val="17"/>
                <w:lang w:val="en-GB"/>
              </w:rPr>
              <w:t>20</w:t>
            </w:r>
            <w:r w:rsidR="00183229" w:rsidRPr="00444069">
              <w:rPr>
                <w:sz w:val="17"/>
                <w:szCs w:val="17"/>
                <w:lang w:val="en-GB"/>
              </w:rPr>
              <w:t>,000</w:t>
            </w:r>
            <w:r w:rsidRPr="00444069">
              <w:rPr>
                <w:sz w:val="17"/>
                <w:szCs w:val="17"/>
                <w:lang w:val="en-GB"/>
              </w:rPr>
              <w:t xml:space="preserve">, PLWD </w:t>
            </w:r>
            <w:r w:rsidR="00183229" w:rsidRPr="00444069">
              <w:rPr>
                <w:sz w:val="17"/>
                <w:szCs w:val="17"/>
                <w:lang w:val="en-GB"/>
              </w:rPr>
              <w:t>5,000</w:t>
            </w:r>
          </w:p>
          <w:p w14:paraId="6FEAFE56" w14:textId="7AD7A0C8" w:rsidR="0024569A" w:rsidRPr="00444069" w:rsidRDefault="00206963" w:rsidP="00BD43AF">
            <w:pPr>
              <w:spacing w:line="276" w:lineRule="auto"/>
              <w:rPr>
                <w:sz w:val="17"/>
                <w:szCs w:val="17"/>
                <w:lang w:val="en-GB"/>
              </w:rPr>
            </w:pPr>
            <w:r>
              <w:rPr>
                <w:sz w:val="17"/>
                <w:szCs w:val="17"/>
                <w:lang w:val="en-GB"/>
              </w:rPr>
              <w:t>F</w:t>
            </w:r>
            <w:r w:rsidR="0024569A" w:rsidRPr="00444069">
              <w:rPr>
                <w:sz w:val="17"/>
                <w:szCs w:val="17"/>
                <w:lang w:val="en-GB"/>
              </w:rPr>
              <w:t xml:space="preserve">unctions in line with provisions of the peace process   </w:t>
            </w:r>
          </w:p>
          <w:p w14:paraId="786B857B" w14:textId="545D5A10" w:rsidR="00F67A59" w:rsidRPr="004806F2" w:rsidRDefault="00F67A59" w:rsidP="00F67A59">
            <w:pPr>
              <w:autoSpaceDE w:val="0"/>
              <w:autoSpaceDN w:val="0"/>
              <w:adjustRightInd w:val="0"/>
              <w:rPr>
                <w:sz w:val="17"/>
                <w:szCs w:val="17"/>
                <w:lang w:val="en-GB"/>
              </w:rPr>
            </w:pPr>
            <w:r w:rsidRPr="004806F2">
              <w:rPr>
                <w:sz w:val="17"/>
                <w:szCs w:val="17"/>
                <w:lang w:val="en-GB"/>
              </w:rPr>
              <w:t xml:space="preserve">Data source: Rule of Law </w:t>
            </w:r>
            <w:r>
              <w:rPr>
                <w:sz w:val="17"/>
                <w:szCs w:val="17"/>
                <w:lang w:val="en-GB"/>
              </w:rPr>
              <w:t>project reports; frequency: annual</w:t>
            </w:r>
          </w:p>
          <w:p w14:paraId="252C1404" w14:textId="77777777" w:rsidR="0024569A" w:rsidRPr="00444069" w:rsidRDefault="0024569A" w:rsidP="00BD43AF">
            <w:pPr>
              <w:spacing w:line="276" w:lineRule="auto"/>
              <w:rPr>
                <w:sz w:val="17"/>
                <w:szCs w:val="17"/>
                <w:lang w:val="en-GB"/>
              </w:rPr>
            </w:pPr>
          </w:p>
          <w:p w14:paraId="279FA081" w14:textId="77777777" w:rsidR="00F67A59" w:rsidRPr="00444069" w:rsidRDefault="00F67A59" w:rsidP="00F67A59">
            <w:pPr>
              <w:spacing w:line="276" w:lineRule="auto"/>
              <w:rPr>
                <w:sz w:val="17"/>
                <w:szCs w:val="17"/>
                <w:lang w:val="en-GB"/>
              </w:rPr>
            </w:pPr>
            <w:r w:rsidRPr="004806F2">
              <w:rPr>
                <w:b/>
                <w:bCs/>
                <w:sz w:val="17"/>
                <w:szCs w:val="17"/>
                <w:lang w:val="en-GB"/>
              </w:rPr>
              <w:t>Output 2.4</w:t>
            </w:r>
            <w:r>
              <w:rPr>
                <w:b/>
                <w:bCs/>
                <w:sz w:val="17"/>
                <w:szCs w:val="17"/>
                <w:lang w:val="en-GB"/>
              </w:rPr>
              <w:t>.</w:t>
            </w:r>
            <w:r w:rsidRPr="00181B51">
              <w:rPr>
                <w:sz w:val="17"/>
                <w:szCs w:val="17"/>
                <w:lang w:val="en-GB"/>
              </w:rPr>
              <w:t xml:space="preserve"> </w:t>
            </w:r>
            <w:r w:rsidRPr="00444069">
              <w:rPr>
                <w:sz w:val="17"/>
                <w:szCs w:val="17"/>
                <w:lang w:val="en-GB"/>
              </w:rPr>
              <w:t xml:space="preserve">Key governance institutions are enabled to perform core </w:t>
            </w:r>
            <w:r>
              <w:rPr>
                <w:sz w:val="17"/>
                <w:szCs w:val="17"/>
                <w:lang w:val="en-GB"/>
              </w:rPr>
              <w:t>f</w:t>
            </w:r>
            <w:r w:rsidRPr="00444069">
              <w:rPr>
                <w:sz w:val="17"/>
                <w:szCs w:val="17"/>
                <w:lang w:val="en-GB"/>
              </w:rPr>
              <w:t xml:space="preserve">unctions in line with provisions of the peace process   </w:t>
            </w:r>
          </w:p>
          <w:p w14:paraId="31DD29D7" w14:textId="77777777" w:rsidR="00F67A59" w:rsidRPr="00444069" w:rsidRDefault="00F67A59" w:rsidP="00F67A59">
            <w:pPr>
              <w:spacing w:line="276" w:lineRule="auto"/>
              <w:rPr>
                <w:sz w:val="17"/>
                <w:szCs w:val="17"/>
                <w:lang w:val="en-GB"/>
              </w:rPr>
            </w:pPr>
          </w:p>
          <w:p w14:paraId="2708B126" w14:textId="0F6520D2" w:rsidR="0024569A" w:rsidRPr="00444069" w:rsidRDefault="0024569A" w:rsidP="00BD43AF">
            <w:pPr>
              <w:spacing w:line="276" w:lineRule="auto"/>
              <w:rPr>
                <w:sz w:val="17"/>
                <w:szCs w:val="17"/>
                <w:lang w:val="en-GB"/>
              </w:rPr>
            </w:pPr>
            <w:r w:rsidRPr="00444069">
              <w:rPr>
                <w:sz w:val="17"/>
                <w:szCs w:val="17"/>
                <w:lang w:val="en-GB"/>
              </w:rPr>
              <w:t>Indicator 2.4.1 Extent</w:t>
            </w:r>
            <w:r w:rsidR="00206963">
              <w:rPr>
                <w:sz w:val="17"/>
                <w:szCs w:val="17"/>
                <w:lang w:val="en-GB"/>
              </w:rPr>
              <w:t xml:space="preserve"> </w:t>
            </w:r>
            <w:r w:rsidRPr="00444069">
              <w:rPr>
                <w:sz w:val="17"/>
                <w:szCs w:val="17"/>
                <w:lang w:val="en-GB"/>
              </w:rPr>
              <w:t xml:space="preserve">to which governance institutions have requisite capacities to perform core functions. </w:t>
            </w:r>
          </w:p>
          <w:p w14:paraId="1380D487" w14:textId="77777777" w:rsidR="0024569A" w:rsidRPr="00444069" w:rsidRDefault="0024569A" w:rsidP="00BD43AF">
            <w:pPr>
              <w:spacing w:line="276" w:lineRule="auto"/>
              <w:rPr>
                <w:sz w:val="17"/>
                <w:szCs w:val="17"/>
                <w:lang w:val="en-GB"/>
              </w:rPr>
            </w:pPr>
            <w:r w:rsidRPr="00444069">
              <w:rPr>
                <w:sz w:val="17"/>
                <w:szCs w:val="17"/>
                <w:lang w:val="en-GB"/>
              </w:rPr>
              <w:lastRenderedPageBreak/>
              <w:t xml:space="preserve">Baseline (2022): 0 </w:t>
            </w:r>
          </w:p>
          <w:p w14:paraId="5065EABA" w14:textId="24C05790" w:rsidR="0024569A" w:rsidRPr="00444069" w:rsidRDefault="0024569A" w:rsidP="00BD43AF">
            <w:pPr>
              <w:spacing w:line="276" w:lineRule="auto"/>
              <w:rPr>
                <w:sz w:val="17"/>
                <w:szCs w:val="17"/>
                <w:lang w:val="en-GB"/>
              </w:rPr>
            </w:pPr>
            <w:r w:rsidRPr="00444069">
              <w:rPr>
                <w:sz w:val="17"/>
                <w:szCs w:val="17"/>
                <w:lang w:val="en-GB"/>
              </w:rPr>
              <w:t>Target (2024): 2</w:t>
            </w:r>
          </w:p>
          <w:p w14:paraId="58228FD7" w14:textId="77777777" w:rsidR="0024569A" w:rsidRDefault="00DB18CD" w:rsidP="00CA5B30">
            <w:pPr>
              <w:spacing w:line="276" w:lineRule="auto"/>
              <w:rPr>
                <w:sz w:val="16"/>
                <w:szCs w:val="16"/>
                <w:lang w:val="en-GB"/>
              </w:rPr>
            </w:pPr>
            <w:r>
              <w:rPr>
                <w:sz w:val="16"/>
                <w:szCs w:val="16"/>
                <w:lang w:val="en-GB"/>
              </w:rPr>
              <w:t xml:space="preserve">     </w:t>
            </w:r>
            <w:r w:rsidR="00743B36" w:rsidRPr="00444069">
              <w:rPr>
                <w:sz w:val="16"/>
                <w:szCs w:val="16"/>
                <w:lang w:val="en-GB"/>
              </w:rPr>
              <w:t>Scale: 1</w:t>
            </w:r>
            <w:r w:rsidR="00206963">
              <w:rPr>
                <w:sz w:val="16"/>
                <w:szCs w:val="16"/>
                <w:lang w:val="en-GB"/>
              </w:rPr>
              <w:t>=</w:t>
            </w:r>
            <w:r w:rsidR="00743B36" w:rsidRPr="00444069">
              <w:rPr>
                <w:sz w:val="16"/>
                <w:szCs w:val="16"/>
                <w:lang w:val="en-GB"/>
              </w:rPr>
              <w:t>limited capacity; 2</w:t>
            </w:r>
            <w:r w:rsidR="00206963">
              <w:rPr>
                <w:sz w:val="16"/>
                <w:szCs w:val="16"/>
                <w:lang w:val="en-GB"/>
              </w:rPr>
              <w:t>=</w:t>
            </w:r>
            <w:r w:rsidR="00743B36" w:rsidRPr="00444069">
              <w:rPr>
                <w:sz w:val="16"/>
                <w:szCs w:val="16"/>
                <w:lang w:val="en-GB"/>
              </w:rPr>
              <w:t>some capacity; 3</w:t>
            </w:r>
            <w:r w:rsidR="00206963">
              <w:rPr>
                <w:sz w:val="16"/>
                <w:szCs w:val="16"/>
                <w:lang w:val="en-GB"/>
              </w:rPr>
              <w:t>=</w:t>
            </w:r>
            <w:r w:rsidR="00743B36" w:rsidRPr="00444069">
              <w:rPr>
                <w:sz w:val="16"/>
                <w:szCs w:val="16"/>
                <w:lang w:val="en-GB"/>
              </w:rPr>
              <w:t>high capacity</w:t>
            </w:r>
          </w:p>
          <w:p w14:paraId="70EAB76F" w14:textId="34394707" w:rsidR="00F67A59" w:rsidRPr="00444069" w:rsidRDefault="00F67A59" w:rsidP="00F67A59">
            <w:pPr>
              <w:spacing w:line="276" w:lineRule="auto"/>
              <w:rPr>
                <w:sz w:val="17"/>
                <w:szCs w:val="17"/>
                <w:lang w:val="en-GB"/>
              </w:rPr>
            </w:pPr>
            <w:r w:rsidRPr="00444069">
              <w:rPr>
                <w:sz w:val="17"/>
                <w:szCs w:val="17"/>
                <w:lang w:val="en-GB"/>
              </w:rPr>
              <w:t>Data source: Project reports</w:t>
            </w:r>
            <w:r>
              <w:rPr>
                <w:sz w:val="17"/>
                <w:szCs w:val="17"/>
                <w:lang w:val="en-GB"/>
              </w:rPr>
              <w:t>;</w:t>
            </w:r>
            <w:r w:rsidRPr="00444069">
              <w:rPr>
                <w:sz w:val="17"/>
                <w:szCs w:val="17"/>
                <w:lang w:val="en-GB"/>
              </w:rPr>
              <w:t xml:space="preserve"> frequency: annual</w:t>
            </w:r>
          </w:p>
        </w:tc>
        <w:tc>
          <w:tcPr>
            <w:tcW w:w="894" w:type="pct"/>
            <w:vMerge w:val="restart"/>
          </w:tcPr>
          <w:p w14:paraId="778C23AB" w14:textId="7C4AE9ED" w:rsidR="0024569A" w:rsidRPr="00CA5B30" w:rsidRDefault="001226FC" w:rsidP="00BD43AF">
            <w:pPr>
              <w:spacing w:line="276" w:lineRule="auto"/>
              <w:rPr>
                <w:sz w:val="17"/>
                <w:szCs w:val="17"/>
                <w:lang w:val="en-GB"/>
              </w:rPr>
            </w:pPr>
            <w:r w:rsidRPr="00CA5B30">
              <w:rPr>
                <w:sz w:val="17"/>
                <w:szCs w:val="17"/>
                <w:lang w:val="en-GB"/>
              </w:rPr>
              <w:lastRenderedPageBreak/>
              <w:t>-</w:t>
            </w:r>
            <w:r w:rsidR="000134AF">
              <w:rPr>
                <w:sz w:val="17"/>
                <w:szCs w:val="17"/>
                <w:lang w:val="en-GB"/>
              </w:rPr>
              <w:t>European Union</w:t>
            </w:r>
          </w:p>
          <w:p w14:paraId="56414B2F" w14:textId="7C651918" w:rsidR="0024569A" w:rsidRPr="00CA5B30" w:rsidRDefault="001226FC" w:rsidP="00BD43AF">
            <w:pPr>
              <w:spacing w:line="276" w:lineRule="auto"/>
              <w:rPr>
                <w:sz w:val="17"/>
                <w:szCs w:val="17"/>
                <w:lang w:val="en-GB"/>
              </w:rPr>
            </w:pPr>
            <w:r w:rsidRPr="00CA5B30">
              <w:rPr>
                <w:sz w:val="17"/>
                <w:szCs w:val="17"/>
                <w:lang w:val="en-GB"/>
              </w:rPr>
              <w:t>-</w:t>
            </w:r>
            <w:r w:rsidR="0024569A" w:rsidRPr="00CA5B30">
              <w:rPr>
                <w:sz w:val="17"/>
                <w:szCs w:val="17"/>
                <w:lang w:val="en-GB"/>
              </w:rPr>
              <w:t>Sweden</w:t>
            </w:r>
          </w:p>
          <w:p w14:paraId="21EE31DA" w14:textId="4D80A395" w:rsidR="0024569A" w:rsidRPr="00CA5B30" w:rsidRDefault="001226FC" w:rsidP="00BD43AF">
            <w:pPr>
              <w:spacing w:line="276" w:lineRule="auto"/>
              <w:rPr>
                <w:sz w:val="17"/>
                <w:szCs w:val="17"/>
                <w:lang w:val="en-GB"/>
              </w:rPr>
            </w:pPr>
            <w:r w:rsidRPr="00CA5B30">
              <w:rPr>
                <w:sz w:val="17"/>
                <w:szCs w:val="17"/>
                <w:lang w:val="en-GB"/>
              </w:rPr>
              <w:t>-</w:t>
            </w:r>
            <w:r w:rsidR="0024569A" w:rsidRPr="00CA5B30">
              <w:rPr>
                <w:sz w:val="17"/>
                <w:szCs w:val="17"/>
                <w:lang w:val="en-GB"/>
              </w:rPr>
              <w:t>Japan</w:t>
            </w:r>
          </w:p>
          <w:p w14:paraId="49FB41A0" w14:textId="5B105A54" w:rsidR="0024569A" w:rsidRPr="00CA5B30" w:rsidRDefault="001226FC" w:rsidP="00BD43AF">
            <w:pPr>
              <w:spacing w:line="276" w:lineRule="auto"/>
              <w:rPr>
                <w:sz w:val="17"/>
                <w:szCs w:val="17"/>
                <w:lang w:val="en-GB"/>
              </w:rPr>
            </w:pPr>
            <w:r w:rsidRPr="00CA5B30">
              <w:rPr>
                <w:sz w:val="17"/>
                <w:szCs w:val="17"/>
                <w:lang w:val="en-GB"/>
              </w:rPr>
              <w:t>-</w:t>
            </w:r>
            <w:r w:rsidR="0024569A" w:rsidRPr="00CA5B30">
              <w:rPr>
                <w:sz w:val="17"/>
                <w:szCs w:val="17"/>
                <w:lang w:val="en-GB"/>
              </w:rPr>
              <w:t>Netherlands</w:t>
            </w:r>
          </w:p>
          <w:p w14:paraId="47117143" w14:textId="1D662222" w:rsidR="0024569A" w:rsidRPr="00CA5B30" w:rsidRDefault="001226FC" w:rsidP="00BD43AF">
            <w:pPr>
              <w:spacing w:line="276" w:lineRule="auto"/>
              <w:rPr>
                <w:sz w:val="17"/>
                <w:szCs w:val="17"/>
                <w:lang w:val="en-GB"/>
              </w:rPr>
            </w:pPr>
            <w:r w:rsidRPr="00CA5B30">
              <w:rPr>
                <w:sz w:val="17"/>
                <w:szCs w:val="17"/>
                <w:lang w:val="en-GB"/>
              </w:rPr>
              <w:t>-</w:t>
            </w:r>
            <w:r w:rsidR="0024569A" w:rsidRPr="00CA5B30">
              <w:rPr>
                <w:sz w:val="17"/>
                <w:szCs w:val="17"/>
                <w:lang w:val="en-GB"/>
              </w:rPr>
              <w:t>Republic of Korea</w:t>
            </w:r>
          </w:p>
          <w:p w14:paraId="033304E4" w14:textId="77094625" w:rsidR="0024569A" w:rsidRPr="00CA5B30" w:rsidRDefault="001226FC" w:rsidP="00BD43AF">
            <w:pPr>
              <w:spacing w:line="276" w:lineRule="auto"/>
              <w:rPr>
                <w:sz w:val="17"/>
                <w:szCs w:val="17"/>
                <w:lang w:val="en-GB"/>
              </w:rPr>
            </w:pPr>
            <w:r w:rsidRPr="00CA5B30">
              <w:rPr>
                <w:sz w:val="17"/>
                <w:szCs w:val="17"/>
                <w:lang w:val="en-GB"/>
              </w:rPr>
              <w:t>-</w:t>
            </w:r>
            <w:r w:rsidR="0024569A" w:rsidRPr="00CA5B30">
              <w:rPr>
                <w:sz w:val="17"/>
                <w:szCs w:val="17"/>
                <w:lang w:val="en-GB"/>
              </w:rPr>
              <w:t>UN-H</w:t>
            </w:r>
            <w:r w:rsidR="00B65C1E" w:rsidRPr="00444069">
              <w:rPr>
                <w:sz w:val="17"/>
                <w:szCs w:val="17"/>
                <w:lang w:val="en-GB"/>
              </w:rPr>
              <w:t>abitat</w:t>
            </w:r>
          </w:p>
          <w:p w14:paraId="574F415E" w14:textId="4C9020CB" w:rsidR="0024569A" w:rsidRPr="00CA5B30" w:rsidRDefault="001226FC" w:rsidP="00BD43AF">
            <w:pPr>
              <w:spacing w:line="276" w:lineRule="auto"/>
              <w:rPr>
                <w:sz w:val="17"/>
                <w:szCs w:val="17"/>
                <w:lang w:val="en-GB"/>
              </w:rPr>
            </w:pPr>
            <w:r w:rsidRPr="00CA5B30">
              <w:rPr>
                <w:sz w:val="17"/>
                <w:szCs w:val="17"/>
                <w:lang w:val="en-GB"/>
              </w:rPr>
              <w:lastRenderedPageBreak/>
              <w:t>-</w:t>
            </w:r>
            <w:r w:rsidR="00BD43AF" w:rsidRPr="00444069">
              <w:rPr>
                <w:lang w:val="en-GB"/>
              </w:rPr>
              <w:t xml:space="preserve"> </w:t>
            </w:r>
            <w:r w:rsidR="00BD43AF" w:rsidRPr="00CA5B30">
              <w:rPr>
                <w:sz w:val="17"/>
                <w:szCs w:val="17"/>
                <w:lang w:val="en-GB"/>
              </w:rPr>
              <w:t>Office of the Special Envoy of the Secretary-General for Yemen</w:t>
            </w:r>
          </w:p>
          <w:p w14:paraId="168BA93E" w14:textId="3F1F0EEB" w:rsidR="0024569A" w:rsidRPr="00CA5B30" w:rsidRDefault="001226FC" w:rsidP="00BD43AF">
            <w:pPr>
              <w:spacing w:line="276" w:lineRule="auto"/>
              <w:rPr>
                <w:sz w:val="17"/>
                <w:szCs w:val="17"/>
                <w:lang w:val="en-GB"/>
              </w:rPr>
            </w:pPr>
            <w:r w:rsidRPr="00CA5B30">
              <w:rPr>
                <w:sz w:val="17"/>
                <w:szCs w:val="17"/>
                <w:lang w:val="en-GB"/>
              </w:rPr>
              <w:t>-</w:t>
            </w:r>
            <w:r w:rsidR="0024569A" w:rsidRPr="00CA5B30">
              <w:rPr>
                <w:sz w:val="17"/>
                <w:szCs w:val="17"/>
                <w:lang w:val="en-GB"/>
              </w:rPr>
              <w:t>UN-Women</w:t>
            </w:r>
          </w:p>
          <w:p w14:paraId="06E85DD5" w14:textId="258C31B4" w:rsidR="0024569A" w:rsidRPr="00CA5B30" w:rsidRDefault="001226FC" w:rsidP="00BD43AF">
            <w:pPr>
              <w:spacing w:line="276" w:lineRule="auto"/>
              <w:rPr>
                <w:sz w:val="17"/>
                <w:szCs w:val="17"/>
                <w:lang w:val="en-GB"/>
              </w:rPr>
            </w:pPr>
            <w:r w:rsidRPr="00CA5B30">
              <w:rPr>
                <w:sz w:val="17"/>
                <w:szCs w:val="17"/>
                <w:lang w:val="en-GB"/>
              </w:rPr>
              <w:t>-</w:t>
            </w:r>
            <w:r w:rsidR="0024569A" w:rsidRPr="00CA5B30">
              <w:rPr>
                <w:sz w:val="17"/>
                <w:szCs w:val="17"/>
                <w:lang w:val="en-GB"/>
              </w:rPr>
              <w:t>UNICEF</w:t>
            </w:r>
          </w:p>
          <w:p w14:paraId="1B647199" w14:textId="0E5B8230" w:rsidR="0024569A" w:rsidRPr="00444069" w:rsidRDefault="001226FC" w:rsidP="00BD43AF">
            <w:pPr>
              <w:spacing w:line="276" w:lineRule="auto"/>
              <w:rPr>
                <w:sz w:val="17"/>
                <w:szCs w:val="17"/>
                <w:lang w:val="en-GB"/>
              </w:rPr>
            </w:pPr>
            <w:r w:rsidRPr="00444069">
              <w:rPr>
                <w:sz w:val="17"/>
                <w:szCs w:val="17"/>
                <w:lang w:val="en-GB"/>
              </w:rPr>
              <w:t>-</w:t>
            </w:r>
            <w:r w:rsidR="0024569A" w:rsidRPr="00444069">
              <w:rPr>
                <w:sz w:val="17"/>
                <w:szCs w:val="17"/>
                <w:lang w:val="en-GB"/>
              </w:rPr>
              <w:t>UNHCR</w:t>
            </w:r>
          </w:p>
        </w:tc>
        <w:tc>
          <w:tcPr>
            <w:tcW w:w="497" w:type="pct"/>
            <w:tcMar>
              <w:top w:w="15" w:type="dxa"/>
              <w:left w:w="108" w:type="dxa"/>
              <w:bottom w:w="0" w:type="dxa"/>
              <w:right w:w="108" w:type="dxa"/>
            </w:tcMar>
          </w:tcPr>
          <w:p w14:paraId="53781D23" w14:textId="77777777" w:rsidR="007F7FE4" w:rsidRDefault="0024569A" w:rsidP="00BD43AF">
            <w:pPr>
              <w:rPr>
                <w:b/>
                <w:sz w:val="17"/>
                <w:szCs w:val="17"/>
                <w:lang w:val="en-GB"/>
              </w:rPr>
            </w:pPr>
            <w:r w:rsidRPr="00444069">
              <w:rPr>
                <w:b/>
                <w:sz w:val="17"/>
                <w:szCs w:val="17"/>
                <w:lang w:val="en-GB"/>
              </w:rPr>
              <w:lastRenderedPageBreak/>
              <w:t xml:space="preserve">Regular </w:t>
            </w:r>
          </w:p>
          <w:p w14:paraId="7766BD6A" w14:textId="4C554C7B" w:rsidR="0024569A" w:rsidRPr="00444069" w:rsidRDefault="0024569A" w:rsidP="00BD43AF">
            <w:pPr>
              <w:rPr>
                <w:b/>
                <w:sz w:val="17"/>
                <w:szCs w:val="17"/>
                <w:lang w:val="en-GB"/>
              </w:rPr>
            </w:pPr>
            <w:r w:rsidRPr="00444069">
              <w:rPr>
                <w:b/>
                <w:sz w:val="17"/>
                <w:szCs w:val="17"/>
                <w:lang w:val="en-GB"/>
              </w:rPr>
              <w:t xml:space="preserve">$3 </w:t>
            </w:r>
            <w:r w:rsidR="007F7FE4">
              <w:rPr>
                <w:b/>
                <w:sz w:val="17"/>
                <w:szCs w:val="17"/>
                <w:lang w:val="en-GB"/>
              </w:rPr>
              <w:t>m</w:t>
            </w:r>
            <w:r w:rsidRPr="00444069">
              <w:rPr>
                <w:b/>
                <w:sz w:val="17"/>
                <w:szCs w:val="17"/>
                <w:lang w:val="en-GB"/>
              </w:rPr>
              <w:t>illion</w:t>
            </w:r>
          </w:p>
        </w:tc>
      </w:tr>
      <w:tr w:rsidR="00C6248C" w:rsidRPr="00444069" w14:paraId="77135308" w14:textId="77777777" w:rsidTr="00BC34CA">
        <w:trPr>
          <w:trHeight w:val="461"/>
        </w:trPr>
        <w:tc>
          <w:tcPr>
            <w:tcW w:w="920" w:type="pct"/>
            <w:vMerge/>
            <w:tcMar>
              <w:top w:w="72" w:type="dxa"/>
              <w:left w:w="144" w:type="dxa"/>
              <w:bottom w:w="72" w:type="dxa"/>
              <w:right w:w="144" w:type="dxa"/>
            </w:tcMar>
          </w:tcPr>
          <w:p w14:paraId="5A881550" w14:textId="68155C54" w:rsidR="0024569A" w:rsidRPr="00444069" w:rsidRDefault="0024569A" w:rsidP="00BD43AF">
            <w:pPr>
              <w:rPr>
                <w:sz w:val="17"/>
                <w:szCs w:val="17"/>
                <w:lang w:val="en-GB"/>
              </w:rPr>
            </w:pPr>
          </w:p>
        </w:tc>
        <w:tc>
          <w:tcPr>
            <w:tcW w:w="541" w:type="pct"/>
            <w:vMerge/>
          </w:tcPr>
          <w:p w14:paraId="31A67355" w14:textId="77777777" w:rsidR="0024569A" w:rsidRPr="00444069" w:rsidRDefault="0024569A" w:rsidP="00BD43AF">
            <w:pPr>
              <w:rPr>
                <w:sz w:val="17"/>
                <w:szCs w:val="17"/>
                <w:lang w:val="en-GB"/>
              </w:rPr>
            </w:pPr>
          </w:p>
        </w:tc>
        <w:tc>
          <w:tcPr>
            <w:tcW w:w="2148" w:type="pct"/>
            <w:vMerge/>
            <w:tcMar>
              <w:top w:w="72" w:type="dxa"/>
              <w:left w:w="144" w:type="dxa"/>
              <w:bottom w:w="72" w:type="dxa"/>
              <w:right w:w="144" w:type="dxa"/>
            </w:tcMar>
          </w:tcPr>
          <w:p w14:paraId="59A3527A" w14:textId="77777777" w:rsidR="0024569A" w:rsidRPr="00444069" w:rsidRDefault="0024569A" w:rsidP="00BD43AF">
            <w:pPr>
              <w:rPr>
                <w:sz w:val="17"/>
                <w:szCs w:val="17"/>
                <w:lang w:val="en-GB"/>
              </w:rPr>
            </w:pPr>
          </w:p>
        </w:tc>
        <w:tc>
          <w:tcPr>
            <w:tcW w:w="894" w:type="pct"/>
            <w:vMerge/>
          </w:tcPr>
          <w:p w14:paraId="69A000EA" w14:textId="77777777" w:rsidR="0024569A" w:rsidRPr="00444069" w:rsidRDefault="0024569A" w:rsidP="00BD43AF">
            <w:pPr>
              <w:rPr>
                <w:sz w:val="17"/>
                <w:szCs w:val="17"/>
                <w:lang w:val="en-GB"/>
              </w:rPr>
            </w:pPr>
          </w:p>
        </w:tc>
        <w:tc>
          <w:tcPr>
            <w:tcW w:w="497" w:type="pct"/>
            <w:tcMar>
              <w:top w:w="15" w:type="dxa"/>
              <w:left w:w="108" w:type="dxa"/>
              <w:bottom w:w="0" w:type="dxa"/>
              <w:right w:w="108" w:type="dxa"/>
            </w:tcMar>
          </w:tcPr>
          <w:p w14:paraId="4446B6A8" w14:textId="77777777" w:rsidR="007F7FE4" w:rsidRDefault="0024569A" w:rsidP="00BD43AF">
            <w:pPr>
              <w:rPr>
                <w:b/>
                <w:sz w:val="17"/>
                <w:szCs w:val="17"/>
                <w:lang w:val="en-GB"/>
              </w:rPr>
            </w:pPr>
            <w:r w:rsidRPr="00444069">
              <w:rPr>
                <w:b/>
                <w:sz w:val="17"/>
                <w:szCs w:val="17"/>
                <w:lang w:val="en-GB"/>
              </w:rPr>
              <w:t xml:space="preserve">Other </w:t>
            </w:r>
          </w:p>
          <w:p w14:paraId="3A4FEEBE" w14:textId="370351B0" w:rsidR="0024569A" w:rsidRPr="00444069" w:rsidRDefault="0024569A" w:rsidP="00BD43AF">
            <w:pPr>
              <w:rPr>
                <w:b/>
                <w:sz w:val="17"/>
                <w:szCs w:val="17"/>
                <w:lang w:val="en-GB"/>
              </w:rPr>
            </w:pPr>
            <w:r w:rsidRPr="00444069">
              <w:rPr>
                <w:b/>
                <w:sz w:val="17"/>
                <w:szCs w:val="17"/>
                <w:lang w:val="en-GB"/>
              </w:rPr>
              <w:t xml:space="preserve">$66 </w:t>
            </w:r>
            <w:r w:rsidR="007F7FE4">
              <w:rPr>
                <w:b/>
                <w:sz w:val="17"/>
                <w:szCs w:val="17"/>
                <w:lang w:val="en-GB"/>
              </w:rPr>
              <w:t>m</w:t>
            </w:r>
            <w:r w:rsidRPr="00444069">
              <w:rPr>
                <w:b/>
                <w:sz w:val="17"/>
                <w:szCs w:val="17"/>
                <w:lang w:val="en-GB"/>
              </w:rPr>
              <w:t>illion</w:t>
            </w:r>
          </w:p>
          <w:p w14:paraId="5B5C180B" w14:textId="77777777" w:rsidR="0024569A" w:rsidRPr="00444069" w:rsidRDefault="0024569A" w:rsidP="00BC34CA">
            <w:pPr>
              <w:rPr>
                <w:b/>
                <w:sz w:val="17"/>
                <w:szCs w:val="17"/>
                <w:lang w:val="en-GB"/>
              </w:rPr>
            </w:pPr>
          </w:p>
        </w:tc>
      </w:tr>
      <w:tr w:rsidR="00C6248C" w:rsidRPr="00444069" w14:paraId="38A68849" w14:textId="77777777" w:rsidTr="00BC34CA">
        <w:trPr>
          <w:trHeight w:val="25"/>
        </w:trPr>
        <w:tc>
          <w:tcPr>
            <w:tcW w:w="5000" w:type="pct"/>
            <w:gridSpan w:val="5"/>
            <w:shd w:val="clear" w:color="auto" w:fill="DBE5F1" w:themeFill="accent1" w:themeFillTint="33"/>
            <w:tcMar>
              <w:top w:w="72" w:type="dxa"/>
              <w:left w:w="144" w:type="dxa"/>
              <w:bottom w:w="72" w:type="dxa"/>
              <w:right w:w="144" w:type="dxa"/>
            </w:tcMar>
          </w:tcPr>
          <w:p w14:paraId="3B654F78" w14:textId="77777777" w:rsidR="0024569A" w:rsidRPr="00444069" w:rsidRDefault="0024569A" w:rsidP="00BD43AF">
            <w:pPr>
              <w:rPr>
                <w:sz w:val="17"/>
                <w:szCs w:val="17"/>
                <w:lang w:val="en-GB"/>
              </w:rPr>
            </w:pPr>
            <w:r w:rsidRPr="00444069">
              <w:rPr>
                <w:b/>
                <w:bCs/>
                <w:sz w:val="17"/>
                <w:szCs w:val="17"/>
                <w:lang w:val="en-GB"/>
              </w:rPr>
              <w:lastRenderedPageBreak/>
              <w:t>NATIONAL PRIORITY OR GOAL: N/A</w:t>
            </w:r>
          </w:p>
        </w:tc>
      </w:tr>
      <w:tr w:rsidR="000134AF" w:rsidRPr="00444069" w14:paraId="5C93CB3E" w14:textId="77777777" w:rsidTr="00BC34CA">
        <w:trPr>
          <w:trHeight w:val="124"/>
        </w:trPr>
        <w:tc>
          <w:tcPr>
            <w:tcW w:w="5000" w:type="pct"/>
            <w:gridSpan w:val="5"/>
            <w:shd w:val="clear" w:color="auto" w:fill="DBE5F1" w:themeFill="accent1" w:themeFillTint="33"/>
            <w:tcMar>
              <w:top w:w="72" w:type="dxa"/>
              <w:left w:w="144" w:type="dxa"/>
              <w:bottom w:w="72" w:type="dxa"/>
              <w:right w:w="144" w:type="dxa"/>
            </w:tcMar>
          </w:tcPr>
          <w:p w14:paraId="67C71C41" w14:textId="09DD720F" w:rsidR="000134AF" w:rsidRPr="00444069" w:rsidRDefault="000134AF" w:rsidP="000134AF">
            <w:pPr>
              <w:rPr>
                <w:sz w:val="17"/>
                <w:szCs w:val="17"/>
                <w:lang w:val="en-GB"/>
              </w:rPr>
            </w:pPr>
            <w:r w:rsidRPr="00444069">
              <w:rPr>
                <w:b/>
                <w:bCs/>
                <w:sz w:val="17"/>
                <w:szCs w:val="17"/>
                <w:lang w:val="en-GB"/>
              </w:rPr>
              <w:t xml:space="preserve">COOPERATION FRAMEWORK (OR EQUIVALENT) OUTCOME INVOLVING UNDP </w:t>
            </w:r>
            <w:r>
              <w:rPr>
                <w:b/>
                <w:bCs/>
                <w:sz w:val="17"/>
                <w:szCs w:val="17"/>
                <w:lang w:val="en-GB"/>
              </w:rPr>
              <w:t xml:space="preserve">No. </w:t>
            </w:r>
            <w:r w:rsidRPr="00444069">
              <w:rPr>
                <w:b/>
                <w:bCs/>
                <w:sz w:val="17"/>
                <w:szCs w:val="17"/>
                <w:lang w:val="en-GB"/>
              </w:rPr>
              <w:t>3</w:t>
            </w:r>
            <w:r>
              <w:rPr>
                <w:b/>
                <w:bCs/>
                <w:sz w:val="17"/>
                <w:szCs w:val="17"/>
                <w:lang w:val="en-GB"/>
              </w:rPr>
              <w:t>.</w:t>
            </w:r>
            <w:r w:rsidRPr="00444069">
              <w:rPr>
                <w:sz w:val="17"/>
                <w:szCs w:val="17"/>
                <w:lang w:val="en-GB"/>
              </w:rPr>
              <w:t xml:space="preserve"> </w:t>
            </w:r>
            <w:r w:rsidRPr="0089325B">
              <w:rPr>
                <w:sz w:val="17"/>
                <w:szCs w:val="17"/>
                <w:lang w:val="en-GB"/>
              </w:rPr>
              <w:t>By 2024, people in Yemen, especially women, adolescents, girls and those at risk of being left behind, become more resilient to economic shocks by increasing their income security and access to decent work.</w:t>
            </w:r>
          </w:p>
        </w:tc>
      </w:tr>
      <w:tr w:rsidR="000134AF" w:rsidRPr="00444069" w14:paraId="014CAB96" w14:textId="77777777" w:rsidTr="00BC34CA">
        <w:trPr>
          <w:trHeight w:val="124"/>
        </w:trPr>
        <w:tc>
          <w:tcPr>
            <w:tcW w:w="5000" w:type="pct"/>
            <w:gridSpan w:val="5"/>
            <w:shd w:val="clear" w:color="auto" w:fill="DBE5F1" w:themeFill="accent1" w:themeFillTint="33"/>
            <w:tcMar>
              <w:top w:w="72" w:type="dxa"/>
              <w:left w:w="144" w:type="dxa"/>
              <w:bottom w:w="72" w:type="dxa"/>
              <w:right w:w="144" w:type="dxa"/>
            </w:tcMar>
          </w:tcPr>
          <w:p w14:paraId="2CE8FD5D" w14:textId="6F737A36" w:rsidR="000134AF" w:rsidRPr="00444069" w:rsidRDefault="000134AF" w:rsidP="000134AF">
            <w:pPr>
              <w:rPr>
                <w:b/>
                <w:bCs/>
                <w:sz w:val="17"/>
                <w:szCs w:val="17"/>
                <w:lang w:val="en-GB"/>
              </w:rPr>
            </w:pPr>
            <w:r w:rsidRPr="00444069">
              <w:rPr>
                <w:b/>
                <w:bCs/>
                <w:sz w:val="17"/>
                <w:szCs w:val="17"/>
                <w:lang w:val="en-GB"/>
              </w:rPr>
              <w:t>RELATED STRATEGIC PLAN OUTCOME</w:t>
            </w:r>
            <w:r>
              <w:rPr>
                <w:b/>
                <w:bCs/>
                <w:sz w:val="17"/>
                <w:szCs w:val="17"/>
                <w:lang w:val="en-GB"/>
              </w:rPr>
              <w:t xml:space="preserve"> 3.</w:t>
            </w:r>
            <w:r w:rsidRPr="00444069">
              <w:rPr>
                <w:sz w:val="17"/>
                <w:szCs w:val="17"/>
                <w:lang w:val="en-GB"/>
              </w:rPr>
              <w:t xml:space="preserve"> Resilience built to respond to systemic uncertainty and risk</w:t>
            </w:r>
          </w:p>
        </w:tc>
      </w:tr>
      <w:tr w:rsidR="00C6248C" w:rsidRPr="00444069" w14:paraId="284AEA30" w14:textId="77777777" w:rsidTr="00BC34CA">
        <w:trPr>
          <w:trHeight w:val="133"/>
        </w:trPr>
        <w:tc>
          <w:tcPr>
            <w:tcW w:w="920" w:type="pct"/>
            <w:vMerge w:val="restart"/>
            <w:tcMar>
              <w:top w:w="72" w:type="dxa"/>
              <w:left w:w="144" w:type="dxa"/>
              <w:bottom w:w="72" w:type="dxa"/>
              <w:right w:w="144" w:type="dxa"/>
            </w:tcMar>
          </w:tcPr>
          <w:p w14:paraId="536C3C8D" w14:textId="4727CB3A" w:rsidR="0024569A" w:rsidRPr="00CA5B30" w:rsidRDefault="0024569A" w:rsidP="00BD43AF">
            <w:pPr>
              <w:rPr>
                <w:rFonts w:eastAsia="Roboto"/>
                <w:sz w:val="17"/>
                <w:szCs w:val="17"/>
                <w:lang w:val="en-GB"/>
              </w:rPr>
            </w:pPr>
            <w:r w:rsidRPr="00CA5B30">
              <w:rPr>
                <w:rFonts w:eastAsia="Roboto"/>
                <w:sz w:val="17"/>
                <w:szCs w:val="17"/>
                <w:lang w:val="en-GB"/>
              </w:rPr>
              <w:t>Indicator</w:t>
            </w:r>
            <w:r w:rsidR="00A41F08" w:rsidRPr="00CA5B30">
              <w:rPr>
                <w:rFonts w:eastAsia="Roboto"/>
                <w:sz w:val="17"/>
                <w:szCs w:val="17"/>
                <w:lang w:val="en-GB"/>
              </w:rPr>
              <w:t xml:space="preserve"> </w:t>
            </w:r>
            <w:r w:rsidR="001A2C9E" w:rsidRPr="00CA5B30">
              <w:rPr>
                <w:rFonts w:eastAsia="Roboto"/>
                <w:sz w:val="17"/>
                <w:szCs w:val="17"/>
                <w:lang w:val="en-GB"/>
              </w:rPr>
              <w:t>3.</w:t>
            </w:r>
            <w:r w:rsidR="00A41F08" w:rsidRPr="00CA5B30">
              <w:rPr>
                <w:rFonts w:eastAsia="Roboto"/>
                <w:sz w:val="17"/>
                <w:szCs w:val="17"/>
                <w:lang w:val="en-GB"/>
              </w:rPr>
              <w:t>1</w:t>
            </w:r>
            <w:r w:rsidRPr="00CA5B30">
              <w:rPr>
                <w:rFonts w:eastAsia="Roboto"/>
                <w:sz w:val="17"/>
                <w:szCs w:val="17"/>
                <w:lang w:val="en-GB"/>
              </w:rPr>
              <w:t xml:space="preserve"> Proportion of population in humanitarian need</w:t>
            </w:r>
          </w:p>
          <w:p w14:paraId="7A5BD00D" w14:textId="77777777" w:rsidR="0024569A" w:rsidRPr="00444069" w:rsidRDefault="0024569A" w:rsidP="00BD43AF">
            <w:pPr>
              <w:rPr>
                <w:bCs/>
                <w:sz w:val="17"/>
                <w:szCs w:val="17"/>
                <w:lang w:val="en-GB"/>
              </w:rPr>
            </w:pPr>
            <w:r w:rsidRPr="00444069">
              <w:rPr>
                <w:sz w:val="17"/>
                <w:szCs w:val="17"/>
                <w:lang w:val="en-GB"/>
              </w:rPr>
              <w:t>Baseline (2021): 67%</w:t>
            </w:r>
            <w:r w:rsidRPr="00444069">
              <w:rPr>
                <w:bCs/>
                <w:sz w:val="17"/>
                <w:szCs w:val="17"/>
                <w:lang w:val="en-GB"/>
              </w:rPr>
              <w:br/>
              <w:t>Target (2024):</w:t>
            </w:r>
            <w:r w:rsidRPr="00444069">
              <w:rPr>
                <w:sz w:val="17"/>
                <w:szCs w:val="17"/>
                <w:lang w:val="en-GB"/>
              </w:rPr>
              <w:t xml:space="preserve"> 60%</w:t>
            </w:r>
          </w:p>
        </w:tc>
        <w:tc>
          <w:tcPr>
            <w:tcW w:w="541" w:type="pct"/>
            <w:vMerge w:val="restart"/>
          </w:tcPr>
          <w:p w14:paraId="2F4972F7" w14:textId="509EB5DB" w:rsidR="0024569A" w:rsidRPr="00444069" w:rsidRDefault="00A2645E" w:rsidP="00BD43AF">
            <w:pPr>
              <w:rPr>
                <w:sz w:val="17"/>
                <w:szCs w:val="17"/>
                <w:lang w:val="en-GB"/>
              </w:rPr>
            </w:pPr>
            <w:r w:rsidRPr="00444069">
              <w:rPr>
                <w:sz w:val="17"/>
                <w:szCs w:val="17"/>
                <w:lang w:val="en-GB"/>
              </w:rPr>
              <w:t xml:space="preserve">Humanitarian Needs Overview Humanitarian Response Plan </w:t>
            </w:r>
          </w:p>
          <w:p w14:paraId="226CB30C" w14:textId="73B37C6E" w:rsidR="0024569A" w:rsidRDefault="00206963" w:rsidP="00BD43AF">
            <w:pPr>
              <w:rPr>
                <w:b/>
                <w:bCs/>
                <w:sz w:val="17"/>
                <w:szCs w:val="17"/>
                <w:lang w:val="en-GB"/>
              </w:rPr>
            </w:pPr>
            <w:r>
              <w:rPr>
                <w:sz w:val="17"/>
                <w:szCs w:val="17"/>
                <w:lang w:val="en-GB"/>
              </w:rPr>
              <w:t>Frequency: a</w:t>
            </w:r>
            <w:r w:rsidR="0024569A" w:rsidRPr="004806F2">
              <w:rPr>
                <w:sz w:val="17"/>
                <w:szCs w:val="17"/>
                <w:lang w:val="en-GB"/>
              </w:rPr>
              <w:t>nnual</w:t>
            </w:r>
            <w:r w:rsidR="0024569A" w:rsidRPr="004806F2">
              <w:rPr>
                <w:b/>
                <w:bCs/>
                <w:sz w:val="17"/>
                <w:szCs w:val="17"/>
                <w:lang w:val="en-GB"/>
              </w:rPr>
              <w:t xml:space="preserve"> </w:t>
            </w:r>
          </w:p>
          <w:p w14:paraId="3F1DA63B" w14:textId="77777777" w:rsidR="00206963" w:rsidRDefault="00206963" w:rsidP="00BD43AF">
            <w:pPr>
              <w:rPr>
                <w:b/>
                <w:bCs/>
                <w:sz w:val="17"/>
                <w:szCs w:val="17"/>
                <w:lang w:val="en-GB"/>
              </w:rPr>
            </w:pPr>
          </w:p>
          <w:p w14:paraId="466EB288" w14:textId="77777777" w:rsidR="00206963" w:rsidRDefault="00206963" w:rsidP="00BD43AF">
            <w:pPr>
              <w:rPr>
                <w:b/>
                <w:bCs/>
                <w:sz w:val="17"/>
                <w:szCs w:val="17"/>
                <w:lang w:val="en-GB"/>
              </w:rPr>
            </w:pPr>
          </w:p>
          <w:p w14:paraId="1FC3E998" w14:textId="77777777" w:rsidR="00206963" w:rsidRDefault="00206963" w:rsidP="00BD43AF">
            <w:pPr>
              <w:rPr>
                <w:b/>
                <w:bCs/>
                <w:sz w:val="17"/>
                <w:szCs w:val="17"/>
                <w:lang w:val="en-GB"/>
              </w:rPr>
            </w:pPr>
          </w:p>
          <w:p w14:paraId="39E52C0F" w14:textId="77777777" w:rsidR="00206963" w:rsidRDefault="00206963" w:rsidP="00BD43AF">
            <w:pPr>
              <w:rPr>
                <w:b/>
                <w:bCs/>
                <w:sz w:val="17"/>
                <w:szCs w:val="17"/>
                <w:lang w:val="en-GB"/>
              </w:rPr>
            </w:pPr>
          </w:p>
          <w:p w14:paraId="38A5C82A" w14:textId="77777777" w:rsidR="00B56275" w:rsidRDefault="00B56275" w:rsidP="00BD43AF">
            <w:pPr>
              <w:rPr>
                <w:b/>
                <w:bCs/>
                <w:sz w:val="17"/>
                <w:szCs w:val="17"/>
                <w:lang w:val="en-GB"/>
              </w:rPr>
            </w:pPr>
          </w:p>
          <w:p w14:paraId="4AFCB964" w14:textId="77777777" w:rsidR="00B56275" w:rsidRDefault="00B56275" w:rsidP="00BD43AF">
            <w:pPr>
              <w:rPr>
                <w:b/>
                <w:bCs/>
                <w:sz w:val="17"/>
                <w:szCs w:val="17"/>
                <w:lang w:val="en-GB"/>
              </w:rPr>
            </w:pPr>
          </w:p>
          <w:p w14:paraId="120D4143" w14:textId="77777777" w:rsidR="00B56275" w:rsidRDefault="00B56275" w:rsidP="00BD43AF">
            <w:pPr>
              <w:rPr>
                <w:b/>
                <w:bCs/>
                <w:sz w:val="17"/>
                <w:szCs w:val="17"/>
                <w:lang w:val="en-GB"/>
              </w:rPr>
            </w:pPr>
          </w:p>
          <w:p w14:paraId="75AA1A20" w14:textId="77777777" w:rsidR="00B56275" w:rsidRDefault="00B56275" w:rsidP="00BD43AF">
            <w:pPr>
              <w:rPr>
                <w:b/>
                <w:bCs/>
                <w:sz w:val="17"/>
                <w:szCs w:val="17"/>
                <w:lang w:val="en-GB"/>
              </w:rPr>
            </w:pPr>
          </w:p>
          <w:p w14:paraId="19B93CC8" w14:textId="77777777" w:rsidR="00B56275" w:rsidRDefault="00B56275" w:rsidP="00BD43AF">
            <w:pPr>
              <w:rPr>
                <w:b/>
                <w:bCs/>
                <w:sz w:val="17"/>
                <w:szCs w:val="17"/>
                <w:lang w:val="en-GB"/>
              </w:rPr>
            </w:pPr>
          </w:p>
          <w:p w14:paraId="725D8192" w14:textId="77777777" w:rsidR="00B56275" w:rsidRDefault="00B56275" w:rsidP="00BD43AF">
            <w:pPr>
              <w:rPr>
                <w:b/>
                <w:bCs/>
                <w:sz w:val="17"/>
                <w:szCs w:val="17"/>
                <w:lang w:val="en-GB"/>
              </w:rPr>
            </w:pPr>
          </w:p>
          <w:p w14:paraId="0840B1BB" w14:textId="77777777" w:rsidR="00B56275" w:rsidRDefault="00B56275" w:rsidP="00BD43AF">
            <w:pPr>
              <w:rPr>
                <w:b/>
                <w:bCs/>
                <w:sz w:val="17"/>
                <w:szCs w:val="17"/>
                <w:lang w:val="en-GB"/>
              </w:rPr>
            </w:pPr>
          </w:p>
          <w:p w14:paraId="34EF17CB" w14:textId="77777777" w:rsidR="00B56275" w:rsidRDefault="00B56275" w:rsidP="00BD43AF">
            <w:pPr>
              <w:rPr>
                <w:b/>
                <w:bCs/>
                <w:sz w:val="17"/>
                <w:szCs w:val="17"/>
                <w:lang w:val="en-GB"/>
              </w:rPr>
            </w:pPr>
          </w:p>
          <w:p w14:paraId="53709DD0" w14:textId="77777777" w:rsidR="00B56275" w:rsidRDefault="00B56275" w:rsidP="00BD43AF">
            <w:pPr>
              <w:rPr>
                <w:b/>
                <w:bCs/>
                <w:sz w:val="17"/>
                <w:szCs w:val="17"/>
                <w:lang w:val="en-GB"/>
              </w:rPr>
            </w:pPr>
          </w:p>
          <w:p w14:paraId="226310F4" w14:textId="77777777" w:rsidR="00B56275" w:rsidRDefault="00B56275" w:rsidP="00BD43AF">
            <w:pPr>
              <w:rPr>
                <w:b/>
                <w:bCs/>
                <w:sz w:val="17"/>
                <w:szCs w:val="17"/>
                <w:lang w:val="en-GB"/>
              </w:rPr>
            </w:pPr>
          </w:p>
          <w:p w14:paraId="4D8E12B1" w14:textId="77777777" w:rsidR="00B56275" w:rsidRDefault="00B56275" w:rsidP="00BD43AF">
            <w:pPr>
              <w:rPr>
                <w:b/>
                <w:bCs/>
                <w:sz w:val="17"/>
                <w:szCs w:val="17"/>
                <w:lang w:val="en-GB"/>
              </w:rPr>
            </w:pPr>
          </w:p>
          <w:p w14:paraId="2FCC4B78" w14:textId="22A4F6A0" w:rsidR="00B56275" w:rsidRPr="004806F2" w:rsidRDefault="00B56275" w:rsidP="000134AF">
            <w:pPr>
              <w:rPr>
                <w:b/>
                <w:bCs/>
                <w:sz w:val="17"/>
                <w:szCs w:val="17"/>
                <w:lang w:val="en-GB"/>
              </w:rPr>
            </w:pPr>
          </w:p>
        </w:tc>
        <w:tc>
          <w:tcPr>
            <w:tcW w:w="2148" w:type="pct"/>
            <w:vMerge w:val="restart"/>
            <w:tcMar>
              <w:top w:w="72" w:type="dxa"/>
              <w:left w:w="144" w:type="dxa"/>
              <w:bottom w:w="72" w:type="dxa"/>
              <w:right w:w="144" w:type="dxa"/>
            </w:tcMar>
          </w:tcPr>
          <w:p w14:paraId="4B77F6FC" w14:textId="47B97B0D" w:rsidR="0024569A" w:rsidRPr="004806F2" w:rsidRDefault="0024569A" w:rsidP="00BD43AF">
            <w:pPr>
              <w:spacing w:line="276" w:lineRule="auto"/>
              <w:rPr>
                <w:sz w:val="17"/>
                <w:szCs w:val="17"/>
                <w:lang w:val="en-GB"/>
              </w:rPr>
            </w:pPr>
            <w:r w:rsidRPr="004806F2">
              <w:rPr>
                <w:b/>
                <w:bCs/>
                <w:sz w:val="17"/>
                <w:szCs w:val="17"/>
                <w:lang w:val="en-GB"/>
              </w:rPr>
              <w:t>Output 3.1</w:t>
            </w:r>
            <w:r w:rsidR="00206963">
              <w:rPr>
                <w:b/>
                <w:bCs/>
                <w:sz w:val="17"/>
                <w:szCs w:val="17"/>
                <w:lang w:val="en-GB"/>
              </w:rPr>
              <w:t>.</w:t>
            </w:r>
            <w:r w:rsidRPr="004806F2">
              <w:rPr>
                <w:sz w:val="17"/>
                <w:szCs w:val="17"/>
                <w:lang w:val="en-GB"/>
              </w:rPr>
              <w:t xml:space="preserve"> Critical infrastructure/facility and restored to facilitate implementation of peace agreements and increase citizens’ confidence in the peace processes. </w:t>
            </w:r>
          </w:p>
          <w:p w14:paraId="544B0AD2" w14:textId="77777777" w:rsidR="0024569A" w:rsidRPr="004806F2" w:rsidRDefault="0024569A" w:rsidP="00BD43AF">
            <w:pPr>
              <w:spacing w:line="276" w:lineRule="auto"/>
              <w:rPr>
                <w:sz w:val="17"/>
                <w:szCs w:val="17"/>
                <w:lang w:val="en-GB"/>
              </w:rPr>
            </w:pPr>
          </w:p>
          <w:p w14:paraId="5DEAFBFE" w14:textId="31B27B90" w:rsidR="0024569A" w:rsidRPr="00444069" w:rsidRDefault="0024569A" w:rsidP="00BD43AF">
            <w:pPr>
              <w:spacing w:line="276" w:lineRule="auto"/>
              <w:rPr>
                <w:sz w:val="17"/>
                <w:szCs w:val="17"/>
                <w:lang w:val="en-GB"/>
              </w:rPr>
            </w:pPr>
            <w:r w:rsidRPr="004806F2">
              <w:rPr>
                <w:sz w:val="17"/>
                <w:szCs w:val="17"/>
                <w:lang w:val="en-GB"/>
              </w:rPr>
              <w:t>Indicator 3.1.1 Number of critical infrastructure/facilities</w:t>
            </w:r>
            <w:r w:rsidRPr="00444069">
              <w:rPr>
                <w:rStyle w:val="FootnoteReference"/>
                <w:sz w:val="17"/>
                <w:szCs w:val="17"/>
                <w:lang w:val="en-GB"/>
              </w:rPr>
              <w:footnoteReference w:id="30"/>
            </w:r>
            <w:r w:rsidRPr="00444069">
              <w:rPr>
                <w:sz w:val="17"/>
                <w:szCs w:val="17"/>
                <w:lang w:val="en-GB"/>
              </w:rPr>
              <w:t xml:space="preserve"> partially and fully restored</w:t>
            </w:r>
            <w:r w:rsidRPr="00444069">
              <w:rPr>
                <w:rStyle w:val="FootnoteReference"/>
                <w:sz w:val="17"/>
                <w:szCs w:val="17"/>
                <w:lang w:val="en-GB"/>
              </w:rPr>
              <w:footnoteReference w:id="31"/>
            </w:r>
            <w:r w:rsidRPr="00444069">
              <w:rPr>
                <w:sz w:val="17"/>
                <w:szCs w:val="17"/>
                <w:lang w:val="en-GB"/>
              </w:rPr>
              <w:t xml:space="preserve">. </w:t>
            </w:r>
          </w:p>
          <w:p w14:paraId="1AD23A15" w14:textId="20A0E0F0" w:rsidR="0024569A" w:rsidRPr="00444069" w:rsidRDefault="0024569A" w:rsidP="00BD43AF">
            <w:pPr>
              <w:spacing w:line="276" w:lineRule="auto"/>
              <w:rPr>
                <w:sz w:val="17"/>
                <w:szCs w:val="17"/>
                <w:lang w:val="en-GB"/>
              </w:rPr>
            </w:pPr>
            <w:r w:rsidRPr="00444069">
              <w:rPr>
                <w:sz w:val="17"/>
                <w:szCs w:val="17"/>
                <w:lang w:val="en-GB"/>
              </w:rPr>
              <w:t>Baseline (2022): partially restored 0; fully restored 0</w:t>
            </w:r>
          </w:p>
          <w:p w14:paraId="0E0B064F" w14:textId="3CC21F43" w:rsidR="0024569A" w:rsidRPr="00444069" w:rsidRDefault="0024569A" w:rsidP="00BD43AF">
            <w:pPr>
              <w:spacing w:line="276" w:lineRule="auto"/>
              <w:rPr>
                <w:sz w:val="17"/>
                <w:szCs w:val="17"/>
                <w:lang w:val="en-GB"/>
              </w:rPr>
            </w:pPr>
            <w:r w:rsidRPr="00444069">
              <w:rPr>
                <w:sz w:val="17"/>
                <w:szCs w:val="17"/>
                <w:lang w:val="en-GB"/>
              </w:rPr>
              <w:t>Target (2024): partially restored 3; fully restored: 0</w:t>
            </w:r>
          </w:p>
          <w:p w14:paraId="44CF2ACC" w14:textId="7E361950" w:rsidR="00743B36" w:rsidRPr="00444069" w:rsidRDefault="00743B36" w:rsidP="00BD43AF">
            <w:pPr>
              <w:spacing w:line="276" w:lineRule="auto"/>
              <w:rPr>
                <w:sz w:val="17"/>
                <w:szCs w:val="17"/>
                <w:lang w:val="en-GB"/>
              </w:rPr>
            </w:pPr>
            <w:r w:rsidRPr="00444069">
              <w:rPr>
                <w:sz w:val="16"/>
                <w:szCs w:val="16"/>
                <w:lang w:val="en-GB"/>
              </w:rPr>
              <w:t>Partially (40-89%), fully (more than 90%)</w:t>
            </w:r>
          </w:p>
          <w:p w14:paraId="55272D16" w14:textId="30EFD184" w:rsidR="00F67A59" w:rsidRPr="00444069" w:rsidRDefault="00F67A59" w:rsidP="00F67A59">
            <w:pPr>
              <w:spacing w:line="276" w:lineRule="auto"/>
              <w:rPr>
                <w:sz w:val="17"/>
                <w:szCs w:val="17"/>
                <w:lang w:val="en-GB"/>
              </w:rPr>
            </w:pPr>
            <w:r>
              <w:rPr>
                <w:sz w:val="17"/>
                <w:szCs w:val="17"/>
                <w:lang w:val="en-GB"/>
              </w:rPr>
              <w:t>Data source: Assessment report, project report;</w:t>
            </w:r>
            <w:r w:rsidRPr="00444069">
              <w:rPr>
                <w:sz w:val="17"/>
                <w:szCs w:val="17"/>
                <w:lang w:val="en-GB"/>
              </w:rPr>
              <w:t xml:space="preserve"> frequency: annual   </w:t>
            </w:r>
          </w:p>
          <w:p w14:paraId="39F73A62" w14:textId="77777777" w:rsidR="0024569A" w:rsidRPr="00444069" w:rsidRDefault="0024569A" w:rsidP="00BD43AF">
            <w:pPr>
              <w:spacing w:line="276" w:lineRule="auto"/>
              <w:rPr>
                <w:sz w:val="17"/>
                <w:szCs w:val="17"/>
                <w:lang w:val="en-GB"/>
              </w:rPr>
            </w:pPr>
          </w:p>
          <w:p w14:paraId="5C87A4BB" w14:textId="2C9ED9EF" w:rsidR="0024569A" w:rsidRPr="00444069" w:rsidRDefault="0024569A" w:rsidP="00BD43AF">
            <w:pPr>
              <w:spacing w:line="276" w:lineRule="auto"/>
              <w:rPr>
                <w:sz w:val="17"/>
                <w:szCs w:val="17"/>
                <w:lang w:val="en-GB"/>
              </w:rPr>
            </w:pPr>
            <w:r w:rsidRPr="00444069">
              <w:rPr>
                <w:sz w:val="17"/>
                <w:szCs w:val="17"/>
                <w:lang w:val="en-GB"/>
              </w:rPr>
              <w:t>Indicator 3.1.2 Percentage increase of imported goods handled by all seaports in Yemen</w:t>
            </w:r>
          </w:p>
          <w:p w14:paraId="5AC77FAF" w14:textId="590E9CE7" w:rsidR="0024569A" w:rsidRPr="00444069" w:rsidRDefault="0024569A" w:rsidP="00BD43AF">
            <w:pPr>
              <w:spacing w:line="276" w:lineRule="auto"/>
              <w:rPr>
                <w:sz w:val="17"/>
                <w:szCs w:val="17"/>
                <w:lang w:val="en-GB"/>
              </w:rPr>
            </w:pPr>
            <w:r w:rsidRPr="00444069">
              <w:rPr>
                <w:sz w:val="17"/>
                <w:szCs w:val="17"/>
                <w:lang w:val="en-GB"/>
              </w:rPr>
              <w:t>Baseline (2022): 0</w:t>
            </w:r>
            <w:r w:rsidR="00206963">
              <w:rPr>
                <w:sz w:val="17"/>
                <w:szCs w:val="17"/>
                <w:lang w:val="en-GB"/>
              </w:rPr>
              <w:t>%</w:t>
            </w:r>
          </w:p>
          <w:p w14:paraId="327A500A" w14:textId="77777777" w:rsidR="0024569A" w:rsidRPr="00444069" w:rsidRDefault="0024569A" w:rsidP="00BD43AF">
            <w:pPr>
              <w:spacing w:line="276" w:lineRule="auto"/>
              <w:rPr>
                <w:sz w:val="17"/>
                <w:szCs w:val="17"/>
                <w:lang w:val="en-GB"/>
              </w:rPr>
            </w:pPr>
            <w:r w:rsidRPr="00444069">
              <w:rPr>
                <w:sz w:val="17"/>
                <w:szCs w:val="17"/>
                <w:lang w:val="en-GB"/>
              </w:rPr>
              <w:t>Target (2024): 6%</w:t>
            </w:r>
          </w:p>
          <w:p w14:paraId="1007E601" w14:textId="4D780DF1" w:rsidR="00F67A59" w:rsidRPr="004806F2" w:rsidRDefault="00F67A59" w:rsidP="00F67A59">
            <w:pPr>
              <w:spacing w:line="276" w:lineRule="auto"/>
              <w:rPr>
                <w:sz w:val="17"/>
                <w:szCs w:val="17"/>
                <w:lang w:val="en-GB"/>
              </w:rPr>
            </w:pPr>
            <w:r w:rsidRPr="004806F2">
              <w:rPr>
                <w:sz w:val="17"/>
                <w:szCs w:val="17"/>
                <w:lang w:val="en-GB"/>
              </w:rPr>
              <w:t>D</w:t>
            </w:r>
            <w:r>
              <w:rPr>
                <w:sz w:val="17"/>
                <w:szCs w:val="17"/>
                <w:lang w:val="en-GB"/>
              </w:rPr>
              <w:t>ata source: Annual port reports;</w:t>
            </w:r>
            <w:r w:rsidR="000134AF">
              <w:rPr>
                <w:sz w:val="17"/>
                <w:szCs w:val="17"/>
                <w:lang w:val="en-GB"/>
              </w:rPr>
              <w:t xml:space="preserve"> frequency: annual</w:t>
            </w:r>
          </w:p>
          <w:p w14:paraId="2F1CFEB5" w14:textId="77777777" w:rsidR="0024569A" w:rsidRPr="004806F2" w:rsidRDefault="0024569A" w:rsidP="00BD43AF">
            <w:pPr>
              <w:spacing w:line="276" w:lineRule="auto"/>
              <w:rPr>
                <w:sz w:val="17"/>
                <w:szCs w:val="17"/>
                <w:lang w:val="en-GB"/>
              </w:rPr>
            </w:pPr>
          </w:p>
          <w:p w14:paraId="06644105" w14:textId="693462FE" w:rsidR="0024569A" w:rsidRPr="004806F2" w:rsidRDefault="0024569A" w:rsidP="00BD43AF">
            <w:pPr>
              <w:spacing w:line="276" w:lineRule="auto"/>
              <w:rPr>
                <w:sz w:val="17"/>
                <w:szCs w:val="17"/>
                <w:lang w:val="en-GB"/>
              </w:rPr>
            </w:pPr>
            <w:r w:rsidRPr="004806F2">
              <w:rPr>
                <w:b/>
                <w:bCs/>
                <w:sz w:val="17"/>
                <w:szCs w:val="17"/>
                <w:lang w:val="en-GB"/>
              </w:rPr>
              <w:t>Output 3.2</w:t>
            </w:r>
            <w:r w:rsidR="00B56275">
              <w:rPr>
                <w:b/>
                <w:bCs/>
                <w:sz w:val="17"/>
                <w:szCs w:val="17"/>
                <w:lang w:val="en-GB"/>
              </w:rPr>
              <w:t>.</w:t>
            </w:r>
            <w:r w:rsidRPr="004806F2">
              <w:rPr>
                <w:sz w:val="17"/>
                <w:szCs w:val="17"/>
                <w:lang w:val="en-GB"/>
              </w:rPr>
              <w:t xml:space="preserve"> Capacities of communities, local institutions and civil societies enhanced to manage local conflicts and promote social cohesion</w:t>
            </w:r>
          </w:p>
          <w:p w14:paraId="4F1F196F" w14:textId="77777777" w:rsidR="0024569A" w:rsidRPr="004806F2" w:rsidRDefault="0024569A" w:rsidP="00BD43AF">
            <w:pPr>
              <w:spacing w:line="276" w:lineRule="auto"/>
              <w:rPr>
                <w:sz w:val="17"/>
                <w:szCs w:val="17"/>
                <w:lang w:val="en-GB"/>
              </w:rPr>
            </w:pPr>
          </w:p>
          <w:p w14:paraId="093F729F" w14:textId="702BB9AE" w:rsidR="0024569A" w:rsidRPr="004806F2" w:rsidRDefault="0024569A" w:rsidP="00BD43AF">
            <w:pPr>
              <w:spacing w:line="276" w:lineRule="auto"/>
              <w:rPr>
                <w:sz w:val="17"/>
                <w:szCs w:val="17"/>
                <w:lang w:val="en-GB"/>
              </w:rPr>
            </w:pPr>
            <w:r w:rsidRPr="004806F2">
              <w:rPr>
                <w:sz w:val="17"/>
                <w:szCs w:val="17"/>
                <w:lang w:val="en-GB"/>
              </w:rPr>
              <w:t xml:space="preserve">Indicator 3.2.1 Number of conflicts resolved through local institutions and/or civil societies such as </w:t>
            </w:r>
            <w:r w:rsidR="00B56275" w:rsidRPr="004806F2">
              <w:rPr>
                <w:sz w:val="17"/>
                <w:szCs w:val="17"/>
                <w:lang w:val="en-GB"/>
              </w:rPr>
              <w:t>water users</w:t>
            </w:r>
            <w:r w:rsidR="00B56275">
              <w:rPr>
                <w:sz w:val="17"/>
                <w:szCs w:val="17"/>
                <w:lang w:val="en-GB"/>
              </w:rPr>
              <w:t>’</w:t>
            </w:r>
            <w:r w:rsidR="00B56275" w:rsidRPr="004806F2">
              <w:rPr>
                <w:sz w:val="17"/>
                <w:szCs w:val="17"/>
                <w:lang w:val="en-GB"/>
              </w:rPr>
              <w:t xml:space="preserve"> associations</w:t>
            </w:r>
          </w:p>
          <w:p w14:paraId="621CE88B" w14:textId="587F2AD1" w:rsidR="0024569A" w:rsidRPr="004806F2" w:rsidRDefault="0024569A" w:rsidP="00BD43AF">
            <w:pPr>
              <w:spacing w:line="276" w:lineRule="auto"/>
              <w:rPr>
                <w:sz w:val="17"/>
                <w:szCs w:val="17"/>
                <w:lang w:val="en-GB"/>
              </w:rPr>
            </w:pPr>
            <w:r w:rsidRPr="004806F2">
              <w:rPr>
                <w:sz w:val="17"/>
                <w:szCs w:val="17"/>
                <w:lang w:val="en-GB"/>
              </w:rPr>
              <w:t>Baseline (2022): 0</w:t>
            </w:r>
          </w:p>
          <w:p w14:paraId="0A1211D6" w14:textId="219A6F44" w:rsidR="0024569A" w:rsidRPr="004806F2" w:rsidRDefault="0024569A" w:rsidP="00BD43AF">
            <w:pPr>
              <w:spacing w:line="276" w:lineRule="auto"/>
              <w:rPr>
                <w:sz w:val="17"/>
                <w:szCs w:val="17"/>
                <w:lang w:val="en-GB"/>
              </w:rPr>
            </w:pPr>
            <w:r w:rsidRPr="004806F2">
              <w:rPr>
                <w:sz w:val="17"/>
                <w:szCs w:val="17"/>
                <w:lang w:val="en-GB"/>
              </w:rPr>
              <w:t>Target (2024): 20</w:t>
            </w:r>
          </w:p>
          <w:p w14:paraId="727032C3" w14:textId="77777777" w:rsidR="000134AF" w:rsidRPr="004806F2" w:rsidRDefault="000134AF" w:rsidP="000134AF">
            <w:pPr>
              <w:spacing w:line="276" w:lineRule="auto"/>
              <w:rPr>
                <w:sz w:val="17"/>
                <w:szCs w:val="17"/>
                <w:lang w:val="en-GB"/>
              </w:rPr>
            </w:pPr>
            <w:r w:rsidRPr="004806F2">
              <w:rPr>
                <w:sz w:val="17"/>
                <w:szCs w:val="17"/>
                <w:lang w:val="en-GB"/>
              </w:rPr>
              <w:t>Data source: Project reports, Frequency: annual</w:t>
            </w:r>
          </w:p>
          <w:p w14:paraId="0FE84246" w14:textId="77777777" w:rsidR="0024569A" w:rsidRPr="004806F2" w:rsidRDefault="0024569A" w:rsidP="00BD43AF">
            <w:pPr>
              <w:spacing w:line="276" w:lineRule="auto"/>
              <w:rPr>
                <w:sz w:val="17"/>
                <w:szCs w:val="17"/>
                <w:lang w:val="en-GB"/>
              </w:rPr>
            </w:pPr>
          </w:p>
          <w:p w14:paraId="5C4335B2" w14:textId="30A29B18" w:rsidR="0024569A" w:rsidRPr="00DB3165" w:rsidRDefault="0024569A" w:rsidP="00BD43AF">
            <w:pPr>
              <w:spacing w:line="276" w:lineRule="auto"/>
              <w:rPr>
                <w:sz w:val="17"/>
                <w:szCs w:val="17"/>
                <w:lang w:val="en-GB"/>
              </w:rPr>
            </w:pPr>
            <w:r w:rsidRPr="00DB3165">
              <w:rPr>
                <w:b/>
                <w:bCs/>
                <w:sz w:val="17"/>
                <w:szCs w:val="17"/>
                <w:lang w:val="en-GB"/>
              </w:rPr>
              <w:lastRenderedPageBreak/>
              <w:t>Output 3.3</w:t>
            </w:r>
            <w:r w:rsidR="00B56275">
              <w:rPr>
                <w:b/>
                <w:bCs/>
                <w:sz w:val="17"/>
                <w:szCs w:val="17"/>
                <w:lang w:val="en-GB"/>
              </w:rPr>
              <w:t>.</w:t>
            </w:r>
            <w:r w:rsidRPr="00DB3165">
              <w:rPr>
                <w:sz w:val="17"/>
                <w:szCs w:val="17"/>
                <w:lang w:val="en-GB"/>
              </w:rPr>
              <w:t xml:space="preserve"> Capacities of national institutions improved to manage the mine action sector and improve community safety and protection from explosive ordnance</w:t>
            </w:r>
          </w:p>
          <w:p w14:paraId="196FC555" w14:textId="77777777" w:rsidR="0024569A" w:rsidRPr="00DB3165" w:rsidRDefault="0024569A" w:rsidP="00BD43AF">
            <w:pPr>
              <w:spacing w:line="276" w:lineRule="auto"/>
              <w:rPr>
                <w:sz w:val="17"/>
                <w:szCs w:val="17"/>
                <w:lang w:val="en-GB"/>
              </w:rPr>
            </w:pPr>
          </w:p>
          <w:p w14:paraId="6FF21548" w14:textId="434A46E3" w:rsidR="0024569A" w:rsidRPr="009B4526" w:rsidRDefault="0024569A" w:rsidP="00BD43AF">
            <w:pPr>
              <w:spacing w:line="276" w:lineRule="auto"/>
              <w:rPr>
                <w:sz w:val="17"/>
                <w:szCs w:val="17"/>
                <w:lang w:val="en-GB"/>
              </w:rPr>
            </w:pPr>
            <w:r w:rsidRPr="009B4526">
              <w:rPr>
                <w:sz w:val="17"/>
                <w:szCs w:val="17"/>
                <w:lang w:val="en-GB"/>
              </w:rPr>
              <w:t xml:space="preserve">Indicator 3.3.1 Number of </w:t>
            </w:r>
            <w:r w:rsidR="00B56275">
              <w:rPr>
                <w:sz w:val="17"/>
                <w:szCs w:val="17"/>
                <w:lang w:val="en-GB"/>
              </w:rPr>
              <w:t>e</w:t>
            </w:r>
            <w:r w:rsidRPr="009B4526">
              <w:rPr>
                <w:sz w:val="17"/>
                <w:szCs w:val="17"/>
                <w:lang w:val="en-GB"/>
              </w:rPr>
              <w:t xml:space="preserve">xplosive </w:t>
            </w:r>
            <w:r w:rsidR="00B56275">
              <w:rPr>
                <w:sz w:val="17"/>
                <w:szCs w:val="17"/>
                <w:lang w:val="en-GB"/>
              </w:rPr>
              <w:t>r</w:t>
            </w:r>
            <w:r w:rsidRPr="009B4526">
              <w:rPr>
                <w:sz w:val="17"/>
                <w:szCs w:val="17"/>
                <w:lang w:val="en-GB"/>
              </w:rPr>
              <w:t xml:space="preserve">emnants of </w:t>
            </w:r>
            <w:r w:rsidR="00B56275">
              <w:rPr>
                <w:sz w:val="17"/>
                <w:szCs w:val="17"/>
                <w:lang w:val="en-GB"/>
              </w:rPr>
              <w:t>w</w:t>
            </w:r>
            <w:r w:rsidRPr="009B4526">
              <w:rPr>
                <w:sz w:val="17"/>
                <w:szCs w:val="17"/>
                <w:lang w:val="en-GB"/>
              </w:rPr>
              <w:t>ar removed</w:t>
            </w:r>
          </w:p>
          <w:p w14:paraId="35276F55" w14:textId="138E505A" w:rsidR="0024569A" w:rsidRPr="009B4526" w:rsidRDefault="0024569A" w:rsidP="00BD43AF">
            <w:pPr>
              <w:spacing w:line="276" w:lineRule="auto"/>
              <w:rPr>
                <w:sz w:val="17"/>
                <w:szCs w:val="17"/>
                <w:lang w:val="en-GB"/>
              </w:rPr>
            </w:pPr>
            <w:r w:rsidRPr="009B4526">
              <w:rPr>
                <w:sz w:val="17"/>
                <w:szCs w:val="17"/>
                <w:lang w:val="en-GB"/>
              </w:rPr>
              <w:t>Baseline (2021): 27,000</w:t>
            </w:r>
          </w:p>
          <w:p w14:paraId="44E6D33D" w14:textId="77777777" w:rsidR="0024569A" w:rsidRPr="009B4526" w:rsidRDefault="0024569A" w:rsidP="00BD43AF">
            <w:pPr>
              <w:spacing w:line="276" w:lineRule="auto"/>
              <w:rPr>
                <w:sz w:val="17"/>
                <w:szCs w:val="17"/>
                <w:lang w:val="en-GB"/>
              </w:rPr>
            </w:pPr>
            <w:r w:rsidRPr="009B4526">
              <w:rPr>
                <w:sz w:val="17"/>
                <w:szCs w:val="17"/>
                <w:lang w:val="en-GB"/>
              </w:rPr>
              <w:t>Target (2024): 167,000</w:t>
            </w:r>
          </w:p>
          <w:p w14:paraId="7D7F57A0" w14:textId="77777777" w:rsidR="000134AF" w:rsidRPr="004806F2" w:rsidRDefault="000134AF" w:rsidP="000134AF">
            <w:pPr>
              <w:spacing w:line="276" w:lineRule="auto"/>
              <w:rPr>
                <w:sz w:val="17"/>
                <w:szCs w:val="17"/>
                <w:lang w:val="en-GB"/>
              </w:rPr>
            </w:pPr>
            <w:r w:rsidRPr="004806F2">
              <w:rPr>
                <w:sz w:val="17"/>
                <w:szCs w:val="17"/>
                <w:lang w:val="en-GB"/>
              </w:rPr>
              <w:t>Data source: Project reports, Frequency: annual</w:t>
            </w:r>
          </w:p>
          <w:p w14:paraId="2772CF25" w14:textId="77777777" w:rsidR="0024569A" w:rsidRPr="009B4526" w:rsidRDefault="0024569A" w:rsidP="00BD43AF">
            <w:pPr>
              <w:spacing w:line="276" w:lineRule="auto"/>
              <w:rPr>
                <w:sz w:val="17"/>
                <w:szCs w:val="17"/>
                <w:lang w:val="en-GB"/>
              </w:rPr>
            </w:pPr>
          </w:p>
          <w:p w14:paraId="7A818F5C" w14:textId="75F06235" w:rsidR="0024569A" w:rsidRPr="009B4526" w:rsidRDefault="0024569A" w:rsidP="00BD43AF">
            <w:pPr>
              <w:spacing w:line="276" w:lineRule="auto"/>
              <w:rPr>
                <w:sz w:val="17"/>
                <w:szCs w:val="17"/>
                <w:lang w:val="en-GB"/>
              </w:rPr>
            </w:pPr>
            <w:r w:rsidRPr="009B4526">
              <w:rPr>
                <w:sz w:val="17"/>
                <w:szCs w:val="17"/>
                <w:lang w:val="en-GB"/>
              </w:rPr>
              <w:t xml:space="preserve">Indicator 3.3.2 Area cleared and free from the threat of explosive ordnance </w:t>
            </w:r>
          </w:p>
          <w:p w14:paraId="5765C337" w14:textId="3EE16A74" w:rsidR="0024569A" w:rsidRPr="009B4526" w:rsidRDefault="0024569A" w:rsidP="00BD43AF">
            <w:pPr>
              <w:spacing w:line="276" w:lineRule="auto"/>
              <w:rPr>
                <w:sz w:val="17"/>
                <w:szCs w:val="17"/>
                <w:lang w:val="en-GB"/>
              </w:rPr>
            </w:pPr>
            <w:r w:rsidRPr="009B4526">
              <w:rPr>
                <w:sz w:val="17"/>
                <w:szCs w:val="17"/>
                <w:lang w:val="en-GB"/>
              </w:rPr>
              <w:t>Baseline (2021): 1</w:t>
            </w:r>
            <w:r w:rsidR="00B56275">
              <w:rPr>
                <w:sz w:val="17"/>
                <w:szCs w:val="17"/>
                <w:lang w:val="en-GB"/>
              </w:rPr>
              <w:t>,</w:t>
            </w:r>
            <w:r w:rsidRPr="009B4526">
              <w:rPr>
                <w:sz w:val="17"/>
                <w:szCs w:val="17"/>
                <w:lang w:val="en-GB"/>
              </w:rPr>
              <w:t>600</w:t>
            </w:r>
            <w:r w:rsidR="00B56275">
              <w:rPr>
                <w:sz w:val="17"/>
                <w:szCs w:val="17"/>
                <w:lang w:val="en-GB"/>
              </w:rPr>
              <w:t>,</w:t>
            </w:r>
            <w:r w:rsidRPr="009B4526">
              <w:rPr>
                <w:sz w:val="17"/>
                <w:szCs w:val="17"/>
                <w:lang w:val="en-GB"/>
              </w:rPr>
              <w:t>000</w:t>
            </w:r>
            <w:r w:rsidR="00B56275">
              <w:rPr>
                <w:sz w:val="17"/>
                <w:szCs w:val="17"/>
                <w:lang w:val="en-GB"/>
              </w:rPr>
              <w:t xml:space="preserve"> m2</w:t>
            </w:r>
          </w:p>
          <w:p w14:paraId="0EE8E69D" w14:textId="5F0F9C0E" w:rsidR="0024569A" w:rsidRPr="009B4526" w:rsidRDefault="0024569A" w:rsidP="00BD43AF">
            <w:pPr>
              <w:spacing w:line="276" w:lineRule="auto"/>
              <w:rPr>
                <w:sz w:val="17"/>
                <w:szCs w:val="17"/>
                <w:lang w:val="en-GB"/>
              </w:rPr>
            </w:pPr>
            <w:r w:rsidRPr="009B4526">
              <w:rPr>
                <w:sz w:val="17"/>
                <w:szCs w:val="17"/>
                <w:lang w:val="en-GB"/>
              </w:rPr>
              <w:t>Target (2024): 8,600,000</w:t>
            </w:r>
            <w:r w:rsidR="00B56275">
              <w:rPr>
                <w:sz w:val="17"/>
                <w:szCs w:val="17"/>
                <w:lang w:val="en-GB"/>
              </w:rPr>
              <w:t xml:space="preserve"> m2</w:t>
            </w:r>
          </w:p>
          <w:p w14:paraId="66F5BEFB" w14:textId="77777777" w:rsidR="000134AF" w:rsidRPr="004806F2" w:rsidRDefault="000134AF" w:rsidP="000134AF">
            <w:pPr>
              <w:spacing w:line="276" w:lineRule="auto"/>
              <w:rPr>
                <w:sz w:val="17"/>
                <w:szCs w:val="17"/>
                <w:lang w:val="en-GB"/>
              </w:rPr>
            </w:pPr>
            <w:r w:rsidRPr="004806F2">
              <w:rPr>
                <w:sz w:val="17"/>
                <w:szCs w:val="17"/>
                <w:lang w:val="en-GB"/>
              </w:rPr>
              <w:t>Data source: Project reports, Frequency: annual</w:t>
            </w:r>
          </w:p>
          <w:p w14:paraId="5A7D8A74" w14:textId="77777777" w:rsidR="00B56275" w:rsidRDefault="00B56275" w:rsidP="00BD43AF">
            <w:pPr>
              <w:spacing w:line="276" w:lineRule="auto"/>
              <w:rPr>
                <w:b/>
                <w:bCs/>
                <w:sz w:val="17"/>
                <w:szCs w:val="17"/>
                <w:lang w:val="en-GB"/>
              </w:rPr>
            </w:pPr>
          </w:p>
          <w:p w14:paraId="17E3C5BE" w14:textId="116CA498" w:rsidR="0024569A" w:rsidRPr="00A2394E" w:rsidRDefault="0024569A" w:rsidP="00BD43AF">
            <w:pPr>
              <w:spacing w:line="276" w:lineRule="auto"/>
              <w:rPr>
                <w:sz w:val="17"/>
                <w:szCs w:val="17"/>
                <w:lang w:val="en-GB"/>
              </w:rPr>
            </w:pPr>
            <w:r w:rsidRPr="009B4526">
              <w:rPr>
                <w:b/>
                <w:bCs/>
                <w:sz w:val="17"/>
                <w:szCs w:val="17"/>
                <w:lang w:val="en-GB"/>
              </w:rPr>
              <w:t>Output 3.4</w:t>
            </w:r>
            <w:r w:rsidR="00B56275">
              <w:rPr>
                <w:b/>
                <w:bCs/>
                <w:sz w:val="17"/>
                <w:szCs w:val="17"/>
                <w:lang w:val="en-GB"/>
              </w:rPr>
              <w:t>.</w:t>
            </w:r>
            <w:r w:rsidRPr="009B4526">
              <w:rPr>
                <w:sz w:val="17"/>
                <w:szCs w:val="17"/>
                <w:lang w:val="en-GB"/>
              </w:rPr>
              <w:t xml:space="preserve"> </w:t>
            </w:r>
            <w:r w:rsidR="00B56275">
              <w:rPr>
                <w:sz w:val="17"/>
                <w:szCs w:val="17"/>
                <w:lang w:val="en-GB"/>
              </w:rPr>
              <w:t>Capacity of w</w:t>
            </w:r>
            <w:r w:rsidRPr="009B4526">
              <w:rPr>
                <w:sz w:val="17"/>
                <w:szCs w:val="17"/>
                <w:lang w:val="en-GB"/>
              </w:rPr>
              <w:t xml:space="preserve">omen-led organizations, local </w:t>
            </w:r>
            <w:r w:rsidR="00B56275">
              <w:rPr>
                <w:sz w:val="17"/>
                <w:szCs w:val="17"/>
                <w:lang w:val="en-GB"/>
              </w:rPr>
              <w:t>non-governmental organization</w:t>
            </w:r>
            <w:r w:rsidRPr="009B4526">
              <w:rPr>
                <w:sz w:val="17"/>
                <w:szCs w:val="17"/>
                <w:lang w:val="en-GB"/>
              </w:rPr>
              <w:t xml:space="preserve">s </w:t>
            </w:r>
            <w:r w:rsidR="00B306B3" w:rsidRPr="009B4526">
              <w:rPr>
                <w:sz w:val="17"/>
                <w:szCs w:val="17"/>
                <w:lang w:val="en-GB"/>
              </w:rPr>
              <w:t xml:space="preserve">and </w:t>
            </w:r>
            <w:r w:rsidR="00B56275">
              <w:rPr>
                <w:sz w:val="17"/>
                <w:szCs w:val="17"/>
                <w:lang w:val="en-GB"/>
              </w:rPr>
              <w:t>community-based organizations</w:t>
            </w:r>
            <w:r w:rsidR="00B306B3" w:rsidRPr="009B4526">
              <w:rPr>
                <w:sz w:val="17"/>
                <w:szCs w:val="17"/>
                <w:lang w:val="en-GB"/>
              </w:rPr>
              <w:t xml:space="preserve"> </w:t>
            </w:r>
            <w:r w:rsidRPr="009B4526">
              <w:rPr>
                <w:sz w:val="17"/>
                <w:szCs w:val="17"/>
                <w:lang w:val="en-GB"/>
              </w:rPr>
              <w:t xml:space="preserve">enhanced to promote and mainstream gender equality and </w:t>
            </w:r>
            <w:r w:rsidR="00B306B3" w:rsidRPr="00A2394E">
              <w:rPr>
                <w:sz w:val="17"/>
                <w:szCs w:val="17"/>
                <w:lang w:val="en-GB"/>
              </w:rPr>
              <w:t xml:space="preserve">the </w:t>
            </w:r>
            <w:r w:rsidRPr="00A2394E">
              <w:rPr>
                <w:sz w:val="17"/>
                <w:szCs w:val="17"/>
                <w:lang w:val="en-GB"/>
              </w:rPr>
              <w:t>Women, Peace and Security agenda</w:t>
            </w:r>
          </w:p>
          <w:p w14:paraId="1825C00D" w14:textId="77777777" w:rsidR="0024569A" w:rsidRPr="00A2394E" w:rsidRDefault="0024569A" w:rsidP="00BD43AF">
            <w:pPr>
              <w:spacing w:line="276" w:lineRule="auto"/>
              <w:rPr>
                <w:sz w:val="17"/>
                <w:szCs w:val="17"/>
                <w:lang w:val="en-GB"/>
              </w:rPr>
            </w:pPr>
          </w:p>
          <w:p w14:paraId="7B4564C5" w14:textId="0FF328C6" w:rsidR="0024569A" w:rsidRPr="00A2394E" w:rsidRDefault="0024569A" w:rsidP="00BD43AF">
            <w:pPr>
              <w:spacing w:line="276" w:lineRule="auto"/>
              <w:rPr>
                <w:sz w:val="17"/>
                <w:szCs w:val="17"/>
                <w:lang w:val="en-GB"/>
              </w:rPr>
            </w:pPr>
            <w:r w:rsidRPr="00A2394E">
              <w:rPr>
                <w:sz w:val="17"/>
                <w:szCs w:val="17"/>
                <w:lang w:val="en-GB"/>
              </w:rPr>
              <w:t xml:space="preserve">Indicator 3.4.1 Number of initiatives that promote </w:t>
            </w:r>
            <w:r w:rsidR="00B306B3" w:rsidRPr="00A2394E">
              <w:rPr>
                <w:sz w:val="17"/>
                <w:szCs w:val="17"/>
                <w:lang w:val="en-GB"/>
              </w:rPr>
              <w:t xml:space="preserve">women’s </w:t>
            </w:r>
            <w:r w:rsidRPr="00A2394E">
              <w:rPr>
                <w:sz w:val="17"/>
                <w:szCs w:val="17"/>
                <w:lang w:val="en-GB"/>
              </w:rPr>
              <w:t xml:space="preserve">participation in </w:t>
            </w:r>
            <w:r w:rsidR="00B306B3" w:rsidRPr="00A2394E">
              <w:rPr>
                <w:sz w:val="17"/>
                <w:szCs w:val="17"/>
                <w:lang w:val="en-GB"/>
              </w:rPr>
              <w:t xml:space="preserve">the </w:t>
            </w:r>
            <w:r w:rsidRPr="00A2394E">
              <w:rPr>
                <w:sz w:val="17"/>
                <w:szCs w:val="17"/>
                <w:lang w:val="en-GB"/>
              </w:rPr>
              <w:t>local and national peace process</w:t>
            </w:r>
          </w:p>
          <w:p w14:paraId="6B989611" w14:textId="77777777" w:rsidR="0024569A" w:rsidRPr="00A2394E" w:rsidRDefault="0024569A" w:rsidP="00BD43AF">
            <w:pPr>
              <w:spacing w:line="276" w:lineRule="auto"/>
              <w:rPr>
                <w:sz w:val="17"/>
                <w:szCs w:val="17"/>
                <w:lang w:val="en-GB"/>
              </w:rPr>
            </w:pPr>
            <w:r w:rsidRPr="00A2394E">
              <w:rPr>
                <w:sz w:val="17"/>
                <w:szCs w:val="17"/>
                <w:lang w:val="en-GB"/>
              </w:rPr>
              <w:t>Baseline (2022): 0</w:t>
            </w:r>
          </w:p>
          <w:p w14:paraId="57C1FE9D" w14:textId="7E6FE754" w:rsidR="0024569A" w:rsidRPr="00A2394E" w:rsidRDefault="0024569A" w:rsidP="00BD43AF">
            <w:pPr>
              <w:spacing w:line="276" w:lineRule="auto"/>
              <w:rPr>
                <w:sz w:val="17"/>
                <w:szCs w:val="17"/>
                <w:lang w:val="en-GB"/>
              </w:rPr>
            </w:pPr>
            <w:r w:rsidRPr="00A2394E">
              <w:rPr>
                <w:sz w:val="17"/>
                <w:szCs w:val="17"/>
                <w:lang w:val="en-GB"/>
              </w:rPr>
              <w:t>Target (2024): 4</w:t>
            </w:r>
          </w:p>
          <w:p w14:paraId="224D58F6" w14:textId="77777777" w:rsidR="000134AF" w:rsidRPr="004806F2" w:rsidRDefault="000134AF" w:rsidP="000134AF">
            <w:pPr>
              <w:spacing w:line="276" w:lineRule="auto"/>
              <w:rPr>
                <w:sz w:val="17"/>
                <w:szCs w:val="17"/>
                <w:lang w:val="en-GB"/>
              </w:rPr>
            </w:pPr>
            <w:r w:rsidRPr="004806F2">
              <w:rPr>
                <w:sz w:val="17"/>
                <w:szCs w:val="17"/>
                <w:lang w:val="en-GB"/>
              </w:rPr>
              <w:t>Data source: Project reports, Frequency: annual</w:t>
            </w:r>
          </w:p>
          <w:p w14:paraId="010E1EF2" w14:textId="260A7296" w:rsidR="0024569A" w:rsidRPr="00A2394E" w:rsidRDefault="0024569A" w:rsidP="0009796E">
            <w:pPr>
              <w:rPr>
                <w:b/>
                <w:bCs/>
                <w:sz w:val="17"/>
                <w:szCs w:val="17"/>
                <w:lang w:val="en-GB"/>
              </w:rPr>
            </w:pPr>
          </w:p>
        </w:tc>
        <w:tc>
          <w:tcPr>
            <w:tcW w:w="894" w:type="pct"/>
            <w:vMerge w:val="restart"/>
          </w:tcPr>
          <w:p w14:paraId="15C5DB72" w14:textId="42FFFB51" w:rsidR="0024569A" w:rsidRPr="0043669F" w:rsidRDefault="00B46873" w:rsidP="00BD43AF">
            <w:pPr>
              <w:rPr>
                <w:sz w:val="17"/>
                <w:szCs w:val="17"/>
                <w:lang w:val="en-GB"/>
              </w:rPr>
            </w:pPr>
            <w:r w:rsidRPr="00A2394E">
              <w:rPr>
                <w:sz w:val="17"/>
                <w:szCs w:val="17"/>
                <w:lang w:val="en-GB"/>
              </w:rPr>
              <w:lastRenderedPageBreak/>
              <w:t>-</w:t>
            </w:r>
            <w:r w:rsidR="0024569A" w:rsidRPr="0043669F">
              <w:rPr>
                <w:sz w:val="17"/>
                <w:szCs w:val="17"/>
                <w:lang w:val="en-GB"/>
              </w:rPr>
              <w:t>Canada</w:t>
            </w:r>
          </w:p>
          <w:p w14:paraId="62805A5D" w14:textId="71592D89" w:rsidR="0024569A" w:rsidRPr="0043669F" w:rsidRDefault="00B46873" w:rsidP="00BD43AF">
            <w:pPr>
              <w:rPr>
                <w:sz w:val="17"/>
                <w:szCs w:val="17"/>
                <w:lang w:val="en-GB"/>
              </w:rPr>
            </w:pPr>
            <w:r w:rsidRPr="0043669F">
              <w:rPr>
                <w:sz w:val="17"/>
                <w:szCs w:val="17"/>
                <w:lang w:val="en-GB"/>
              </w:rPr>
              <w:t>-</w:t>
            </w:r>
            <w:r w:rsidR="0024569A" w:rsidRPr="0043669F">
              <w:rPr>
                <w:sz w:val="17"/>
                <w:szCs w:val="17"/>
                <w:lang w:val="en-GB"/>
              </w:rPr>
              <w:t>Denmark</w:t>
            </w:r>
          </w:p>
          <w:p w14:paraId="71177EBB" w14:textId="79DA9BB6" w:rsidR="0024569A" w:rsidRPr="0043669F" w:rsidRDefault="00B46873" w:rsidP="00BD43AF">
            <w:pPr>
              <w:rPr>
                <w:sz w:val="17"/>
                <w:szCs w:val="17"/>
                <w:lang w:val="en-GB"/>
              </w:rPr>
            </w:pPr>
            <w:r w:rsidRPr="0043669F">
              <w:rPr>
                <w:sz w:val="17"/>
                <w:szCs w:val="17"/>
                <w:lang w:val="en-GB"/>
              </w:rPr>
              <w:t>-</w:t>
            </w:r>
            <w:r w:rsidR="0024569A" w:rsidRPr="0043669F">
              <w:rPr>
                <w:sz w:val="17"/>
                <w:szCs w:val="17"/>
                <w:lang w:val="en-GB"/>
              </w:rPr>
              <w:t>E</w:t>
            </w:r>
            <w:r w:rsidR="00DB18CD">
              <w:rPr>
                <w:sz w:val="17"/>
                <w:szCs w:val="17"/>
                <w:lang w:val="en-GB"/>
              </w:rPr>
              <w:t>uropean</w:t>
            </w:r>
          </w:p>
          <w:p w14:paraId="2D65C578" w14:textId="57EF8A7B" w:rsidR="0024569A" w:rsidRPr="0043669F" w:rsidRDefault="00B46873" w:rsidP="00BD43AF">
            <w:pPr>
              <w:rPr>
                <w:sz w:val="17"/>
                <w:szCs w:val="17"/>
                <w:lang w:val="en-GB"/>
              </w:rPr>
            </w:pPr>
            <w:r w:rsidRPr="0043669F">
              <w:rPr>
                <w:sz w:val="17"/>
                <w:szCs w:val="17"/>
                <w:lang w:val="en-GB"/>
              </w:rPr>
              <w:t>-</w:t>
            </w:r>
            <w:r w:rsidR="0024569A" w:rsidRPr="0043669F">
              <w:rPr>
                <w:sz w:val="17"/>
                <w:szCs w:val="17"/>
                <w:lang w:val="en-GB"/>
              </w:rPr>
              <w:t>France</w:t>
            </w:r>
          </w:p>
          <w:p w14:paraId="3455580C" w14:textId="1BA06C40" w:rsidR="0024569A" w:rsidRPr="00B8427A" w:rsidRDefault="00B46873" w:rsidP="00BD43AF">
            <w:pPr>
              <w:rPr>
                <w:sz w:val="17"/>
                <w:szCs w:val="17"/>
                <w:lang w:val="en-GB"/>
              </w:rPr>
            </w:pPr>
            <w:r w:rsidRPr="00B8427A">
              <w:rPr>
                <w:sz w:val="17"/>
                <w:szCs w:val="17"/>
                <w:lang w:val="en-GB"/>
              </w:rPr>
              <w:t>-</w:t>
            </w:r>
            <w:r w:rsidR="0024569A" w:rsidRPr="00B8427A">
              <w:rPr>
                <w:sz w:val="17"/>
                <w:szCs w:val="17"/>
                <w:lang w:val="en-GB"/>
              </w:rPr>
              <w:t>Germany</w:t>
            </w:r>
          </w:p>
          <w:p w14:paraId="491F9AD4" w14:textId="74658560" w:rsidR="0024569A" w:rsidRPr="00B8427A" w:rsidRDefault="00B46873" w:rsidP="00BD43AF">
            <w:pPr>
              <w:rPr>
                <w:sz w:val="17"/>
                <w:szCs w:val="17"/>
                <w:lang w:val="en-GB"/>
              </w:rPr>
            </w:pPr>
            <w:r w:rsidRPr="00B8427A">
              <w:rPr>
                <w:sz w:val="17"/>
                <w:szCs w:val="17"/>
                <w:lang w:val="en-GB"/>
              </w:rPr>
              <w:t>-</w:t>
            </w:r>
            <w:r w:rsidR="0024569A" w:rsidRPr="00B8427A">
              <w:rPr>
                <w:sz w:val="17"/>
                <w:szCs w:val="17"/>
                <w:lang w:val="en-GB"/>
              </w:rPr>
              <w:t>Italy</w:t>
            </w:r>
          </w:p>
          <w:p w14:paraId="5C838204" w14:textId="75BAA191" w:rsidR="0024569A" w:rsidRPr="00B8427A" w:rsidRDefault="00B46873" w:rsidP="00BD43AF">
            <w:pPr>
              <w:rPr>
                <w:sz w:val="17"/>
                <w:szCs w:val="17"/>
                <w:lang w:val="en-GB"/>
              </w:rPr>
            </w:pPr>
            <w:r w:rsidRPr="00B8427A">
              <w:rPr>
                <w:sz w:val="17"/>
                <w:szCs w:val="17"/>
                <w:lang w:val="en-GB"/>
              </w:rPr>
              <w:t>-</w:t>
            </w:r>
            <w:r w:rsidR="0024569A" w:rsidRPr="00B8427A">
              <w:rPr>
                <w:sz w:val="17"/>
                <w:szCs w:val="17"/>
                <w:lang w:val="en-GB"/>
              </w:rPr>
              <w:t>Netherlands</w:t>
            </w:r>
          </w:p>
          <w:p w14:paraId="3C1FCCD6" w14:textId="49C812E7" w:rsidR="0024569A" w:rsidRPr="00B8427A" w:rsidRDefault="00B46873" w:rsidP="00BD43AF">
            <w:pPr>
              <w:rPr>
                <w:sz w:val="17"/>
                <w:szCs w:val="17"/>
                <w:lang w:val="en-GB"/>
              </w:rPr>
            </w:pPr>
            <w:r w:rsidRPr="00B8427A">
              <w:rPr>
                <w:sz w:val="17"/>
                <w:szCs w:val="17"/>
                <w:lang w:val="en-GB"/>
              </w:rPr>
              <w:t>-</w:t>
            </w:r>
            <w:r w:rsidR="0024569A" w:rsidRPr="00B8427A">
              <w:rPr>
                <w:sz w:val="17"/>
                <w:szCs w:val="17"/>
                <w:lang w:val="en-GB"/>
              </w:rPr>
              <w:t>S</w:t>
            </w:r>
            <w:r w:rsidR="009200C0" w:rsidRPr="00B8427A">
              <w:rPr>
                <w:sz w:val="17"/>
                <w:szCs w:val="17"/>
                <w:lang w:val="en-GB"/>
              </w:rPr>
              <w:t>weden</w:t>
            </w:r>
          </w:p>
          <w:p w14:paraId="2B021179" w14:textId="382A2D1C" w:rsidR="0024569A" w:rsidRPr="00B8427A" w:rsidRDefault="00B46873" w:rsidP="00BD43AF">
            <w:pPr>
              <w:rPr>
                <w:sz w:val="17"/>
                <w:szCs w:val="17"/>
                <w:lang w:val="en-GB"/>
              </w:rPr>
            </w:pPr>
            <w:r w:rsidRPr="00B8427A">
              <w:rPr>
                <w:sz w:val="17"/>
                <w:szCs w:val="17"/>
                <w:lang w:val="en-GB"/>
              </w:rPr>
              <w:t>-</w:t>
            </w:r>
            <w:r w:rsidR="0024569A" w:rsidRPr="00B8427A">
              <w:rPr>
                <w:sz w:val="17"/>
                <w:szCs w:val="17"/>
                <w:lang w:val="en-GB"/>
              </w:rPr>
              <w:t>Swi</w:t>
            </w:r>
            <w:r w:rsidR="009200C0" w:rsidRPr="00B8427A">
              <w:rPr>
                <w:sz w:val="17"/>
                <w:szCs w:val="17"/>
                <w:lang w:val="en-GB"/>
              </w:rPr>
              <w:t>tzerland</w:t>
            </w:r>
          </w:p>
          <w:p w14:paraId="09651FBC" w14:textId="2D5FDDC8" w:rsidR="0024569A" w:rsidRPr="00925AA6" w:rsidRDefault="00B46873" w:rsidP="00BD43AF">
            <w:pPr>
              <w:rPr>
                <w:sz w:val="17"/>
                <w:szCs w:val="17"/>
                <w:lang w:val="en-GB"/>
              </w:rPr>
            </w:pPr>
            <w:r w:rsidRPr="00925AA6">
              <w:rPr>
                <w:sz w:val="17"/>
                <w:szCs w:val="17"/>
                <w:lang w:val="en-GB"/>
              </w:rPr>
              <w:t>-</w:t>
            </w:r>
            <w:r w:rsidR="0024569A" w:rsidRPr="00925AA6">
              <w:rPr>
                <w:sz w:val="17"/>
                <w:szCs w:val="17"/>
                <w:lang w:val="en-GB"/>
              </w:rPr>
              <w:t>Norway</w:t>
            </w:r>
          </w:p>
          <w:p w14:paraId="077F1B6F" w14:textId="5294904C" w:rsidR="0024569A" w:rsidRPr="00925AA6" w:rsidRDefault="00B46873" w:rsidP="00BD43AF">
            <w:pPr>
              <w:rPr>
                <w:sz w:val="17"/>
                <w:szCs w:val="17"/>
                <w:lang w:val="en-GB"/>
              </w:rPr>
            </w:pPr>
            <w:r w:rsidRPr="00925AA6">
              <w:rPr>
                <w:sz w:val="17"/>
                <w:szCs w:val="17"/>
                <w:lang w:val="en-GB"/>
              </w:rPr>
              <w:t>-</w:t>
            </w:r>
            <w:r w:rsidR="0024569A" w:rsidRPr="00925AA6">
              <w:rPr>
                <w:sz w:val="17"/>
                <w:szCs w:val="17"/>
                <w:lang w:val="en-GB"/>
              </w:rPr>
              <w:t>U</w:t>
            </w:r>
            <w:r w:rsidR="00DB18CD">
              <w:rPr>
                <w:sz w:val="17"/>
                <w:szCs w:val="17"/>
                <w:lang w:val="en-GB"/>
              </w:rPr>
              <w:t>nited Kingdom</w:t>
            </w:r>
          </w:p>
          <w:p w14:paraId="324C2447" w14:textId="047B9D96" w:rsidR="0024569A" w:rsidRPr="00925AA6" w:rsidRDefault="00B46873" w:rsidP="00BD43AF">
            <w:pPr>
              <w:rPr>
                <w:sz w:val="17"/>
                <w:szCs w:val="17"/>
                <w:lang w:val="en-GB"/>
              </w:rPr>
            </w:pPr>
            <w:r w:rsidRPr="00925AA6">
              <w:rPr>
                <w:sz w:val="17"/>
                <w:szCs w:val="17"/>
                <w:lang w:val="en-GB"/>
              </w:rPr>
              <w:t>-</w:t>
            </w:r>
            <w:r w:rsidR="0024569A" w:rsidRPr="00925AA6">
              <w:rPr>
                <w:sz w:val="17"/>
                <w:szCs w:val="17"/>
                <w:lang w:val="en-GB"/>
              </w:rPr>
              <w:t xml:space="preserve">Port </w:t>
            </w:r>
            <w:r w:rsidR="00DB18CD">
              <w:rPr>
                <w:sz w:val="17"/>
                <w:szCs w:val="17"/>
                <w:lang w:val="en-GB"/>
              </w:rPr>
              <w:t>a</w:t>
            </w:r>
            <w:r w:rsidR="0024569A" w:rsidRPr="00925AA6">
              <w:rPr>
                <w:sz w:val="17"/>
                <w:szCs w:val="17"/>
                <w:lang w:val="en-GB"/>
              </w:rPr>
              <w:t>uthorities</w:t>
            </w:r>
          </w:p>
          <w:p w14:paraId="2E187F0D" w14:textId="77777777" w:rsidR="0024569A" w:rsidRPr="00925AA6" w:rsidRDefault="0024569A" w:rsidP="00BD43AF">
            <w:pPr>
              <w:rPr>
                <w:sz w:val="17"/>
                <w:szCs w:val="17"/>
                <w:lang w:val="en-GB"/>
              </w:rPr>
            </w:pPr>
          </w:p>
        </w:tc>
        <w:tc>
          <w:tcPr>
            <w:tcW w:w="497" w:type="pct"/>
            <w:tcMar>
              <w:top w:w="15" w:type="dxa"/>
              <w:left w:w="108" w:type="dxa"/>
              <w:bottom w:w="0" w:type="dxa"/>
              <w:right w:w="108" w:type="dxa"/>
            </w:tcMar>
          </w:tcPr>
          <w:p w14:paraId="668DD675" w14:textId="77777777" w:rsidR="00206963" w:rsidRDefault="0024569A" w:rsidP="00BD43AF">
            <w:pPr>
              <w:rPr>
                <w:b/>
                <w:sz w:val="17"/>
                <w:szCs w:val="17"/>
                <w:lang w:val="en-GB"/>
              </w:rPr>
            </w:pPr>
            <w:r w:rsidRPr="00925AA6">
              <w:rPr>
                <w:b/>
                <w:sz w:val="17"/>
                <w:szCs w:val="17"/>
                <w:lang w:val="en-GB"/>
              </w:rPr>
              <w:t xml:space="preserve">Regular </w:t>
            </w:r>
          </w:p>
          <w:p w14:paraId="7CCEE598" w14:textId="1ADDD6EC" w:rsidR="0024569A" w:rsidRPr="00925AA6" w:rsidRDefault="0024569A" w:rsidP="00BD43AF">
            <w:pPr>
              <w:rPr>
                <w:b/>
                <w:sz w:val="17"/>
                <w:szCs w:val="17"/>
                <w:lang w:val="en-GB"/>
              </w:rPr>
            </w:pPr>
            <w:r w:rsidRPr="00925AA6">
              <w:rPr>
                <w:b/>
                <w:sz w:val="17"/>
                <w:szCs w:val="17"/>
                <w:lang w:val="en-GB"/>
              </w:rPr>
              <w:t xml:space="preserve">$2 </w:t>
            </w:r>
            <w:r w:rsidR="00206963">
              <w:rPr>
                <w:b/>
                <w:sz w:val="17"/>
                <w:szCs w:val="17"/>
                <w:lang w:val="en-GB"/>
              </w:rPr>
              <w:t>m</w:t>
            </w:r>
            <w:r w:rsidRPr="00925AA6">
              <w:rPr>
                <w:b/>
                <w:sz w:val="17"/>
                <w:szCs w:val="17"/>
                <w:lang w:val="en-GB"/>
              </w:rPr>
              <w:t>illion</w:t>
            </w:r>
          </w:p>
        </w:tc>
      </w:tr>
      <w:tr w:rsidR="00C6248C" w:rsidRPr="00444069" w14:paraId="13FE8FCA" w14:textId="77777777" w:rsidTr="00BC34CA">
        <w:trPr>
          <w:trHeight w:val="461"/>
        </w:trPr>
        <w:tc>
          <w:tcPr>
            <w:tcW w:w="920" w:type="pct"/>
            <w:vMerge/>
            <w:tcMar>
              <w:top w:w="72" w:type="dxa"/>
              <w:left w:w="144" w:type="dxa"/>
              <w:bottom w:w="72" w:type="dxa"/>
              <w:right w:w="144" w:type="dxa"/>
            </w:tcMar>
          </w:tcPr>
          <w:p w14:paraId="5D06F18D" w14:textId="40BA23C3" w:rsidR="0024569A" w:rsidRPr="00444069" w:rsidRDefault="0024569A" w:rsidP="00BD43AF">
            <w:pPr>
              <w:rPr>
                <w:sz w:val="17"/>
                <w:szCs w:val="17"/>
                <w:lang w:val="en-GB"/>
              </w:rPr>
            </w:pPr>
          </w:p>
        </w:tc>
        <w:tc>
          <w:tcPr>
            <w:tcW w:w="541" w:type="pct"/>
            <w:vMerge/>
          </w:tcPr>
          <w:p w14:paraId="6E6D9E50" w14:textId="77777777" w:rsidR="0024569A" w:rsidRPr="00444069" w:rsidRDefault="0024569A" w:rsidP="00BD43AF">
            <w:pPr>
              <w:rPr>
                <w:sz w:val="17"/>
                <w:szCs w:val="17"/>
                <w:lang w:val="en-GB"/>
              </w:rPr>
            </w:pPr>
          </w:p>
        </w:tc>
        <w:tc>
          <w:tcPr>
            <w:tcW w:w="2148" w:type="pct"/>
            <w:vMerge/>
            <w:tcMar>
              <w:top w:w="72" w:type="dxa"/>
              <w:left w:w="144" w:type="dxa"/>
              <w:bottom w:w="72" w:type="dxa"/>
              <w:right w:w="144" w:type="dxa"/>
            </w:tcMar>
          </w:tcPr>
          <w:p w14:paraId="7E5F5912" w14:textId="77777777" w:rsidR="0024569A" w:rsidRPr="00444069" w:rsidRDefault="0024569A" w:rsidP="00BD43AF">
            <w:pPr>
              <w:rPr>
                <w:sz w:val="17"/>
                <w:szCs w:val="17"/>
                <w:lang w:val="en-GB"/>
              </w:rPr>
            </w:pPr>
          </w:p>
        </w:tc>
        <w:tc>
          <w:tcPr>
            <w:tcW w:w="894" w:type="pct"/>
            <w:vMerge/>
          </w:tcPr>
          <w:p w14:paraId="2AE90B0A" w14:textId="77777777" w:rsidR="0024569A" w:rsidRPr="00444069" w:rsidRDefault="0024569A" w:rsidP="00BD43AF">
            <w:pPr>
              <w:rPr>
                <w:sz w:val="17"/>
                <w:szCs w:val="17"/>
                <w:lang w:val="en-GB"/>
              </w:rPr>
            </w:pPr>
          </w:p>
        </w:tc>
        <w:tc>
          <w:tcPr>
            <w:tcW w:w="497" w:type="pct"/>
            <w:tcMar>
              <w:top w:w="15" w:type="dxa"/>
              <w:left w:w="108" w:type="dxa"/>
              <w:bottom w:w="0" w:type="dxa"/>
              <w:right w:w="108" w:type="dxa"/>
            </w:tcMar>
          </w:tcPr>
          <w:p w14:paraId="602622E7" w14:textId="77777777" w:rsidR="00206963" w:rsidRDefault="0024569A" w:rsidP="00BD43AF">
            <w:pPr>
              <w:rPr>
                <w:b/>
                <w:sz w:val="17"/>
                <w:szCs w:val="17"/>
                <w:lang w:val="en-GB"/>
              </w:rPr>
            </w:pPr>
            <w:r w:rsidRPr="00444069">
              <w:rPr>
                <w:b/>
                <w:sz w:val="17"/>
                <w:szCs w:val="17"/>
                <w:lang w:val="en-GB"/>
              </w:rPr>
              <w:t xml:space="preserve">Other </w:t>
            </w:r>
          </w:p>
          <w:p w14:paraId="49595014" w14:textId="2AD3F2E8" w:rsidR="0024569A" w:rsidRPr="00444069" w:rsidRDefault="0024569A" w:rsidP="00BD43AF">
            <w:pPr>
              <w:rPr>
                <w:b/>
                <w:sz w:val="17"/>
                <w:szCs w:val="17"/>
                <w:lang w:val="en-GB"/>
              </w:rPr>
            </w:pPr>
            <w:r w:rsidRPr="00444069">
              <w:rPr>
                <w:b/>
                <w:sz w:val="17"/>
                <w:szCs w:val="17"/>
                <w:lang w:val="en-GB"/>
              </w:rPr>
              <w:t xml:space="preserve">$120 </w:t>
            </w:r>
            <w:r w:rsidR="00206963">
              <w:rPr>
                <w:b/>
                <w:sz w:val="17"/>
                <w:szCs w:val="17"/>
                <w:lang w:val="en-GB"/>
              </w:rPr>
              <w:t>m</w:t>
            </w:r>
            <w:r w:rsidRPr="00444069">
              <w:rPr>
                <w:b/>
                <w:sz w:val="17"/>
                <w:szCs w:val="17"/>
                <w:lang w:val="en-GB"/>
              </w:rPr>
              <w:t xml:space="preserve">illion </w:t>
            </w:r>
          </w:p>
          <w:p w14:paraId="32201626" w14:textId="77777777" w:rsidR="0024569A" w:rsidRPr="00444069" w:rsidRDefault="0024569A" w:rsidP="00BC34CA">
            <w:pPr>
              <w:rPr>
                <w:b/>
                <w:sz w:val="17"/>
                <w:szCs w:val="17"/>
                <w:lang w:val="en-GB"/>
              </w:rPr>
            </w:pPr>
          </w:p>
        </w:tc>
      </w:tr>
    </w:tbl>
    <w:bookmarkEnd w:id="4"/>
    <w:p w14:paraId="0BFCE2E5" w14:textId="0D534C64" w:rsidR="00D6679C" w:rsidRPr="00444069" w:rsidRDefault="00C6248C" w:rsidP="00C6248C">
      <w:pPr>
        <w:jc w:val="center"/>
        <w:rPr>
          <w:color w:val="000000"/>
          <w:lang w:val="en-GB"/>
        </w:rPr>
      </w:pPr>
      <w:r w:rsidRPr="000134AF">
        <w:rPr>
          <w:b/>
          <w:noProof/>
          <w:sz w:val="18"/>
          <w:szCs w:val="18"/>
        </w:rPr>
        <w:drawing>
          <wp:inline distT="0" distB="0" distL="0" distR="0" wp14:anchorId="4FA65FE2" wp14:editId="28CCAE3C">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444069" w:rsidSect="00281921">
      <w:headerReference w:type="even" r:id="rId21"/>
      <w:headerReference w:type="default" r:id="rId22"/>
      <w:footerReference w:type="even" r:id="rId23"/>
      <w:foot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588A" w14:textId="77777777" w:rsidR="00237992" w:rsidRDefault="00237992" w:rsidP="00441061">
      <w:r>
        <w:separator/>
      </w:r>
    </w:p>
  </w:endnote>
  <w:endnote w:type="continuationSeparator" w:id="0">
    <w:p w14:paraId="75758DC6" w14:textId="77777777" w:rsidR="00237992" w:rsidRDefault="00237992" w:rsidP="00441061">
      <w:r>
        <w:continuationSeparator/>
      </w:r>
    </w:p>
  </w:endnote>
  <w:endnote w:type="continuationNotice" w:id="1">
    <w:p w14:paraId="04905A54" w14:textId="77777777" w:rsidR="00237992" w:rsidRDefault="00237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0eue Haas Grotesk Text Pro">
    <w:altName w:val="0eue Haas Grotesk Text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CA5B30" w:rsidRPr="005841A3" w:rsidRDefault="00CA5B30" w:rsidP="000156B4">
    <w:pPr>
      <w:pStyle w:val="Footer"/>
      <w:ind w:firstLine="81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53C26">
      <w:rPr>
        <w:b/>
        <w:noProof/>
        <w:sz w:val="17"/>
        <w:szCs w:val="17"/>
      </w:rPr>
      <w:t>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4821315B" w:rsidR="00CA5B30" w:rsidRPr="000156B4" w:rsidRDefault="00CA5B30" w:rsidP="000156B4">
    <w:pPr>
      <w:pStyle w:val="Footer"/>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53C26">
      <w:rPr>
        <w:b/>
        <w:noProof/>
        <w:sz w:val="17"/>
        <w:szCs w:val="17"/>
      </w:rPr>
      <w:t>5</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FF38" w14:textId="77777777" w:rsidR="00CA5B30" w:rsidRPr="005841A3" w:rsidRDefault="00CA5B30" w:rsidP="00BC34CA">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53C26">
      <w:rPr>
        <w:b/>
        <w:noProof/>
        <w:sz w:val="17"/>
        <w:szCs w:val="17"/>
      </w:rPr>
      <w:t>14</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4A45" w14:textId="77777777" w:rsidR="00CA5B30" w:rsidRPr="000156B4" w:rsidRDefault="00CA5B30" w:rsidP="00BC34CA">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53C26">
      <w:rPr>
        <w:b/>
        <w:noProof/>
        <w:sz w:val="17"/>
        <w:szCs w:val="17"/>
      </w:rPr>
      <w:t>13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5E9D" w14:textId="77777777" w:rsidR="00237992" w:rsidRDefault="00237992" w:rsidP="00441061">
      <w:r>
        <w:separator/>
      </w:r>
    </w:p>
  </w:footnote>
  <w:footnote w:type="continuationSeparator" w:id="0">
    <w:p w14:paraId="324661DC" w14:textId="77777777" w:rsidR="00237992" w:rsidRDefault="00237992" w:rsidP="00441061">
      <w:r>
        <w:continuationSeparator/>
      </w:r>
    </w:p>
  </w:footnote>
  <w:footnote w:type="continuationNotice" w:id="1">
    <w:p w14:paraId="156F239E" w14:textId="77777777" w:rsidR="00237992" w:rsidRDefault="00237992"/>
  </w:footnote>
  <w:footnote w:id="2">
    <w:p w14:paraId="7774E308" w14:textId="3EECFB4B" w:rsidR="00CA5B30" w:rsidRPr="007A37C2" w:rsidRDefault="00CA5B30" w:rsidP="00104772">
      <w:pPr>
        <w:pStyle w:val="FootnoteText"/>
        <w:ind w:right="69"/>
        <w:jc w:val="both"/>
        <w:rPr>
          <w:rFonts w:ascii="Times New Roman" w:hAnsi="Times New Roman"/>
          <w:sz w:val="16"/>
          <w:szCs w:val="16"/>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w:t>
      </w:r>
      <w:hyperlink r:id="rId1" w:history="1">
        <w:r w:rsidRPr="007A37C2">
          <w:rPr>
            <w:rStyle w:val="Hyperlink"/>
            <w:rFonts w:ascii="Times New Roman" w:hAnsi="Times New Roman"/>
            <w:color w:val="auto"/>
            <w:sz w:val="16"/>
            <w:szCs w:val="16"/>
          </w:rPr>
          <w:t>https://www.worldometers.info/world-population/yemen-population/</w:t>
        </w:r>
      </w:hyperlink>
      <w:r w:rsidRPr="007A37C2">
        <w:rPr>
          <w:rFonts w:ascii="Times New Roman" w:hAnsi="Times New Roman"/>
          <w:sz w:val="16"/>
          <w:szCs w:val="16"/>
        </w:rPr>
        <w:t xml:space="preserve"> (accessed on 29 March 2022)</w:t>
      </w:r>
    </w:p>
  </w:footnote>
  <w:footnote w:id="3">
    <w:p w14:paraId="1B7B9FFC" w14:textId="4B9A1236" w:rsidR="00CA5B30" w:rsidRPr="007A37C2" w:rsidRDefault="00CA5B30" w:rsidP="00104772">
      <w:pPr>
        <w:pStyle w:val="FootnoteText"/>
        <w:ind w:right="69"/>
        <w:jc w:val="both"/>
        <w:rPr>
          <w:rFonts w:ascii="Times New Roman" w:hAnsi="Times New Roman"/>
          <w:sz w:val="16"/>
          <w:szCs w:val="16"/>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U</w:t>
      </w:r>
      <w:r>
        <w:rPr>
          <w:rFonts w:ascii="Times New Roman" w:hAnsi="Times New Roman"/>
          <w:sz w:val="16"/>
          <w:szCs w:val="16"/>
        </w:rPr>
        <w:t>nited Nations</w:t>
      </w:r>
      <w:r w:rsidRPr="007A37C2">
        <w:rPr>
          <w:rFonts w:ascii="Times New Roman" w:hAnsi="Times New Roman"/>
          <w:sz w:val="16"/>
          <w:szCs w:val="16"/>
        </w:rPr>
        <w:t xml:space="preserve"> Data – Yemen </w:t>
      </w:r>
      <w:r>
        <w:rPr>
          <w:rFonts w:ascii="Times New Roman" w:hAnsi="Times New Roman"/>
          <w:sz w:val="16"/>
          <w:szCs w:val="16"/>
        </w:rPr>
        <w:t>c</w:t>
      </w:r>
      <w:r w:rsidRPr="007A37C2">
        <w:rPr>
          <w:rFonts w:ascii="Times New Roman" w:hAnsi="Times New Roman"/>
          <w:sz w:val="16"/>
          <w:szCs w:val="16"/>
        </w:rPr>
        <w:t xml:space="preserve">ountry </w:t>
      </w:r>
      <w:r>
        <w:rPr>
          <w:rFonts w:ascii="Times New Roman" w:hAnsi="Times New Roman"/>
          <w:sz w:val="16"/>
          <w:szCs w:val="16"/>
        </w:rPr>
        <w:t>p</w:t>
      </w:r>
      <w:r w:rsidRPr="007A37C2">
        <w:rPr>
          <w:rFonts w:ascii="Times New Roman" w:hAnsi="Times New Roman"/>
          <w:sz w:val="16"/>
          <w:szCs w:val="16"/>
        </w:rPr>
        <w:t>rofile (http://data.un.org/en/iso/ye.html)</w:t>
      </w:r>
    </w:p>
  </w:footnote>
  <w:footnote w:id="4">
    <w:p w14:paraId="70B55272" w14:textId="70B98053" w:rsidR="00CA5B30" w:rsidRPr="007A37C2" w:rsidRDefault="00CA5B30" w:rsidP="00104772">
      <w:pPr>
        <w:ind w:right="69"/>
        <w:jc w:val="both"/>
        <w:rPr>
          <w:sz w:val="16"/>
          <w:szCs w:val="16"/>
        </w:rPr>
      </w:pPr>
      <w:r w:rsidRPr="007A37C2">
        <w:rPr>
          <w:rStyle w:val="FootnoteReference"/>
          <w:sz w:val="16"/>
          <w:szCs w:val="16"/>
        </w:rPr>
        <w:footnoteRef/>
      </w:r>
      <w:r w:rsidRPr="007A37C2">
        <w:rPr>
          <w:sz w:val="16"/>
          <w:szCs w:val="16"/>
        </w:rPr>
        <w:t xml:space="preserve"> </w:t>
      </w:r>
      <w:r w:rsidRPr="009565D7">
        <w:rPr>
          <w:sz w:val="16"/>
          <w:szCs w:val="16"/>
          <w:u w:val="single"/>
        </w:rPr>
        <w:t>arabdevelopmentportal.com</w:t>
      </w:r>
      <w:r w:rsidRPr="007A37C2">
        <w:rPr>
          <w:sz w:val="16"/>
          <w:szCs w:val="16"/>
        </w:rPr>
        <w:t xml:space="preserve">. If provided with the right incentives and opportunities, the </w:t>
      </w:r>
      <w:r>
        <w:rPr>
          <w:sz w:val="16"/>
          <w:szCs w:val="16"/>
        </w:rPr>
        <w:t>‘</w:t>
      </w:r>
      <w:r w:rsidRPr="007A37C2">
        <w:rPr>
          <w:sz w:val="16"/>
          <w:szCs w:val="16"/>
        </w:rPr>
        <w:t>youth bulge</w:t>
      </w:r>
      <w:r>
        <w:rPr>
          <w:sz w:val="16"/>
          <w:szCs w:val="16"/>
        </w:rPr>
        <w:t>’</w:t>
      </w:r>
      <w:r w:rsidRPr="007A37C2">
        <w:rPr>
          <w:sz w:val="16"/>
          <w:szCs w:val="16"/>
        </w:rPr>
        <w:t xml:space="preserve"> offers significant potential for development.</w:t>
      </w:r>
    </w:p>
  </w:footnote>
  <w:footnote w:id="5">
    <w:p w14:paraId="05B905C7" w14:textId="1A880396" w:rsidR="00CA5B30" w:rsidRPr="007A37C2" w:rsidRDefault="00CA5B30" w:rsidP="00104772">
      <w:pPr>
        <w:pStyle w:val="FootnoteText"/>
        <w:rPr>
          <w:rFonts w:ascii="Times New Roman" w:hAnsi="Times New Roman"/>
          <w:sz w:val="16"/>
          <w:szCs w:val="16"/>
          <w:lang w:val="en-GB"/>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Human Development Report 2020</w:t>
      </w:r>
    </w:p>
  </w:footnote>
  <w:footnote w:id="6">
    <w:p w14:paraId="5D19EB09" w14:textId="177CE0C6" w:rsidR="00CA5B30" w:rsidRPr="007A37C2" w:rsidRDefault="00CA5B30">
      <w:pPr>
        <w:pStyle w:val="FootnoteText"/>
        <w:rPr>
          <w:sz w:val="16"/>
          <w:szCs w:val="16"/>
        </w:rPr>
      </w:pPr>
      <w:r w:rsidRPr="009565D7">
        <w:rPr>
          <w:rStyle w:val="FootnoteReference"/>
          <w:rFonts w:ascii="Times New Roman" w:hAnsi="Times New Roman"/>
          <w:sz w:val="16"/>
          <w:szCs w:val="16"/>
        </w:rPr>
        <w:footnoteRef/>
      </w:r>
      <w:r w:rsidRPr="009565D7">
        <w:rPr>
          <w:rStyle w:val="FootnoteReference"/>
          <w:rFonts w:ascii="Times New Roman" w:hAnsi="Times New Roman"/>
        </w:rPr>
        <w:t xml:space="preserve"> </w:t>
      </w:r>
      <w:r w:rsidRPr="007A37C2">
        <w:rPr>
          <w:rFonts w:ascii="Times New Roman" w:hAnsi="Times New Roman"/>
          <w:sz w:val="16"/>
          <w:szCs w:val="16"/>
        </w:rPr>
        <w:t xml:space="preserve">Security Council </w:t>
      </w:r>
      <w:r>
        <w:rPr>
          <w:rFonts w:ascii="Times New Roman" w:hAnsi="Times New Roman"/>
          <w:sz w:val="16"/>
          <w:szCs w:val="16"/>
        </w:rPr>
        <w:t>r</w:t>
      </w:r>
      <w:r w:rsidRPr="007A37C2">
        <w:rPr>
          <w:rFonts w:ascii="Times New Roman" w:hAnsi="Times New Roman"/>
          <w:sz w:val="16"/>
          <w:szCs w:val="16"/>
        </w:rPr>
        <w:t>esolution 2216</w:t>
      </w:r>
    </w:p>
  </w:footnote>
  <w:footnote w:id="7">
    <w:p w14:paraId="3E0F9E9A" w14:textId="77777777" w:rsidR="00CA5B30" w:rsidRPr="007A37C2" w:rsidRDefault="00CA5B30" w:rsidP="006A3AD9">
      <w:pPr>
        <w:pStyle w:val="FootnoteText"/>
        <w:rPr>
          <w:rFonts w:ascii="Times New Roman" w:hAnsi="Times New Roman"/>
          <w:sz w:val="16"/>
          <w:szCs w:val="16"/>
          <w:lang w:val="en-GB"/>
        </w:rPr>
      </w:pPr>
      <w:r w:rsidRPr="007A37C2">
        <w:rPr>
          <w:rStyle w:val="FootnoteReference"/>
          <w:rFonts w:ascii="Times New Roman" w:hAnsi="Times New Roman"/>
          <w:sz w:val="16"/>
          <w:szCs w:val="16"/>
        </w:rPr>
        <w:footnoteRef/>
      </w:r>
      <w:r w:rsidRPr="009565D7">
        <w:rPr>
          <w:rFonts w:ascii="Times New Roman" w:hAnsi="Times New Roman"/>
          <w:sz w:val="16"/>
          <w:szCs w:val="16"/>
          <w:u w:val="single"/>
        </w:rPr>
        <w:t xml:space="preserve"> </w:t>
      </w:r>
      <w:hyperlink r:id="rId2" w:history="1">
        <w:r w:rsidRPr="009565D7">
          <w:rPr>
            <w:rStyle w:val="Hyperlink"/>
            <w:rFonts w:ascii="Times New Roman" w:hAnsi="Times New Roman"/>
            <w:color w:val="auto"/>
            <w:sz w:val="16"/>
            <w:szCs w:val="16"/>
            <w:u w:val="single"/>
          </w:rPr>
          <w:t>https://osesgy.unmissions.org/press-statement-un-special-envoy-yemen-hans-grundberg-two-month-truce</w:t>
        </w:r>
      </w:hyperlink>
      <w:r w:rsidRPr="007A37C2">
        <w:rPr>
          <w:rFonts w:ascii="Times New Roman" w:hAnsi="Times New Roman"/>
          <w:sz w:val="16"/>
          <w:szCs w:val="16"/>
        </w:rPr>
        <w:t xml:space="preserve"> </w:t>
      </w:r>
    </w:p>
  </w:footnote>
  <w:footnote w:id="8">
    <w:p w14:paraId="244F7351" w14:textId="2CC7BFB5" w:rsidR="00CA5B30" w:rsidRPr="007A37C2" w:rsidRDefault="00CA5B30" w:rsidP="00104772">
      <w:pPr>
        <w:pStyle w:val="FootnoteText"/>
        <w:rPr>
          <w:rFonts w:ascii="Times New Roman" w:hAnsi="Times New Roman"/>
          <w:sz w:val="16"/>
          <w:szCs w:val="16"/>
          <w:lang w:val="en-GB"/>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Draft </w:t>
      </w:r>
      <w:r w:rsidRPr="007A37C2">
        <w:rPr>
          <w:rFonts w:ascii="Times New Roman" w:hAnsi="Times New Roman"/>
          <w:sz w:val="16"/>
          <w:szCs w:val="16"/>
          <w:lang w:val="en-GB"/>
        </w:rPr>
        <w:t>Humanitarian Needs Overview</w:t>
      </w:r>
      <w:r>
        <w:rPr>
          <w:rFonts w:ascii="Times New Roman" w:hAnsi="Times New Roman"/>
          <w:sz w:val="16"/>
          <w:szCs w:val="16"/>
          <w:lang w:val="en-GB"/>
        </w:rPr>
        <w:t xml:space="preserve"> </w:t>
      </w:r>
      <w:r w:rsidRPr="007A37C2">
        <w:rPr>
          <w:rFonts w:ascii="Times New Roman" w:hAnsi="Times New Roman"/>
          <w:sz w:val="16"/>
          <w:szCs w:val="16"/>
          <w:lang w:val="en-GB"/>
        </w:rPr>
        <w:t>2022</w:t>
      </w:r>
    </w:p>
  </w:footnote>
  <w:footnote w:id="9">
    <w:p w14:paraId="004C755C" w14:textId="06AB4519" w:rsidR="00CA5B30" w:rsidRPr="007A37C2" w:rsidRDefault="00CA5B30">
      <w:pPr>
        <w:pStyle w:val="FootnoteText"/>
        <w:rPr>
          <w:rFonts w:ascii="Times New Roman" w:hAnsi="Times New Roman"/>
          <w:sz w:val="16"/>
          <w:szCs w:val="16"/>
        </w:rPr>
      </w:pPr>
      <w:r w:rsidRPr="007A37C2">
        <w:rPr>
          <w:rStyle w:val="FootnoteReference"/>
          <w:sz w:val="16"/>
          <w:szCs w:val="16"/>
        </w:rPr>
        <w:footnoteRef/>
      </w:r>
      <w:r w:rsidRPr="009565D7">
        <w:rPr>
          <w:rFonts w:ascii="Times New Roman" w:hAnsi="Times New Roman"/>
          <w:sz w:val="16"/>
          <w:szCs w:val="16"/>
        </w:rPr>
        <w:t xml:space="preserve"> Humanitarian Needs Overview 2022 and Humanitarian Response Plan 2022,</w:t>
      </w:r>
      <w:r w:rsidRPr="009565D7">
        <w:rPr>
          <w:rFonts w:ascii="Helvetica" w:hAnsi="Helvetica"/>
          <w:color w:val="333333"/>
          <w:sz w:val="21"/>
          <w:szCs w:val="21"/>
          <w:shd w:val="clear" w:color="auto" w:fill="FFFFFF"/>
        </w:rPr>
        <w:t xml:space="preserve"> </w:t>
      </w:r>
      <w:r w:rsidRPr="009565D7">
        <w:rPr>
          <w:rFonts w:ascii="Times New Roman" w:hAnsi="Times New Roman"/>
          <w:sz w:val="16"/>
          <w:szCs w:val="16"/>
        </w:rPr>
        <w:t>Office for the Coordination of Humanitarian Affairs</w:t>
      </w:r>
      <w:r>
        <w:rPr>
          <w:rFonts w:ascii="Times New Roman" w:hAnsi="Times New Roman"/>
          <w:sz w:val="16"/>
          <w:szCs w:val="16"/>
        </w:rPr>
        <w:t xml:space="preserve"> </w:t>
      </w:r>
    </w:p>
  </w:footnote>
  <w:footnote w:id="10">
    <w:p w14:paraId="52FAF6C3" w14:textId="77777777" w:rsidR="00CA5B30" w:rsidRPr="007A37C2" w:rsidRDefault="00CA5B30" w:rsidP="00C618E5">
      <w:pPr>
        <w:pStyle w:val="FootnoteText"/>
        <w:rPr>
          <w:rStyle w:val="Hyperlink"/>
          <w:rFonts w:ascii="Times New Roman" w:hAnsi="Times New Roman"/>
          <w:color w:val="auto"/>
          <w:sz w:val="16"/>
          <w:szCs w:val="16"/>
        </w:rPr>
      </w:pPr>
      <w:r w:rsidRPr="007A37C2">
        <w:rPr>
          <w:rStyle w:val="FootnoteReference"/>
          <w:sz w:val="16"/>
          <w:szCs w:val="16"/>
        </w:rPr>
        <w:footnoteRef/>
      </w:r>
      <w:r w:rsidRPr="009565D7">
        <w:rPr>
          <w:rFonts w:ascii="Times New Roman" w:hAnsi="Times New Roman"/>
          <w:sz w:val="16"/>
          <w:szCs w:val="16"/>
        </w:rPr>
        <w:t xml:space="preserve"> </w:t>
      </w:r>
      <w:r w:rsidRPr="009565D7">
        <w:rPr>
          <w:rStyle w:val="Hyperlink"/>
          <w:rFonts w:ascii="Times New Roman" w:hAnsi="Times New Roman"/>
          <w:color w:val="auto"/>
          <w:sz w:val="16"/>
          <w:szCs w:val="16"/>
          <w:u w:val="single"/>
        </w:rPr>
        <w:t>https://reliefweb.int/sites/reliefweb.int/files/resources/Yemen_HNO_2021_Final.pdf</w:t>
      </w:r>
    </w:p>
  </w:footnote>
  <w:footnote w:id="11">
    <w:p w14:paraId="74ED8917" w14:textId="4E2BBE3C" w:rsidR="00CA5B30" w:rsidRPr="00104772" w:rsidRDefault="00CA5B30" w:rsidP="00104772">
      <w:pPr>
        <w:pStyle w:val="FootnoteText"/>
        <w:rPr>
          <w:rFonts w:ascii="Times New Roman" w:hAnsi="Times New Roman"/>
          <w:sz w:val="16"/>
          <w:szCs w:val="16"/>
          <w:lang w:val="en-GB"/>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UNDP </w:t>
      </w:r>
      <w:r>
        <w:rPr>
          <w:rFonts w:ascii="Times New Roman" w:hAnsi="Times New Roman"/>
          <w:sz w:val="16"/>
          <w:szCs w:val="16"/>
        </w:rPr>
        <w:t>c</w:t>
      </w:r>
      <w:r w:rsidRPr="007A37C2">
        <w:rPr>
          <w:rFonts w:ascii="Times New Roman" w:hAnsi="Times New Roman"/>
          <w:sz w:val="16"/>
          <w:szCs w:val="16"/>
        </w:rPr>
        <w:t xml:space="preserve">ountry </w:t>
      </w:r>
      <w:r>
        <w:rPr>
          <w:rFonts w:ascii="Times New Roman" w:hAnsi="Times New Roman"/>
          <w:sz w:val="16"/>
          <w:szCs w:val="16"/>
        </w:rPr>
        <w:t>s</w:t>
      </w:r>
      <w:r w:rsidRPr="007A37C2">
        <w:rPr>
          <w:rFonts w:ascii="Times New Roman" w:hAnsi="Times New Roman"/>
          <w:sz w:val="16"/>
          <w:szCs w:val="16"/>
        </w:rPr>
        <w:t xml:space="preserve">trategy </w:t>
      </w:r>
      <w:r>
        <w:rPr>
          <w:rFonts w:ascii="Times New Roman" w:hAnsi="Times New Roman"/>
          <w:sz w:val="16"/>
          <w:szCs w:val="16"/>
        </w:rPr>
        <w:t>n</w:t>
      </w:r>
      <w:r w:rsidRPr="007A37C2">
        <w:rPr>
          <w:rFonts w:ascii="Times New Roman" w:hAnsi="Times New Roman"/>
          <w:sz w:val="16"/>
          <w:szCs w:val="16"/>
        </w:rPr>
        <w:t>ote (2021-2024)</w:t>
      </w:r>
    </w:p>
  </w:footnote>
  <w:footnote w:id="12">
    <w:p w14:paraId="60FFF7BD" w14:textId="1799155B" w:rsidR="00CA5B30" w:rsidRPr="007A37C2" w:rsidRDefault="00CA5B30" w:rsidP="00104772">
      <w:pPr>
        <w:pStyle w:val="FootnoteText"/>
        <w:rPr>
          <w:rFonts w:ascii="Times New Roman" w:hAnsi="Times New Roman"/>
          <w:sz w:val="16"/>
          <w:szCs w:val="16"/>
          <w:lang w:val="en-GB"/>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w:t>
      </w:r>
      <w:r w:rsidRPr="007A37C2">
        <w:rPr>
          <w:rFonts w:ascii="Times New Roman" w:hAnsi="Times New Roman"/>
          <w:sz w:val="16"/>
          <w:szCs w:val="16"/>
          <w:lang w:val="en-GB"/>
        </w:rPr>
        <w:t>Ibid</w:t>
      </w:r>
      <w:r>
        <w:rPr>
          <w:rFonts w:ascii="Times New Roman" w:hAnsi="Times New Roman"/>
          <w:sz w:val="16"/>
          <w:szCs w:val="16"/>
          <w:lang w:val="en-GB"/>
        </w:rPr>
        <w:t>.</w:t>
      </w:r>
    </w:p>
  </w:footnote>
  <w:footnote w:id="13">
    <w:p w14:paraId="76D86933" w14:textId="77777777" w:rsidR="00CA5B30" w:rsidRPr="00BF4120" w:rsidRDefault="00CA5B30" w:rsidP="00D91D8D">
      <w:pPr>
        <w:pStyle w:val="FootnoteText"/>
        <w:rPr>
          <w:rStyle w:val="Hyperlink"/>
          <w:rFonts w:ascii="Times New Roman" w:hAnsi="Times New Roman"/>
          <w:color w:val="auto"/>
          <w:sz w:val="16"/>
          <w:szCs w:val="16"/>
          <w:u w:val="single"/>
        </w:rPr>
      </w:pPr>
      <w:r w:rsidRPr="00BF4120">
        <w:rPr>
          <w:rStyle w:val="FootnoteReference"/>
          <w:rFonts w:ascii="Times New Roman" w:hAnsi="Times New Roman"/>
          <w:sz w:val="16"/>
          <w:szCs w:val="16"/>
        </w:rPr>
        <w:footnoteRef/>
      </w:r>
      <w:r w:rsidRPr="007A37C2">
        <w:rPr>
          <w:rStyle w:val="Hyperlink"/>
          <w:rFonts w:ascii="Times New Roman" w:hAnsi="Times New Roman"/>
          <w:color w:val="auto"/>
          <w:sz w:val="16"/>
          <w:szCs w:val="16"/>
        </w:rPr>
        <w:t xml:space="preserve"> </w:t>
      </w:r>
      <w:r w:rsidRPr="00BF4120">
        <w:rPr>
          <w:rStyle w:val="Hyperlink"/>
          <w:rFonts w:ascii="Times New Roman" w:hAnsi="Times New Roman"/>
          <w:color w:val="auto"/>
          <w:sz w:val="16"/>
          <w:szCs w:val="16"/>
          <w:u w:val="single"/>
        </w:rPr>
        <w:t>https://sanaacenter.org/publications/main-publications/14703</w:t>
      </w:r>
    </w:p>
  </w:footnote>
  <w:footnote w:id="14">
    <w:p w14:paraId="6748BCD7" w14:textId="326E99CA" w:rsidR="00CA5B30" w:rsidRPr="007A37C2" w:rsidRDefault="00CA5B30" w:rsidP="00D91D8D">
      <w:pPr>
        <w:pStyle w:val="FootnoteText"/>
        <w:rPr>
          <w:sz w:val="16"/>
          <w:szCs w:val="16"/>
        </w:rPr>
      </w:pPr>
      <w:r w:rsidRPr="00BF4120">
        <w:rPr>
          <w:rStyle w:val="FootnoteReference"/>
          <w:rFonts w:ascii="Times New Roman" w:hAnsi="Times New Roman"/>
          <w:sz w:val="16"/>
          <w:szCs w:val="16"/>
        </w:rPr>
        <w:footnoteRef/>
      </w:r>
      <w:r w:rsidRPr="00BF4120">
        <w:rPr>
          <w:rStyle w:val="FootnoteReference"/>
          <w:rFonts w:ascii="Times New Roman" w:hAnsi="Times New Roman"/>
          <w:sz w:val="16"/>
          <w:szCs w:val="16"/>
        </w:rPr>
        <w:t xml:space="preserve"> </w:t>
      </w:r>
      <w:r w:rsidRPr="00BF4120">
        <w:rPr>
          <w:rStyle w:val="Hyperlink"/>
          <w:rFonts w:ascii="Times New Roman" w:hAnsi="Times New Roman"/>
          <w:color w:val="auto"/>
          <w:sz w:val="16"/>
          <w:szCs w:val="16"/>
          <w:u w:val="single"/>
        </w:rPr>
        <w:t>https://www.unicef.org/mena/media/11956/file/Child%20Marriage%20in%20the%20context%20of%20COVID-19 %20MENA%20Regional%20Analysis_High%20Res%20(1).pdf.</w:t>
      </w:r>
    </w:p>
  </w:footnote>
  <w:footnote w:id="15">
    <w:p w14:paraId="12E506A4" w14:textId="2CC7868B" w:rsidR="00CA5B30" w:rsidRPr="007A37C2" w:rsidRDefault="00CA5B30" w:rsidP="00104772">
      <w:pPr>
        <w:pStyle w:val="FootnoteText"/>
        <w:rPr>
          <w:rFonts w:ascii="Times New Roman" w:hAnsi="Times New Roman"/>
          <w:sz w:val="16"/>
          <w:szCs w:val="16"/>
          <w:lang w:val="en-GB"/>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w:t>
      </w:r>
      <w:hyperlink r:id="rId3" w:history="1">
        <w:r w:rsidRPr="007A37C2">
          <w:rPr>
            <w:rStyle w:val="Hyperlink"/>
            <w:rFonts w:ascii="Times New Roman" w:hAnsi="Times New Roman"/>
            <w:color w:val="auto"/>
            <w:sz w:val="16"/>
            <w:szCs w:val="16"/>
          </w:rPr>
          <w:t>RCCC-ICRC-Country-profiles-Yemen.pdf</w:t>
        </w:r>
      </w:hyperlink>
    </w:p>
  </w:footnote>
  <w:footnote w:id="16">
    <w:p w14:paraId="3411044B" w14:textId="77777777" w:rsidR="00CA5B30" w:rsidRPr="00BF4120" w:rsidRDefault="00CA5B30" w:rsidP="00104772">
      <w:pPr>
        <w:pStyle w:val="FootnoteText"/>
        <w:rPr>
          <w:rFonts w:ascii="Times New Roman" w:hAnsi="Times New Roman"/>
          <w:sz w:val="16"/>
          <w:szCs w:val="16"/>
          <w:u w:val="single"/>
          <w:lang w:val="en-GB"/>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w:t>
      </w:r>
      <w:hyperlink r:id="rId4" w:history="1">
        <w:r w:rsidRPr="00BF4120">
          <w:rPr>
            <w:rStyle w:val="Hyperlink"/>
            <w:rFonts w:ascii="Times New Roman" w:hAnsi="Times New Roman"/>
            <w:color w:val="auto"/>
            <w:sz w:val="16"/>
            <w:szCs w:val="16"/>
            <w:u w:val="single"/>
            <w:lang w:val="en-GB"/>
          </w:rPr>
          <w:t>https://gain-new.crc.nd.edu/country/yemen</w:t>
        </w:r>
      </w:hyperlink>
      <w:r w:rsidRPr="00BF4120">
        <w:rPr>
          <w:rFonts w:ascii="Times New Roman" w:hAnsi="Times New Roman"/>
          <w:sz w:val="16"/>
          <w:szCs w:val="16"/>
          <w:u w:val="single"/>
          <w:lang w:val="en-GB"/>
        </w:rPr>
        <w:t xml:space="preserve"> (accessed 30 March 2022)</w:t>
      </w:r>
    </w:p>
  </w:footnote>
  <w:footnote w:id="17">
    <w:p w14:paraId="722266EC" w14:textId="29430822" w:rsidR="00CA5B30" w:rsidRPr="007A37C2" w:rsidRDefault="00CA5B30" w:rsidP="00104772">
      <w:pPr>
        <w:pStyle w:val="FootnoteText"/>
        <w:rPr>
          <w:sz w:val="16"/>
          <w:szCs w:val="16"/>
          <w:lang w:val="en-GB"/>
        </w:rPr>
      </w:pPr>
      <w:r w:rsidRPr="007A37C2">
        <w:rPr>
          <w:rStyle w:val="FootnoteReference"/>
          <w:rFonts w:ascii="Times New Roman" w:hAnsi="Times New Roman"/>
          <w:sz w:val="16"/>
          <w:szCs w:val="16"/>
        </w:rPr>
        <w:footnoteRef/>
      </w:r>
      <w:r w:rsidRPr="007A37C2">
        <w:rPr>
          <w:rFonts w:ascii="Times New Roman" w:hAnsi="Times New Roman"/>
          <w:sz w:val="16"/>
          <w:szCs w:val="16"/>
        </w:rPr>
        <w:t xml:space="preserve"> </w:t>
      </w:r>
      <w:hyperlink r:id="rId5" w:history="1">
        <w:r w:rsidRPr="00BF4120">
          <w:rPr>
            <w:rStyle w:val="Hyperlink"/>
            <w:rFonts w:ascii="Times New Roman" w:hAnsi="Times New Roman"/>
            <w:color w:val="auto"/>
            <w:sz w:val="16"/>
            <w:szCs w:val="16"/>
            <w:u w:val="single"/>
            <w:lang w:val="en-GB"/>
          </w:rPr>
          <w:t>https://www.american.edu/cas/economics/ejournal/upload/glass_accessible.pdf</w:t>
        </w:r>
      </w:hyperlink>
      <w:r w:rsidRPr="00BF4120">
        <w:rPr>
          <w:rFonts w:ascii="Times New Roman" w:hAnsi="Times New Roman"/>
          <w:sz w:val="16"/>
          <w:szCs w:val="16"/>
          <w:u w:val="single"/>
          <w:lang w:val="en-GB"/>
        </w:rPr>
        <w:t xml:space="preserve"> </w:t>
      </w:r>
    </w:p>
  </w:footnote>
  <w:footnote w:id="18">
    <w:p w14:paraId="437C4C26" w14:textId="77777777" w:rsidR="00CA5B30" w:rsidRPr="007A37C2" w:rsidRDefault="00CA5B30" w:rsidP="00097DC4">
      <w:pPr>
        <w:pStyle w:val="FootnoteText"/>
        <w:rPr>
          <w:sz w:val="16"/>
          <w:szCs w:val="16"/>
        </w:rPr>
      </w:pPr>
      <w:r w:rsidRPr="007A37C2">
        <w:rPr>
          <w:rStyle w:val="FootnoteReference"/>
          <w:rFonts w:ascii="Times New Roman" w:hAnsi="Times New Roman"/>
          <w:sz w:val="16"/>
          <w:szCs w:val="16"/>
        </w:rPr>
        <w:footnoteRef/>
      </w:r>
      <w:r w:rsidRPr="00BF4120">
        <w:rPr>
          <w:rFonts w:ascii="Times New Roman" w:hAnsi="Times New Roman"/>
          <w:sz w:val="16"/>
          <w:szCs w:val="16"/>
        </w:rPr>
        <w:t xml:space="preserve"> </w:t>
      </w:r>
      <w:r w:rsidRPr="00BF4120">
        <w:rPr>
          <w:rStyle w:val="Hyperlink"/>
          <w:rFonts w:ascii="Times New Roman" w:hAnsi="Times New Roman"/>
          <w:color w:val="auto"/>
          <w:sz w:val="16"/>
          <w:szCs w:val="16"/>
          <w:u w:val="single"/>
          <w:lang w:val="en-GB"/>
        </w:rPr>
        <w:t>https://blogs.worldbank.org/energy/promoting-financial-inclusion-and-access-solar-energy-among-women-yemen</w:t>
      </w:r>
    </w:p>
  </w:footnote>
  <w:footnote w:id="19">
    <w:p w14:paraId="2FF0A6CD" w14:textId="35075A6B" w:rsidR="00CA5B30" w:rsidRPr="00A0279C" w:rsidRDefault="00CA5B30">
      <w:pPr>
        <w:pStyle w:val="FootnoteText"/>
        <w:rPr>
          <w:rFonts w:ascii="Times New Roman" w:hAnsi="Times New Roman"/>
          <w:sz w:val="16"/>
          <w:szCs w:val="16"/>
          <w:lang w:val="en-GB"/>
        </w:rPr>
      </w:pPr>
      <w:r w:rsidRPr="00A0279C">
        <w:rPr>
          <w:rStyle w:val="FootnoteReference"/>
          <w:rFonts w:ascii="Times New Roman" w:hAnsi="Times New Roman"/>
          <w:sz w:val="16"/>
          <w:szCs w:val="16"/>
        </w:rPr>
        <w:footnoteRef/>
      </w:r>
      <w:r w:rsidRPr="00A0279C">
        <w:rPr>
          <w:rFonts w:ascii="Times New Roman" w:hAnsi="Times New Roman"/>
          <w:sz w:val="16"/>
          <w:szCs w:val="16"/>
        </w:rPr>
        <w:t xml:space="preserve"> </w:t>
      </w:r>
      <w:r w:rsidRPr="00A0279C">
        <w:rPr>
          <w:rFonts w:ascii="Times New Roman" w:hAnsi="Times New Roman"/>
          <w:sz w:val="16"/>
          <w:szCs w:val="16"/>
          <w:lang w:val="en-GB"/>
        </w:rPr>
        <w:t>Final Social Protection Lesson Learnt (2021)</w:t>
      </w:r>
    </w:p>
  </w:footnote>
  <w:footnote w:id="20">
    <w:p w14:paraId="50ABC469" w14:textId="2B7CEA47" w:rsidR="00CA5B30" w:rsidRPr="00547094" w:rsidRDefault="00CA5B30">
      <w:pPr>
        <w:pStyle w:val="FootnoteText"/>
        <w:rPr>
          <w:rFonts w:ascii="Times New Roman" w:hAnsi="Times New Roman"/>
          <w:sz w:val="16"/>
          <w:szCs w:val="16"/>
          <w:lang w:val="en-GB"/>
        </w:rPr>
      </w:pPr>
      <w:r w:rsidRPr="00547094">
        <w:rPr>
          <w:rStyle w:val="FootnoteReference"/>
          <w:rFonts w:ascii="Times New Roman" w:hAnsi="Times New Roman"/>
          <w:sz w:val="16"/>
          <w:szCs w:val="16"/>
        </w:rPr>
        <w:footnoteRef/>
      </w:r>
      <w:r w:rsidRPr="00547094">
        <w:rPr>
          <w:rFonts w:ascii="Times New Roman" w:hAnsi="Times New Roman"/>
          <w:sz w:val="16"/>
          <w:szCs w:val="16"/>
        </w:rPr>
        <w:t xml:space="preserve"> Lessons learnt from the Yemen </w:t>
      </w:r>
      <w:bookmarkStart w:id="1" w:name="_Hlk99757269"/>
      <w:r w:rsidRPr="00547094">
        <w:rPr>
          <w:rFonts w:ascii="Times New Roman" w:hAnsi="Times New Roman"/>
          <w:sz w:val="16"/>
          <w:szCs w:val="16"/>
        </w:rPr>
        <w:t>Emergency Crisis Response Project</w:t>
      </w:r>
      <w:bookmarkEnd w:id="1"/>
      <w:r w:rsidRPr="00547094">
        <w:rPr>
          <w:rFonts w:ascii="Times New Roman" w:hAnsi="Times New Roman"/>
          <w:sz w:val="16"/>
          <w:szCs w:val="16"/>
        </w:rPr>
        <w:t>, 2020</w:t>
      </w:r>
    </w:p>
  </w:footnote>
  <w:footnote w:id="21">
    <w:p w14:paraId="7025E30F" w14:textId="2862DA96" w:rsidR="00CA5B30" w:rsidRPr="00547094" w:rsidRDefault="00CA5B30">
      <w:pPr>
        <w:pStyle w:val="FootnoteText"/>
        <w:rPr>
          <w:rFonts w:ascii="Times New Roman" w:hAnsi="Times New Roman"/>
          <w:sz w:val="16"/>
          <w:szCs w:val="16"/>
          <w:lang w:val="en-GB"/>
        </w:rPr>
      </w:pPr>
      <w:r w:rsidRPr="00547094">
        <w:rPr>
          <w:rStyle w:val="FootnoteReference"/>
          <w:rFonts w:ascii="Times New Roman" w:hAnsi="Times New Roman"/>
          <w:sz w:val="16"/>
          <w:szCs w:val="16"/>
        </w:rPr>
        <w:footnoteRef/>
      </w:r>
      <w:r w:rsidRPr="00547094">
        <w:rPr>
          <w:rFonts w:ascii="Times New Roman" w:hAnsi="Times New Roman"/>
          <w:sz w:val="16"/>
          <w:szCs w:val="16"/>
        </w:rPr>
        <w:t xml:space="preserve"> </w:t>
      </w:r>
      <w:r w:rsidRPr="00547094">
        <w:rPr>
          <w:rFonts w:ascii="Times New Roman" w:hAnsi="Times New Roman"/>
          <w:sz w:val="16"/>
          <w:szCs w:val="16"/>
          <w:lang w:val="en-GB"/>
        </w:rPr>
        <w:t xml:space="preserve">UNDP Yemen </w:t>
      </w:r>
      <w:r>
        <w:rPr>
          <w:rFonts w:ascii="Times New Roman" w:hAnsi="Times New Roman"/>
          <w:sz w:val="16"/>
          <w:szCs w:val="16"/>
          <w:lang w:val="en-GB"/>
        </w:rPr>
        <w:t>country strategy note</w:t>
      </w:r>
      <w:r w:rsidRPr="00547094">
        <w:rPr>
          <w:rFonts w:ascii="Times New Roman" w:hAnsi="Times New Roman"/>
          <w:sz w:val="16"/>
          <w:szCs w:val="16"/>
          <w:lang w:val="en-GB"/>
        </w:rPr>
        <w:t xml:space="preserve"> (2021 to 2024)</w:t>
      </w:r>
    </w:p>
  </w:footnote>
  <w:footnote w:id="22">
    <w:p w14:paraId="471D3520" w14:textId="1AFD16A3" w:rsidR="00CA5B30" w:rsidRPr="000928E3" w:rsidRDefault="00CA5B30" w:rsidP="00C52615">
      <w:pPr>
        <w:pStyle w:val="FootnoteText"/>
        <w:rPr>
          <w:lang w:val="en-GB"/>
        </w:rPr>
      </w:pPr>
      <w:r>
        <w:rPr>
          <w:rStyle w:val="FootnoteReference"/>
        </w:rPr>
        <w:footnoteRef/>
      </w:r>
      <w:r>
        <w:rPr>
          <w:rFonts w:ascii="Times New Roman" w:hAnsi="Times New Roman"/>
          <w:sz w:val="16"/>
          <w:szCs w:val="16"/>
          <w:lang w:val="en-GB"/>
        </w:rPr>
        <w:t xml:space="preserve"> I</w:t>
      </w:r>
      <w:r w:rsidRPr="00CA5B30">
        <w:rPr>
          <w:rFonts w:ascii="Times New Roman" w:hAnsi="Times New Roman"/>
          <w:sz w:val="16"/>
          <w:szCs w:val="16"/>
          <w:lang w:val="en-GB"/>
        </w:rPr>
        <w:t>ndependent country programme evaluation</w:t>
      </w:r>
      <w:r>
        <w:rPr>
          <w:rFonts w:ascii="Times New Roman" w:hAnsi="Times New Roman"/>
          <w:sz w:val="16"/>
          <w:szCs w:val="16"/>
          <w:lang w:val="en-GB"/>
        </w:rPr>
        <w:t>, 2018</w:t>
      </w:r>
    </w:p>
  </w:footnote>
  <w:footnote w:id="23">
    <w:p w14:paraId="01951729" w14:textId="338DDDD9" w:rsidR="00CA5B30" w:rsidRPr="00547094" w:rsidRDefault="00CA5B30">
      <w:pPr>
        <w:pStyle w:val="FootnoteText"/>
        <w:rPr>
          <w:rFonts w:ascii="Times New Roman" w:hAnsi="Times New Roman"/>
          <w:sz w:val="16"/>
          <w:szCs w:val="16"/>
          <w:lang w:val="en-GB"/>
        </w:rPr>
      </w:pPr>
      <w:r w:rsidRPr="007A37C2">
        <w:rPr>
          <w:vertAlign w:val="superscript"/>
          <w:lang w:val="en-GB"/>
        </w:rPr>
        <w:footnoteRef/>
      </w:r>
      <w:r w:rsidRPr="000928E3">
        <w:rPr>
          <w:rFonts w:ascii="Times New Roman" w:hAnsi="Times New Roman"/>
          <w:sz w:val="16"/>
          <w:szCs w:val="16"/>
          <w:lang w:val="en-GB"/>
        </w:rPr>
        <w:t xml:space="preserve"> Ibid</w:t>
      </w:r>
      <w:r>
        <w:rPr>
          <w:rFonts w:ascii="Times New Roman" w:hAnsi="Times New Roman"/>
          <w:sz w:val="16"/>
          <w:szCs w:val="16"/>
          <w:lang w:val="en-GB"/>
        </w:rPr>
        <w:t>.</w:t>
      </w:r>
    </w:p>
  </w:footnote>
  <w:footnote w:id="24">
    <w:p w14:paraId="7FDC72A2" w14:textId="5FD20A01" w:rsidR="00CA5B30" w:rsidRPr="00787A44" w:rsidRDefault="00CA5B30">
      <w:pPr>
        <w:pStyle w:val="FootnoteText"/>
        <w:rPr>
          <w:rFonts w:ascii="Times New Roman" w:hAnsi="Times New Roman"/>
          <w:sz w:val="16"/>
          <w:szCs w:val="16"/>
          <w:lang w:val="en-GB"/>
        </w:rPr>
      </w:pPr>
      <w:r w:rsidRPr="007A37C2">
        <w:rPr>
          <w:rFonts w:ascii="Times New Roman" w:hAnsi="Times New Roman"/>
          <w:sz w:val="16"/>
          <w:szCs w:val="16"/>
          <w:vertAlign w:val="superscript"/>
          <w:lang w:val="en-GB"/>
        </w:rPr>
        <w:footnoteRef/>
      </w:r>
      <w:r w:rsidRPr="00787A44">
        <w:rPr>
          <w:rFonts w:ascii="Times New Roman" w:hAnsi="Times New Roman"/>
          <w:sz w:val="16"/>
          <w:szCs w:val="16"/>
          <w:lang w:val="en-GB"/>
        </w:rPr>
        <w:t xml:space="preserve"> </w:t>
      </w:r>
      <w:r w:rsidRPr="00CA5B30">
        <w:rPr>
          <w:rFonts w:ascii="Times New Roman" w:hAnsi="Times New Roman"/>
          <w:sz w:val="16"/>
          <w:szCs w:val="16"/>
        </w:rPr>
        <w:t xml:space="preserve">Yemen </w:t>
      </w:r>
      <w:r w:rsidRPr="00FE4AEF">
        <w:rPr>
          <w:rFonts w:ascii="Times New Roman" w:hAnsi="Times New Roman"/>
          <w:sz w:val="16"/>
          <w:szCs w:val="16"/>
        </w:rPr>
        <w:t>Emergency Crisis Response p</w:t>
      </w:r>
      <w:r w:rsidRPr="00CA5B30">
        <w:rPr>
          <w:rFonts w:ascii="Times New Roman" w:hAnsi="Times New Roman"/>
          <w:sz w:val="16"/>
          <w:szCs w:val="16"/>
        </w:rPr>
        <w:t>rogramme, Enhanced Rural Resilience in</w:t>
      </w:r>
      <w:r w:rsidRPr="00FE4AEF">
        <w:rPr>
          <w:rFonts w:ascii="Times New Roman" w:hAnsi="Times New Roman"/>
          <w:sz w:val="16"/>
          <w:szCs w:val="16"/>
        </w:rPr>
        <w:t xml:space="preserve"> </w:t>
      </w:r>
      <w:r w:rsidRPr="00CA5B30">
        <w:rPr>
          <w:rFonts w:ascii="Times New Roman" w:hAnsi="Times New Roman"/>
          <w:sz w:val="16"/>
          <w:szCs w:val="16"/>
        </w:rPr>
        <w:t>Yemen</w:t>
      </w:r>
      <w:r>
        <w:rPr>
          <w:rFonts w:ascii="Times New Roman" w:hAnsi="Times New Roman"/>
          <w:sz w:val="16"/>
          <w:szCs w:val="16"/>
        </w:rPr>
        <w:t xml:space="preserve"> programme </w:t>
      </w:r>
      <w:r w:rsidRPr="00CA5B30">
        <w:rPr>
          <w:rFonts w:ascii="Times New Roman" w:hAnsi="Times New Roman"/>
          <w:sz w:val="16"/>
          <w:szCs w:val="16"/>
        </w:rPr>
        <w:t xml:space="preserve">(I </w:t>
      </w:r>
      <w:r>
        <w:rPr>
          <w:rFonts w:ascii="Times New Roman" w:hAnsi="Times New Roman"/>
          <w:sz w:val="16"/>
          <w:szCs w:val="16"/>
        </w:rPr>
        <w:t>and</w:t>
      </w:r>
      <w:r w:rsidRPr="00CA5B30">
        <w:rPr>
          <w:rFonts w:ascii="Times New Roman" w:hAnsi="Times New Roman"/>
          <w:sz w:val="16"/>
          <w:szCs w:val="16"/>
        </w:rPr>
        <w:t xml:space="preserve"> II)</w:t>
      </w:r>
    </w:p>
  </w:footnote>
  <w:footnote w:id="25">
    <w:p w14:paraId="73AC3908" w14:textId="6A49FEA6" w:rsidR="00CA5B30" w:rsidRPr="00787A44" w:rsidRDefault="00CA5B30">
      <w:pPr>
        <w:pStyle w:val="FootnoteText"/>
        <w:rPr>
          <w:rFonts w:ascii="Times New Roman" w:hAnsi="Times New Roman"/>
          <w:sz w:val="16"/>
          <w:szCs w:val="16"/>
          <w:lang w:val="en-GB"/>
        </w:rPr>
      </w:pPr>
      <w:r w:rsidRPr="007A37C2">
        <w:rPr>
          <w:rFonts w:ascii="Times New Roman" w:hAnsi="Times New Roman"/>
          <w:sz w:val="16"/>
          <w:szCs w:val="16"/>
          <w:vertAlign w:val="superscript"/>
          <w:lang w:val="en-GB"/>
        </w:rPr>
        <w:footnoteRef/>
      </w:r>
      <w:r w:rsidRPr="007A37C2">
        <w:rPr>
          <w:rFonts w:ascii="Times New Roman" w:hAnsi="Times New Roman"/>
          <w:sz w:val="16"/>
          <w:szCs w:val="16"/>
          <w:vertAlign w:val="superscript"/>
          <w:lang w:val="en-GB"/>
        </w:rPr>
        <w:t xml:space="preserve"> </w:t>
      </w:r>
      <w:r w:rsidRPr="00787A44">
        <w:rPr>
          <w:rFonts w:ascii="Times New Roman" w:hAnsi="Times New Roman"/>
          <w:sz w:val="16"/>
          <w:szCs w:val="16"/>
          <w:lang w:val="en-GB"/>
        </w:rPr>
        <w:t xml:space="preserve">Corporate results reports, including the </w:t>
      </w:r>
      <w:r>
        <w:rPr>
          <w:rFonts w:ascii="Times New Roman" w:hAnsi="Times New Roman"/>
          <w:sz w:val="16"/>
          <w:szCs w:val="16"/>
          <w:lang w:val="en-GB"/>
        </w:rPr>
        <w:t xml:space="preserve">results-oriented annual reports </w:t>
      </w:r>
      <w:r w:rsidRPr="00787A44">
        <w:rPr>
          <w:rFonts w:ascii="Times New Roman" w:hAnsi="Times New Roman"/>
          <w:sz w:val="16"/>
          <w:szCs w:val="16"/>
          <w:lang w:val="en-GB"/>
        </w:rPr>
        <w:t>2019-2021</w:t>
      </w:r>
    </w:p>
  </w:footnote>
  <w:footnote w:id="26">
    <w:p w14:paraId="565580D7" w14:textId="43D900BF" w:rsidR="00CA5B30" w:rsidRPr="00787A44" w:rsidRDefault="00CA5B30" w:rsidP="008F6358">
      <w:pPr>
        <w:pStyle w:val="FootnoteText"/>
        <w:rPr>
          <w:rFonts w:ascii="Times New Roman" w:hAnsi="Times New Roman"/>
          <w:sz w:val="16"/>
          <w:szCs w:val="16"/>
          <w:lang w:val="en-GB"/>
        </w:rPr>
      </w:pPr>
      <w:r w:rsidRPr="007A37C2">
        <w:rPr>
          <w:rFonts w:ascii="Times New Roman" w:hAnsi="Times New Roman"/>
          <w:sz w:val="16"/>
          <w:szCs w:val="16"/>
          <w:vertAlign w:val="superscript"/>
          <w:lang w:val="en-GB"/>
        </w:rPr>
        <w:footnoteRef/>
      </w:r>
      <w:r w:rsidRPr="00787A44">
        <w:rPr>
          <w:rFonts w:ascii="Times New Roman" w:hAnsi="Times New Roman"/>
          <w:sz w:val="16"/>
          <w:szCs w:val="16"/>
          <w:lang w:val="en-GB"/>
        </w:rPr>
        <w:t xml:space="preserve"> Final project evaluation of the </w:t>
      </w:r>
      <w:r>
        <w:rPr>
          <w:rFonts w:ascii="Times New Roman" w:hAnsi="Times New Roman"/>
          <w:sz w:val="16"/>
          <w:szCs w:val="16"/>
          <w:lang w:val="en-GB"/>
        </w:rPr>
        <w:t>r</w:t>
      </w:r>
      <w:r w:rsidRPr="00787A44">
        <w:rPr>
          <w:rFonts w:ascii="Times New Roman" w:hAnsi="Times New Roman"/>
          <w:sz w:val="16"/>
          <w:szCs w:val="16"/>
          <w:lang w:val="en-GB"/>
        </w:rPr>
        <w:t xml:space="preserve">ule of </w:t>
      </w:r>
      <w:r>
        <w:rPr>
          <w:rFonts w:ascii="Times New Roman" w:hAnsi="Times New Roman"/>
          <w:sz w:val="16"/>
          <w:szCs w:val="16"/>
          <w:lang w:val="en-GB"/>
        </w:rPr>
        <w:t>l</w:t>
      </w:r>
      <w:r w:rsidRPr="00787A44">
        <w:rPr>
          <w:rFonts w:ascii="Times New Roman" w:hAnsi="Times New Roman"/>
          <w:sz w:val="16"/>
          <w:szCs w:val="16"/>
          <w:lang w:val="en-GB"/>
        </w:rPr>
        <w:t xml:space="preserve">aw, </w:t>
      </w:r>
      <w:r>
        <w:rPr>
          <w:rFonts w:ascii="Times New Roman" w:hAnsi="Times New Roman"/>
          <w:sz w:val="16"/>
          <w:szCs w:val="16"/>
          <w:lang w:val="en-GB"/>
        </w:rPr>
        <w:t>water, sanitation and hygiene</w:t>
      </w:r>
      <w:r w:rsidRPr="00787A44">
        <w:rPr>
          <w:rFonts w:ascii="Times New Roman" w:hAnsi="Times New Roman"/>
          <w:sz w:val="16"/>
          <w:szCs w:val="16"/>
          <w:lang w:val="en-GB"/>
        </w:rPr>
        <w:t xml:space="preserve">, </w:t>
      </w:r>
      <w:r>
        <w:rPr>
          <w:rFonts w:ascii="Times New Roman" w:hAnsi="Times New Roman"/>
          <w:sz w:val="16"/>
          <w:szCs w:val="16"/>
          <w:lang w:val="en-GB"/>
        </w:rPr>
        <w:t>s</w:t>
      </w:r>
      <w:r w:rsidRPr="00787A44">
        <w:rPr>
          <w:rFonts w:ascii="Times New Roman" w:hAnsi="Times New Roman"/>
          <w:sz w:val="16"/>
          <w:szCs w:val="16"/>
          <w:lang w:val="en-GB"/>
        </w:rPr>
        <w:t xml:space="preserve">ocial </w:t>
      </w:r>
      <w:r>
        <w:rPr>
          <w:rFonts w:ascii="Times New Roman" w:hAnsi="Times New Roman"/>
          <w:sz w:val="16"/>
          <w:szCs w:val="16"/>
          <w:lang w:val="en-GB"/>
        </w:rPr>
        <w:t>p</w:t>
      </w:r>
      <w:r w:rsidRPr="00787A44">
        <w:rPr>
          <w:rFonts w:ascii="Times New Roman" w:hAnsi="Times New Roman"/>
          <w:sz w:val="16"/>
          <w:szCs w:val="16"/>
          <w:lang w:val="en-GB"/>
        </w:rPr>
        <w:t xml:space="preserve">rotection and </w:t>
      </w:r>
      <w:r>
        <w:rPr>
          <w:rFonts w:ascii="Times New Roman" w:hAnsi="Times New Roman"/>
          <w:sz w:val="16"/>
          <w:szCs w:val="16"/>
          <w:lang w:val="en-GB"/>
        </w:rPr>
        <w:t>m</w:t>
      </w:r>
      <w:r w:rsidRPr="00787A44">
        <w:rPr>
          <w:rFonts w:ascii="Times New Roman" w:hAnsi="Times New Roman"/>
          <w:sz w:val="16"/>
          <w:szCs w:val="16"/>
          <w:lang w:val="en-GB"/>
        </w:rPr>
        <w:t xml:space="preserve">ine </w:t>
      </w:r>
      <w:r>
        <w:rPr>
          <w:rFonts w:ascii="Times New Roman" w:hAnsi="Times New Roman"/>
          <w:sz w:val="16"/>
          <w:szCs w:val="16"/>
          <w:lang w:val="en-GB"/>
        </w:rPr>
        <w:t>a</w:t>
      </w:r>
      <w:r w:rsidRPr="00787A44">
        <w:rPr>
          <w:rFonts w:ascii="Times New Roman" w:hAnsi="Times New Roman"/>
          <w:sz w:val="16"/>
          <w:szCs w:val="16"/>
          <w:lang w:val="en-GB"/>
        </w:rPr>
        <w:t xml:space="preserve">ction </w:t>
      </w:r>
      <w:r>
        <w:rPr>
          <w:rFonts w:ascii="Times New Roman" w:hAnsi="Times New Roman"/>
          <w:sz w:val="16"/>
          <w:szCs w:val="16"/>
          <w:lang w:val="en-GB"/>
        </w:rPr>
        <w:t>p</w:t>
      </w:r>
      <w:r w:rsidRPr="00787A44">
        <w:rPr>
          <w:rFonts w:ascii="Times New Roman" w:hAnsi="Times New Roman"/>
          <w:sz w:val="16"/>
          <w:szCs w:val="16"/>
          <w:lang w:val="en-GB"/>
        </w:rPr>
        <w:t>rojects</w:t>
      </w:r>
      <w:r>
        <w:rPr>
          <w:rFonts w:ascii="Times New Roman" w:hAnsi="Times New Roman"/>
          <w:sz w:val="16"/>
          <w:szCs w:val="16"/>
          <w:lang w:val="en-GB"/>
        </w:rPr>
        <w:t>;</w:t>
      </w:r>
      <w:r w:rsidRPr="00787A44">
        <w:rPr>
          <w:rFonts w:ascii="Times New Roman" w:hAnsi="Times New Roman"/>
          <w:sz w:val="16"/>
          <w:szCs w:val="16"/>
          <w:lang w:val="en-GB"/>
        </w:rPr>
        <w:t xml:space="preserve"> </w:t>
      </w:r>
      <w:r>
        <w:rPr>
          <w:rFonts w:ascii="Times New Roman" w:hAnsi="Times New Roman"/>
          <w:sz w:val="16"/>
          <w:szCs w:val="16"/>
          <w:lang w:val="en-GB"/>
        </w:rPr>
        <w:t>l</w:t>
      </w:r>
      <w:r w:rsidRPr="00787A44">
        <w:rPr>
          <w:rFonts w:ascii="Times New Roman" w:hAnsi="Times New Roman"/>
          <w:sz w:val="16"/>
          <w:szCs w:val="16"/>
          <w:lang w:val="en-GB"/>
        </w:rPr>
        <w:t>essons learn</w:t>
      </w:r>
      <w:r>
        <w:rPr>
          <w:rFonts w:ascii="Times New Roman" w:hAnsi="Times New Roman"/>
          <w:sz w:val="16"/>
          <w:szCs w:val="16"/>
          <w:lang w:val="en-GB"/>
        </w:rPr>
        <w:t>ed</w:t>
      </w:r>
      <w:r w:rsidRPr="00787A44">
        <w:rPr>
          <w:rFonts w:ascii="Times New Roman" w:hAnsi="Times New Roman"/>
          <w:sz w:val="16"/>
          <w:szCs w:val="16"/>
          <w:lang w:val="en-GB"/>
        </w:rPr>
        <w:t xml:space="preserve"> studies for </w:t>
      </w:r>
      <w:r>
        <w:rPr>
          <w:rFonts w:ascii="Times New Roman" w:hAnsi="Times New Roman"/>
          <w:sz w:val="16"/>
          <w:szCs w:val="16"/>
          <w:lang w:val="en-GB"/>
        </w:rPr>
        <w:t xml:space="preserve">the </w:t>
      </w:r>
      <w:r w:rsidRPr="00960B6D">
        <w:rPr>
          <w:rFonts w:ascii="Times New Roman" w:hAnsi="Times New Roman"/>
          <w:sz w:val="16"/>
          <w:szCs w:val="16"/>
        </w:rPr>
        <w:t xml:space="preserve">Yemen </w:t>
      </w:r>
      <w:r w:rsidRPr="00FE4AEF">
        <w:rPr>
          <w:rFonts w:ascii="Times New Roman" w:hAnsi="Times New Roman"/>
          <w:sz w:val="16"/>
          <w:szCs w:val="16"/>
        </w:rPr>
        <w:t>Emergency Crisis Response p</w:t>
      </w:r>
      <w:r w:rsidRPr="00960B6D">
        <w:rPr>
          <w:rFonts w:ascii="Times New Roman" w:hAnsi="Times New Roman"/>
          <w:sz w:val="16"/>
          <w:szCs w:val="16"/>
        </w:rPr>
        <w:t>rogramme</w:t>
      </w:r>
      <w:r w:rsidRPr="00787A44">
        <w:rPr>
          <w:rFonts w:ascii="Times New Roman" w:hAnsi="Times New Roman"/>
          <w:sz w:val="16"/>
          <w:szCs w:val="16"/>
          <w:lang w:val="en-GB"/>
        </w:rPr>
        <w:t xml:space="preserve"> and </w:t>
      </w:r>
      <w:r>
        <w:rPr>
          <w:rFonts w:ascii="Times New Roman" w:hAnsi="Times New Roman"/>
          <w:sz w:val="16"/>
          <w:szCs w:val="16"/>
          <w:lang w:val="en-GB"/>
        </w:rPr>
        <w:t>so</w:t>
      </w:r>
      <w:r w:rsidRPr="00787A44">
        <w:rPr>
          <w:rFonts w:ascii="Times New Roman" w:hAnsi="Times New Roman"/>
          <w:sz w:val="16"/>
          <w:szCs w:val="16"/>
          <w:lang w:val="en-GB"/>
        </w:rPr>
        <w:t xml:space="preserve">cial </w:t>
      </w:r>
      <w:r>
        <w:rPr>
          <w:rFonts w:ascii="Times New Roman" w:hAnsi="Times New Roman"/>
          <w:sz w:val="16"/>
          <w:szCs w:val="16"/>
          <w:lang w:val="en-GB"/>
        </w:rPr>
        <w:t>p</w:t>
      </w:r>
      <w:r w:rsidR="00167C03">
        <w:rPr>
          <w:rFonts w:ascii="Times New Roman" w:hAnsi="Times New Roman"/>
          <w:sz w:val="16"/>
          <w:szCs w:val="16"/>
          <w:lang w:val="en-GB"/>
        </w:rPr>
        <w:t>rotection projects</w:t>
      </w:r>
    </w:p>
  </w:footnote>
  <w:footnote w:id="27">
    <w:p w14:paraId="126771B8" w14:textId="76B3BA77" w:rsidR="00CA5B30" w:rsidRPr="00787A44" w:rsidRDefault="00CA5B30">
      <w:pPr>
        <w:pStyle w:val="FootnoteText"/>
        <w:rPr>
          <w:rFonts w:ascii="Times New Roman" w:hAnsi="Times New Roman"/>
          <w:sz w:val="16"/>
          <w:szCs w:val="16"/>
          <w:lang w:val="en-GB"/>
        </w:rPr>
      </w:pPr>
      <w:r w:rsidRPr="007A37C2">
        <w:rPr>
          <w:rFonts w:ascii="Times New Roman" w:hAnsi="Times New Roman"/>
          <w:sz w:val="16"/>
          <w:szCs w:val="16"/>
          <w:vertAlign w:val="superscript"/>
          <w:lang w:val="en-GB"/>
        </w:rPr>
        <w:footnoteRef/>
      </w:r>
      <w:r w:rsidRPr="007A37C2">
        <w:rPr>
          <w:rFonts w:ascii="Times New Roman" w:hAnsi="Times New Roman"/>
          <w:sz w:val="16"/>
          <w:szCs w:val="16"/>
          <w:vertAlign w:val="superscript"/>
          <w:lang w:val="en-GB"/>
        </w:rPr>
        <w:t xml:space="preserve"> </w:t>
      </w:r>
      <w:r w:rsidRPr="00960B6D">
        <w:rPr>
          <w:rFonts w:ascii="Times New Roman" w:hAnsi="Times New Roman"/>
          <w:sz w:val="16"/>
          <w:szCs w:val="16"/>
        </w:rPr>
        <w:t xml:space="preserve">Yemen </w:t>
      </w:r>
      <w:r w:rsidRPr="00FE4AEF">
        <w:rPr>
          <w:rFonts w:ascii="Times New Roman" w:hAnsi="Times New Roman"/>
          <w:sz w:val="16"/>
          <w:szCs w:val="16"/>
        </w:rPr>
        <w:t>Emergency Crisis Response p</w:t>
      </w:r>
      <w:r w:rsidRPr="00960B6D">
        <w:rPr>
          <w:rFonts w:ascii="Times New Roman" w:hAnsi="Times New Roman"/>
          <w:sz w:val="16"/>
          <w:szCs w:val="16"/>
        </w:rPr>
        <w:t>rogramme</w:t>
      </w:r>
      <w:r w:rsidRPr="00787A44">
        <w:rPr>
          <w:rFonts w:ascii="Times New Roman" w:hAnsi="Times New Roman"/>
          <w:sz w:val="16"/>
          <w:szCs w:val="16"/>
          <w:lang w:val="en-GB"/>
        </w:rPr>
        <w:t xml:space="preserve"> and </w:t>
      </w:r>
      <w:r>
        <w:rPr>
          <w:rFonts w:ascii="Times New Roman" w:hAnsi="Times New Roman"/>
          <w:sz w:val="16"/>
          <w:szCs w:val="16"/>
          <w:lang w:val="en-GB"/>
        </w:rPr>
        <w:t>s</w:t>
      </w:r>
      <w:r w:rsidRPr="00787A44">
        <w:rPr>
          <w:rFonts w:ascii="Times New Roman" w:hAnsi="Times New Roman"/>
          <w:sz w:val="16"/>
          <w:szCs w:val="16"/>
          <w:lang w:val="en-GB"/>
        </w:rPr>
        <w:t xml:space="preserve">ocial </w:t>
      </w:r>
      <w:r>
        <w:rPr>
          <w:rFonts w:ascii="Times New Roman" w:hAnsi="Times New Roman"/>
          <w:sz w:val="16"/>
          <w:szCs w:val="16"/>
          <w:lang w:val="en-GB"/>
        </w:rPr>
        <w:t>p</w:t>
      </w:r>
      <w:r w:rsidRPr="00787A44">
        <w:rPr>
          <w:rFonts w:ascii="Times New Roman" w:hAnsi="Times New Roman"/>
          <w:sz w:val="16"/>
          <w:szCs w:val="16"/>
          <w:lang w:val="en-GB"/>
        </w:rPr>
        <w:t xml:space="preserve">rotection projects </w:t>
      </w:r>
    </w:p>
  </w:footnote>
  <w:footnote w:id="28">
    <w:p w14:paraId="4D405D83" w14:textId="3DEAC0CC" w:rsidR="00CA5B30" w:rsidRPr="00727CBD" w:rsidRDefault="00CA5B30">
      <w:pPr>
        <w:pStyle w:val="FootnoteText"/>
        <w:rPr>
          <w:lang w:val="en-GB"/>
        </w:rPr>
      </w:pPr>
      <w:r w:rsidRPr="00787A44">
        <w:rPr>
          <w:rStyle w:val="FootnoteReference"/>
          <w:rFonts w:ascii="Times New Roman" w:hAnsi="Times New Roman"/>
          <w:sz w:val="16"/>
          <w:szCs w:val="16"/>
        </w:rPr>
        <w:footnoteRef/>
      </w:r>
      <w:r w:rsidRPr="00787A44">
        <w:rPr>
          <w:rFonts w:ascii="Times New Roman" w:hAnsi="Times New Roman"/>
          <w:sz w:val="16"/>
          <w:szCs w:val="16"/>
        </w:rPr>
        <w:t xml:space="preserve"> </w:t>
      </w:r>
      <w:r w:rsidRPr="00787A44">
        <w:rPr>
          <w:rFonts w:ascii="Times New Roman" w:hAnsi="Times New Roman"/>
          <w:sz w:val="16"/>
          <w:szCs w:val="16"/>
          <w:lang w:val="en-GB"/>
        </w:rPr>
        <w:t>Also addressed by UNDP programme priority 3 – confidence</w:t>
      </w:r>
      <w:r>
        <w:rPr>
          <w:rFonts w:ascii="Times New Roman" w:hAnsi="Times New Roman"/>
          <w:sz w:val="16"/>
          <w:szCs w:val="16"/>
          <w:lang w:val="en-GB"/>
        </w:rPr>
        <w:t>-</w:t>
      </w:r>
      <w:r w:rsidRPr="00787A44">
        <w:rPr>
          <w:rFonts w:ascii="Times New Roman" w:hAnsi="Times New Roman"/>
          <w:sz w:val="16"/>
          <w:szCs w:val="16"/>
          <w:lang w:val="en-GB"/>
        </w:rPr>
        <w:t>building measures</w:t>
      </w:r>
    </w:p>
  </w:footnote>
  <w:footnote w:id="29">
    <w:p w14:paraId="27DF0603" w14:textId="26203187" w:rsidR="00CA5B30" w:rsidRPr="00792737" w:rsidRDefault="00CA5B30" w:rsidP="0024569A">
      <w:pPr>
        <w:autoSpaceDE w:val="0"/>
        <w:autoSpaceDN w:val="0"/>
        <w:adjustRightInd w:val="0"/>
        <w:rPr>
          <w:sz w:val="16"/>
          <w:szCs w:val="16"/>
          <w:lang w:val="en-GB"/>
        </w:rPr>
      </w:pPr>
      <w:r w:rsidRPr="00792737">
        <w:rPr>
          <w:rStyle w:val="FootnoteReference"/>
          <w:sz w:val="16"/>
          <w:szCs w:val="16"/>
        </w:rPr>
        <w:footnoteRef/>
      </w:r>
      <w:r w:rsidRPr="00792737">
        <w:rPr>
          <w:sz w:val="16"/>
          <w:szCs w:val="16"/>
        </w:rPr>
        <w:t xml:space="preserve"> </w:t>
      </w:r>
      <w:r>
        <w:rPr>
          <w:sz w:val="16"/>
          <w:szCs w:val="16"/>
          <w:lang w:val="en-GB" w:eastAsia="en-GB"/>
        </w:rPr>
        <w:t>P</w:t>
      </w:r>
      <w:r w:rsidRPr="00792737">
        <w:rPr>
          <w:sz w:val="16"/>
          <w:szCs w:val="16"/>
          <w:lang w:val="en-GB" w:eastAsia="en-GB"/>
        </w:rPr>
        <w:t xml:space="preserve">ublic service systems that </w:t>
      </w:r>
      <w:r>
        <w:rPr>
          <w:sz w:val="16"/>
          <w:szCs w:val="16"/>
          <w:lang w:val="en-GB" w:eastAsia="en-GB"/>
        </w:rPr>
        <w:t>fill</w:t>
      </w:r>
      <w:r w:rsidRPr="00792737">
        <w:rPr>
          <w:sz w:val="16"/>
          <w:szCs w:val="16"/>
          <w:lang w:val="en-GB" w:eastAsia="en-GB"/>
        </w:rPr>
        <w:t xml:space="preserve"> basic human needs</w:t>
      </w:r>
      <w:r>
        <w:rPr>
          <w:sz w:val="16"/>
          <w:szCs w:val="16"/>
          <w:lang w:val="en-GB" w:eastAsia="en-GB"/>
        </w:rPr>
        <w:t>,</w:t>
      </w:r>
      <w:r w:rsidRPr="00792737">
        <w:rPr>
          <w:sz w:val="16"/>
          <w:szCs w:val="16"/>
          <w:lang w:val="en-GB" w:eastAsia="en-GB"/>
        </w:rPr>
        <w:t xml:space="preserve"> including drinking water, sanitation, hygiene, energy, mobility, waste collection, health care, education and information technologies (SDG 1.4.1)</w:t>
      </w:r>
      <w:r>
        <w:rPr>
          <w:sz w:val="16"/>
          <w:szCs w:val="16"/>
          <w:lang w:val="en-GB" w:eastAsia="en-GB"/>
        </w:rPr>
        <w:t>.</w:t>
      </w:r>
    </w:p>
  </w:footnote>
  <w:footnote w:id="30">
    <w:p w14:paraId="531F8473" w14:textId="1B6C51BE" w:rsidR="00CA5B30" w:rsidRPr="000928E3" w:rsidRDefault="00CA5B30" w:rsidP="0024569A">
      <w:pPr>
        <w:pStyle w:val="FootnoteText"/>
        <w:rPr>
          <w:rFonts w:ascii="Times New Roman" w:hAnsi="Times New Roman"/>
          <w:color w:val="000000"/>
          <w:sz w:val="16"/>
          <w:szCs w:val="16"/>
          <w:lang w:val="en-GB"/>
        </w:rPr>
      </w:pPr>
      <w:r w:rsidRPr="00CA5B30">
        <w:rPr>
          <w:rStyle w:val="FootnoteReference"/>
          <w:sz w:val="17"/>
          <w:szCs w:val="17"/>
        </w:rPr>
        <w:footnoteRef/>
      </w:r>
      <w:r w:rsidRPr="00CA5B30">
        <w:rPr>
          <w:rStyle w:val="FootnoteReference"/>
          <w:sz w:val="17"/>
          <w:szCs w:val="17"/>
        </w:rPr>
        <w:t xml:space="preserve"> </w:t>
      </w:r>
      <w:r w:rsidRPr="000928E3">
        <w:rPr>
          <w:rFonts w:ascii="Times New Roman" w:hAnsi="Times New Roman"/>
          <w:color w:val="000000"/>
          <w:sz w:val="16"/>
          <w:szCs w:val="16"/>
          <w:lang w:val="en-GB"/>
        </w:rPr>
        <w:t>Key targeted infrastructure/facilities are</w:t>
      </w:r>
      <w:r>
        <w:rPr>
          <w:rFonts w:ascii="Times New Roman" w:hAnsi="Times New Roman"/>
          <w:color w:val="000000"/>
          <w:sz w:val="16"/>
          <w:szCs w:val="16"/>
          <w:lang w:val="en-GB"/>
        </w:rPr>
        <w:t>:</w:t>
      </w:r>
      <w:r w:rsidRPr="000928E3">
        <w:rPr>
          <w:rFonts w:ascii="Times New Roman" w:hAnsi="Times New Roman"/>
          <w:color w:val="000000"/>
          <w:sz w:val="16"/>
          <w:szCs w:val="16"/>
          <w:lang w:val="en-GB"/>
        </w:rPr>
        <w:t xml:space="preserve"> one seaport, one airport and </w:t>
      </w:r>
      <w:r w:rsidRPr="00CA5B30">
        <w:rPr>
          <w:rFonts w:ascii="Times New Roman" w:hAnsi="Times New Roman"/>
          <w:i/>
          <w:color w:val="000000"/>
          <w:sz w:val="16"/>
          <w:szCs w:val="16"/>
          <w:lang w:val="en-GB"/>
        </w:rPr>
        <w:t>Safer</w:t>
      </w:r>
      <w:r w:rsidRPr="000928E3">
        <w:rPr>
          <w:rFonts w:ascii="Times New Roman" w:hAnsi="Times New Roman"/>
          <w:color w:val="000000"/>
          <w:sz w:val="16"/>
          <w:szCs w:val="16"/>
          <w:lang w:val="en-GB"/>
        </w:rPr>
        <w:t xml:space="preserve"> tanker salvage operations. </w:t>
      </w:r>
    </w:p>
  </w:footnote>
  <w:footnote w:id="31">
    <w:p w14:paraId="7B290DA9" w14:textId="2588B693" w:rsidR="00CA5B30" w:rsidRPr="007C1C9F" w:rsidRDefault="00CA5B30" w:rsidP="0024569A">
      <w:pPr>
        <w:pStyle w:val="FootnoteText"/>
        <w:rPr>
          <w:lang w:val="en-GB"/>
        </w:rPr>
      </w:pPr>
      <w:r w:rsidRPr="00CA5B30">
        <w:rPr>
          <w:rStyle w:val="FootnoteReference"/>
          <w:sz w:val="17"/>
          <w:szCs w:val="17"/>
        </w:rPr>
        <w:footnoteRef/>
      </w:r>
      <w:r w:rsidRPr="00CA5B30">
        <w:rPr>
          <w:rStyle w:val="FootnoteReference"/>
          <w:sz w:val="17"/>
          <w:szCs w:val="17"/>
        </w:rPr>
        <w:t xml:space="preserve"> </w:t>
      </w:r>
      <w:r w:rsidRPr="000928E3">
        <w:rPr>
          <w:rFonts w:ascii="Times New Roman" w:hAnsi="Times New Roman"/>
          <w:color w:val="000000"/>
          <w:sz w:val="16"/>
          <w:szCs w:val="16"/>
          <w:lang w:val="en-GB"/>
        </w:rPr>
        <w:t>Partially (40-89%), fully (more than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2"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748"/>
      <w:gridCol w:w="4504"/>
    </w:tblGrid>
    <w:tr w:rsidR="00CA5B30" w:rsidRPr="00E477B7" w14:paraId="01E36D16" w14:textId="77777777" w:rsidTr="00BD43AF">
      <w:trPr>
        <w:trHeight w:hRule="exact" w:val="864"/>
      </w:trPr>
      <w:tc>
        <w:tcPr>
          <w:tcW w:w="4748" w:type="dxa"/>
          <w:tcBorders>
            <w:bottom w:val="single" w:sz="4" w:space="0" w:color="auto"/>
          </w:tcBorders>
          <w:vAlign w:val="bottom"/>
        </w:tcPr>
        <w:p w14:paraId="7F0CB942" w14:textId="77777777" w:rsidR="00CA5B30" w:rsidRPr="00E477B7" w:rsidRDefault="00CA5B30" w:rsidP="002A606C">
          <w:pPr>
            <w:widowControl w:val="0"/>
            <w:tabs>
              <w:tab w:val="center" w:pos="4320"/>
              <w:tab w:val="right" w:pos="8640"/>
            </w:tabs>
            <w:spacing w:after="80"/>
            <w:ind w:left="630" w:hanging="630"/>
            <w:rPr>
              <w:b/>
              <w:sz w:val="17"/>
              <w:szCs w:val="17"/>
            </w:rPr>
          </w:pPr>
        </w:p>
      </w:tc>
      <w:tc>
        <w:tcPr>
          <w:tcW w:w="4504" w:type="dxa"/>
          <w:tcBorders>
            <w:bottom w:val="single" w:sz="4" w:space="0" w:color="auto"/>
          </w:tcBorders>
          <w:vAlign w:val="bottom"/>
        </w:tcPr>
        <w:p w14:paraId="262C05B3" w14:textId="20C1D344" w:rsidR="00CA5B30" w:rsidRPr="00E477B7" w:rsidRDefault="00CA5B30" w:rsidP="002A606C">
          <w:pPr>
            <w:widowControl w:val="0"/>
            <w:tabs>
              <w:tab w:val="center" w:pos="4320"/>
              <w:tab w:val="right" w:pos="8640"/>
            </w:tabs>
            <w:jc w:val="right"/>
            <w:rPr>
              <w:sz w:val="17"/>
              <w:szCs w:val="17"/>
            </w:rPr>
          </w:pPr>
          <w:r w:rsidRPr="00E477B7">
            <w:rPr>
              <w:b/>
              <w:sz w:val="17"/>
              <w:szCs w:val="17"/>
            </w:rPr>
            <w:t>DP/DCP/</w:t>
          </w:r>
          <w:r>
            <w:rPr>
              <w:b/>
              <w:sz w:val="17"/>
              <w:szCs w:val="17"/>
            </w:rPr>
            <w:t>YEM</w:t>
          </w:r>
          <w:r w:rsidRPr="00E477B7">
            <w:rPr>
              <w:b/>
              <w:sz w:val="17"/>
              <w:szCs w:val="17"/>
            </w:rPr>
            <w:t>/</w:t>
          </w:r>
          <w:r>
            <w:rPr>
              <w:b/>
              <w:sz w:val="17"/>
              <w:szCs w:val="17"/>
            </w:rPr>
            <w:t>3</w:t>
          </w:r>
        </w:p>
      </w:tc>
    </w:tr>
  </w:tbl>
  <w:p w14:paraId="2440D553" w14:textId="77999C71" w:rsidR="00CA5B30" w:rsidRPr="002A606C" w:rsidRDefault="00CA5B30">
    <w:pPr>
      <w:pStyle w:val="Header"/>
      <w:rPr>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CA5B30" w14:paraId="2440D55B" w14:textId="77777777">
      <w:trPr>
        <w:trHeight w:hRule="exact" w:val="864"/>
      </w:trPr>
      <w:tc>
        <w:tcPr>
          <w:tcW w:w="1267" w:type="dxa"/>
          <w:tcBorders>
            <w:top w:val="nil"/>
            <w:left w:val="nil"/>
            <w:bottom w:val="nil"/>
            <w:right w:val="nil"/>
          </w:tcBorders>
          <w:vAlign w:val="bottom"/>
        </w:tcPr>
        <w:p w14:paraId="2440D557" w14:textId="77777777" w:rsidR="00CA5B30" w:rsidRPr="007C6F85" w:rsidRDefault="00CA5B30">
          <w:pPr>
            <w:pStyle w:val="Header"/>
            <w:spacing w:after="120"/>
            <w:rPr>
              <w:lang w:val="en-US" w:eastAsia="en-US"/>
            </w:rPr>
          </w:pPr>
        </w:p>
      </w:tc>
      <w:tc>
        <w:tcPr>
          <w:tcW w:w="1872" w:type="dxa"/>
          <w:tcBorders>
            <w:top w:val="nil"/>
            <w:left w:val="nil"/>
            <w:bottom w:val="nil"/>
            <w:right w:val="nil"/>
          </w:tcBorders>
          <w:vAlign w:val="bottom"/>
        </w:tcPr>
        <w:p w14:paraId="2440D558" w14:textId="77777777" w:rsidR="00CA5B30" w:rsidRDefault="00CA5B3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CA5B30" w:rsidRPr="007C6F85" w:rsidRDefault="00CA5B30">
          <w:pPr>
            <w:pStyle w:val="Header"/>
            <w:spacing w:after="120"/>
            <w:rPr>
              <w:lang w:val="en-US" w:eastAsia="en-US"/>
            </w:rPr>
          </w:pPr>
        </w:p>
      </w:tc>
      <w:tc>
        <w:tcPr>
          <w:tcW w:w="6876" w:type="dxa"/>
          <w:gridSpan w:val="3"/>
          <w:tcBorders>
            <w:top w:val="nil"/>
            <w:left w:val="nil"/>
            <w:bottom w:val="nil"/>
            <w:right w:val="nil"/>
          </w:tcBorders>
          <w:vAlign w:val="bottom"/>
        </w:tcPr>
        <w:p w14:paraId="2440D55A" w14:textId="76BA9EDB" w:rsidR="00CA5B30" w:rsidRDefault="00CA5B30" w:rsidP="00441061">
          <w:pPr>
            <w:spacing w:after="80"/>
            <w:jc w:val="center"/>
            <w:rPr>
              <w:position w:val="-4"/>
            </w:rPr>
          </w:pPr>
          <w:r>
            <w:rPr>
              <w:position w:val="-4"/>
              <w:sz w:val="40"/>
            </w:rPr>
            <w:t xml:space="preserve">                         DP</w:t>
          </w:r>
          <w:r>
            <w:rPr>
              <w:position w:val="-4"/>
            </w:rPr>
            <w:t>/DCP/YEM/3</w:t>
          </w:r>
        </w:p>
      </w:tc>
    </w:tr>
    <w:tr w:rsidR="00CA5B30" w14:paraId="2440D564" w14:textId="77777777" w:rsidTr="009565D7">
      <w:trPr>
        <w:trHeight w:hRule="exact" w:val="2301"/>
      </w:trPr>
      <w:tc>
        <w:tcPr>
          <w:tcW w:w="1267" w:type="dxa"/>
          <w:tcBorders>
            <w:top w:val="single" w:sz="4" w:space="0" w:color="auto"/>
            <w:left w:val="nil"/>
            <w:bottom w:val="single" w:sz="12" w:space="0" w:color="auto"/>
            <w:right w:val="nil"/>
          </w:tcBorders>
        </w:tcPr>
        <w:p w14:paraId="2440D55C" w14:textId="77777777" w:rsidR="00CA5B30" w:rsidRPr="007C6F85" w:rsidRDefault="00CA5B30">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CA5B30" w:rsidRPr="007C6F85" w:rsidRDefault="00CA5B30">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76896CED" w14:textId="4C9AA29C" w:rsidR="00CA5B30" w:rsidRDefault="00CA5B30">
          <w:pPr>
            <w:pStyle w:val="XLarge"/>
            <w:spacing w:before="109" w:line="330" w:lineRule="exact"/>
            <w:rPr>
              <w:sz w:val="34"/>
            </w:rPr>
          </w:pPr>
          <w:r>
            <w:rPr>
              <w:sz w:val="34"/>
            </w:rPr>
            <w:t>Executive Board of the</w:t>
          </w:r>
          <w:r>
            <w:rPr>
              <w:sz w:val="34"/>
            </w:rPr>
            <w:br/>
            <w:t>United Nations Development</w:t>
          </w:r>
          <w:r>
            <w:rPr>
              <w:sz w:val="34"/>
            </w:rPr>
            <w:br/>
            <w:t xml:space="preserve">Programme, the United Nations Population Fund and the United Nations Office for </w:t>
          </w:r>
        </w:p>
        <w:p w14:paraId="2440D55E" w14:textId="1124A7E0" w:rsidR="00CA5B30" w:rsidRDefault="00CA5B30">
          <w:pPr>
            <w:pStyle w:val="XLarge"/>
            <w:spacing w:before="109" w:line="330" w:lineRule="exact"/>
            <w:rPr>
              <w:sz w:val="34"/>
            </w:rPr>
          </w:pPr>
          <w:r>
            <w:rPr>
              <w:sz w:val="34"/>
            </w:rPr>
            <w:t>Project Services</w:t>
          </w:r>
        </w:p>
      </w:tc>
      <w:tc>
        <w:tcPr>
          <w:tcW w:w="245" w:type="dxa"/>
          <w:tcBorders>
            <w:top w:val="single" w:sz="4" w:space="0" w:color="auto"/>
            <w:left w:val="nil"/>
            <w:bottom w:val="single" w:sz="12" w:space="0" w:color="auto"/>
            <w:right w:val="nil"/>
          </w:tcBorders>
        </w:tcPr>
        <w:p w14:paraId="2440D55F" w14:textId="77777777" w:rsidR="00CA5B30" w:rsidRPr="007C6F85" w:rsidRDefault="00CA5B30">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CA5B30" w:rsidRDefault="00CA5B30">
          <w:pPr>
            <w:spacing w:before="240"/>
          </w:pPr>
          <w:r>
            <w:t>Distr.: General</w:t>
          </w:r>
        </w:p>
        <w:p w14:paraId="2440D561" w14:textId="15A06211" w:rsidR="00CA5B30" w:rsidRDefault="00AA468B" w:rsidP="00441061">
          <w:r>
            <w:t>10</w:t>
          </w:r>
          <w:r w:rsidR="00CA5B30">
            <w:t xml:space="preserve"> June 2022</w:t>
          </w:r>
        </w:p>
        <w:p w14:paraId="2440D562" w14:textId="77777777" w:rsidR="00CA5B30" w:rsidRDefault="00CA5B30"/>
        <w:p w14:paraId="2440D563" w14:textId="571CCE45" w:rsidR="00CA5B30" w:rsidRDefault="00CA5B30">
          <w:r>
            <w:t>Original: English</w:t>
          </w:r>
        </w:p>
      </w:tc>
    </w:tr>
  </w:tbl>
  <w:p w14:paraId="2440D565" w14:textId="77777777" w:rsidR="00CA5B30" w:rsidRDefault="00CA5B3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62"/>
      <w:gridCol w:w="4328"/>
    </w:tblGrid>
    <w:tr w:rsidR="00CA5B30" w:rsidRPr="002F07A9" w14:paraId="353B39E8" w14:textId="77777777" w:rsidTr="00BD43AF">
      <w:trPr>
        <w:trHeight w:hRule="exact" w:val="864"/>
      </w:trPr>
      <w:tc>
        <w:tcPr>
          <w:tcW w:w="4762" w:type="dxa"/>
          <w:tcBorders>
            <w:bottom w:val="single" w:sz="4" w:space="0" w:color="auto"/>
          </w:tcBorders>
          <w:vAlign w:val="bottom"/>
        </w:tcPr>
        <w:p w14:paraId="604C8570" w14:textId="58246A3E" w:rsidR="00CA5B30" w:rsidRPr="00C4319B" w:rsidRDefault="00CA5B30" w:rsidP="002A606C">
          <w:pPr>
            <w:widowControl w:val="0"/>
            <w:tabs>
              <w:tab w:val="center" w:pos="4320"/>
              <w:tab w:val="right" w:pos="8640"/>
            </w:tabs>
            <w:spacing w:after="80"/>
            <w:ind w:left="-1838" w:firstLine="1838"/>
            <w:rPr>
              <w:b/>
              <w:sz w:val="17"/>
            </w:rPr>
          </w:pPr>
          <w:r w:rsidRPr="00C4319B">
            <w:rPr>
              <w:b/>
              <w:sz w:val="17"/>
            </w:rPr>
            <w:t>DP/DCP/</w:t>
          </w:r>
          <w:r>
            <w:rPr>
              <w:b/>
              <w:sz w:val="17"/>
            </w:rPr>
            <w:t>YEM/3</w:t>
          </w:r>
        </w:p>
      </w:tc>
      <w:tc>
        <w:tcPr>
          <w:tcW w:w="4328" w:type="dxa"/>
          <w:tcBorders>
            <w:bottom w:val="single" w:sz="4" w:space="0" w:color="auto"/>
          </w:tcBorders>
          <w:vAlign w:val="bottom"/>
        </w:tcPr>
        <w:p w14:paraId="72A81504" w14:textId="77777777" w:rsidR="00CA5B30" w:rsidRPr="00C4319B" w:rsidRDefault="00CA5B30" w:rsidP="002A606C">
          <w:pPr>
            <w:widowControl w:val="0"/>
            <w:tabs>
              <w:tab w:val="center" w:pos="4320"/>
              <w:tab w:val="right" w:pos="8640"/>
            </w:tabs>
            <w:rPr>
              <w:sz w:val="17"/>
            </w:rPr>
          </w:pPr>
        </w:p>
      </w:tc>
    </w:tr>
  </w:tbl>
  <w:p w14:paraId="54298168" w14:textId="77777777" w:rsidR="00CA5B30" w:rsidRPr="002A606C" w:rsidRDefault="00CA5B30" w:rsidP="009F6742">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CA5B30" w:rsidRDefault="00CA5B30">
    <w:pPr>
      <w:pStyle w:val="Header"/>
    </w:pPr>
    <w:r>
      <w:rPr>
        <w:noProof/>
        <w:lang w:val="en-US" w:eastAsia="en-US"/>
      </w:rPr>
      <mc:AlternateContent>
        <mc:Choice Requires="wps">
          <w:drawing>
            <wp:anchor distT="0" distB="0" distL="114300" distR="114300" simplePos="0" relativeHeight="251658240" behindDoc="0" locked="0" layoutInCell="0" allowOverlap="1" wp14:anchorId="2440D56D" wp14:editId="09FF7248">
              <wp:simplePos x="0" y="0"/>
              <wp:positionH relativeFrom="column">
                <wp:posOffset>-33019</wp:posOffset>
              </wp:positionH>
              <wp:positionV relativeFrom="paragraph">
                <wp:posOffset>-304800</wp:posOffset>
              </wp:positionV>
              <wp:extent cx="83502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A5B30" w:rsidRPr="005841A3" w14:paraId="2440D571" w14:textId="77777777">
                            <w:trPr>
                              <w:trHeight w:hRule="exact" w:val="864"/>
                            </w:trPr>
                            <w:tc>
                              <w:tcPr>
                                <w:tcW w:w="4838" w:type="dxa"/>
                                <w:tcBorders>
                                  <w:bottom w:val="single" w:sz="4" w:space="0" w:color="auto"/>
                                </w:tcBorders>
                                <w:vAlign w:val="bottom"/>
                              </w:tcPr>
                              <w:p w14:paraId="2440D56F" w14:textId="509E7487" w:rsidR="00CA5B30" w:rsidRPr="007C6F85" w:rsidRDefault="00CA5B30"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YEM/3</w:t>
                                </w:r>
                              </w:p>
                            </w:tc>
                            <w:tc>
                              <w:tcPr>
                                <w:tcW w:w="8276" w:type="dxa"/>
                                <w:tcBorders>
                                  <w:bottom w:val="single" w:sz="4" w:space="0" w:color="auto"/>
                                </w:tcBorders>
                                <w:vAlign w:val="bottom"/>
                              </w:tcPr>
                              <w:p w14:paraId="2440D570" w14:textId="77777777" w:rsidR="00CA5B30" w:rsidRPr="007C6F85" w:rsidRDefault="00CA5B30">
                                <w:pPr>
                                  <w:pStyle w:val="Header"/>
                                  <w:rPr>
                                    <w:rFonts w:ascii="Times New Roman" w:hAnsi="Times New Roman"/>
                                    <w:sz w:val="17"/>
                                    <w:szCs w:val="17"/>
                                    <w:lang w:val="en-US" w:eastAsia="en-US"/>
                                  </w:rPr>
                                </w:pPr>
                              </w:p>
                            </w:tc>
                          </w:tr>
                        </w:tbl>
                        <w:p w14:paraId="2440D572" w14:textId="77777777" w:rsidR="00CA5B30" w:rsidRDefault="00CA5B3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2.6pt;margin-top:-24pt;width:657.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A5B30" w:rsidRPr="005841A3" w14:paraId="2440D571" w14:textId="77777777">
                      <w:trPr>
                        <w:trHeight w:hRule="exact" w:val="864"/>
                      </w:trPr>
                      <w:tc>
                        <w:tcPr>
                          <w:tcW w:w="4838" w:type="dxa"/>
                          <w:tcBorders>
                            <w:bottom w:val="single" w:sz="4" w:space="0" w:color="auto"/>
                          </w:tcBorders>
                          <w:vAlign w:val="bottom"/>
                        </w:tcPr>
                        <w:p w14:paraId="2440D56F" w14:textId="509E7487" w:rsidR="00CA5B30" w:rsidRPr="007C6F85" w:rsidRDefault="00CA5B30"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YEM/3</w:t>
                          </w:r>
                        </w:p>
                      </w:tc>
                      <w:tc>
                        <w:tcPr>
                          <w:tcW w:w="8276" w:type="dxa"/>
                          <w:tcBorders>
                            <w:bottom w:val="single" w:sz="4" w:space="0" w:color="auto"/>
                          </w:tcBorders>
                          <w:vAlign w:val="bottom"/>
                        </w:tcPr>
                        <w:p w14:paraId="2440D570" w14:textId="77777777" w:rsidR="00CA5B30" w:rsidRPr="007C6F85" w:rsidRDefault="00CA5B30">
                          <w:pPr>
                            <w:pStyle w:val="Header"/>
                            <w:rPr>
                              <w:rFonts w:ascii="Times New Roman" w:hAnsi="Times New Roman"/>
                              <w:sz w:val="17"/>
                              <w:szCs w:val="17"/>
                              <w:lang w:val="en-US" w:eastAsia="en-US"/>
                            </w:rPr>
                          </w:pPr>
                        </w:p>
                      </w:tc>
                    </w:tr>
                  </w:tbl>
                  <w:p w14:paraId="2440D572" w14:textId="77777777" w:rsidR="00CA5B30" w:rsidRDefault="00CA5B30"/>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CA5B30" w:rsidRPr="00E477B7" w14:paraId="7CD8E3CF" w14:textId="77777777" w:rsidTr="00BC34CA">
      <w:trPr>
        <w:trHeight w:hRule="exact" w:val="864"/>
      </w:trPr>
      <w:tc>
        <w:tcPr>
          <w:tcW w:w="4838" w:type="dxa"/>
          <w:tcBorders>
            <w:bottom w:val="single" w:sz="4" w:space="0" w:color="auto"/>
          </w:tcBorders>
          <w:vAlign w:val="bottom"/>
        </w:tcPr>
        <w:p w14:paraId="271FB24D" w14:textId="77777777" w:rsidR="00CA5B30" w:rsidRPr="00E477B7" w:rsidRDefault="00CA5B30" w:rsidP="002A606C">
          <w:pPr>
            <w:widowControl w:val="0"/>
            <w:tabs>
              <w:tab w:val="center" w:pos="4320"/>
              <w:tab w:val="right" w:pos="8640"/>
            </w:tabs>
            <w:spacing w:after="80"/>
            <w:ind w:left="630" w:hanging="630"/>
            <w:rPr>
              <w:b/>
              <w:sz w:val="17"/>
              <w:szCs w:val="17"/>
            </w:rPr>
          </w:pPr>
        </w:p>
      </w:tc>
      <w:tc>
        <w:tcPr>
          <w:tcW w:w="8212" w:type="dxa"/>
          <w:tcBorders>
            <w:bottom w:val="single" w:sz="4" w:space="0" w:color="auto"/>
          </w:tcBorders>
          <w:vAlign w:val="bottom"/>
        </w:tcPr>
        <w:p w14:paraId="060805F3" w14:textId="77777777" w:rsidR="00CA5B30" w:rsidRPr="00E477B7" w:rsidRDefault="00CA5B30" w:rsidP="002A606C">
          <w:pPr>
            <w:widowControl w:val="0"/>
            <w:tabs>
              <w:tab w:val="center" w:pos="4320"/>
              <w:tab w:val="right" w:pos="8640"/>
            </w:tabs>
            <w:jc w:val="right"/>
            <w:rPr>
              <w:sz w:val="17"/>
              <w:szCs w:val="17"/>
            </w:rPr>
          </w:pPr>
          <w:r w:rsidRPr="00E477B7">
            <w:rPr>
              <w:b/>
              <w:sz w:val="17"/>
              <w:szCs w:val="17"/>
            </w:rPr>
            <w:t>DP/DCP/</w:t>
          </w:r>
          <w:r>
            <w:rPr>
              <w:b/>
              <w:sz w:val="17"/>
              <w:szCs w:val="17"/>
            </w:rPr>
            <w:t>YEM</w:t>
          </w:r>
          <w:r w:rsidRPr="00E477B7">
            <w:rPr>
              <w:b/>
              <w:sz w:val="17"/>
              <w:szCs w:val="17"/>
            </w:rPr>
            <w:t>/</w:t>
          </w:r>
          <w:r>
            <w:rPr>
              <w:b/>
              <w:sz w:val="17"/>
              <w:szCs w:val="17"/>
            </w:rPr>
            <w:t>3</w:t>
          </w:r>
        </w:p>
      </w:tc>
    </w:tr>
  </w:tbl>
  <w:p w14:paraId="27A886AB" w14:textId="77777777" w:rsidR="00CA5B30" w:rsidRPr="002A606C" w:rsidRDefault="00CA5B30">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913"/>
    <w:multiLevelType w:val="hybridMultilevel"/>
    <w:tmpl w:val="F7B6CBAA"/>
    <w:lvl w:ilvl="0" w:tplc="5C407736">
      <w:start w:val="2"/>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 w15:restartNumberingAfterBreak="0">
    <w:nsid w:val="2F465D2D"/>
    <w:multiLevelType w:val="hybridMultilevel"/>
    <w:tmpl w:val="8476138A"/>
    <w:lvl w:ilvl="0" w:tplc="EE327498">
      <w:start w:val="1"/>
      <w:numFmt w:val="upperRoman"/>
      <w:lvlText w:val="%1."/>
      <w:lvlJc w:val="left"/>
      <w:pPr>
        <w:ind w:left="1800" w:hanging="72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7C259D"/>
    <w:multiLevelType w:val="hybridMultilevel"/>
    <w:tmpl w:val="FF342EE8"/>
    <w:lvl w:ilvl="0" w:tplc="0E181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7205507"/>
    <w:multiLevelType w:val="hybridMultilevel"/>
    <w:tmpl w:val="7932E742"/>
    <w:lvl w:ilvl="0" w:tplc="6B5651B0">
      <w:start w:val="1"/>
      <w:numFmt w:val="lowerLetter"/>
      <w:lvlText w:val="(%1)"/>
      <w:lvlJc w:val="left"/>
      <w:pPr>
        <w:ind w:left="1980" w:hanging="360"/>
      </w:pPr>
      <w:rPr>
        <w:rFonts w:ascii="Times New Roman" w:eastAsia="Times New Roman" w:hAnsi="Times New Roman" w:cs="Times New Roman"/>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6" w15:restartNumberingAfterBreak="0">
    <w:nsid w:val="49440301"/>
    <w:multiLevelType w:val="hybridMultilevel"/>
    <w:tmpl w:val="06601098"/>
    <w:lvl w:ilvl="0" w:tplc="9C18C222">
      <w:start w:val="2"/>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56251BBA"/>
    <w:multiLevelType w:val="hybridMultilevel"/>
    <w:tmpl w:val="D48EDD58"/>
    <w:lvl w:ilvl="0" w:tplc="FA40329C">
      <w:start w:val="1"/>
      <w:numFmt w:val="bullet"/>
      <w:lvlText w:val="•"/>
      <w:lvlJc w:val="left"/>
      <w:pPr>
        <w:tabs>
          <w:tab w:val="num" w:pos="720"/>
        </w:tabs>
        <w:ind w:left="720" w:hanging="360"/>
      </w:pPr>
      <w:rPr>
        <w:rFonts w:ascii="Times New Roman" w:hAnsi="Times New Roman" w:hint="default"/>
      </w:rPr>
    </w:lvl>
    <w:lvl w:ilvl="1" w:tplc="EAC64E18" w:tentative="1">
      <w:start w:val="1"/>
      <w:numFmt w:val="bullet"/>
      <w:lvlText w:val="•"/>
      <w:lvlJc w:val="left"/>
      <w:pPr>
        <w:tabs>
          <w:tab w:val="num" w:pos="1440"/>
        </w:tabs>
        <w:ind w:left="1440" w:hanging="360"/>
      </w:pPr>
      <w:rPr>
        <w:rFonts w:ascii="Times New Roman" w:hAnsi="Times New Roman" w:hint="default"/>
      </w:rPr>
    </w:lvl>
    <w:lvl w:ilvl="2" w:tplc="605AF582" w:tentative="1">
      <w:start w:val="1"/>
      <w:numFmt w:val="bullet"/>
      <w:lvlText w:val="•"/>
      <w:lvlJc w:val="left"/>
      <w:pPr>
        <w:tabs>
          <w:tab w:val="num" w:pos="2160"/>
        </w:tabs>
        <w:ind w:left="2160" w:hanging="360"/>
      </w:pPr>
      <w:rPr>
        <w:rFonts w:ascii="Times New Roman" w:hAnsi="Times New Roman" w:hint="default"/>
      </w:rPr>
    </w:lvl>
    <w:lvl w:ilvl="3" w:tplc="16AAFCDC" w:tentative="1">
      <w:start w:val="1"/>
      <w:numFmt w:val="bullet"/>
      <w:lvlText w:val="•"/>
      <w:lvlJc w:val="left"/>
      <w:pPr>
        <w:tabs>
          <w:tab w:val="num" w:pos="2880"/>
        </w:tabs>
        <w:ind w:left="2880" w:hanging="360"/>
      </w:pPr>
      <w:rPr>
        <w:rFonts w:ascii="Times New Roman" w:hAnsi="Times New Roman" w:hint="default"/>
      </w:rPr>
    </w:lvl>
    <w:lvl w:ilvl="4" w:tplc="36EC6E54" w:tentative="1">
      <w:start w:val="1"/>
      <w:numFmt w:val="bullet"/>
      <w:lvlText w:val="•"/>
      <w:lvlJc w:val="left"/>
      <w:pPr>
        <w:tabs>
          <w:tab w:val="num" w:pos="3600"/>
        </w:tabs>
        <w:ind w:left="3600" w:hanging="360"/>
      </w:pPr>
      <w:rPr>
        <w:rFonts w:ascii="Times New Roman" w:hAnsi="Times New Roman" w:hint="default"/>
      </w:rPr>
    </w:lvl>
    <w:lvl w:ilvl="5" w:tplc="F3B4CCF0" w:tentative="1">
      <w:start w:val="1"/>
      <w:numFmt w:val="bullet"/>
      <w:lvlText w:val="•"/>
      <w:lvlJc w:val="left"/>
      <w:pPr>
        <w:tabs>
          <w:tab w:val="num" w:pos="4320"/>
        </w:tabs>
        <w:ind w:left="4320" w:hanging="360"/>
      </w:pPr>
      <w:rPr>
        <w:rFonts w:ascii="Times New Roman" w:hAnsi="Times New Roman" w:hint="default"/>
      </w:rPr>
    </w:lvl>
    <w:lvl w:ilvl="6" w:tplc="8B9E9AB8" w:tentative="1">
      <w:start w:val="1"/>
      <w:numFmt w:val="bullet"/>
      <w:lvlText w:val="•"/>
      <w:lvlJc w:val="left"/>
      <w:pPr>
        <w:tabs>
          <w:tab w:val="num" w:pos="5040"/>
        </w:tabs>
        <w:ind w:left="5040" w:hanging="360"/>
      </w:pPr>
      <w:rPr>
        <w:rFonts w:ascii="Times New Roman" w:hAnsi="Times New Roman" w:hint="default"/>
      </w:rPr>
    </w:lvl>
    <w:lvl w:ilvl="7" w:tplc="FFD2D1F8" w:tentative="1">
      <w:start w:val="1"/>
      <w:numFmt w:val="bullet"/>
      <w:lvlText w:val="•"/>
      <w:lvlJc w:val="left"/>
      <w:pPr>
        <w:tabs>
          <w:tab w:val="num" w:pos="5760"/>
        </w:tabs>
        <w:ind w:left="5760" w:hanging="360"/>
      </w:pPr>
      <w:rPr>
        <w:rFonts w:ascii="Times New Roman" w:hAnsi="Times New Roman" w:hint="default"/>
      </w:rPr>
    </w:lvl>
    <w:lvl w:ilvl="8" w:tplc="B46C3B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6A4B78"/>
    <w:multiLevelType w:val="hybridMultilevel"/>
    <w:tmpl w:val="20E661A8"/>
    <w:lvl w:ilvl="0" w:tplc="2A08F1E2">
      <w:numFmt w:val="bullet"/>
      <w:lvlText w:val="-"/>
      <w:lvlJc w:val="left"/>
      <w:pPr>
        <w:ind w:left="410" w:hanging="360"/>
      </w:pPr>
      <w:rPr>
        <w:rFonts w:ascii="Times New Roman" w:eastAsia="Times New Roma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6FC476D0"/>
    <w:multiLevelType w:val="hybridMultilevel"/>
    <w:tmpl w:val="CBE2414A"/>
    <w:lvl w:ilvl="0" w:tplc="0809000F">
      <w:start w:val="1"/>
      <w:numFmt w:val="decimal"/>
      <w:lvlText w:val="%1."/>
      <w:lvlJc w:val="left"/>
      <w:pPr>
        <w:ind w:left="324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44C8C"/>
    <w:multiLevelType w:val="hybridMultilevel"/>
    <w:tmpl w:val="A25871E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2" w15:restartNumberingAfterBreak="0">
    <w:nsid w:val="77DE4B08"/>
    <w:multiLevelType w:val="hybridMultilevel"/>
    <w:tmpl w:val="5B74C5D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num w:numId="1">
    <w:abstractNumId w:val="3"/>
  </w:num>
  <w:num w:numId="2">
    <w:abstractNumId w:val="10"/>
  </w:num>
  <w:num w:numId="3">
    <w:abstractNumId w:val="5"/>
  </w:num>
  <w:num w:numId="4">
    <w:abstractNumId w:val="12"/>
  </w:num>
  <w:num w:numId="5">
    <w:abstractNumId w:val="2"/>
  </w:num>
  <w:num w:numId="6">
    <w:abstractNumId w:val="8"/>
  </w:num>
  <w:num w:numId="7">
    <w:abstractNumId w:val="9"/>
  </w:num>
  <w:num w:numId="8">
    <w:abstractNumId w:val="11"/>
  </w:num>
  <w:num w:numId="9">
    <w:abstractNumId w:val="7"/>
  </w:num>
  <w:num w:numId="10">
    <w:abstractNumId w:val="1"/>
  </w:num>
  <w:num w:numId="11">
    <w:abstractNumId w:val="4"/>
  </w:num>
  <w:num w:numId="12">
    <w:abstractNumId w:val="6"/>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F3B"/>
    <w:rsid w:val="000010B5"/>
    <w:rsid w:val="000027D2"/>
    <w:rsid w:val="0000312F"/>
    <w:rsid w:val="00003E8B"/>
    <w:rsid w:val="00005E26"/>
    <w:rsid w:val="00006D9C"/>
    <w:rsid w:val="00006E59"/>
    <w:rsid w:val="00007780"/>
    <w:rsid w:val="00007951"/>
    <w:rsid w:val="00007E6D"/>
    <w:rsid w:val="000107AF"/>
    <w:rsid w:val="0001309E"/>
    <w:rsid w:val="000134AF"/>
    <w:rsid w:val="000153EB"/>
    <w:rsid w:val="000156B4"/>
    <w:rsid w:val="00015E44"/>
    <w:rsid w:val="00015FDE"/>
    <w:rsid w:val="00016217"/>
    <w:rsid w:val="00016861"/>
    <w:rsid w:val="0001773C"/>
    <w:rsid w:val="00017D05"/>
    <w:rsid w:val="000200CF"/>
    <w:rsid w:val="000205F1"/>
    <w:rsid w:val="00022047"/>
    <w:rsid w:val="00023AEE"/>
    <w:rsid w:val="00023B90"/>
    <w:rsid w:val="00023F8A"/>
    <w:rsid w:val="000261D1"/>
    <w:rsid w:val="000262F0"/>
    <w:rsid w:val="000265A5"/>
    <w:rsid w:val="000265F4"/>
    <w:rsid w:val="000266E7"/>
    <w:rsid w:val="0002687E"/>
    <w:rsid w:val="00027226"/>
    <w:rsid w:val="000274B9"/>
    <w:rsid w:val="0002758B"/>
    <w:rsid w:val="000276A0"/>
    <w:rsid w:val="00030A46"/>
    <w:rsid w:val="00030F08"/>
    <w:rsid w:val="000320D3"/>
    <w:rsid w:val="00032476"/>
    <w:rsid w:val="0003257C"/>
    <w:rsid w:val="000330DB"/>
    <w:rsid w:val="0003339C"/>
    <w:rsid w:val="0003429F"/>
    <w:rsid w:val="0003562A"/>
    <w:rsid w:val="00035842"/>
    <w:rsid w:val="00036095"/>
    <w:rsid w:val="000367E0"/>
    <w:rsid w:val="00036AF4"/>
    <w:rsid w:val="0003731A"/>
    <w:rsid w:val="00037A5C"/>
    <w:rsid w:val="00037D3F"/>
    <w:rsid w:val="000413D8"/>
    <w:rsid w:val="00041C10"/>
    <w:rsid w:val="000423A1"/>
    <w:rsid w:val="00043804"/>
    <w:rsid w:val="00043CA0"/>
    <w:rsid w:val="0004400C"/>
    <w:rsid w:val="000441A1"/>
    <w:rsid w:val="00045FB0"/>
    <w:rsid w:val="00046023"/>
    <w:rsid w:val="000472F0"/>
    <w:rsid w:val="00050869"/>
    <w:rsid w:val="00050C01"/>
    <w:rsid w:val="00051E3C"/>
    <w:rsid w:val="00053957"/>
    <w:rsid w:val="00055596"/>
    <w:rsid w:val="000556DB"/>
    <w:rsid w:val="00055D06"/>
    <w:rsid w:val="00056014"/>
    <w:rsid w:val="000561C1"/>
    <w:rsid w:val="00056204"/>
    <w:rsid w:val="000569F7"/>
    <w:rsid w:val="0005701E"/>
    <w:rsid w:val="000570D1"/>
    <w:rsid w:val="000571A9"/>
    <w:rsid w:val="00060290"/>
    <w:rsid w:val="00060A42"/>
    <w:rsid w:val="00060FA5"/>
    <w:rsid w:val="000611AB"/>
    <w:rsid w:val="00062AC6"/>
    <w:rsid w:val="00062B6F"/>
    <w:rsid w:val="00063E24"/>
    <w:rsid w:val="000643D8"/>
    <w:rsid w:val="00066477"/>
    <w:rsid w:val="00066D32"/>
    <w:rsid w:val="00066D86"/>
    <w:rsid w:val="00067907"/>
    <w:rsid w:val="00067D82"/>
    <w:rsid w:val="00070924"/>
    <w:rsid w:val="00070B21"/>
    <w:rsid w:val="00072229"/>
    <w:rsid w:val="000728F8"/>
    <w:rsid w:val="00073CF1"/>
    <w:rsid w:val="00074BD0"/>
    <w:rsid w:val="00074D9A"/>
    <w:rsid w:val="00074DB9"/>
    <w:rsid w:val="00074F30"/>
    <w:rsid w:val="000753C4"/>
    <w:rsid w:val="00075D33"/>
    <w:rsid w:val="00075DF0"/>
    <w:rsid w:val="00076009"/>
    <w:rsid w:val="000762CA"/>
    <w:rsid w:val="0007679B"/>
    <w:rsid w:val="00076FD2"/>
    <w:rsid w:val="00077643"/>
    <w:rsid w:val="00077A62"/>
    <w:rsid w:val="00077C96"/>
    <w:rsid w:val="000803A4"/>
    <w:rsid w:val="000806E3"/>
    <w:rsid w:val="000827EA"/>
    <w:rsid w:val="0008339E"/>
    <w:rsid w:val="000833AB"/>
    <w:rsid w:val="000834ED"/>
    <w:rsid w:val="00083E4D"/>
    <w:rsid w:val="000846CD"/>
    <w:rsid w:val="00085862"/>
    <w:rsid w:val="00087A61"/>
    <w:rsid w:val="00090AD1"/>
    <w:rsid w:val="00090F4F"/>
    <w:rsid w:val="000913BE"/>
    <w:rsid w:val="00091476"/>
    <w:rsid w:val="00091984"/>
    <w:rsid w:val="00092216"/>
    <w:rsid w:val="00092879"/>
    <w:rsid w:val="000928E3"/>
    <w:rsid w:val="000929E4"/>
    <w:rsid w:val="00094E87"/>
    <w:rsid w:val="00095F36"/>
    <w:rsid w:val="00096006"/>
    <w:rsid w:val="00096066"/>
    <w:rsid w:val="0009742F"/>
    <w:rsid w:val="000977AC"/>
    <w:rsid w:val="0009796E"/>
    <w:rsid w:val="00097DC4"/>
    <w:rsid w:val="00097FB2"/>
    <w:rsid w:val="000A151D"/>
    <w:rsid w:val="000A1926"/>
    <w:rsid w:val="000A24C5"/>
    <w:rsid w:val="000A2967"/>
    <w:rsid w:val="000A2ABD"/>
    <w:rsid w:val="000A30A1"/>
    <w:rsid w:val="000A3A38"/>
    <w:rsid w:val="000A3F7F"/>
    <w:rsid w:val="000A47FD"/>
    <w:rsid w:val="000A481B"/>
    <w:rsid w:val="000A7192"/>
    <w:rsid w:val="000A74FA"/>
    <w:rsid w:val="000A7AC1"/>
    <w:rsid w:val="000B0228"/>
    <w:rsid w:val="000B0296"/>
    <w:rsid w:val="000B2E16"/>
    <w:rsid w:val="000B3907"/>
    <w:rsid w:val="000B3A13"/>
    <w:rsid w:val="000B3AF8"/>
    <w:rsid w:val="000B4296"/>
    <w:rsid w:val="000B4930"/>
    <w:rsid w:val="000B4BB2"/>
    <w:rsid w:val="000B4D14"/>
    <w:rsid w:val="000B4F71"/>
    <w:rsid w:val="000B51B0"/>
    <w:rsid w:val="000B6379"/>
    <w:rsid w:val="000B70AF"/>
    <w:rsid w:val="000C008C"/>
    <w:rsid w:val="000C12BE"/>
    <w:rsid w:val="000C1A23"/>
    <w:rsid w:val="000C1E9C"/>
    <w:rsid w:val="000C301C"/>
    <w:rsid w:val="000C44C5"/>
    <w:rsid w:val="000C4E54"/>
    <w:rsid w:val="000C5061"/>
    <w:rsid w:val="000C736C"/>
    <w:rsid w:val="000C76B0"/>
    <w:rsid w:val="000C7784"/>
    <w:rsid w:val="000C7BBE"/>
    <w:rsid w:val="000D00D2"/>
    <w:rsid w:val="000D1CDB"/>
    <w:rsid w:val="000D2475"/>
    <w:rsid w:val="000D2667"/>
    <w:rsid w:val="000D281C"/>
    <w:rsid w:val="000D3056"/>
    <w:rsid w:val="000D442C"/>
    <w:rsid w:val="000D46D0"/>
    <w:rsid w:val="000D49D6"/>
    <w:rsid w:val="000D4DC4"/>
    <w:rsid w:val="000D734C"/>
    <w:rsid w:val="000E140E"/>
    <w:rsid w:val="000E21E2"/>
    <w:rsid w:val="000E3561"/>
    <w:rsid w:val="000E55D6"/>
    <w:rsid w:val="000E612D"/>
    <w:rsid w:val="000E61D2"/>
    <w:rsid w:val="000E6AB1"/>
    <w:rsid w:val="000E6F26"/>
    <w:rsid w:val="000E745A"/>
    <w:rsid w:val="000E76BB"/>
    <w:rsid w:val="000E7E9E"/>
    <w:rsid w:val="000F0044"/>
    <w:rsid w:val="000F00F6"/>
    <w:rsid w:val="000F03CE"/>
    <w:rsid w:val="000F0628"/>
    <w:rsid w:val="000F0D61"/>
    <w:rsid w:val="000F0EC3"/>
    <w:rsid w:val="000F0EFD"/>
    <w:rsid w:val="000F5541"/>
    <w:rsid w:val="000F67B4"/>
    <w:rsid w:val="000F703B"/>
    <w:rsid w:val="000F72ED"/>
    <w:rsid w:val="000F7A4C"/>
    <w:rsid w:val="000F7F29"/>
    <w:rsid w:val="00100213"/>
    <w:rsid w:val="00101229"/>
    <w:rsid w:val="00101C5C"/>
    <w:rsid w:val="00102E04"/>
    <w:rsid w:val="00103698"/>
    <w:rsid w:val="00104772"/>
    <w:rsid w:val="001050F5"/>
    <w:rsid w:val="001055A2"/>
    <w:rsid w:val="00105E49"/>
    <w:rsid w:val="00106374"/>
    <w:rsid w:val="001063FC"/>
    <w:rsid w:val="001069D1"/>
    <w:rsid w:val="00106EF8"/>
    <w:rsid w:val="001079CD"/>
    <w:rsid w:val="001101A2"/>
    <w:rsid w:val="001107EF"/>
    <w:rsid w:val="00111489"/>
    <w:rsid w:val="00111792"/>
    <w:rsid w:val="00111797"/>
    <w:rsid w:val="00111B19"/>
    <w:rsid w:val="001131CB"/>
    <w:rsid w:val="0011499B"/>
    <w:rsid w:val="00114A64"/>
    <w:rsid w:val="00115546"/>
    <w:rsid w:val="00115D07"/>
    <w:rsid w:val="00115F59"/>
    <w:rsid w:val="00115F83"/>
    <w:rsid w:val="0011664B"/>
    <w:rsid w:val="00116AC4"/>
    <w:rsid w:val="00116C1A"/>
    <w:rsid w:val="001200C8"/>
    <w:rsid w:val="001201BD"/>
    <w:rsid w:val="00121554"/>
    <w:rsid w:val="00121F3E"/>
    <w:rsid w:val="0012229E"/>
    <w:rsid w:val="001226FC"/>
    <w:rsid w:val="00122B32"/>
    <w:rsid w:val="00123849"/>
    <w:rsid w:val="00123A5E"/>
    <w:rsid w:val="00125010"/>
    <w:rsid w:val="001251C8"/>
    <w:rsid w:val="00125266"/>
    <w:rsid w:val="001252C2"/>
    <w:rsid w:val="0012536E"/>
    <w:rsid w:val="00125B82"/>
    <w:rsid w:val="001302E0"/>
    <w:rsid w:val="0013056D"/>
    <w:rsid w:val="00130589"/>
    <w:rsid w:val="001305E6"/>
    <w:rsid w:val="00130D08"/>
    <w:rsid w:val="001315CD"/>
    <w:rsid w:val="0013239A"/>
    <w:rsid w:val="001324D2"/>
    <w:rsid w:val="00132D93"/>
    <w:rsid w:val="001334D3"/>
    <w:rsid w:val="00134E11"/>
    <w:rsid w:val="00135355"/>
    <w:rsid w:val="00135EA1"/>
    <w:rsid w:val="001371C8"/>
    <w:rsid w:val="0013761A"/>
    <w:rsid w:val="0014210B"/>
    <w:rsid w:val="00142224"/>
    <w:rsid w:val="001428A5"/>
    <w:rsid w:val="0014423A"/>
    <w:rsid w:val="00144FB2"/>
    <w:rsid w:val="00147042"/>
    <w:rsid w:val="001471A7"/>
    <w:rsid w:val="00147616"/>
    <w:rsid w:val="001506F6"/>
    <w:rsid w:val="001508E6"/>
    <w:rsid w:val="00150DEE"/>
    <w:rsid w:val="00150F61"/>
    <w:rsid w:val="00151267"/>
    <w:rsid w:val="00152A6F"/>
    <w:rsid w:val="00152F2D"/>
    <w:rsid w:val="0015300F"/>
    <w:rsid w:val="00153C44"/>
    <w:rsid w:val="00154032"/>
    <w:rsid w:val="001547D3"/>
    <w:rsid w:val="00155062"/>
    <w:rsid w:val="001551EC"/>
    <w:rsid w:val="0015594A"/>
    <w:rsid w:val="001559BD"/>
    <w:rsid w:val="00157F09"/>
    <w:rsid w:val="00157F79"/>
    <w:rsid w:val="001615FE"/>
    <w:rsid w:val="0016302D"/>
    <w:rsid w:val="0016368D"/>
    <w:rsid w:val="00163E84"/>
    <w:rsid w:val="00163F43"/>
    <w:rsid w:val="00165A12"/>
    <w:rsid w:val="00165A3B"/>
    <w:rsid w:val="001668AA"/>
    <w:rsid w:val="001671B1"/>
    <w:rsid w:val="001675B1"/>
    <w:rsid w:val="0016789D"/>
    <w:rsid w:val="00167C03"/>
    <w:rsid w:val="00167C87"/>
    <w:rsid w:val="00170AFB"/>
    <w:rsid w:val="00170D43"/>
    <w:rsid w:val="001717EE"/>
    <w:rsid w:val="001719DA"/>
    <w:rsid w:val="00171AC5"/>
    <w:rsid w:val="00171F01"/>
    <w:rsid w:val="00172EE3"/>
    <w:rsid w:val="00173E75"/>
    <w:rsid w:val="00174F19"/>
    <w:rsid w:val="00176D51"/>
    <w:rsid w:val="00177E7E"/>
    <w:rsid w:val="00180861"/>
    <w:rsid w:val="00180BB5"/>
    <w:rsid w:val="00180D48"/>
    <w:rsid w:val="00183229"/>
    <w:rsid w:val="0018356F"/>
    <w:rsid w:val="0018542E"/>
    <w:rsid w:val="001854FD"/>
    <w:rsid w:val="00185AD4"/>
    <w:rsid w:val="001865FA"/>
    <w:rsid w:val="001874A7"/>
    <w:rsid w:val="001876C5"/>
    <w:rsid w:val="00187D68"/>
    <w:rsid w:val="00190155"/>
    <w:rsid w:val="001906B5"/>
    <w:rsid w:val="00191188"/>
    <w:rsid w:val="001913A7"/>
    <w:rsid w:val="00192198"/>
    <w:rsid w:val="00192B00"/>
    <w:rsid w:val="001930F5"/>
    <w:rsid w:val="00193876"/>
    <w:rsid w:val="00194163"/>
    <w:rsid w:val="00194240"/>
    <w:rsid w:val="00194359"/>
    <w:rsid w:val="00194FEB"/>
    <w:rsid w:val="00194FEE"/>
    <w:rsid w:val="001970A4"/>
    <w:rsid w:val="00197AD1"/>
    <w:rsid w:val="001A0398"/>
    <w:rsid w:val="001A11F7"/>
    <w:rsid w:val="001A17DA"/>
    <w:rsid w:val="001A2C9E"/>
    <w:rsid w:val="001A52F2"/>
    <w:rsid w:val="001A6072"/>
    <w:rsid w:val="001A6DE3"/>
    <w:rsid w:val="001B0020"/>
    <w:rsid w:val="001B03EB"/>
    <w:rsid w:val="001B0674"/>
    <w:rsid w:val="001B092C"/>
    <w:rsid w:val="001B1B85"/>
    <w:rsid w:val="001B3DAD"/>
    <w:rsid w:val="001B3F87"/>
    <w:rsid w:val="001B4026"/>
    <w:rsid w:val="001B48FD"/>
    <w:rsid w:val="001B598C"/>
    <w:rsid w:val="001B6419"/>
    <w:rsid w:val="001B75AE"/>
    <w:rsid w:val="001B76A6"/>
    <w:rsid w:val="001C026F"/>
    <w:rsid w:val="001C07F8"/>
    <w:rsid w:val="001C1147"/>
    <w:rsid w:val="001C26F8"/>
    <w:rsid w:val="001C2D7D"/>
    <w:rsid w:val="001C2F59"/>
    <w:rsid w:val="001C5672"/>
    <w:rsid w:val="001C61E5"/>
    <w:rsid w:val="001C6C08"/>
    <w:rsid w:val="001C71F0"/>
    <w:rsid w:val="001C76EF"/>
    <w:rsid w:val="001D054D"/>
    <w:rsid w:val="001D0646"/>
    <w:rsid w:val="001D0E8F"/>
    <w:rsid w:val="001D10FB"/>
    <w:rsid w:val="001D1B55"/>
    <w:rsid w:val="001D1B9A"/>
    <w:rsid w:val="001D2056"/>
    <w:rsid w:val="001D205D"/>
    <w:rsid w:val="001D220F"/>
    <w:rsid w:val="001D23E7"/>
    <w:rsid w:val="001D28D2"/>
    <w:rsid w:val="001D2D33"/>
    <w:rsid w:val="001D3DFA"/>
    <w:rsid w:val="001D407B"/>
    <w:rsid w:val="001D42D1"/>
    <w:rsid w:val="001D4912"/>
    <w:rsid w:val="001D4C54"/>
    <w:rsid w:val="001D547F"/>
    <w:rsid w:val="001D5D49"/>
    <w:rsid w:val="001D5E7F"/>
    <w:rsid w:val="001D5F99"/>
    <w:rsid w:val="001D64E5"/>
    <w:rsid w:val="001D6EB8"/>
    <w:rsid w:val="001D7064"/>
    <w:rsid w:val="001E05BD"/>
    <w:rsid w:val="001E05EC"/>
    <w:rsid w:val="001E072B"/>
    <w:rsid w:val="001E103D"/>
    <w:rsid w:val="001E194F"/>
    <w:rsid w:val="001E19F8"/>
    <w:rsid w:val="001E2165"/>
    <w:rsid w:val="001E224E"/>
    <w:rsid w:val="001E4122"/>
    <w:rsid w:val="001E4809"/>
    <w:rsid w:val="001E4F4F"/>
    <w:rsid w:val="001E63CB"/>
    <w:rsid w:val="001E736B"/>
    <w:rsid w:val="001E75A3"/>
    <w:rsid w:val="001E7D89"/>
    <w:rsid w:val="001F06C7"/>
    <w:rsid w:val="001F1922"/>
    <w:rsid w:val="001F1BF9"/>
    <w:rsid w:val="001F27F4"/>
    <w:rsid w:val="001F3A9B"/>
    <w:rsid w:val="001F3DC0"/>
    <w:rsid w:val="001F4023"/>
    <w:rsid w:val="001F4A85"/>
    <w:rsid w:val="001F4C5A"/>
    <w:rsid w:val="001F4D96"/>
    <w:rsid w:val="001F4EA9"/>
    <w:rsid w:val="001F4F73"/>
    <w:rsid w:val="001F501A"/>
    <w:rsid w:val="001F50ED"/>
    <w:rsid w:val="001F6425"/>
    <w:rsid w:val="001F6772"/>
    <w:rsid w:val="001F7421"/>
    <w:rsid w:val="001F7727"/>
    <w:rsid w:val="00200195"/>
    <w:rsid w:val="002006E1"/>
    <w:rsid w:val="00200B5F"/>
    <w:rsid w:val="002010C6"/>
    <w:rsid w:val="00201586"/>
    <w:rsid w:val="00201EEF"/>
    <w:rsid w:val="00202476"/>
    <w:rsid w:val="0020266B"/>
    <w:rsid w:val="00202B58"/>
    <w:rsid w:val="00203B6E"/>
    <w:rsid w:val="002047C8"/>
    <w:rsid w:val="002052B3"/>
    <w:rsid w:val="00205453"/>
    <w:rsid w:val="0020575C"/>
    <w:rsid w:val="002058F9"/>
    <w:rsid w:val="002063A6"/>
    <w:rsid w:val="0020650A"/>
    <w:rsid w:val="002067DA"/>
    <w:rsid w:val="00206963"/>
    <w:rsid w:val="00207C87"/>
    <w:rsid w:val="00207F32"/>
    <w:rsid w:val="002114C4"/>
    <w:rsid w:val="002116A9"/>
    <w:rsid w:val="0021295C"/>
    <w:rsid w:val="00212B1F"/>
    <w:rsid w:val="00213340"/>
    <w:rsid w:val="00213D7C"/>
    <w:rsid w:val="002142EB"/>
    <w:rsid w:val="00214513"/>
    <w:rsid w:val="002155B7"/>
    <w:rsid w:val="00215A81"/>
    <w:rsid w:val="00215AA5"/>
    <w:rsid w:val="0021766A"/>
    <w:rsid w:val="00220C88"/>
    <w:rsid w:val="00220DA5"/>
    <w:rsid w:val="00220E1B"/>
    <w:rsid w:val="002225D3"/>
    <w:rsid w:val="00222A35"/>
    <w:rsid w:val="0022301D"/>
    <w:rsid w:val="00223634"/>
    <w:rsid w:val="002236F0"/>
    <w:rsid w:val="00223729"/>
    <w:rsid w:val="00224B2C"/>
    <w:rsid w:val="00224D46"/>
    <w:rsid w:val="002250E9"/>
    <w:rsid w:val="00225233"/>
    <w:rsid w:val="0022556D"/>
    <w:rsid w:val="002261F8"/>
    <w:rsid w:val="00226F3A"/>
    <w:rsid w:val="00226F5B"/>
    <w:rsid w:val="002272E2"/>
    <w:rsid w:val="002276D1"/>
    <w:rsid w:val="00227E55"/>
    <w:rsid w:val="00230900"/>
    <w:rsid w:val="002316EB"/>
    <w:rsid w:val="002320D1"/>
    <w:rsid w:val="00232AA0"/>
    <w:rsid w:val="00232EE0"/>
    <w:rsid w:val="00233D72"/>
    <w:rsid w:val="00233E4B"/>
    <w:rsid w:val="00234CDF"/>
    <w:rsid w:val="0023503B"/>
    <w:rsid w:val="002357C2"/>
    <w:rsid w:val="00236B91"/>
    <w:rsid w:val="00236BF6"/>
    <w:rsid w:val="00237992"/>
    <w:rsid w:val="00241648"/>
    <w:rsid w:val="00241AAD"/>
    <w:rsid w:val="002424C0"/>
    <w:rsid w:val="00242617"/>
    <w:rsid w:val="00242A9E"/>
    <w:rsid w:val="00242CAA"/>
    <w:rsid w:val="0024503B"/>
    <w:rsid w:val="00245175"/>
    <w:rsid w:val="0024520E"/>
    <w:rsid w:val="0024569A"/>
    <w:rsid w:val="0024573D"/>
    <w:rsid w:val="0024586D"/>
    <w:rsid w:val="00245D74"/>
    <w:rsid w:val="002461AC"/>
    <w:rsid w:val="00246BD1"/>
    <w:rsid w:val="00246D03"/>
    <w:rsid w:val="00246DDF"/>
    <w:rsid w:val="002477CA"/>
    <w:rsid w:val="00247D00"/>
    <w:rsid w:val="002504FF"/>
    <w:rsid w:val="00251E89"/>
    <w:rsid w:val="002571A4"/>
    <w:rsid w:val="002573CC"/>
    <w:rsid w:val="00257651"/>
    <w:rsid w:val="00260037"/>
    <w:rsid w:val="00260FAA"/>
    <w:rsid w:val="00262338"/>
    <w:rsid w:val="00263694"/>
    <w:rsid w:val="00263938"/>
    <w:rsid w:val="0026414C"/>
    <w:rsid w:val="002643A5"/>
    <w:rsid w:val="002646D7"/>
    <w:rsid w:val="00264990"/>
    <w:rsid w:val="00264D17"/>
    <w:rsid w:val="00264F62"/>
    <w:rsid w:val="00265536"/>
    <w:rsid w:val="00266A14"/>
    <w:rsid w:val="00266EE4"/>
    <w:rsid w:val="002671D7"/>
    <w:rsid w:val="00270988"/>
    <w:rsid w:val="0027259C"/>
    <w:rsid w:val="00272D40"/>
    <w:rsid w:val="00273543"/>
    <w:rsid w:val="00273560"/>
    <w:rsid w:val="002740A6"/>
    <w:rsid w:val="00274C82"/>
    <w:rsid w:val="00275063"/>
    <w:rsid w:val="0027654D"/>
    <w:rsid w:val="0027766A"/>
    <w:rsid w:val="00277799"/>
    <w:rsid w:val="002777E5"/>
    <w:rsid w:val="00277C98"/>
    <w:rsid w:val="00280C23"/>
    <w:rsid w:val="002810DF"/>
    <w:rsid w:val="002812AB"/>
    <w:rsid w:val="00281665"/>
    <w:rsid w:val="0028167A"/>
    <w:rsid w:val="002816D8"/>
    <w:rsid w:val="00281921"/>
    <w:rsid w:val="00281F8F"/>
    <w:rsid w:val="00282A8C"/>
    <w:rsid w:val="002838FC"/>
    <w:rsid w:val="00284EB8"/>
    <w:rsid w:val="00285464"/>
    <w:rsid w:val="002854EE"/>
    <w:rsid w:val="0028565C"/>
    <w:rsid w:val="00285C6B"/>
    <w:rsid w:val="00285E40"/>
    <w:rsid w:val="002874FB"/>
    <w:rsid w:val="002875DE"/>
    <w:rsid w:val="0028796E"/>
    <w:rsid w:val="00287E07"/>
    <w:rsid w:val="0029064D"/>
    <w:rsid w:val="00290AD5"/>
    <w:rsid w:val="00290EB3"/>
    <w:rsid w:val="0029230A"/>
    <w:rsid w:val="002927B0"/>
    <w:rsid w:val="00292846"/>
    <w:rsid w:val="00292A90"/>
    <w:rsid w:val="0029307A"/>
    <w:rsid w:val="002935BB"/>
    <w:rsid w:val="002944F4"/>
    <w:rsid w:val="00294829"/>
    <w:rsid w:val="00294F10"/>
    <w:rsid w:val="00295095"/>
    <w:rsid w:val="002971D6"/>
    <w:rsid w:val="002A030F"/>
    <w:rsid w:val="002A0523"/>
    <w:rsid w:val="002A14F9"/>
    <w:rsid w:val="002A2F08"/>
    <w:rsid w:val="002A335F"/>
    <w:rsid w:val="002A3641"/>
    <w:rsid w:val="002A495F"/>
    <w:rsid w:val="002A4CE1"/>
    <w:rsid w:val="002A58FE"/>
    <w:rsid w:val="002A59CB"/>
    <w:rsid w:val="002A5A7B"/>
    <w:rsid w:val="002A606C"/>
    <w:rsid w:val="002A6374"/>
    <w:rsid w:val="002A658A"/>
    <w:rsid w:val="002A68FB"/>
    <w:rsid w:val="002A706F"/>
    <w:rsid w:val="002A70EA"/>
    <w:rsid w:val="002A7363"/>
    <w:rsid w:val="002A7F43"/>
    <w:rsid w:val="002B365E"/>
    <w:rsid w:val="002B3D68"/>
    <w:rsid w:val="002B3E6C"/>
    <w:rsid w:val="002B42C2"/>
    <w:rsid w:val="002B489A"/>
    <w:rsid w:val="002B59EF"/>
    <w:rsid w:val="002B6341"/>
    <w:rsid w:val="002C031A"/>
    <w:rsid w:val="002C0526"/>
    <w:rsid w:val="002C0DA8"/>
    <w:rsid w:val="002C0DEB"/>
    <w:rsid w:val="002C1AE4"/>
    <w:rsid w:val="002C1F1B"/>
    <w:rsid w:val="002C27A8"/>
    <w:rsid w:val="002C333E"/>
    <w:rsid w:val="002C3365"/>
    <w:rsid w:val="002C36C8"/>
    <w:rsid w:val="002C386A"/>
    <w:rsid w:val="002C48E5"/>
    <w:rsid w:val="002C51A0"/>
    <w:rsid w:val="002C57E0"/>
    <w:rsid w:val="002C5886"/>
    <w:rsid w:val="002C6A0D"/>
    <w:rsid w:val="002C7971"/>
    <w:rsid w:val="002D0584"/>
    <w:rsid w:val="002D1A44"/>
    <w:rsid w:val="002D2E2A"/>
    <w:rsid w:val="002D3E34"/>
    <w:rsid w:val="002D4274"/>
    <w:rsid w:val="002D4558"/>
    <w:rsid w:val="002D4F19"/>
    <w:rsid w:val="002D5041"/>
    <w:rsid w:val="002D5295"/>
    <w:rsid w:val="002D52BF"/>
    <w:rsid w:val="002D54EE"/>
    <w:rsid w:val="002D6630"/>
    <w:rsid w:val="002D68FA"/>
    <w:rsid w:val="002D7ECA"/>
    <w:rsid w:val="002E0141"/>
    <w:rsid w:val="002E0B5D"/>
    <w:rsid w:val="002E0B76"/>
    <w:rsid w:val="002E1495"/>
    <w:rsid w:val="002E1C26"/>
    <w:rsid w:val="002E2466"/>
    <w:rsid w:val="002E2900"/>
    <w:rsid w:val="002E301B"/>
    <w:rsid w:val="002E3C0D"/>
    <w:rsid w:val="002E43EC"/>
    <w:rsid w:val="002E4883"/>
    <w:rsid w:val="002E4CF6"/>
    <w:rsid w:val="002E5B3C"/>
    <w:rsid w:val="002E5EC3"/>
    <w:rsid w:val="002E7A79"/>
    <w:rsid w:val="002F015A"/>
    <w:rsid w:val="002F1D9E"/>
    <w:rsid w:val="002F2AA1"/>
    <w:rsid w:val="002F2C6E"/>
    <w:rsid w:val="002F3893"/>
    <w:rsid w:val="002F3C88"/>
    <w:rsid w:val="002F4067"/>
    <w:rsid w:val="002F47EB"/>
    <w:rsid w:val="002F487F"/>
    <w:rsid w:val="002F5AEC"/>
    <w:rsid w:val="002F6011"/>
    <w:rsid w:val="002F655A"/>
    <w:rsid w:val="002F71F4"/>
    <w:rsid w:val="002F7339"/>
    <w:rsid w:val="002F7461"/>
    <w:rsid w:val="002F7AFB"/>
    <w:rsid w:val="003025E2"/>
    <w:rsid w:val="00303570"/>
    <w:rsid w:val="003036ED"/>
    <w:rsid w:val="00303CB0"/>
    <w:rsid w:val="0030507E"/>
    <w:rsid w:val="003060AE"/>
    <w:rsid w:val="003061AC"/>
    <w:rsid w:val="00306D24"/>
    <w:rsid w:val="00307712"/>
    <w:rsid w:val="0031063A"/>
    <w:rsid w:val="0031121C"/>
    <w:rsid w:val="00311478"/>
    <w:rsid w:val="00311577"/>
    <w:rsid w:val="00312672"/>
    <w:rsid w:val="003139A2"/>
    <w:rsid w:val="0031404A"/>
    <w:rsid w:val="003146F6"/>
    <w:rsid w:val="00314B7C"/>
    <w:rsid w:val="00314B9E"/>
    <w:rsid w:val="00314E49"/>
    <w:rsid w:val="00315445"/>
    <w:rsid w:val="00316993"/>
    <w:rsid w:val="00317141"/>
    <w:rsid w:val="00317183"/>
    <w:rsid w:val="00317C48"/>
    <w:rsid w:val="003204AE"/>
    <w:rsid w:val="003208EF"/>
    <w:rsid w:val="00320B4A"/>
    <w:rsid w:val="003225D4"/>
    <w:rsid w:val="00323D35"/>
    <w:rsid w:val="00324846"/>
    <w:rsid w:val="00324ABD"/>
    <w:rsid w:val="00324D9B"/>
    <w:rsid w:val="003253CA"/>
    <w:rsid w:val="00325D84"/>
    <w:rsid w:val="00325E1B"/>
    <w:rsid w:val="00326C6C"/>
    <w:rsid w:val="003272A6"/>
    <w:rsid w:val="003272F6"/>
    <w:rsid w:val="003273CB"/>
    <w:rsid w:val="00330879"/>
    <w:rsid w:val="00330EDE"/>
    <w:rsid w:val="0033125E"/>
    <w:rsid w:val="003319DA"/>
    <w:rsid w:val="00332ED2"/>
    <w:rsid w:val="0033325E"/>
    <w:rsid w:val="003336AC"/>
    <w:rsid w:val="00333EB0"/>
    <w:rsid w:val="003355DC"/>
    <w:rsid w:val="00335C99"/>
    <w:rsid w:val="00336913"/>
    <w:rsid w:val="0033718C"/>
    <w:rsid w:val="00337407"/>
    <w:rsid w:val="00337BB8"/>
    <w:rsid w:val="003408FD"/>
    <w:rsid w:val="00340B15"/>
    <w:rsid w:val="00340E02"/>
    <w:rsid w:val="00341F33"/>
    <w:rsid w:val="00342110"/>
    <w:rsid w:val="00342E94"/>
    <w:rsid w:val="00343095"/>
    <w:rsid w:val="00343341"/>
    <w:rsid w:val="003433F0"/>
    <w:rsid w:val="00343E6E"/>
    <w:rsid w:val="00343E9A"/>
    <w:rsid w:val="003450C8"/>
    <w:rsid w:val="00345BA7"/>
    <w:rsid w:val="00345E98"/>
    <w:rsid w:val="0034782B"/>
    <w:rsid w:val="00350057"/>
    <w:rsid w:val="00350154"/>
    <w:rsid w:val="003517BF"/>
    <w:rsid w:val="00351E51"/>
    <w:rsid w:val="00351E5C"/>
    <w:rsid w:val="00351F5A"/>
    <w:rsid w:val="00352690"/>
    <w:rsid w:val="003527D9"/>
    <w:rsid w:val="003527E9"/>
    <w:rsid w:val="0035387A"/>
    <w:rsid w:val="003538F7"/>
    <w:rsid w:val="0035580F"/>
    <w:rsid w:val="00356A07"/>
    <w:rsid w:val="00356EA9"/>
    <w:rsid w:val="003578FF"/>
    <w:rsid w:val="00357CB4"/>
    <w:rsid w:val="003602EB"/>
    <w:rsid w:val="003604EE"/>
    <w:rsid w:val="00361D9F"/>
    <w:rsid w:val="0036286B"/>
    <w:rsid w:val="00363371"/>
    <w:rsid w:val="00364989"/>
    <w:rsid w:val="00365A0D"/>
    <w:rsid w:val="003660E5"/>
    <w:rsid w:val="003661FA"/>
    <w:rsid w:val="003664C0"/>
    <w:rsid w:val="00366769"/>
    <w:rsid w:val="0036779E"/>
    <w:rsid w:val="00367A28"/>
    <w:rsid w:val="00367E04"/>
    <w:rsid w:val="003701BE"/>
    <w:rsid w:val="0037148A"/>
    <w:rsid w:val="00373142"/>
    <w:rsid w:val="003739CE"/>
    <w:rsid w:val="00373A52"/>
    <w:rsid w:val="00374455"/>
    <w:rsid w:val="0037561F"/>
    <w:rsid w:val="003756ED"/>
    <w:rsid w:val="003761F2"/>
    <w:rsid w:val="00376A05"/>
    <w:rsid w:val="003771A6"/>
    <w:rsid w:val="003774FE"/>
    <w:rsid w:val="003806E8"/>
    <w:rsid w:val="00382A0B"/>
    <w:rsid w:val="00386CEA"/>
    <w:rsid w:val="003875F8"/>
    <w:rsid w:val="003878AB"/>
    <w:rsid w:val="00387BB5"/>
    <w:rsid w:val="0039028C"/>
    <w:rsid w:val="00390E30"/>
    <w:rsid w:val="00392823"/>
    <w:rsid w:val="00392A17"/>
    <w:rsid w:val="00393072"/>
    <w:rsid w:val="003938AC"/>
    <w:rsid w:val="00393948"/>
    <w:rsid w:val="00393ABE"/>
    <w:rsid w:val="00393D95"/>
    <w:rsid w:val="0039458D"/>
    <w:rsid w:val="003948D9"/>
    <w:rsid w:val="00394D61"/>
    <w:rsid w:val="00395201"/>
    <w:rsid w:val="00395DAE"/>
    <w:rsid w:val="00396CAF"/>
    <w:rsid w:val="00397477"/>
    <w:rsid w:val="003A002F"/>
    <w:rsid w:val="003A05FC"/>
    <w:rsid w:val="003A0E2D"/>
    <w:rsid w:val="003A1BD1"/>
    <w:rsid w:val="003A1F5A"/>
    <w:rsid w:val="003A20C4"/>
    <w:rsid w:val="003A2ECE"/>
    <w:rsid w:val="003A39E0"/>
    <w:rsid w:val="003A4252"/>
    <w:rsid w:val="003A5044"/>
    <w:rsid w:val="003A51D9"/>
    <w:rsid w:val="003A539A"/>
    <w:rsid w:val="003A548A"/>
    <w:rsid w:val="003A62A4"/>
    <w:rsid w:val="003A7476"/>
    <w:rsid w:val="003A7D86"/>
    <w:rsid w:val="003B0213"/>
    <w:rsid w:val="003B0AA1"/>
    <w:rsid w:val="003B0CB2"/>
    <w:rsid w:val="003B243D"/>
    <w:rsid w:val="003B265A"/>
    <w:rsid w:val="003B304F"/>
    <w:rsid w:val="003B3451"/>
    <w:rsid w:val="003B405D"/>
    <w:rsid w:val="003B5C91"/>
    <w:rsid w:val="003B5D18"/>
    <w:rsid w:val="003B795D"/>
    <w:rsid w:val="003B7968"/>
    <w:rsid w:val="003C11BE"/>
    <w:rsid w:val="003C146B"/>
    <w:rsid w:val="003C1640"/>
    <w:rsid w:val="003C1FF7"/>
    <w:rsid w:val="003C26A6"/>
    <w:rsid w:val="003C26C1"/>
    <w:rsid w:val="003C3080"/>
    <w:rsid w:val="003C34F2"/>
    <w:rsid w:val="003C3729"/>
    <w:rsid w:val="003C3AFE"/>
    <w:rsid w:val="003C5C11"/>
    <w:rsid w:val="003C64CA"/>
    <w:rsid w:val="003C6A5A"/>
    <w:rsid w:val="003C6AAD"/>
    <w:rsid w:val="003C76E4"/>
    <w:rsid w:val="003C7FD0"/>
    <w:rsid w:val="003D0E7B"/>
    <w:rsid w:val="003D1D4D"/>
    <w:rsid w:val="003D2D68"/>
    <w:rsid w:val="003D328C"/>
    <w:rsid w:val="003D365D"/>
    <w:rsid w:val="003D3682"/>
    <w:rsid w:val="003D37DD"/>
    <w:rsid w:val="003D4227"/>
    <w:rsid w:val="003D45DF"/>
    <w:rsid w:val="003D47C6"/>
    <w:rsid w:val="003D4A77"/>
    <w:rsid w:val="003D502C"/>
    <w:rsid w:val="003D533E"/>
    <w:rsid w:val="003D7E38"/>
    <w:rsid w:val="003D7EAC"/>
    <w:rsid w:val="003E02A5"/>
    <w:rsid w:val="003E1AFA"/>
    <w:rsid w:val="003E209D"/>
    <w:rsid w:val="003E2624"/>
    <w:rsid w:val="003E375F"/>
    <w:rsid w:val="003E379A"/>
    <w:rsid w:val="003E4670"/>
    <w:rsid w:val="003E4903"/>
    <w:rsid w:val="003E4D74"/>
    <w:rsid w:val="003E52B0"/>
    <w:rsid w:val="003E64DC"/>
    <w:rsid w:val="003E6E47"/>
    <w:rsid w:val="003E7A43"/>
    <w:rsid w:val="003F0B58"/>
    <w:rsid w:val="003F0D40"/>
    <w:rsid w:val="003F18C3"/>
    <w:rsid w:val="003F2236"/>
    <w:rsid w:val="003F27B7"/>
    <w:rsid w:val="003F2ABB"/>
    <w:rsid w:val="003F4051"/>
    <w:rsid w:val="003F436E"/>
    <w:rsid w:val="003F504E"/>
    <w:rsid w:val="003F5812"/>
    <w:rsid w:val="003F5892"/>
    <w:rsid w:val="003F625A"/>
    <w:rsid w:val="003F6AA4"/>
    <w:rsid w:val="003F6EA1"/>
    <w:rsid w:val="003F710E"/>
    <w:rsid w:val="004001A8"/>
    <w:rsid w:val="00400808"/>
    <w:rsid w:val="00400E4A"/>
    <w:rsid w:val="004012B9"/>
    <w:rsid w:val="00401AB3"/>
    <w:rsid w:val="004028E7"/>
    <w:rsid w:val="00402E9A"/>
    <w:rsid w:val="00403064"/>
    <w:rsid w:val="00403A51"/>
    <w:rsid w:val="00403FA8"/>
    <w:rsid w:val="00403FE0"/>
    <w:rsid w:val="00404040"/>
    <w:rsid w:val="00404213"/>
    <w:rsid w:val="004045F1"/>
    <w:rsid w:val="004048AC"/>
    <w:rsid w:val="00404B8E"/>
    <w:rsid w:val="004057D2"/>
    <w:rsid w:val="004068C2"/>
    <w:rsid w:val="00406E61"/>
    <w:rsid w:val="004074F8"/>
    <w:rsid w:val="00407DD6"/>
    <w:rsid w:val="004108C9"/>
    <w:rsid w:val="004108EF"/>
    <w:rsid w:val="00411F14"/>
    <w:rsid w:val="00412559"/>
    <w:rsid w:val="00412FF8"/>
    <w:rsid w:val="00413156"/>
    <w:rsid w:val="004133E1"/>
    <w:rsid w:val="00413EDE"/>
    <w:rsid w:val="004145F0"/>
    <w:rsid w:val="00415356"/>
    <w:rsid w:val="00415C85"/>
    <w:rsid w:val="00415E7F"/>
    <w:rsid w:val="004173E2"/>
    <w:rsid w:val="004177F7"/>
    <w:rsid w:val="00420288"/>
    <w:rsid w:val="004204FE"/>
    <w:rsid w:val="00420821"/>
    <w:rsid w:val="00421608"/>
    <w:rsid w:val="00421982"/>
    <w:rsid w:val="00421C78"/>
    <w:rsid w:val="00421F45"/>
    <w:rsid w:val="004224CE"/>
    <w:rsid w:val="00423766"/>
    <w:rsid w:val="00423A1F"/>
    <w:rsid w:val="00423D5E"/>
    <w:rsid w:val="00424A78"/>
    <w:rsid w:val="004254DB"/>
    <w:rsid w:val="0042667E"/>
    <w:rsid w:val="00427EEA"/>
    <w:rsid w:val="004309C1"/>
    <w:rsid w:val="0043148B"/>
    <w:rsid w:val="00431836"/>
    <w:rsid w:val="004321E6"/>
    <w:rsid w:val="0043227C"/>
    <w:rsid w:val="0043278E"/>
    <w:rsid w:val="00432E4B"/>
    <w:rsid w:val="004332A4"/>
    <w:rsid w:val="004360AC"/>
    <w:rsid w:val="0043669F"/>
    <w:rsid w:val="00436B83"/>
    <w:rsid w:val="00437B8F"/>
    <w:rsid w:val="00441061"/>
    <w:rsid w:val="00441BA8"/>
    <w:rsid w:val="00443770"/>
    <w:rsid w:val="00443CFE"/>
    <w:rsid w:val="00444069"/>
    <w:rsid w:val="00444978"/>
    <w:rsid w:val="0044560C"/>
    <w:rsid w:val="00445E18"/>
    <w:rsid w:val="00447C05"/>
    <w:rsid w:val="004501C9"/>
    <w:rsid w:val="00450C70"/>
    <w:rsid w:val="00452288"/>
    <w:rsid w:val="004528CB"/>
    <w:rsid w:val="00453344"/>
    <w:rsid w:val="004534B2"/>
    <w:rsid w:val="00453A23"/>
    <w:rsid w:val="004542A2"/>
    <w:rsid w:val="00454854"/>
    <w:rsid w:val="00454E76"/>
    <w:rsid w:val="004554DD"/>
    <w:rsid w:val="0045574A"/>
    <w:rsid w:val="00457080"/>
    <w:rsid w:val="00457CB1"/>
    <w:rsid w:val="00460891"/>
    <w:rsid w:val="004626CE"/>
    <w:rsid w:val="00463DA1"/>
    <w:rsid w:val="004640C5"/>
    <w:rsid w:val="00464323"/>
    <w:rsid w:val="004643D8"/>
    <w:rsid w:val="0046468A"/>
    <w:rsid w:val="00464FB2"/>
    <w:rsid w:val="004662A8"/>
    <w:rsid w:val="00466750"/>
    <w:rsid w:val="00466A82"/>
    <w:rsid w:val="00466CDC"/>
    <w:rsid w:val="00466D3C"/>
    <w:rsid w:val="0046745E"/>
    <w:rsid w:val="00467E4D"/>
    <w:rsid w:val="0047003E"/>
    <w:rsid w:val="00471821"/>
    <w:rsid w:val="00471B5D"/>
    <w:rsid w:val="004725ED"/>
    <w:rsid w:val="004736BE"/>
    <w:rsid w:val="00473B8D"/>
    <w:rsid w:val="00474DF9"/>
    <w:rsid w:val="0047556D"/>
    <w:rsid w:val="00475789"/>
    <w:rsid w:val="004759F1"/>
    <w:rsid w:val="00475BB5"/>
    <w:rsid w:val="00476170"/>
    <w:rsid w:val="00476212"/>
    <w:rsid w:val="00476784"/>
    <w:rsid w:val="00477102"/>
    <w:rsid w:val="004801D4"/>
    <w:rsid w:val="00480284"/>
    <w:rsid w:val="004806F2"/>
    <w:rsid w:val="004820B0"/>
    <w:rsid w:val="00482117"/>
    <w:rsid w:val="00482E2F"/>
    <w:rsid w:val="004830BB"/>
    <w:rsid w:val="00484501"/>
    <w:rsid w:val="00484B99"/>
    <w:rsid w:val="00484BE0"/>
    <w:rsid w:val="00485821"/>
    <w:rsid w:val="004859B4"/>
    <w:rsid w:val="00485D28"/>
    <w:rsid w:val="00486ACD"/>
    <w:rsid w:val="00487081"/>
    <w:rsid w:val="004878C9"/>
    <w:rsid w:val="004908B3"/>
    <w:rsid w:val="00490B8D"/>
    <w:rsid w:val="004914DF"/>
    <w:rsid w:val="00491767"/>
    <w:rsid w:val="0049255A"/>
    <w:rsid w:val="00492C65"/>
    <w:rsid w:val="00492D33"/>
    <w:rsid w:val="0049403F"/>
    <w:rsid w:val="00494323"/>
    <w:rsid w:val="00494349"/>
    <w:rsid w:val="00494485"/>
    <w:rsid w:val="0049514A"/>
    <w:rsid w:val="004953B9"/>
    <w:rsid w:val="0049682B"/>
    <w:rsid w:val="0049762B"/>
    <w:rsid w:val="004A0BFF"/>
    <w:rsid w:val="004A0F27"/>
    <w:rsid w:val="004A0F37"/>
    <w:rsid w:val="004A0F68"/>
    <w:rsid w:val="004A35F5"/>
    <w:rsid w:val="004A3608"/>
    <w:rsid w:val="004A47CD"/>
    <w:rsid w:val="004A4FBD"/>
    <w:rsid w:val="004A578C"/>
    <w:rsid w:val="004A644F"/>
    <w:rsid w:val="004A6981"/>
    <w:rsid w:val="004A6C01"/>
    <w:rsid w:val="004A76FF"/>
    <w:rsid w:val="004A7810"/>
    <w:rsid w:val="004A7E93"/>
    <w:rsid w:val="004B021E"/>
    <w:rsid w:val="004B071C"/>
    <w:rsid w:val="004B0BC5"/>
    <w:rsid w:val="004B1BB4"/>
    <w:rsid w:val="004B268F"/>
    <w:rsid w:val="004B3CFB"/>
    <w:rsid w:val="004B5C5A"/>
    <w:rsid w:val="004B5D6B"/>
    <w:rsid w:val="004B65E4"/>
    <w:rsid w:val="004B6E32"/>
    <w:rsid w:val="004B6E79"/>
    <w:rsid w:val="004B76F8"/>
    <w:rsid w:val="004C0614"/>
    <w:rsid w:val="004C075A"/>
    <w:rsid w:val="004C1497"/>
    <w:rsid w:val="004C1DB3"/>
    <w:rsid w:val="004C1FA6"/>
    <w:rsid w:val="004C2869"/>
    <w:rsid w:val="004C287F"/>
    <w:rsid w:val="004C3347"/>
    <w:rsid w:val="004C33A2"/>
    <w:rsid w:val="004C4923"/>
    <w:rsid w:val="004C5CFD"/>
    <w:rsid w:val="004C643B"/>
    <w:rsid w:val="004C710D"/>
    <w:rsid w:val="004C741B"/>
    <w:rsid w:val="004C7A3D"/>
    <w:rsid w:val="004D12C0"/>
    <w:rsid w:val="004D18EA"/>
    <w:rsid w:val="004D2B29"/>
    <w:rsid w:val="004D3713"/>
    <w:rsid w:val="004D3A25"/>
    <w:rsid w:val="004D3DDD"/>
    <w:rsid w:val="004D3DFB"/>
    <w:rsid w:val="004D6254"/>
    <w:rsid w:val="004D70FD"/>
    <w:rsid w:val="004D7C94"/>
    <w:rsid w:val="004D7E99"/>
    <w:rsid w:val="004E00CE"/>
    <w:rsid w:val="004E01D1"/>
    <w:rsid w:val="004E2BDB"/>
    <w:rsid w:val="004E2E14"/>
    <w:rsid w:val="004E2E54"/>
    <w:rsid w:val="004E307B"/>
    <w:rsid w:val="004E32D4"/>
    <w:rsid w:val="004E4637"/>
    <w:rsid w:val="004E4A44"/>
    <w:rsid w:val="004E561D"/>
    <w:rsid w:val="004E60B0"/>
    <w:rsid w:val="004E6C9F"/>
    <w:rsid w:val="004E749F"/>
    <w:rsid w:val="004E7824"/>
    <w:rsid w:val="004F0966"/>
    <w:rsid w:val="004F0AC6"/>
    <w:rsid w:val="004F0ECB"/>
    <w:rsid w:val="004F11F3"/>
    <w:rsid w:val="004F17DF"/>
    <w:rsid w:val="004F431E"/>
    <w:rsid w:val="004F4957"/>
    <w:rsid w:val="004F4BDA"/>
    <w:rsid w:val="004F4FB3"/>
    <w:rsid w:val="004F50AF"/>
    <w:rsid w:val="004F6213"/>
    <w:rsid w:val="004F6240"/>
    <w:rsid w:val="004F681D"/>
    <w:rsid w:val="004F6B54"/>
    <w:rsid w:val="004F6E14"/>
    <w:rsid w:val="004F7FD0"/>
    <w:rsid w:val="00501412"/>
    <w:rsid w:val="005015B3"/>
    <w:rsid w:val="0050228C"/>
    <w:rsid w:val="00502857"/>
    <w:rsid w:val="00502970"/>
    <w:rsid w:val="00503F09"/>
    <w:rsid w:val="005044A9"/>
    <w:rsid w:val="005047DF"/>
    <w:rsid w:val="00504BFB"/>
    <w:rsid w:val="00504F68"/>
    <w:rsid w:val="005054DC"/>
    <w:rsid w:val="00505994"/>
    <w:rsid w:val="00505FD4"/>
    <w:rsid w:val="005062F0"/>
    <w:rsid w:val="00506A7A"/>
    <w:rsid w:val="00506E25"/>
    <w:rsid w:val="0050783D"/>
    <w:rsid w:val="00507AF5"/>
    <w:rsid w:val="0051132C"/>
    <w:rsid w:val="005119D0"/>
    <w:rsid w:val="0051281E"/>
    <w:rsid w:val="00512FD9"/>
    <w:rsid w:val="00513483"/>
    <w:rsid w:val="00513546"/>
    <w:rsid w:val="00514A55"/>
    <w:rsid w:val="00514AFF"/>
    <w:rsid w:val="00514E8C"/>
    <w:rsid w:val="00514EF5"/>
    <w:rsid w:val="00516260"/>
    <w:rsid w:val="0051782D"/>
    <w:rsid w:val="0052087E"/>
    <w:rsid w:val="0052315E"/>
    <w:rsid w:val="00523B73"/>
    <w:rsid w:val="005240A0"/>
    <w:rsid w:val="005250B5"/>
    <w:rsid w:val="00526F9B"/>
    <w:rsid w:val="005271FA"/>
    <w:rsid w:val="00527EC5"/>
    <w:rsid w:val="0053038A"/>
    <w:rsid w:val="00530ED3"/>
    <w:rsid w:val="0053251B"/>
    <w:rsid w:val="00532D58"/>
    <w:rsid w:val="005331FF"/>
    <w:rsid w:val="005334D8"/>
    <w:rsid w:val="00533D2D"/>
    <w:rsid w:val="0053438E"/>
    <w:rsid w:val="005343E5"/>
    <w:rsid w:val="005346B7"/>
    <w:rsid w:val="00535092"/>
    <w:rsid w:val="005355EE"/>
    <w:rsid w:val="00535B16"/>
    <w:rsid w:val="00536521"/>
    <w:rsid w:val="005365CF"/>
    <w:rsid w:val="005366D0"/>
    <w:rsid w:val="00536E7E"/>
    <w:rsid w:val="00537143"/>
    <w:rsid w:val="00537E27"/>
    <w:rsid w:val="00540B4D"/>
    <w:rsid w:val="00540FFA"/>
    <w:rsid w:val="005412B4"/>
    <w:rsid w:val="005419BB"/>
    <w:rsid w:val="00542930"/>
    <w:rsid w:val="005429E5"/>
    <w:rsid w:val="005435B3"/>
    <w:rsid w:val="00544CDA"/>
    <w:rsid w:val="00545568"/>
    <w:rsid w:val="00545BA8"/>
    <w:rsid w:val="00546298"/>
    <w:rsid w:val="00547094"/>
    <w:rsid w:val="00547488"/>
    <w:rsid w:val="00547527"/>
    <w:rsid w:val="00547CB2"/>
    <w:rsid w:val="00550849"/>
    <w:rsid w:val="00550866"/>
    <w:rsid w:val="00552C65"/>
    <w:rsid w:val="00553116"/>
    <w:rsid w:val="00554068"/>
    <w:rsid w:val="00554BF3"/>
    <w:rsid w:val="00555535"/>
    <w:rsid w:val="0055655F"/>
    <w:rsid w:val="0055657D"/>
    <w:rsid w:val="00556F52"/>
    <w:rsid w:val="005579B9"/>
    <w:rsid w:val="00560361"/>
    <w:rsid w:val="00560C0A"/>
    <w:rsid w:val="00560D0D"/>
    <w:rsid w:val="00560F78"/>
    <w:rsid w:val="005610FC"/>
    <w:rsid w:val="00561E52"/>
    <w:rsid w:val="005626A2"/>
    <w:rsid w:val="005632F1"/>
    <w:rsid w:val="0056363B"/>
    <w:rsid w:val="00563775"/>
    <w:rsid w:val="00564288"/>
    <w:rsid w:val="005644AD"/>
    <w:rsid w:val="00564D12"/>
    <w:rsid w:val="00565FB1"/>
    <w:rsid w:val="005662FB"/>
    <w:rsid w:val="00567127"/>
    <w:rsid w:val="00567781"/>
    <w:rsid w:val="00567ECC"/>
    <w:rsid w:val="0057019C"/>
    <w:rsid w:val="005713B1"/>
    <w:rsid w:val="0057140B"/>
    <w:rsid w:val="00572C6D"/>
    <w:rsid w:val="00573478"/>
    <w:rsid w:val="0057363E"/>
    <w:rsid w:val="00573B0E"/>
    <w:rsid w:val="005743E4"/>
    <w:rsid w:val="00575185"/>
    <w:rsid w:val="0057624B"/>
    <w:rsid w:val="0057644D"/>
    <w:rsid w:val="0057649A"/>
    <w:rsid w:val="00576C1E"/>
    <w:rsid w:val="0058027F"/>
    <w:rsid w:val="00580820"/>
    <w:rsid w:val="0058121C"/>
    <w:rsid w:val="0058129C"/>
    <w:rsid w:val="005813EC"/>
    <w:rsid w:val="00582123"/>
    <w:rsid w:val="00582E92"/>
    <w:rsid w:val="00583090"/>
    <w:rsid w:val="005835F4"/>
    <w:rsid w:val="00583EFE"/>
    <w:rsid w:val="00584076"/>
    <w:rsid w:val="005840E1"/>
    <w:rsid w:val="005841A3"/>
    <w:rsid w:val="005866CA"/>
    <w:rsid w:val="00586D9A"/>
    <w:rsid w:val="00587E22"/>
    <w:rsid w:val="00590173"/>
    <w:rsid w:val="00590EAE"/>
    <w:rsid w:val="0059112A"/>
    <w:rsid w:val="0059116B"/>
    <w:rsid w:val="00591A3C"/>
    <w:rsid w:val="00591B65"/>
    <w:rsid w:val="00592A14"/>
    <w:rsid w:val="00593216"/>
    <w:rsid w:val="005935A5"/>
    <w:rsid w:val="00594BC3"/>
    <w:rsid w:val="00595DA9"/>
    <w:rsid w:val="00596360"/>
    <w:rsid w:val="00596829"/>
    <w:rsid w:val="00596CA7"/>
    <w:rsid w:val="00596DC8"/>
    <w:rsid w:val="00596E16"/>
    <w:rsid w:val="00596EC4"/>
    <w:rsid w:val="0059768B"/>
    <w:rsid w:val="00597753"/>
    <w:rsid w:val="00597A78"/>
    <w:rsid w:val="00597DC7"/>
    <w:rsid w:val="00597E02"/>
    <w:rsid w:val="005A0E8A"/>
    <w:rsid w:val="005A16A3"/>
    <w:rsid w:val="005A1C48"/>
    <w:rsid w:val="005A253A"/>
    <w:rsid w:val="005A2A19"/>
    <w:rsid w:val="005A2AD8"/>
    <w:rsid w:val="005A3152"/>
    <w:rsid w:val="005A40AF"/>
    <w:rsid w:val="005A4844"/>
    <w:rsid w:val="005A64BF"/>
    <w:rsid w:val="005A6F61"/>
    <w:rsid w:val="005A7CF2"/>
    <w:rsid w:val="005A7D3A"/>
    <w:rsid w:val="005B0565"/>
    <w:rsid w:val="005B1CC8"/>
    <w:rsid w:val="005B26D3"/>
    <w:rsid w:val="005B2DAF"/>
    <w:rsid w:val="005B3A1D"/>
    <w:rsid w:val="005B3A7C"/>
    <w:rsid w:val="005B440D"/>
    <w:rsid w:val="005B4421"/>
    <w:rsid w:val="005B4B55"/>
    <w:rsid w:val="005B4F82"/>
    <w:rsid w:val="005B513F"/>
    <w:rsid w:val="005B5336"/>
    <w:rsid w:val="005B62EF"/>
    <w:rsid w:val="005B7163"/>
    <w:rsid w:val="005B7483"/>
    <w:rsid w:val="005B7929"/>
    <w:rsid w:val="005C0643"/>
    <w:rsid w:val="005C0AE3"/>
    <w:rsid w:val="005C170E"/>
    <w:rsid w:val="005C23AF"/>
    <w:rsid w:val="005C25D1"/>
    <w:rsid w:val="005C344D"/>
    <w:rsid w:val="005C35A9"/>
    <w:rsid w:val="005C4641"/>
    <w:rsid w:val="005C464B"/>
    <w:rsid w:val="005C497C"/>
    <w:rsid w:val="005C4D8F"/>
    <w:rsid w:val="005C4E5F"/>
    <w:rsid w:val="005C5581"/>
    <w:rsid w:val="005C6357"/>
    <w:rsid w:val="005C6DD4"/>
    <w:rsid w:val="005C74A0"/>
    <w:rsid w:val="005C75CF"/>
    <w:rsid w:val="005C78BA"/>
    <w:rsid w:val="005C7D54"/>
    <w:rsid w:val="005D052C"/>
    <w:rsid w:val="005D16FE"/>
    <w:rsid w:val="005D1E69"/>
    <w:rsid w:val="005D1FE1"/>
    <w:rsid w:val="005D26C1"/>
    <w:rsid w:val="005D2786"/>
    <w:rsid w:val="005D351C"/>
    <w:rsid w:val="005D4084"/>
    <w:rsid w:val="005D4777"/>
    <w:rsid w:val="005D4A22"/>
    <w:rsid w:val="005D4C2B"/>
    <w:rsid w:val="005D5108"/>
    <w:rsid w:val="005D5784"/>
    <w:rsid w:val="005D59D2"/>
    <w:rsid w:val="005D5DB8"/>
    <w:rsid w:val="005D63FB"/>
    <w:rsid w:val="005D67E3"/>
    <w:rsid w:val="005D710F"/>
    <w:rsid w:val="005D7982"/>
    <w:rsid w:val="005E0C1C"/>
    <w:rsid w:val="005E22CD"/>
    <w:rsid w:val="005E319E"/>
    <w:rsid w:val="005E53B7"/>
    <w:rsid w:val="005E6B93"/>
    <w:rsid w:val="005E706E"/>
    <w:rsid w:val="005E7953"/>
    <w:rsid w:val="005E7E82"/>
    <w:rsid w:val="005F083A"/>
    <w:rsid w:val="005F166F"/>
    <w:rsid w:val="005F19B6"/>
    <w:rsid w:val="005F1CF8"/>
    <w:rsid w:val="005F222A"/>
    <w:rsid w:val="005F2C42"/>
    <w:rsid w:val="005F6BAB"/>
    <w:rsid w:val="005F6C28"/>
    <w:rsid w:val="005F6D7C"/>
    <w:rsid w:val="005F7968"/>
    <w:rsid w:val="005F7AB6"/>
    <w:rsid w:val="005F7E3C"/>
    <w:rsid w:val="00600FA8"/>
    <w:rsid w:val="00601255"/>
    <w:rsid w:val="006058CE"/>
    <w:rsid w:val="00605B46"/>
    <w:rsid w:val="006063DA"/>
    <w:rsid w:val="00606CD0"/>
    <w:rsid w:val="00606CE3"/>
    <w:rsid w:val="00607F04"/>
    <w:rsid w:val="00610540"/>
    <w:rsid w:val="006113CC"/>
    <w:rsid w:val="0061181B"/>
    <w:rsid w:val="00611DD3"/>
    <w:rsid w:val="00611EF0"/>
    <w:rsid w:val="00612219"/>
    <w:rsid w:val="00612D0E"/>
    <w:rsid w:val="00612E04"/>
    <w:rsid w:val="00613EFE"/>
    <w:rsid w:val="00615A25"/>
    <w:rsid w:val="00615DED"/>
    <w:rsid w:val="006173A4"/>
    <w:rsid w:val="00617C44"/>
    <w:rsid w:val="00617E0A"/>
    <w:rsid w:val="00617ECF"/>
    <w:rsid w:val="0062004B"/>
    <w:rsid w:val="00620086"/>
    <w:rsid w:val="006210CA"/>
    <w:rsid w:val="00622074"/>
    <w:rsid w:val="00622CE4"/>
    <w:rsid w:val="00623312"/>
    <w:rsid w:val="006234A7"/>
    <w:rsid w:val="0062357A"/>
    <w:rsid w:val="0062378D"/>
    <w:rsid w:val="006239B0"/>
    <w:rsid w:val="00623D72"/>
    <w:rsid w:val="00623F8E"/>
    <w:rsid w:val="00624424"/>
    <w:rsid w:val="00625917"/>
    <w:rsid w:val="00625966"/>
    <w:rsid w:val="0062789F"/>
    <w:rsid w:val="00627D4D"/>
    <w:rsid w:val="006301BE"/>
    <w:rsid w:val="0063096E"/>
    <w:rsid w:val="00632DB2"/>
    <w:rsid w:val="00633349"/>
    <w:rsid w:val="006337AF"/>
    <w:rsid w:val="00633D61"/>
    <w:rsid w:val="0063402B"/>
    <w:rsid w:val="00634B4F"/>
    <w:rsid w:val="00636570"/>
    <w:rsid w:val="006365BB"/>
    <w:rsid w:val="00637859"/>
    <w:rsid w:val="00637901"/>
    <w:rsid w:val="00637E1B"/>
    <w:rsid w:val="006402DF"/>
    <w:rsid w:val="00640F04"/>
    <w:rsid w:val="0064164B"/>
    <w:rsid w:val="006418BF"/>
    <w:rsid w:val="0064292F"/>
    <w:rsid w:val="00643309"/>
    <w:rsid w:val="00643862"/>
    <w:rsid w:val="00643D85"/>
    <w:rsid w:val="0064416A"/>
    <w:rsid w:val="00644468"/>
    <w:rsid w:val="006445DD"/>
    <w:rsid w:val="00644AC0"/>
    <w:rsid w:val="00645358"/>
    <w:rsid w:val="00645DD3"/>
    <w:rsid w:val="00645F5E"/>
    <w:rsid w:val="006477F0"/>
    <w:rsid w:val="00647B1E"/>
    <w:rsid w:val="00647C55"/>
    <w:rsid w:val="0065008B"/>
    <w:rsid w:val="00652736"/>
    <w:rsid w:val="00653721"/>
    <w:rsid w:val="00653A3B"/>
    <w:rsid w:val="00653C00"/>
    <w:rsid w:val="00653FD9"/>
    <w:rsid w:val="00654179"/>
    <w:rsid w:val="006543A2"/>
    <w:rsid w:val="00654D42"/>
    <w:rsid w:val="00654FB5"/>
    <w:rsid w:val="00655343"/>
    <w:rsid w:val="00656328"/>
    <w:rsid w:val="00660279"/>
    <w:rsid w:val="00660943"/>
    <w:rsid w:val="00660A94"/>
    <w:rsid w:val="006622B9"/>
    <w:rsid w:val="00662E1E"/>
    <w:rsid w:val="00663140"/>
    <w:rsid w:val="0066371E"/>
    <w:rsid w:val="00663E72"/>
    <w:rsid w:val="0066415B"/>
    <w:rsid w:val="0066455B"/>
    <w:rsid w:val="00665122"/>
    <w:rsid w:val="00665142"/>
    <w:rsid w:val="00665DCF"/>
    <w:rsid w:val="00667017"/>
    <w:rsid w:val="006709B0"/>
    <w:rsid w:val="00670BC4"/>
    <w:rsid w:val="006718ED"/>
    <w:rsid w:val="00671A30"/>
    <w:rsid w:val="006724AD"/>
    <w:rsid w:val="00672681"/>
    <w:rsid w:val="00672BAB"/>
    <w:rsid w:val="00672C73"/>
    <w:rsid w:val="00672DF3"/>
    <w:rsid w:val="0067314A"/>
    <w:rsid w:val="00673D1E"/>
    <w:rsid w:val="006748A0"/>
    <w:rsid w:val="00674CFF"/>
    <w:rsid w:val="0067557E"/>
    <w:rsid w:val="00675E9D"/>
    <w:rsid w:val="006779CF"/>
    <w:rsid w:val="00677A8F"/>
    <w:rsid w:val="00677D63"/>
    <w:rsid w:val="00677DD3"/>
    <w:rsid w:val="00677F8A"/>
    <w:rsid w:val="0068065B"/>
    <w:rsid w:val="006821E3"/>
    <w:rsid w:val="00682EC5"/>
    <w:rsid w:val="0068321A"/>
    <w:rsid w:val="00683AD6"/>
    <w:rsid w:val="0068416A"/>
    <w:rsid w:val="006841E6"/>
    <w:rsid w:val="006842AE"/>
    <w:rsid w:val="00685A5D"/>
    <w:rsid w:val="006875BA"/>
    <w:rsid w:val="006878DB"/>
    <w:rsid w:val="00687A7D"/>
    <w:rsid w:val="0069097D"/>
    <w:rsid w:val="00693FEA"/>
    <w:rsid w:val="00694C68"/>
    <w:rsid w:val="00695206"/>
    <w:rsid w:val="006955F6"/>
    <w:rsid w:val="00695DB8"/>
    <w:rsid w:val="006A0DDB"/>
    <w:rsid w:val="006A1868"/>
    <w:rsid w:val="006A192D"/>
    <w:rsid w:val="006A30DD"/>
    <w:rsid w:val="006A3AD9"/>
    <w:rsid w:val="006A3D53"/>
    <w:rsid w:val="006A5225"/>
    <w:rsid w:val="006A5773"/>
    <w:rsid w:val="006A5804"/>
    <w:rsid w:val="006A58F0"/>
    <w:rsid w:val="006A5A52"/>
    <w:rsid w:val="006A6262"/>
    <w:rsid w:val="006A65EE"/>
    <w:rsid w:val="006A73CE"/>
    <w:rsid w:val="006B0372"/>
    <w:rsid w:val="006B0764"/>
    <w:rsid w:val="006B081C"/>
    <w:rsid w:val="006B09C9"/>
    <w:rsid w:val="006B0C1C"/>
    <w:rsid w:val="006B0E06"/>
    <w:rsid w:val="006B1CAE"/>
    <w:rsid w:val="006B3382"/>
    <w:rsid w:val="006B4467"/>
    <w:rsid w:val="006B4659"/>
    <w:rsid w:val="006B591D"/>
    <w:rsid w:val="006B5FE9"/>
    <w:rsid w:val="006B6C46"/>
    <w:rsid w:val="006B6E78"/>
    <w:rsid w:val="006B70CB"/>
    <w:rsid w:val="006B7970"/>
    <w:rsid w:val="006C0039"/>
    <w:rsid w:val="006C012B"/>
    <w:rsid w:val="006C0A49"/>
    <w:rsid w:val="006C0BB5"/>
    <w:rsid w:val="006C11BF"/>
    <w:rsid w:val="006C13AE"/>
    <w:rsid w:val="006C1927"/>
    <w:rsid w:val="006C2585"/>
    <w:rsid w:val="006C4008"/>
    <w:rsid w:val="006C4BED"/>
    <w:rsid w:val="006C4E2C"/>
    <w:rsid w:val="006C51FE"/>
    <w:rsid w:val="006C5461"/>
    <w:rsid w:val="006C5931"/>
    <w:rsid w:val="006C59BD"/>
    <w:rsid w:val="006C61A7"/>
    <w:rsid w:val="006C6900"/>
    <w:rsid w:val="006C73EF"/>
    <w:rsid w:val="006D0D43"/>
    <w:rsid w:val="006D1723"/>
    <w:rsid w:val="006D5A4D"/>
    <w:rsid w:val="006D5D3F"/>
    <w:rsid w:val="006D60ED"/>
    <w:rsid w:val="006E0D4C"/>
    <w:rsid w:val="006E1166"/>
    <w:rsid w:val="006E24D9"/>
    <w:rsid w:val="006E25BA"/>
    <w:rsid w:val="006E349A"/>
    <w:rsid w:val="006E377E"/>
    <w:rsid w:val="006E596E"/>
    <w:rsid w:val="006E65E0"/>
    <w:rsid w:val="006F033F"/>
    <w:rsid w:val="006F122E"/>
    <w:rsid w:val="006F14A3"/>
    <w:rsid w:val="006F21EC"/>
    <w:rsid w:val="006F24D8"/>
    <w:rsid w:val="006F299E"/>
    <w:rsid w:val="006F33B8"/>
    <w:rsid w:val="006F3B8C"/>
    <w:rsid w:val="006F49A2"/>
    <w:rsid w:val="006F4C9C"/>
    <w:rsid w:val="006F61B0"/>
    <w:rsid w:val="006F640F"/>
    <w:rsid w:val="006F659A"/>
    <w:rsid w:val="006F762A"/>
    <w:rsid w:val="00700D6A"/>
    <w:rsid w:val="0070181A"/>
    <w:rsid w:val="00701B6B"/>
    <w:rsid w:val="007021BB"/>
    <w:rsid w:val="007026CB"/>
    <w:rsid w:val="00702D07"/>
    <w:rsid w:val="0070384F"/>
    <w:rsid w:val="00703A9E"/>
    <w:rsid w:val="00703D6D"/>
    <w:rsid w:val="00704095"/>
    <w:rsid w:val="00704152"/>
    <w:rsid w:val="00704F74"/>
    <w:rsid w:val="00704FB5"/>
    <w:rsid w:val="007056F7"/>
    <w:rsid w:val="00705F5C"/>
    <w:rsid w:val="00706B71"/>
    <w:rsid w:val="0071022A"/>
    <w:rsid w:val="00711276"/>
    <w:rsid w:val="0071214D"/>
    <w:rsid w:val="00712370"/>
    <w:rsid w:val="0071277A"/>
    <w:rsid w:val="00712EE5"/>
    <w:rsid w:val="00713493"/>
    <w:rsid w:val="00713494"/>
    <w:rsid w:val="00713B7F"/>
    <w:rsid w:val="00713EA7"/>
    <w:rsid w:val="00714031"/>
    <w:rsid w:val="0071466E"/>
    <w:rsid w:val="007148C4"/>
    <w:rsid w:val="00714A6C"/>
    <w:rsid w:val="00714CD3"/>
    <w:rsid w:val="0071582C"/>
    <w:rsid w:val="00715AEB"/>
    <w:rsid w:val="00716174"/>
    <w:rsid w:val="0071633D"/>
    <w:rsid w:val="007163E3"/>
    <w:rsid w:val="00716D89"/>
    <w:rsid w:val="0071715F"/>
    <w:rsid w:val="00717516"/>
    <w:rsid w:val="00717652"/>
    <w:rsid w:val="007203D8"/>
    <w:rsid w:val="007206A8"/>
    <w:rsid w:val="0072086D"/>
    <w:rsid w:val="0072116D"/>
    <w:rsid w:val="0072226F"/>
    <w:rsid w:val="00722780"/>
    <w:rsid w:val="00723BB2"/>
    <w:rsid w:val="00725040"/>
    <w:rsid w:val="00725B78"/>
    <w:rsid w:val="007263ED"/>
    <w:rsid w:val="00727082"/>
    <w:rsid w:val="00727CBD"/>
    <w:rsid w:val="0073233C"/>
    <w:rsid w:val="007325E3"/>
    <w:rsid w:val="007325E7"/>
    <w:rsid w:val="007329FB"/>
    <w:rsid w:val="00732D0C"/>
    <w:rsid w:val="007337D2"/>
    <w:rsid w:val="00733AD6"/>
    <w:rsid w:val="00733EAD"/>
    <w:rsid w:val="00734559"/>
    <w:rsid w:val="00734CBB"/>
    <w:rsid w:val="00734F54"/>
    <w:rsid w:val="00736D93"/>
    <w:rsid w:val="00737C04"/>
    <w:rsid w:val="00737F64"/>
    <w:rsid w:val="00737FBB"/>
    <w:rsid w:val="00740131"/>
    <w:rsid w:val="00740F0E"/>
    <w:rsid w:val="00741F18"/>
    <w:rsid w:val="007422C9"/>
    <w:rsid w:val="00742334"/>
    <w:rsid w:val="00743B36"/>
    <w:rsid w:val="00744110"/>
    <w:rsid w:val="00744595"/>
    <w:rsid w:val="0074597C"/>
    <w:rsid w:val="0074695A"/>
    <w:rsid w:val="00746C6C"/>
    <w:rsid w:val="00746CD1"/>
    <w:rsid w:val="00747A52"/>
    <w:rsid w:val="00750F1E"/>
    <w:rsid w:val="00750F5E"/>
    <w:rsid w:val="0075118A"/>
    <w:rsid w:val="00751855"/>
    <w:rsid w:val="00751C12"/>
    <w:rsid w:val="00752691"/>
    <w:rsid w:val="00752804"/>
    <w:rsid w:val="007528F2"/>
    <w:rsid w:val="00753C00"/>
    <w:rsid w:val="00753C26"/>
    <w:rsid w:val="007552DB"/>
    <w:rsid w:val="00756DDC"/>
    <w:rsid w:val="007575C4"/>
    <w:rsid w:val="00757D63"/>
    <w:rsid w:val="0076178B"/>
    <w:rsid w:val="00762A1B"/>
    <w:rsid w:val="00762D6D"/>
    <w:rsid w:val="00762FF3"/>
    <w:rsid w:val="00763700"/>
    <w:rsid w:val="0076427C"/>
    <w:rsid w:val="0076481A"/>
    <w:rsid w:val="00765217"/>
    <w:rsid w:val="007659AA"/>
    <w:rsid w:val="00765BE3"/>
    <w:rsid w:val="00765CD1"/>
    <w:rsid w:val="00766334"/>
    <w:rsid w:val="0077072F"/>
    <w:rsid w:val="00772652"/>
    <w:rsid w:val="0077266C"/>
    <w:rsid w:val="00772802"/>
    <w:rsid w:val="007728D9"/>
    <w:rsid w:val="00775066"/>
    <w:rsid w:val="00776406"/>
    <w:rsid w:val="00777A33"/>
    <w:rsid w:val="00777F2F"/>
    <w:rsid w:val="0078005A"/>
    <w:rsid w:val="00780135"/>
    <w:rsid w:val="00781B1C"/>
    <w:rsid w:val="00781B6F"/>
    <w:rsid w:val="00781F9C"/>
    <w:rsid w:val="007820ED"/>
    <w:rsid w:val="0078257D"/>
    <w:rsid w:val="00782DFD"/>
    <w:rsid w:val="007830DB"/>
    <w:rsid w:val="0078317A"/>
    <w:rsid w:val="00783E79"/>
    <w:rsid w:val="00784424"/>
    <w:rsid w:val="00784D86"/>
    <w:rsid w:val="007852AB"/>
    <w:rsid w:val="00785474"/>
    <w:rsid w:val="0078772C"/>
    <w:rsid w:val="00787A44"/>
    <w:rsid w:val="00787B99"/>
    <w:rsid w:val="00787F7D"/>
    <w:rsid w:val="007904F4"/>
    <w:rsid w:val="007907C8"/>
    <w:rsid w:val="007918C9"/>
    <w:rsid w:val="007925B6"/>
    <w:rsid w:val="00792737"/>
    <w:rsid w:val="007934F5"/>
    <w:rsid w:val="0079421C"/>
    <w:rsid w:val="0079526D"/>
    <w:rsid w:val="00795393"/>
    <w:rsid w:val="00795A2C"/>
    <w:rsid w:val="0079609F"/>
    <w:rsid w:val="00797309"/>
    <w:rsid w:val="00797390"/>
    <w:rsid w:val="007A05B6"/>
    <w:rsid w:val="007A0978"/>
    <w:rsid w:val="007A1C0A"/>
    <w:rsid w:val="007A1C59"/>
    <w:rsid w:val="007A3553"/>
    <w:rsid w:val="007A37C2"/>
    <w:rsid w:val="007A4397"/>
    <w:rsid w:val="007A4650"/>
    <w:rsid w:val="007A4CFA"/>
    <w:rsid w:val="007A4E83"/>
    <w:rsid w:val="007A5454"/>
    <w:rsid w:val="007A5840"/>
    <w:rsid w:val="007A5AE4"/>
    <w:rsid w:val="007A5B41"/>
    <w:rsid w:val="007A634F"/>
    <w:rsid w:val="007A64BD"/>
    <w:rsid w:val="007B2BD5"/>
    <w:rsid w:val="007B336A"/>
    <w:rsid w:val="007B3A76"/>
    <w:rsid w:val="007B5792"/>
    <w:rsid w:val="007B6EBC"/>
    <w:rsid w:val="007B79A8"/>
    <w:rsid w:val="007C0D5E"/>
    <w:rsid w:val="007C1B5B"/>
    <w:rsid w:val="007C2934"/>
    <w:rsid w:val="007C31E2"/>
    <w:rsid w:val="007C3FC9"/>
    <w:rsid w:val="007C5CE1"/>
    <w:rsid w:val="007C60F1"/>
    <w:rsid w:val="007C6484"/>
    <w:rsid w:val="007C6DD9"/>
    <w:rsid w:val="007C6F85"/>
    <w:rsid w:val="007C6F9B"/>
    <w:rsid w:val="007C7423"/>
    <w:rsid w:val="007C7AD0"/>
    <w:rsid w:val="007C7B8E"/>
    <w:rsid w:val="007C7D40"/>
    <w:rsid w:val="007D0569"/>
    <w:rsid w:val="007D16B1"/>
    <w:rsid w:val="007D16E7"/>
    <w:rsid w:val="007D19E4"/>
    <w:rsid w:val="007D2001"/>
    <w:rsid w:val="007D244F"/>
    <w:rsid w:val="007D3DF5"/>
    <w:rsid w:val="007D4959"/>
    <w:rsid w:val="007D4F7D"/>
    <w:rsid w:val="007D6DC3"/>
    <w:rsid w:val="007D6EC5"/>
    <w:rsid w:val="007D7400"/>
    <w:rsid w:val="007D7761"/>
    <w:rsid w:val="007D79FF"/>
    <w:rsid w:val="007E02A7"/>
    <w:rsid w:val="007E0DA3"/>
    <w:rsid w:val="007E0E23"/>
    <w:rsid w:val="007E468A"/>
    <w:rsid w:val="007E51A5"/>
    <w:rsid w:val="007E5629"/>
    <w:rsid w:val="007E5D95"/>
    <w:rsid w:val="007E6E2E"/>
    <w:rsid w:val="007E770C"/>
    <w:rsid w:val="007E786E"/>
    <w:rsid w:val="007E7F4C"/>
    <w:rsid w:val="007F018C"/>
    <w:rsid w:val="007F1236"/>
    <w:rsid w:val="007F2328"/>
    <w:rsid w:val="007F2EC6"/>
    <w:rsid w:val="007F2EE4"/>
    <w:rsid w:val="007F3018"/>
    <w:rsid w:val="007F3C49"/>
    <w:rsid w:val="007F6862"/>
    <w:rsid w:val="007F7FE4"/>
    <w:rsid w:val="008013FC"/>
    <w:rsid w:val="00801F82"/>
    <w:rsid w:val="008026E9"/>
    <w:rsid w:val="0080314F"/>
    <w:rsid w:val="008041E0"/>
    <w:rsid w:val="00804AD9"/>
    <w:rsid w:val="008060C3"/>
    <w:rsid w:val="008063A1"/>
    <w:rsid w:val="00807EA4"/>
    <w:rsid w:val="00807F00"/>
    <w:rsid w:val="0081010C"/>
    <w:rsid w:val="00812095"/>
    <w:rsid w:val="00812A43"/>
    <w:rsid w:val="008134BD"/>
    <w:rsid w:val="008139A5"/>
    <w:rsid w:val="00814656"/>
    <w:rsid w:val="008154EF"/>
    <w:rsid w:val="008158B9"/>
    <w:rsid w:val="0081725C"/>
    <w:rsid w:val="00817BCD"/>
    <w:rsid w:val="00820094"/>
    <w:rsid w:val="00820E45"/>
    <w:rsid w:val="00821E2C"/>
    <w:rsid w:val="00822835"/>
    <w:rsid w:val="00822F22"/>
    <w:rsid w:val="0082459B"/>
    <w:rsid w:val="00824D7A"/>
    <w:rsid w:val="00826758"/>
    <w:rsid w:val="00827384"/>
    <w:rsid w:val="0082764E"/>
    <w:rsid w:val="0082782E"/>
    <w:rsid w:val="00830997"/>
    <w:rsid w:val="008313B4"/>
    <w:rsid w:val="008313D1"/>
    <w:rsid w:val="00831D21"/>
    <w:rsid w:val="0083213A"/>
    <w:rsid w:val="0083320E"/>
    <w:rsid w:val="00833261"/>
    <w:rsid w:val="008348D1"/>
    <w:rsid w:val="00834A7F"/>
    <w:rsid w:val="008353E0"/>
    <w:rsid w:val="0083605B"/>
    <w:rsid w:val="008365F0"/>
    <w:rsid w:val="0083739F"/>
    <w:rsid w:val="00837B07"/>
    <w:rsid w:val="00841534"/>
    <w:rsid w:val="008416B3"/>
    <w:rsid w:val="00841E28"/>
    <w:rsid w:val="00843164"/>
    <w:rsid w:val="00843341"/>
    <w:rsid w:val="00843B21"/>
    <w:rsid w:val="00843D57"/>
    <w:rsid w:val="00844656"/>
    <w:rsid w:val="00844FF7"/>
    <w:rsid w:val="0084574B"/>
    <w:rsid w:val="008458B2"/>
    <w:rsid w:val="008458C0"/>
    <w:rsid w:val="00845EB2"/>
    <w:rsid w:val="00845FE4"/>
    <w:rsid w:val="008462F1"/>
    <w:rsid w:val="00846930"/>
    <w:rsid w:val="00847145"/>
    <w:rsid w:val="008471D5"/>
    <w:rsid w:val="00850600"/>
    <w:rsid w:val="00850721"/>
    <w:rsid w:val="00850F1E"/>
    <w:rsid w:val="00850FB1"/>
    <w:rsid w:val="00850FDE"/>
    <w:rsid w:val="008516D3"/>
    <w:rsid w:val="00852876"/>
    <w:rsid w:val="00853431"/>
    <w:rsid w:val="008535C6"/>
    <w:rsid w:val="00853CC1"/>
    <w:rsid w:val="00853F24"/>
    <w:rsid w:val="008543F5"/>
    <w:rsid w:val="00854583"/>
    <w:rsid w:val="00854B9B"/>
    <w:rsid w:val="00855004"/>
    <w:rsid w:val="008572C4"/>
    <w:rsid w:val="0085733E"/>
    <w:rsid w:val="0085765A"/>
    <w:rsid w:val="008604A8"/>
    <w:rsid w:val="008609E0"/>
    <w:rsid w:val="00860E64"/>
    <w:rsid w:val="008616F7"/>
    <w:rsid w:val="00861AFA"/>
    <w:rsid w:val="00862B1B"/>
    <w:rsid w:val="00863370"/>
    <w:rsid w:val="00863C61"/>
    <w:rsid w:val="0086500D"/>
    <w:rsid w:val="00865522"/>
    <w:rsid w:val="00865ADF"/>
    <w:rsid w:val="0086644C"/>
    <w:rsid w:val="0086655B"/>
    <w:rsid w:val="008666B5"/>
    <w:rsid w:val="008701B6"/>
    <w:rsid w:val="008702F6"/>
    <w:rsid w:val="008703B3"/>
    <w:rsid w:val="008707FC"/>
    <w:rsid w:val="00871E69"/>
    <w:rsid w:val="00871F13"/>
    <w:rsid w:val="00872A90"/>
    <w:rsid w:val="00872AF8"/>
    <w:rsid w:val="008743CB"/>
    <w:rsid w:val="0087457D"/>
    <w:rsid w:val="00876985"/>
    <w:rsid w:val="00876B05"/>
    <w:rsid w:val="008771AF"/>
    <w:rsid w:val="008808E6"/>
    <w:rsid w:val="0088094E"/>
    <w:rsid w:val="00880D54"/>
    <w:rsid w:val="00880FD6"/>
    <w:rsid w:val="00882D34"/>
    <w:rsid w:val="00882DE2"/>
    <w:rsid w:val="00882FD5"/>
    <w:rsid w:val="00883780"/>
    <w:rsid w:val="00883B99"/>
    <w:rsid w:val="00885066"/>
    <w:rsid w:val="008850E3"/>
    <w:rsid w:val="00885563"/>
    <w:rsid w:val="00885F85"/>
    <w:rsid w:val="0088665E"/>
    <w:rsid w:val="00887889"/>
    <w:rsid w:val="00887F48"/>
    <w:rsid w:val="00890011"/>
    <w:rsid w:val="00890D9A"/>
    <w:rsid w:val="00891884"/>
    <w:rsid w:val="008923C8"/>
    <w:rsid w:val="008924B5"/>
    <w:rsid w:val="00893260"/>
    <w:rsid w:val="008932A8"/>
    <w:rsid w:val="00893756"/>
    <w:rsid w:val="00893E33"/>
    <w:rsid w:val="00894A78"/>
    <w:rsid w:val="00894A9E"/>
    <w:rsid w:val="008950F6"/>
    <w:rsid w:val="00895175"/>
    <w:rsid w:val="008953F6"/>
    <w:rsid w:val="008965FE"/>
    <w:rsid w:val="00896815"/>
    <w:rsid w:val="00896DE1"/>
    <w:rsid w:val="00896F3B"/>
    <w:rsid w:val="008A0744"/>
    <w:rsid w:val="008A0A6E"/>
    <w:rsid w:val="008A0D0F"/>
    <w:rsid w:val="008A0FAB"/>
    <w:rsid w:val="008A1AFE"/>
    <w:rsid w:val="008A1E50"/>
    <w:rsid w:val="008A20C8"/>
    <w:rsid w:val="008A27C8"/>
    <w:rsid w:val="008A29E1"/>
    <w:rsid w:val="008A2FB3"/>
    <w:rsid w:val="008A398B"/>
    <w:rsid w:val="008A5601"/>
    <w:rsid w:val="008A59AD"/>
    <w:rsid w:val="008A64BF"/>
    <w:rsid w:val="008A770C"/>
    <w:rsid w:val="008B0EEB"/>
    <w:rsid w:val="008B18D8"/>
    <w:rsid w:val="008B1EE2"/>
    <w:rsid w:val="008B2256"/>
    <w:rsid w:val="008B28F2"/>
    <w:rsid w:val="008B3DB6"/>
    <w:rsid w:val="008B42B7"/>
    <w:rsid w:val="008B431D"/>
    <w:rsid w:val="008B51FD"/>
    <w:rsid w:val="008B55E6"/>
    <w:rsid w:val="008B6220"/>
    <w:rsid w:val="008B6269"/>
    <w:rsid w:val="008B6766"/>
    <w:rsid w:val="008B70F5"/>
    <w:rsid w:val="008B7186"/>
    <w:rsid w:val="008B7192"/>
    <w:rsid w:val="008B7505"/>
    <w:rsid w:val="008C0613"/>
    <w:rsid w:val="008C1939"/>
    <w:rsid w:val="008C1D9F"/>
    <w:rsid w:val="008C1FF2"/>
    <w:rsid w:val="008C20AF"/>
    <w:rsid w:val="008C2C60"/>
    <w:rsid w:val="008C3396"/>
    <w:rsid w:val="008C3561"/>
    <w:rsid w:val="008C3BFA"/>
    <w:rsid w:val="008C50D4"/>
    <w:rsid w:val="008C57A7"/>
    <w:rsid w:val="008C621C"/>
    <w:rsid w:val="008C66F0"/>
    <w:rsid w:val="008C697C"/>
    <w:rsid w:val="008C7448"/>
    <w:rsid w:val="008C75EC"/>
    <w:rsid w:val="008C75ED"/>
    <w:rsid w:val="008C7649"/>
    <w:rsid w:val="008C7E36"/>
    <w:rsid w:val="008D0440"/>
    <w:rsid w:val="008D1251"/>
    <w:rsid w:val="008D16B4"/>
    <w:rsid w:val="008D373F"/>
    <w:rsid w:val="008D3E5A"/>
    <w:rsid w:val="008D45AE"/>
    <w:rsid w:val="008D46DB"/>
    <w:rsid w:val="008D48BA"/>
    <w:rsid w:val="008D595F"/>
    <w:rsid w:val="008D59B5"/>
    <w:rsid w:val="008E03B0"/>
    <w:rsid w:val="008E0991"/>
    <w:rsid w:val="008E2AE4"/>
    <w:rsid w:val="008E2CB8"/>
    <w:rsid w:val="008E3023"/>
    <w:rsid w:val="008E338E"/>
    <w:rsid w:val="008E3CD3"/>
    <w:rsid w:val="008E3D64"/>
    <w:rsid w:val="008E4444"/>
    <w:rsid w:val="008E4C36"/>
    <w:rsid w:val="008E57FE"/>
    <w:rsid w:val="008E7C4B"/>
    <w:rsid w:val="008F0960"/>
    <w:rsid w:val="008F1818"/>
    <w:rsid w:val="008F1FBB"/>
    <w:rsid w:val="008F2665"/>
    <w:rsid w:val="008F507E"/>
    <w:rsid w:val="008F507F"/>
    <w:rsid w:val="008F5251"/>
    <w:rsid w:val="008F57D2"/>
    <w:rsid w:val="008F6358"/>
    <w:rsid w:val="008F6376"/>
    <w:rsid w:val="008F7C1C"/>
    <w:rsid w:val="008F7DCD"/>
    <w:rsid w:val="00900A9F"/>
    <w:rsid w:val="00900CC2"/>
    <w:rsid w:val="009013A6"/>
    <w:rsid w:val="009016B3"/>
    <w:rsid w:val="00901770"/>
    <w:rsid w:val="009019FB"/>
    <w:rsid w:val="009020CD"/>
    <w:rsid w:val="00902AA5"/>
    <w:rsid w:val="009052B7"/>
    <w:rsid w:val="00905B05"/>
    <w:rsid w:val="00905D40"/>
    <w:rsid w:val="00906F1E"/>
    <w:rsid w:val="009070EE"/>
    <w:rsid w:val="0090713B"/>
    <w:rsid w:val="0090753C"/>
    <w:rsid w:val="0090759D"/>
    <w:rsid w:val="0091156F"/>
    <w:rsid w:val="00911B66"/>
    <w:rsid w:val="00911B7B"/>
    <w:rsid w:val="00912553"/>
    <w:rsid w:val="00912A7E"/>
    <w:rsid w:val="00915330"/>
    <w:rsid w:val="00916E69"/>
    <w:rsid w:val="00917117"/>
    <w:rsid w:val="00917525"/>
    <w:rsid w:val="0091777D"/>
    <w:rsid w:val="00917C39"/>
    <w:rsid w:val="009200C0"/>
    <w:rsid w:val="0092057D"/>
    <w:rsid w:val="00920944"/>
    <w:rsid w:val="0092113B"/>
    <w:rsid w:val="00921432"/>
    <w:rsid w:val="009214F0"/>
    <w:rsid w:val="009218DE"/>
    <w:rsid w:val="009220EE"/>
    <w:rsid w:val="009227AD"/>
    <w:rsid w:val="00922D00"/>
    <w:rsid w:val="009233CC"/>
    <w:rsid w:val="00923F17"/>
    <w:rsid w:val="00924781"/>
    <w:rsid w:val="0092599A"/>
    <w:rsid w:val="00925AA6"/>
    <w:rsid w:val="00925AF2"/>
    <w:rsid w:val="009266DA"/>
    <w:rsid w:val="00927967"/>
    <w:rsid w:val="00927A49"/>
    <w:rsid w:val="00927F35"/>
    <w:rsid w:val="0093036C"/>
    <w:rsid w:val="00930DE8"/>
    <w:rsid w:val="009318DD"/>
    <w:rsid w:val="00931CF6"/>
    <w:rsid w:val="00932F6A"/>
    <w:rsid w:val="00934A27"/>
    <w:rsid w:val="009352C3"/>
    <w:rsid w:val="00935413"/>
    <w:rsid w:val="00935F5D"/>
    <w:rsid w:val="0093614A"/>
    <w:rsid w:val="0093633A"/>
    <w:rsid w:val="0093669F"/>
    <w:rsid w:val="009368E0"/>
    <w:rsid w:val="00937048"/>
    <w:rsid w:val="009377B1"/>
    <w:rsid w:val="009411DA"/>
    <w:rsid w:val="009415EE"/>
    <w:rsid w:val="0094260B"/>
    <w:rsid w:val="0094264F"/>
    <w:rsid w:val="00942661"/>
    <w:rsid w:val="009435F0"/>
    <w:rsid w:val="00944163"/>
    <w:rsid w:val="00945307"/>
    <w:rsid w:val="00945428"/>
    <w:rsid w:val="0094558D"/>
    <w:rsid w:val="0094697C"/>
    <w:rsid w:val="00946FCE"/>
    <w:rsid w:val="009515BC"/>
    <w:rsid w:val="009515DD"/>
    <w:rsid w:val="009519DF"/>
    <w:rsid w:val="00952D04"/>
    <w:rsid w:val="0095349A"/>
    <w:rsid w:val="00953B5B"/>
    <w:rsid w:val="00953ED0"/>
    <w:rsid w:val="0095492E"/>
    <w:rsid w:val="00955F7D"/>
    <w:rsid w:val="009565D7"/>
    <w:rsid w:val="00957E73"/>
    <w:rsid w:val="009606EE"/>
    <w:rsid w:val="0096242F"/>
    <w:rsid w:val="00962E3B"/>
    <w:rsid w:val="00962FF5"/>
    <w:rsid w:val="00963AF9"/>
    <w:rsid w:val="00963BC1"/>
    <w:rsid w:val="00964A4E"/>
    <w:rsid w:val="00964E67"/>
    <w:rsid w:val="00965010"/>
    <w:rsid w:val="00965B02"/>
    <w:rsid w:val="00965C07"/>
    <w:rsid w:val="00965C2D"/>
    <w:rsid w:val="00965C53"/>
    <w:rsid w:val="00965D2D"/>
    <w:rsid w:val="00967C86"/>
    <w:rsid w:val="009708E9"/>
    <w:rsid w:val="00970A16"/>
    <w:rsid w:val="00971847"/>
    <w:rsid w:val="00972964"/>
    <w:rsid w:val="00972A70"/>
    <w:rsid w:val="00972B08"/>
    <w:rsid w:val="00973C00"/>
    <w:rsid w:val="009750C8"/>
    <w:rsid w:val="009757BF"/>
    <w:rsid w:val="00976E9F"/>
    <w:rsid w:val="009775B2"/>
    <w:rsid w:val="0097761C"/>
    <w:rsid w:val="0097762F"/>
    <w:rsid w:val="00977C0A"/>
    <w:rsid w:val="009816B8"/>
    <w:rsid w:val="00982BF5"/>
    <w:rsid w:val="0098355F"/>
    <w:rsid w:val="00983A74"/>
    <w:rsid w:val="00983B45"/>
    <w:rsid w:val="00983B5C"/>
    <w:rsid w:val="00986241"/>
    <w:rsid w:val="00986419"/>
    <w:rsid w:val="00986F01"/>
    <w:rsid w:val="0098766F"/>
    <w:rsid w:val="009900D2"/>
    <w:rsid w:val="0099044E"/>
    <w:rsid w:val="00991B40"/>
    <w:rsid w:val="0099255E"/>
    <w:rsid w:val="00993912"/>
    <w:rsid w:val="00993E75"/>
    <w:rsid w:val="00994050"/>
    <w:rsid w:val="0099491B"/>
    <w:rsid w:val="009950C3"/>
    <w:rsid w:val="009952BF"/>
    <w:rsid w:val="00995C84"/>
    <w:rsid w:val="009962CF"/>
    <w:rsid w:val="009962D3"/>
    <w:rsid w:val="009966AA"/>
    <w:rsid w:val="009969D6"/>
    <w:rsid w:val="00997DAF"/>
    <w:rsid w:val="009A1A3D"/>
    <w:rsid w:val="009A1BE1"/>
    <w:rsid w:val="009A2200"/>
    <w:rsid w:val="009A288A"/>
    <w:rsid w:val="009A3BE9"/>
    <w:rsid w:val="009A4543"/>
    <w:rsid w:val="009A4731"/>
    <w:rsid w:val="009A4900"/>
    <w:rsid w:val="009A595D"/>
    <w:rsid w:val="009A5DB1"/>
    <w:rsid w:val="009A6CAF"/>
    <w:rsid w:val="009A7C5A"/>
    <w:rsid w:val="009A7E51"/>
    <w:rsid w:val="009B0EC7"/>
    <w:rsid w:val="009B1308"/>
    <w:rsid w:val="009B21B9"/>
    <w:rsid w:val="009B2AA6"/>
    <w:rsid w:val="009B2FAD"/>
    <w:rsid w:val="009B3DDE"/>
    <w:rsid w:val="009B4251"/>
    <w:rsid w:val="009B4526"/>
    <w:rsid w:val="009B4CD0"/>
    <w:rsid w:val="009B4DA7"/>
    <w:rsid w:val="009B5769"/>
    <w:rsid w:val="009B618D"/>
    <w:rsid w:val="009B67D1"/>
    <w:rsid w:val="009B7269"/>
    <w:rsid w:val="009B74CB"/>
    <w:rsid w:val="009C1578"/>
    <w:rsid w:val="009C1EE5"/>
    <w:rsid w:val="009C21C6"/>
    <w:rsid w:val="009C2728"/>
    <w:rsid w:val="009C3323"/>
    <w:rsid w:val="009C3656"/>
    <w:rsid w:val="009C383B"/>
    <w:rsid w:val="009C3A80"/>
    <w:rsid w:val="009C4069"/>
    <w:rsid w:val="009C40C3"/>
    <w:rsid w:val="009C41EC"/>
    <w:rsid w:val="009C5238"/>
    <w:rsid w:val="009C5C14"/>
    <w:rsid w:val="009C6134"/>
    <w:rsid w:val="009C6807"/>
    <w:rsid w:val="009C7C86"/>
    <w:rsid w:val="009D091B"/>
    <w:rsid w:val="009D0D69"/>
    <w:rsid w:val="009D0F07"/>
    <w:rsid w:val="009D125C"/>
    <w:rsid w:val="009D12B4"/>
    <w:rsid w:val="009D196D"/>
    <w:rsid w:val="009D1E70"/>
    <w:rsid w:val="009D207E"/>
    <w:rsid w:val="009D2135"/>
    <w:rsid w:val="009D2483"/>
    <w:rsid w:val="009D2FA7"/>
    <w:rsid w:val="009D3119"/>
    <w:rsid w:val="009D3191"/>
    <w:rsid w:val="009D3673"/>
    <w:rsid w:val="009D4166"/>
    <w:rsid w:val="009D4CAE"/>
    <w:rsid w:val="009D4EF1"/>
    <w:rsid w:val="009D55F9"/>
    <w:rsid w:val="009D5837"/>
    <w:rsid w:val="009D5A11"/>
    <w:rsid w:val="009D607A"/>
    <w:rsid w:val="009D765F"/>
    <w:rsid w:val="009D7760"/>
    <w:rsid w:val="009D7E5C"/>
    <w:rsid w:val="009E069F"/>
    <w:rsid w:val="009E1239"/>
    <w:rsid w:val="009E16E6"/>
    <w:rsid w:val="009E197B"/>
    <w:rsid w:val="009E1C0D"/>
    <w:rsid w:val="009E1E62"/>
    <w:rsid w:val="009E2953"/>
    <w:rsid w:val="009E2B05"/>
    <w:rsid w:val="009E30CE"/>
    <w:rsid w:val="009E4033"/>
    <w:rsid w:val="009E43F4"/>
    <w:rsid w:val="009E4BA2"/>
    <w:rsid w:val="009E4CDF"/>
    <w:rsid w:val="009E5376"/>
    <w:rsid w:val="009E5692"/>
    <w:rsid w:val="009E5C20"/>
    <w:rsid w:val="009E66E9"/>
    <w:rsid w:val="009E720B"/>
    <w:rsid w:val="009E7369"/>
    <w:rsid w:val="009E7D56"/>
    <w:rsid w:val="009F00AE"/>
    <w:rsid w:val="009F04C3"/>
    <w:rsid w:val="009F058F"/>
    <w:rsid w:val="009F0760"/>
    <w:rsid w:val="009F2126"/>
    <w:rsid w:val="009F233D"/>
    <w:rsid w:val="009F2AED"/>
    <w:rsid w:val="009F2DEF"/>
    <w:rsid w:val="009F2E5C"/>
    <w:rsid w:val="009F3B29"/>
    <w:rsid w:val="009F42BB"/>
    <w:rsid w:val="009F4860"/>
    <w:rsid w:val="009F54AC"/>
    <w:rsid w:val="009F5973"/>
    <w:rsid w:val="009F6742"/>
    <w:rsid w:val="009F6A4C"/>
    <w:rsid w:val="009F739A"/>
    <w:rsid w:val="00A00057"/>
    <w:rsid w:val="00A003E1"/>
    <w:rsid w:val="00A00485"/>
    <w:rsid w:val="00A0049E"/>
    <w:rsid w:val="00A004C4"/>
    <w:rsid w:val="00A00A7D"/>
    <w:rsid w:val="00A00D5A"/>
    <w:rsid w:val="00A01A5F"/>
    <w:rsid w:val="00A01EAA"/>
    <w:rsid w:val="00A025AC"/>
    <w:rsid w:val="00A0279C"/>
    <w:rsid w:val="00A02996"/>
    <w:rsid w:val="00A02C96"/>
    <w:rsid w:val="00A02D22"/>
    <w:rsid w:val="00A02E65"/>
    <w:rsid w:val="00A032CD"/>
    <w:rsid w:val="00A0340A"/>
    <w:rsid w:val="00A0366E"/>
    <w:rsid w:val="00A03A29"/>
    <w:rsid w:val="00A0440C"/>
    <w:rsid w:val="00A047AE"/>
    <w:rsid w:val="00A04C82"/>
    <w:rsid w:val="00A0585F"/>
    <w:rsid w:val="00A0694A"/>
    <w:rsid w:val="00A077AC"/>
    <w:rsid w:val="00A07A33"/>
    <w:rsid w:val="00A07E81"/>
    <w:rsid w:val="00A104B4"/>
    <w:rsid w:val="00A10A30"/>
    <w:rsid w:val="00A110C6"/>
    <w:rsid w:val="00A11175"/>
    <w:rsid w:val="00A1137C"/>
    <w:rsid w:val="00A113D7"/>
    <w:rsid w:val="00A11F0F"/>
    <w:rsid w:val="00A133F2"/>
    <w:rsid w:val="00A155B8"/>
    <w:rsid w:val="00A16126"/>
    <w:rsid w:val="00A165DB"/>
    <w:rsid w:val="00A20043"/>
    <w:rsid w:val="00A20048"/>
    <w:rsid w:val="00A2083D"/>
    <w:rsid w:val="00A20EA5"/>
    <w:rsid w:val="00A21ADC"/>
    <w:rsid w:val="00A21C6C"/>
    <w:rsid w:val="00A22ECA"/>
    <w:rsid w:val="00A2365A"/>
    <w:rsid w:val="00A2394E"/>
    <w:rsid w:val="00A24133"/>
    <w:rsid w:val="00A24B81"/>
    <w:rsid w:val="00A24C3E"/>
    <w:rsid w:val="00A24D91"/>
    <w:rsid w:val="00A25300"/>
    <w:rsid w:val="00A25F58"/>
    <w:rsid w:val="00A262BF"/>
    <w:rsid w:val="00A2645E"/>
    <w:rsid w:val="00A26543"/>
    <w:rsid w:val="00A26FE7"/>
    <w:rsid w:val="00A270B8"/>
    <w:rsid w:val="00A27809"/>
    <w:rsid w:val="00A27888"/>
    <w:rsid w:val="00A27B66"/>
    <w:rsid w:val="00A30533"/>
    <w:rsid w:val="00A317B0"/>
    <w:rsid w:val="00A31BA4"/>
    <w:rsid w:val="00A31BF6"/>
    <w:rsid w:val="00A3227D"/>
    <w:rsid w:val="00A33A39"/>
    <w:rsid w:val="00A3411A"/>
    <w:rsid w:val="00A34591"/>
    <w:rsid w:val="00A34617"/>
    <w:rsid w:val="00A34E44"/>
    <w:rsid w:val="00A35517"/>
    <w:rsid w:val="00A35A82"/>
    <w:rsid w:val="00A35B8F"/>
    <w:rsid w:val="00A3640F"/>
    <w:rsid w:val="00A36A76"/>
    <w:rsid w:val="00A373EE"/>
    <w:rsid w:val="00A37ECF"/>
    <w:rsid w:val="00A40C67"/>
    <w:rsid w:val="00A40CE2"/>
    <w:rsid w:val="00A40D58"/>
    <w:rsid w:val="00A41F08"/>
    <w:rsid w:val="00A422DE"/>
    <w:rsid w:val="00A423D6"/>
    <w:rsid w:val="00A42FAE"/>
    <w:rsid w:val="00A43553"/>
    <w:rsid w:val="00A43865"/>
    <w:rsid w:val="00A46259"/>
    <w:rsid w:val="00A47176"/>
    <w:rsid w:val="00A475C5"/>
    <w:rsid w:val="00A4768C"/>
    <w:rsid w:val="00A500E1"/>
    <w:rsid w:val="00A50A68"/>
    <w:rsid w:val="00A50D3B"/>
    <w:rsid w:val="00A50E38"/>
    <w:rsid w:val="00A510C6"/>
    <w:rsid w:val="00A51649"/>
    <w:rsid w:val="00A518AA"/>
    <w:rsid w:val="00A525E7"/>
    <w:rsid w:val="00A52F9E"/>
    <w:rsid w:val="00A539ED"/>
    <w:rsid w:val="00A53CA7"/>
    <w:rsid w:val="00A54537"/>
    <w:rsid w:val="00A55D5F"/>
    <w:rsid w:val="00A56348"/>
    <w:rsid w:val="00A5685A"/>
    <w:rsid w:val="00A568A3"/>
    <w:rsid w:val="00A56922"/>
    <w:rsid w:val="00A5703F"/>
    <w:rsid w:val="00A57D39"/>
    <w:rsid w:val="00A57EF5"/>
    <w:rsid w:val="00A617F9"/>
    <w:rsid w:val="00A61825"/>
    <w:rsid w:val="00A6316B"/>
    <w:rsid w:val="00A645BC"/>
    <w:rsid w:val="00A64A04"/>
    <w:rsid w:val="00A65316"/>
    <w:rsid w:val="00A654F6"/>
    <w:rsid w:val="00A65D1C"/>
    <w:rsid w:val="00A66A32"/>
    <w:rsid w:val="00A674FF"/>
    <w:rsid w:val="00A676CF"/>
    <w:rsid w:val="00A679BA"/>
    <w:rsid w:val="00A67EC6"/>
    <w:rsid w:val="00A70084"/>
    <w:rsid w:val="00A70F69"/>
    <w:rsid w:val="00A7112A"/>
    <w:rsid w:val="00A72611"/>
    <w:rsid w:val="00A73ABB"/>
    <w:rsid w:val="00A751A1"/>
    <w:rsid w:val="00A75774"/>
    <w:rsid w:val="00A76D2C"/>
    <w:rsid w:val="00A77746"/>
    <w:rsid w:val="00A806AA"/>
    <w:rsid w:val="00A808EB"/>
    <w:rsid w:val="00A820BF"/>
    <w:rsid w:val="00A82762"/>
    <w:rsid w:val="00A82CF0"/>
    <w:rsid w:val="00A83683"/>
    <w:rsid w:val="00A837EB"/>
    <w:rsid w:val="00A83BF6"/>
    <w:rsid w:val="00A8433D"/>
    <w:rsid w:val="00A848F3"/>
    <w:rsid w:val="00A84BAC"/>
    <w:rsid w:val="00A85D44"/>
    <w:rsid w:val="00A87B4F"/>
    <w:rsid w:val="00A87C47"/>
    <w:rsid w:val="00A87D56"/>
    <w:rsid w:val="00A87F31"/>
    <w:rsid w:val="00A905FE"/>
    <w:rsid w:val="00A906E4"/>
    <w:rsid w:val="00A90A35"/>
    <w:rsid w:val="00A90D27"/>
    <w:rsid w:val="00A90EF7"/>
    <w:rsid w:val="00A9103B"/>
    <w:rsid w:val="00A91284"/>
    <w:rsid w:val="00A918A7"/>
    <w:rsid w:val="00A91F76"/>
    <w:rsid w:val="00A92538"/>
    <w:rsid w:val="00A92871"/>
    <w:rsid w:val="00A92C6E"/>
    <w:rsid w:val="00A93082"/>
    <w:rsid w:val="00A936EA"/>
    <w:rsid w:val="00A93F6F"/>
    <w:rsid w:val="00A94E43"/>
    <w:rsid w:val="00A955EB"/>
    <w:rsid w:val="00A9591E"/>
    <w:rsid w:val="00A96A1A"/>
    <w:rsid w:val="00AA1F49"/>
    <w:rsid w:val="00AA2620"/>
    <w:rsid w:val="00AA2A99"/>
    <w:rsid w:val="00AA326E"/>
    <w:rsid w:val="00AA3A2E"/>
    <w:rsid w:val="00AA4099"/>
    <w:rsid w:val="00AA42C5"/>
    <w:rsid w:val="00AA468B"/>
    <w:rsid w:val="00AA4D5A"/>
    <w:rsid w:val="00AA5867"/>
    <w:rsid w:val="00AA5FA3"/>
    <w:rsid w:val="00AA6613"/>
    <w:rsid w:val="00AA6913"/>
    <w:rsid w:val="00AA71AE"/>
    <w:rsid w:val="00AB2190"/>
    <w:rsid w:val="00AB275A"/>
    <w:rsid w:val="00AB39EB"/>
    <w:rsid w:val="00AB3F27"/>
    <w:rsid w:val="00AB3FD9"/>
    <w:rsid w:val="00AB4A7A"/>
    <w:rsid w:val="00AB4FD0"/>
    <w:rsid w:val="00AB6C14"/>
    <w:rsid w:val="00AB75AF"/>
    <w:rsid w:val="00AB7DE7"/>
    <w:rsid w:val="00AB7EFD"/>
    <w:rsid w:val="00AC01D4"/>
    <w:rsid w:val="00AC03AB"/>
    <w:rsid w:val="00AC0650"/>
    <w:rsid w:val="00AC14D1"/>
    <w:rsid w:val="00AC1BE7"/>
    <w:rsid w:val="00AC1F76"/>
    <w:rsid w:val="00AC26EB"/>
    <w:rsid w:val="00AC275F"/>
    <w:rsid w:val="00AC3EE4"/>
    <w:rsid w:val="00AC408B"/>
    <w:rsid w:val="00AC44D0"/>
    <w:rsid w:val="00AC4AC9"/>
    <w:rsid w:val="00AC4D72"/>
    <w:rsid w:val="00AC4F84"/>
    <w:rsid w:val="00AC50A4"/>
    <w:rsid w:val="00AC5A95"/>
    <w:rsid w:val="00AC6074"/>
    <w:rsid w:val="00AC6471"/>
    <w:rsid w:val="00AC6621"/>
    <w:rsid w:val="00AD061F"/>
    <w:rsid w:val="00AD1751"/>
    <w:rsid w:val="00AD1BA7"/>
    <w:rsid w:val="00AD1C1C"/>
    <w:rsid w:val="00AD1F29"/>
    <w:rsid w:val="00AD218C"/>
    <w:rsid w:val="00AD27FE"/>
    <w:rsid w:val="00AD2B6E"/>
    <w:rsid w:val="00AD2EF9"/>
    <w:rsid w:val="00AD340D"/>
    <w:rsid w:val="00AD3443"/>
    <w:rsid w:val="00AD383B"/>
    <w:rsid w:val="00AD3E9B"/>
    <w:rsid w:val="00AD4B3C"/>
    <w:rsid w:val="00AD5592"/>
    <w:rsid w:val="00AD66AE"/>
    <w:rsid w:val="00AD66C0"/>
    <w:rsid w:val="00AD68A5"/>
    <w:rsid w:val="00AD7687"/>
    <w:rsid w:val="00AE0A88"/>
    <w:rsid w:val="00AE0AF3"/>
    <w:rsid w:val="00AE1120"/>
    <w:rsid w:val="00AE13F8"/>
    <w:rsid w:val="00AE147F"/>
    <w:rsid w:val="00AE185D"/>
    <w:rsid w:val="00AE1BFE"/>
    <w:rsid w:val="00AE22F5"/>
    <w:rsid w:val="00AE2C67"/>
    <w:rsid w:val="00AE3842"/>
    <w:rsid w:val="00AE3D83"/>
    <w:rsid w:val="00AE4374"/>
    <w:rsid w:val="00AE44C2"/>
    <w:rsid w:val="00AE466A"/>
    <w:rsid w:val="00AE47E9"/>
    <w:rsid w:val="00AE485C"/>
    <w:rsid w:val="00AE62A5"/>
    <w:rsid w:val="00AE6357"/>
    <w:rsid w:val="00AE6A49"/>
    <w:rsid w:val="00AE6B8A"/>
    <w:rsid w:val="00AE71F1"/>
    <w:rsid w:val="00AE7241"/>
    <w:rsid w:val="00AE7D4F"/>
    <w:rsid w:val="00AE7FE4"/>
    <w:rsid w:val="00AF0117"/>
    <w:rsid w:val="00AF17D3"/>
    <w:rsid w:val="00AF1D77"/>
    <w:rsid w:val="00AF1E50"/>
    <w:rsid w:val="00AF38BA"/>
    <w:rsid w:val="00AF4F67"/>
    <w:rsid w:val="00AF5811"/>
    <w:rsid w:val="00AF6217"/>
    <w:rsid w:val="00AF6509"/>
    <w:rsid w:val="00AF7FAF"/>
    <w:rsid w:val="00B005D8"/>
    <w:rsid w:val="00B006BE"/>
    <w:rsid w:val="00B00BBE"/>
    <w:rsid w:val="00B03932"/>
    <w:rsid w:val="00B0456E"/>
    <w:rsid w:val="00B04B22"/>
    <w:rsid w:val="00B06A05"/>
    <w:rsid w:val="00B06BF6"/>
    <w:rsid w:val="00B06F7F"/>
    <w:rsid w:val="00B100F0"/>
    <w:rsid w:val="00B10804"/>
    <w:rsid w:val="00B10993"/>
    <w:rsid w:val="00B10C06"/>
    <w:rsid w:val="00B110A2"/>
    <w:rsid w:val="00B1309E"/>
    <w:rsid w:val="00B1402E"/>
    <w:rsid w:val="00B142FD"/>
    <w:rsid w:val="00B145AD"/>
    <w:rsid w:val="00B14865"/>
    <w:rsid w:val="00B15574"/>
    <w:rsid w:val="00B156D5"/>
    <w:rsid w:val="00B16179"/>
    <w:rsid w:val="00B21D50"/>
    <w:rsid w:val="00B21E31"/>
    <w:rsid w:val="00B229BE"/>
    <w:rsid w:val="00B22F9B"/>
    <w:rsid w:val="00B23747"/>
    <w:rsid w:val="00B23AE6"/>
    <w:rsid w:val="00B23E0A"/>
    <w:rsid w:val="00B24090"/>
    <w:rsid w:val="00B252F5"/>
    <w:rsid w:val="00B257E3"/>
    <w:rsid w:val="00B25C7C"/>
    <w:rsid w:val="00B260C7"/>
    <w:rsid w:val="00B26A9A"/>
    <w:rsid w:val="00B27494"/>
    <w:rsid w:val="00B279B9"/>
    <w:rsid w:val="00B27BFD"/>
    <w:rsid w:val="00B306B3"/>
    <w:rsid w:val="00B307CA"/>
    <w:rsid w:val="00B30C8F"/>
    <w:rsid w:val="00B30FD0"/>
    <w:rsid w:val="00B32402"/>
    <w:rsid w:val="00B33E65"/>
    <w:rsid w:val="00B3474C"/>
    <w:rsid w:val="00B34D3B"/>
    <w:rsid w:val="00B34F48"/>
    <w:rsid w:val="00B35CC8"/>
    <w:rsid w:val="00B369D2"/>
    <w:rsid w:val="00B42398"/>
    <w:rsid w:val="00B43973"/>
    <w:rsid w:val="00B4428B"/>
    <w:rsid w:val="00B45DF2"/>
    <w:rsid w:val="00B46873"/>
    <w:rsid w:val="00B46D30"/>
    <w:rsid w:val="00B47156"/>
    <w:rsid w:val="00B50F0D"/>
    <w:rsid w:val="00B5197B"/>
    <w:rsid w:val="00B51BA0"/>
    <w:rsid w:val="00B535BD"/>
    <w:rsid w:val="00B53701"/>
    <w:rsid w:val="00B5509D"/>
    <w:rsid w:val="00B555D6"/>
    <w:rsid w:val="00B55EF1"/>
    <w:rsid w:val="00B56275"/>
    <w:rsid w:val="00B56A26"/>
    <w:rsid w:val="00B56B63"/>
    <w:rsid w:val="00B573E6"/>
    <w:rsid w:val="00B60AD4"/>
    <w:rsid w:val="00B6110A"/>
    <w:rsid w:val="00B613F8"/>
    <w:rsid w:val="00B61654"/>
    <w:rsid w:val="00B6176A"/>
    <w:rsid w:val="00B6205D"/>
    <w:rsid w:val="00B6301A"/>
    <w:rsid w:val="00B63A21"/>
    <w:rsid w:val="00B64799"/>
    <w:rsid w:val="00B64CAD"/>
    <w:rsid w:val="00B651FA"/>
    <w:rsid w:val="00B65241"/>
    <w:rsid w:val="00B65C1E"/>
    <w:rsid w:val="00B65ED3"/>
    <w:rsid w:val="00B66751"/>
    <w:rsid w:val="00B66B7C"/>
    <w:rsid w:val="00B66CD7"/>
    <w:rsid w:val="00B66D8E"/>
    <w:rsid w:val="00B67AA6"/>
    <w:rsid w:val="00B701E3"/>
    <w:rsid w:val="00B7066C"/>
    <w:rsid w:val="00B70A28"/>
    <w:rsid w:val="00B717D8"/>
    <w:rsid w:val="00B718E0"/>
    <w:rsid w:val="00B72BB4"/>
    <w:rsid w:val="00B72D55"/>
    <w:rsid w:val="00B72DF3"/>
    <w:rsid w:val="00B73CDD"/>
    <w:rsid w:val="00B74146"/>
    <w:rsid w:val="00B747A3"/>
    <w:rsid w:val="00B74B5F"/>
    <w:rsid w:val="00B75A27"/>
    <w:rsid w:val="00B75E52"/>
    <w:rsid w:val="00B76F6C"/>
    <w:rsid w:val="00B8057B"/>
    <w:rsid w:val="00B8080B"/>
    <w:rsid w:val="00B811EF"/>
    <w:rsid w:val="00B81568"/>
    <w:rsid w:val="00B82152"/>
    <w:rsid w:val="00B82364"/>
    <w:rsid w:val="00B8310D"/>
    <w:rsid w:val="00B831B9"/>
    <w:rsid w:val="00B832BB"/>
    <w:rsid w:val="00B8427A"/>
    <w:rsid w:val="00B86EF1"/>
    <w:rsid w:val="00B87AAA"/>
    <w:rsid w:val="00B90674"/>
    <w:rsid w:val="00B91975"/>
    <w:rsid w:val="00B91F77"/>
    <w:rsid w:val="00B91FFF"/>
    <w:rsid w:val="00B92576"/>
    <w:rsid w:val="00B934E3"/>
    <w:rsid w:val="00B93ACB"/>
    <w:rsid w:val="00B94323"/>
    <w:rsid w:val="00B94444"/>
    <w:rsid w:val="00B9566B"/>
    <w:rsid w:val="00B95F92"/>
    <w:rsid w:val="00B961B7"/>
    <w:rsid w:val="00B963D4"/>
    <w:rsid w:val="00B9772B"/>
    <w:rsid w:val="00BA1514"/>
    <w:rsid w:val="00BA1820"/>
    <w:rsid w:val="00BA1B02"/>
    <w:rsid w:val="00BA2DEF"/>
    <w:rsid w:val="00BA3294"/>
    <w:rsid w:val="00BA35F2"/>
    <w:rsid w:val="00BA42FB"/>
    <w:rsid w:val="00BA4768"/>
    <w:rsid w:val="00BA4861"/>
    <w:rsid w:val="00BA48AB"/>
    <w:rsid w:val="00BA4A92"/>
    <w:rsid w:val="00BA516F"/>
    <w:rsid w:val="00BA5941"/>
    <w:rsid w:val="00BA628C"/>
    <w:rsid w:val="00BA7059"/>
    <w:rsid w:val="00BA734B"/>
    <w:rsid w:val="00BA74FE"/>
    <w:rsid w:val="00BB0051"/>
    <w:rsid w:val="00BB02C6"/>
    <w:rsid w:val="00BB0A22"/>
    <w:rsid w:val="00BB0EEC"/>
    <w:rsid w:val="00BB1082"/>
    <w:rsid w:val="00BB16CC"/>
    <w:rsid w:val="00BB2127"/>
    <w:rsid w:val="00BB3245"/>
    <w:rsid w:val="00BB3805"/>
    <w:rsid w:val="00BB4589"/>
    <w:rsid w:val="00BB4B62"/>
    <w:rsid w:val="00BB52A5"/>
    <w:rsid w:val="00BB5893"/>
    <w:rsid w:val="00BB5FFC"/>
    <w:rsid w:val="00BB620E"/>
    <w:rsid w:val="00BB6524"/>
    <w:rsid w:val="00BB6740"/>
    <w:rsid w:val="00BB737D"/>
    <w:rsid w:val="00BB794F"/>
    <w:rsid w:val="00BB7EA1"/>
    <w:rsid w:val="00BB7F81"/>
    <w:rsid w:val="00BC148A"/>
    <w:rsid w:val="00BC269B"/>
    <w:rsid w:val="00BC26E1"/>
    <w:rsid w:val="00BC27D2"/>
    <w:rsid w:val="00BC299D"/>
    <w:rsid w:val="00BC34CA"/>
    <w:rsid w:val="00BC3616"/>
    <w:rsid w:val="00BC605B"/>
    <w:rsid w:val="00BC6D0F"/>
    <w:rsid w:val="00BD0B1F"/>
    <w:rsid w:val="00BD0EEE"/>
    <w:rsid w:val="00BD1CDA"/>
    <w:rsid w:val="00BD25BF"/>
    <w:rsid w:val="00BD26A3"/>
    <w:rsid w:val="00BD35E1"/>
    <w:rsid w:val="00BD3A56"/>
    <w:rsid w:val="00BD3FC3"/>
    <w:rsid w:val="00BD43AF"/>
    <w:rsid w:val="00BD4FE8"/>
    <w:rsid w:val="00BD54FC"/>
    <w:rsid w:val="00BD557F"/>
    <w:rsid w:val="00BD5985"/>
    <w:rsid w:val="00BD5BF9"/>
    <w:rsid w:val="00BD63C3"/>
    <w:rsid w:val="00BD67CE"/>
    <w:rsid w:val="00BD6AF2"/>
    <w:rsid w:val="00BD700D"/>
    <w:rsid w:val="00BD76A4"/>
    <w:rsid w:val="00BE0186"/>
    <w:rsid w:val="00BE1C8A"/>
    <w:rsid w:val="00BE4857"/>
    <w:rsid w:val="00BE5847"/>
    <w:rsid w:val="00BE5BE0"/>
    <w:rsid w:val="00BE5D1D"/>
    <w:rsid w:val="00BE64D7"/>
    <w:rsid w:val="00BE697B"/>
    <w:rsid w:val="00BE70E8"/>
    <w:rsid w:val="00BF0AE1"/>
    <w:rsid w:val="00BF0E76"/>
    <w:rsid w:val="00BF19DC"/>
    <w:rsid w:val="00BF1A25"/>
    <w:rsid w:val="00BF2278"/>
    <w:rsid w:val="00BF25E7"/>
    <w:rsid w:val="00BF2B3E"/>
    <w:rsid w:val="00BF2DAF"/>
    <w:rsid w:val="00BF3274"/>
    <w:rsid w:val="00BF4120"/>
    <w:rsid w:val="00BF4E1B"/>
    <w:rsid w:val="00BF5AB9"/>
    <w:rsid w:val="00BF5FFB"/>
    <w:rsid w:val="00BF624B"/>
    <w:rsid w:val="00BF642C"/>
    <w:rsid w:val="00C00AEA"/>
    <w:rsid w:val="00C01083"/>
    <w:rsid w:val="00C011D9"/>
    <w:rsid w:val="00C0173F"/>
    <w:rsid w:val="00C02A1F"/>
    <w:rsid w:val="00C03B41"/>
    <w:rsid w:val="00C0480F"/>
    <w:rsid w:val="00C04C9A"/>
    <w:rsid w:val="00C05E3C"/>
    <w:rsid w:val="00C06F09"/>
    <w:rsid w:val="00C07AE6"/>
    <w:rsid w:val="00C1043C"/>
    <w:rsid w:val="00C1085D"/>
    <w:rsid w:val="00C10975"/>
    <w:rsid w:val="00C10AD2"/>
    <w:rsid w:val="00C10D90"/>
    <w:rsid w:val="00C12A51"/>
    <w:rsid w:val="00C12C65"/>
    <w:rsid w:val="00C12CD1"/>
    <w:rsid w:val="00C13229"/>
    <w:rsid w:val="00C13B13"/>
    <w:rsid w:val="00C14C6C"/>
    <w:rsid w:val="00C1591E"/>
    <w:rsid w:val="00C173EE"/>
    <w:rsid w:val="00C17900"/>
    <w:rsid w:val="00C20D36"/>
    <w:rsid w:val="00C21038"/>
    <w:rsid w:val="00C2286B"/>
    <w:rsid w:val="00C231E5"/>
    <w:rsid w:val="00C2390E"/>
    <w:rsid w:val="00C2396B"/>
    <w:rsid w:val="00C24E4C"/>
    <w:rsid w:val="00C25B68"/>
    <w:rsid w:val="00C25DE4"/>
    <w:rsid w:val="00C26057"/>
    <w:rsid w:val="00C26865"/>
    <w:rsid w:val="00C26E3E"/>
    <w:rsid w:val="00C2785F"/>
    <w:rsid w:val="00C30B90"/>
    <w:rsid w:val="00C30BA6"/>
    <w:rsid w:val="00C31340"/>
    <w:rsid w:val="00C31467"/>
    <w:rsid w:val="00C31614"/>
    <w:rsid w:val="00C33F0C"/>
    <w:rsid w:val="00C3406F"/>
    <w:rsid w:val="00C34CCB"/>
    <w:rsid w:val="00C34D57"/>
    <w:rsid w:val="00C35515"/>
    <w:rsid w:val="00C3563A"/>
    <w:rsid w:val="00C35807"/>
    <w:rsid w:val="00C35A4B"/>
    <w:rsid w:val="00C36696"/>
    <w:rsid w:val="00C36720"/>
    <w:rsid w:val="00C36777"/>
    <w:rsid w:val="00C37518"/>
    <w:rsid w:val="00C377E0"/>
    <w:rsid w:val="00C37F00"/>
    <w:rsid w:val="00C40744"/>
    <w:rsid w:val="00C40D20"/>
    <w:rsid w:val="00C41195"/>
    <w:rsid w:val="00C421C9"/>
    <w:rsid w:val="00C42A02"/>
    <w:rsid w:val="00C42A3A"/>
    <w:rsid w:val="00C42E5A"/>
    <w:rsid w:val="00C437C6"/>
    <w:rsid w:val="00C43B52"/>
    <w:rsid w:val="00C44D93"/>
    <w:rsid w:val="00C4517F"/>
    <w:rsid w:val="00C45232"/>
    <w:rsid w:val="00C45487"/>
    <w:rsid w:val="00C45EBD"/>
    <w:rsid w:val="00C46406"/>
    <w:rsid w:val="00C46646"/>
    <w:rsid w:val="00C467AB"/>
    <w:rsid w:val="00C46981"/>
    <w:rsid w:val="00C46E79"/>
    <w:rsid w:val="00C46E94"/>
    <w:rsid w:val="00C46FAC"/>
    <w:rsid w:val="00C4713F"/>
    <w:rsid w:val="00C51509"/>
    <w:rsid w:val="00C52097"/>
    <w:rsid w:val="00C52615"/>
    <w:rsid w:val="00C52BA5"/>
    <w:rsid w:val="00C52EF2"/>
    <w:rsid w:val="00C52F47"/>
    <w:rsid w:val="00C53323"/>
    <w:rsid w:val="00C53366"/>
    <w:rsid w:val="00C5488B"/>
    <w:rsid w:val="00C54D8C"/>
    <w:rsid w:val="00C57493"/>
    <w:rsid w:val="00C57B58"/>
    <w:rsid w:val="00C605E6"/>
    <w:rsid w:val="00C61660"/>
    <w:rsid w:val="00C618E5"/>
    <w:rsid w:val="00C61F0D"/>
    <w:rsid w:val="00C6248C"/>
    <w:rsid w:val="00C6253E"/>
    <w:rsid w:val="00C62CAB"/>
    <w:rsid w:val="00C643E4"/>
    <w:rsid w:val="00C64D07"/>
    <w:rsid w:val="00C65993"/>
    <w:rsid w:val="00C665CB"/>
    <w:rsid w:val="00C66CEF"/>
    <w:rsid w:val="00C670FE"/>
    <w:rsid w:val="00C70F6F"/>
    <w:rsid w:val="00C71087"/>
    <w:rsid w:val="00C718C5"/>
    <w:rsid w:val="00C71CB9"/>
    <w:rsid w:val="00C71E3C"/>
    <w:rsid w:val="00C72881"/>
    <w:rsid w:val="00C73C17"/>
    <w:rsid w:val="00C75492"/>
    <w:rsid w:val="00C75688"/>
    <w:rsid w:val="00C76A4B"/>
    <w:rsid w:val="00C7784C"/>
    <w:rsid w:val="00C779C7"/>
    <w:rsid w:val="00C77A71"/>
    <w:rsid w:val="00C77C78"/>
    <w:rsid w:val="00C80B05"/>
    <w:rsid w:val="00C8146C"/>
    <w:rsid w:val="00C81D8B"/>
    <w:rsid w:val="00C8207C"/>
    <w:rsid w:val="00C8231E"/>
    <w:rsid w:val="00C83CC0"/>
    <w:rsid w:val="00C84303"/>
    <w:rsid w:val="00C846DD"/>
    <w:rsid w:val="00C849BE"/>
    <w:rsid w:val="00C85CA6"/>
    <w:rsid w:val="00C87204"/>
    <w:rsid w:val="00C87243"/>
    <w:rsid w:val="00C873DA"/>
    <w:rsid w:val="00C9095E"/>
    <w:rsid w:val="00C90A7F"/>
    <w:rsid w:val="00C9147E"/>
    <w:rsid w:val="00C91E3C"/>
    <w:rsid w:val="00C925ED"/>
    <w:rsid w:val="00C92AD4"/>
    <w:rsid w:val="00C92B8C"/>
    <w:rsid w:val="00C92CF7"/>
    <w:rsid w:val="00C9339F"/>
    <w:rsid w:val="00C93A3C"/>
    <w:rsid w:val="00C93B39"/>
    <w:rsid w:val="00C94D94"/>
    <w:rsid w:val="00C953F4"/>
    <w:rsid w:val="00C95976"/>
    <w:rsid w:val="00C95AFE"/>
    <w:rsid w:val="00C96492"/>
    <w:rsid w:val="00C96618"/>
    <w:rsid w:val="00C96769"/>
    <w:rsid w:val="00C96A10"/>
    <w:rsid w:val="00C9753B"/>
    <w:rsid w:val="00CA09CD"/>
    <w:rsid w:val="00CA0C87"/>
    <w:rsid w:val="00CA19CD"/>
    <w:rsid w:val="00CA1E75"/>
    <w:rsid w:val="00CA1F28"/>
    <w:rsid w:val="00CA20F3"/>
    <w:rsid w:val="00CA2747"/>
    <w:rsid w:val="00CA29F2"/>
    <w:rsid w:val="00CA339A"/>
    <w:rsid w:val="00CA364A"/>
    <w:rsid w:val="00CA384B"/>
    <w:rsid w:val="00CA3E88"/>
    <w:rsid w:val="00CA4A62"/>
    <w:rsid w:val="00CA561E"/>
    <w:rsid w:val="00CA5ABE"/>
    <w:rsid w:val="00CA5B30"/>
    <w:rsid w:val="00CA5B58"/>
    <w:rsid w:val="00CA659E"/>
    <w:rsid w:val="00CA6A39"/>
    <w:rsid w:val="00CA7DAD"/>
    <w:rsid w:val="00CB0E80"/>
    <w:rsid w:val="00CB16D5"/>
    <w:rsid w:val="00CB17C0"/>
    <w:rsid w:val="00CB19F0"/>
    <w:rsid w:val="00CB23DD"/>
    <w:rsid w:val="00CB2757"/>
    <w:rsid w:val="00CB28F0"/>
    <w:rsid w:val="00CB2C39"/>
    <w:rsid w:val="00CB2FE7"/>
    <w:rsid w:val="00CB31F6"/>
    <w:rsid w:val="00CB3747"/>
    <w:rsid w:val="00CB3B57"/>
    <w:rsid w:val="00CB42AE"/>
    <w:rsid w:val="00CB50ED"/>
    <w:rsid w:val="00CB5100"/>
    <w:rsid w:val="00CB6768"/>
    <w:rsid w:val="00CB7137"/>
    <w:rsid w:val="00CB7268"/>
    <w:rsid w:val="00CB768F"/>
    <w:rsid w:val="00CB7A54"/>
    <w:rsid w:val="00CC0848"/>
    <w:rsid w:val="00CC17DB"/>
    <w:rsid w:val="00CC19B2"/>
    <w:rsid w:val="00CC246D"/>
    <w:rsid w:val="00CC2C1C"/>
    <w:rsid w:val="00CC2F01"/>
    <w:rsid w:val="00CC43D7"/>
    <w:rsid w:val="00CC586C"/>
    <w:rsid w:val="00CC6453"/>
    <w:rsid w:val="00CD0640"/>
    <w:rsid w:val="00CD1B2F"/>
    <w:rsid w:val="00CD22D2"/>
    <w:rsid w:val="00CD2D8A"/>
    <w:rsid w:val="00CD2DB3"/>
    <w:rsid w:val="00CD31EA"/>
    <w:rsid w:val="00CD352F"/>
    <w:rsid w:val="00CD43D6"/>
    <w:rsid w:val="00CD4B6F"/>
    <w:rsid w:val="00CD5A3D"/>
    <w:rsid w:val="00CD692F"/>
    <w:rsid w:val="00CD6B82"/>
    <w:rsid w:val="00CD746A"/>
    <w:rsid w:val="00CD7E06"/>
    <w:rsid w:val="00CE0392"/>
    <w:rsid w:val="00CE2303"/>
    <w:rsid w:val="00CE3811"/>
    <w:rsid w:val="00CE3DC5"/>
    <w:rsid w:val="00CE42D7"/>
    <w:rsid w:val="00CE5334"/>
    <w:rsid w:val="00CE5481"/>
    <w:rsid w:val="00CE5866"/>
    <w:rsid w:val="00CE61C8"/>
    <w:rsid w:val="00CE7368"/>
    <w:rsid w:val="00CE7F27"/>
    <w:rsid w:val="00CE7FD4"/>
    <w:rsid w:val="00CF000C"/>
    <w:rsid w:val="00CF003F"/>
    <w:rsid w:val="00CF0045"/>
    <w:rsid w:val="00CF196B"/>
    <w:rsid w:val="00CF1B67"/>
    <w:rsid w:val="00CF2618"/>
    <w:rsid w:val="00CF2B9F"/>
    <w:rsid w:val="00CF3331"/>
    <w:rsid w:val="00CF34A9"/>
    <w:rsid w:val="00CF37F7"/>
    <w:rsid w:val="00CF6F20"/>
    <w:rsid w:val="00CF708F"/>
    <w:rsid w:val="00CF7194"/>
    <w:rsid w:val="00CF74AE"/>
    <w:rsid w:val="00CF7C90"/>
    <w:rsid w:val="00CF7EA0"/>
    <w:rsid w:val="00CF7F9F"/>
    <w:rsid w:val="00CF7FB8"/>
    <w:rsid w:val="00D002C2"/>
    <w:rsid w:val="00D00600"/>
    <w:rsid w:val="00D00A29"/>
    <w:rsid w:val="00D02612"/>
    <w:rsid w:val="00D0329F"/>
    <w:rsid w:val="00D03A4E"/>
    <w:rsid w:val="00D04372"/>
    <w:rsid w:val="00D04F9C"/>
    <w:rsid w:val="00D05DB1"/>
    <w:rsid w:val="00D05F6A"/>
    <w:rsid w:val="00D06299"/>
    <w:rsid w:val="00D06DB2"/>
    <w:rsid w:val="00D1045D"/>
    <w:rsid w:val="00D109C9"/>
    <w:rsid w:val="00D10CB8"/>
    <w:rsid w:val="00D11341"/>
    <w:rsid w:val="00D116A7"/>
    <w:rsid w:val="00D119A9"/>
    <w:rsid w:val="00D124BA"/>
    <w:rsid w:val="00D1285D"/>
    <w:rsid w:val="00D133AA"/>
    <w:rsid w:val="00D13B0B"/>
    <w:rsid w:val="00D13CCF"/>
    <w:rsid w:val="00D14862"/>
    <w:rsid w:val="00D14CF7"/>
    <w:rsid w:val="00D14F87"/>
    <w:rsid w:val="00D1576E"/>
    <w:rsid w:val="00D15967"/>
    <w:rsid w:val="00D15BBC"/>
    <w:rsid w:val="00D15E67"/>
    <w:rsid w:val="00D16305"/>
    <w:rsid w:val="00D17361"/>
    <w:rsid w:val="00D20ABB"/>
    <w:rsid w:val="00D21DF9"/>
    <w:rsid w:val="00D224CA"/>
    <w:rsid w:val="00D24AEE"/>
    <w:rsid w:val="00D24C60"/>
    <w:rsid w:val="00D25315"/>
    <w:rsid w:val="00D25D90"/>
    <w:rsid w:val="00D260C1"/>
    <w:rsid w:val="00D26A33"/>
    <w:rsid w:val="00D279C9"/>
    <w:rsid w:val="00D3073E"/>
    <w:rsid w:val="00D31676"/>
    <w:rsid w:val="00D316C8"/>
    <w:rsid w:val="00D337D5"/>
    <w:rsid w:val="00D33FB9"/>
    <w:rsid w:val="00D34817"/>
    <w:rsid w:val="00D34FFC"/>
    <w:rsid w:val="00D35F11"/>
    <w:rsid w:val="00D36043"/>
    <w:rsid w:val="00D365BB"/>
    <w:rsid w:val="00D3795A"/>
    <w:rsid w:val="00D37AB5"/>
    <w:rsid w:val="00D40B7E"/>
    <w:rsid w:val="00D40C74"/>
    <w:rsid w:val="00D43282"/>
    <w:rsid w:val="00D43EA4"/>
    <w:rsid w:val="00D44508"/>
    <w:rsid w:val="00D44586"/>
    <w:rsid w:val="00D44CFE"/>
    <w:rsid w:val="00D45A5C"/>
    <w:rsid w:val="00D466D8"/>
    <w:rsid w:val="00D46762"/>
    <w:rsid w:val="00D476E4"/>
    <w:rsid w:val="00D47810"/>
    <w:rsid w:val="00D5128E"/>
    <w:rsid w:val="00D52932"/>
    <w:rsid w:val="00D529BC"/>
    <w:rsid w:val="00D52B18"/>
    <w:rsid w:val="00D52FD0"/>
    <w:rsid w:val="00D535E4"/>
    <w:rsid w:val="00D537FE"/>
    <w:rsid w:val="00D54385"/>
    <w:rsid w:val="00D546B5"/>
    <w:rsid w:val="00D54BC5"/>
    <w:rsid w:val="00D55D54"/>
    <w:rsid w:val="00D5607E"/>
    <w:rsid w:val="00D56214"/>
    <w:rsid w:val="00D5778E"/>
    <w:rsid w:val="00D606D9"/>
    <w:rsid w:val="00D6126A"/>
    <w:rsid w:val="00D6259C"/>
    <w:rsid w:val="00D63139"/>
    <w:rsid w:val="00D63205"/>
    <w:rsid w:val="00D63B91"/>
    <w:rsid w:val="00D63EC3"/>
    <w:rsid w:val="00D64A4A"/>
    <w:rsid w:val="00D657C5"/>
    <w:rsid w:val="00D663CA"/>
    <w:rsid w:val="00D6679C"/>
    <w:rsid w:val="00D70732"/>
    <w:rsid w:val="00D71CE9"/>
    <w:rsid w:val="00D72F5D"/>
    <w:rsid w:val="00D7370C"/>
    <w:rsid w:val="00D73EE6"/>
    <w:rsid w:val="00D742D2"/>
    <w:rsid w:val="00D744DC"/>
    <w:rsid w:val="00D74556"/>
    <w:rsid w:val="00D75CF7"/>
    <w:rsid w:val="00D75F59"/>
    <w:rsid w:val="00D762C4"/>
    <w:rsid w:val="00D776C3"/>
    <w:rsid w:val="00D77FFD"/>
    <w:rsid w:val="00D80153"/>
    <w:rsid w:val="00D80A89"/>
    <w:rsid w:val="00D80DE5"/>
    <w:rsid w:val="00D814BC"/>
    <w:rsid w:val="00D81AC7"/>
    <w:rsid w:val="00D8257A"/>
    <w:rsid w:val="00D83169"/>
    <w:rsid w:val="00D83975"/>
    <w:rsid w:val="00D83E45"/>
    <w:rsid w:val="00D842CD"/>
    <w:rsid w:val="00D8495C"/>
    <w:rsid w:val="00D85955"/>
    <w:rsid w:val="00D86737"/>
    <w:rsid w:val="00D8696A"/>
    <w:rsid w:val="00D87B10"/>
    <w:rsid w:val="00D90419"/>
    <w:rsid w:val="00D90505"/>
    <w:rsid w:val="00D90551"/>
    <w:rsid w:val="00D90A8F"/>
    <w:rsid w:val="00D90F5A"/>
    <w:rsid w:val="00D9153B"/>
    <w:rsid w:val="00D9160A"/>
    <w:rsid w:val="00D91D8D"/>
    <w:rsid w:val="00D92083"/>
    <w:rsid w:val="00D927CA"/>
    <w:rsid w:val="00D92D97"/>
    <w:rsid w:val="00D95903"/>
    <w:rsid w:val="00D95D78"/>
    <w:rsid w:val="00D96DDA"/>
    <w:rsid w:val="00D975DD"/>
    <w:rsid w:val="00D9764E"/>
    <w:rsid w:val="00D97DAB"/>
    <w:rsid w:val="00DA0810"/>
    <w:rsid w:val="00DA0A5E"/>
    <w:rsid w:val="00DA1607"/>
    <w:rsid w:val="00DA2182"/>
    <w:rsid w:val="00DA3627"/>
    <w:rsid w:val="00DA3B15"/>
    <w:rsid w:val="00DA3FCE"/>
    <w:rsid w:val="00DA4B1A"/>
    <w:rsid w:val="00DA4B42"/>
    <w:rsid w:val="00DA4D8D"/>
    <w:rsid w:val="00DA54BA"/>
    <w:rsid w:val="00DA58D0"/>
    <w:rsid w:val="00DA7458"/>
    <w:rsid w:val="00DA7F77"/>
    <w:rsid w:val="00DB0AFA"/>
    <w:rsid w:val="00DB103B"/>
    <w:rsid w:val="00DB11FD"/>
    <w:rsid w:val="00DB1470"/>
    <w:rsid w:val="00DB1757"/>
    <w:rsid w:val="00DB18CD"/>
    <w:rsid w:val="00DB1A94"/>
    <w:rsid w:val="00DB1B0A"/>
    <w:rsid w:val="00DB2BE7"/>
    <w:rsid w:val="00DB2FAA"/>
    <w:rsid w:val="00DB3165"/>
    <w:rsid w:val="00DB349A"/>
    <w:rsid w:val="00DB39E6"/>
    <w:rsid w:val="00DB41DC"/>
    <w:rsid w:val="00DB4203"/>
    <w:rsid w:val="00DB6B88"/>
    <w:rsid w:val="00DB6C1B"/>
    <w:rsid w:val="00DB7237"/>
    <w:rsid w:val="00DB7CA1"/>
    <w:rsid w:val="00DB7F70"/>
    <w:rsid w:val="00DC094F"/>
    <w:rsid w:val="00DC24B5"/>
    <w:rsid w:val="00DC25DA"/>
    <w:rsid w:val="00DC26BC"/>
    <w:rsid w:val="00DC2738"/>
    <w:rsid w:val="00DC2E81"/>
    <w:rsid w:val="00DC4325"/>
    <w:rsid w:val="00DC483E"/>
    <w:rsid w:val="00DC4915"/>
    <w:rsid w:val="00DC4C59"/>
    <w:rsid w:val="00DC5149"/>
    <w:rsid w:val="00DC5B77"/>
    <w:rsid w:val="00DC5D52"/>
    <w:rsid w:val="00DC64EB"/>
    <w:rsid w:val="00DC6772"/>
    <w:rsid w:val="00DC68E1"/>
    <w:rsid w:val="00DC718F"/>
    <w:rsid w:val="00DC7761"/>
    <w:rsid w:val="00DC7C21"/>
    <w:rsid w:val="00DC7FCE"/>
    <w:rsid w:val="00DD0452"/>
    <w:rsid w:val="00DD0597"/>
    <w:rsid w:val="00DD1B88"/>
    <w:rsid w:val="00DD275C"/>
    <w:rsid w:val="00DD334C"/>
    <w:rsid w:val="00DD3A7E"/>
    <w:rsid w:val="00DD3C08"/>
    <w:rsid w:val="00DD3D81"/>
    <w:rsid w:val="00DD405D"/>
    <w:rsid w:val="00DD68B3"/>
    <w:rsid w:val="00DD7B0E"/>
    <w:rsid w:val="00DE0476"/>
    <w:rsid w:val="00DE11B6"/>
    <w:rsid w:val="00DE1540"/>
    <w:rsid w:val="00DE1B2F"/>
    <w:rsid w:val="00DE1C5A"/>
    <w:rsid w:val="00DE2114"/>
    <w:rsid w:val="00DE2AAC"/>
    <w:rsid w:val="00DE2BB6"/>
    <w:rsid w:val="00DE3098"/>
    <w:rsid w:val="00DE5B24"/>
    <w:rsid w:val="00DE5E04"/>
    <w:rsid w:val="00DE62C7"/>
    <w:rsid w:val="00DE6634"/>
    <w:rsid w:val="00DE6E3F"/>
    <w:rsid w:val="00DF03EB"/>
    <w:rsid w:val="00DF09A0"/>
    <w:rsid w:val="00DF1125"/>
    <w:rsid w:val="00DF22E5"/>
    <w:rsid w:val="00DF27AC"/>
    <w:rsid w:val="00DF28E7"/>
    <w:rsid w:val="00DF2FD1"/>
    <w:rsid w:val="00DF399A"/>
    <w:rsid w:val="00DF447B"/>
    <w:rsid w:val="00DF4DCA"/>
    <w:rsid w:val="00DF53D9"/>
    <w:rsid w:val="00DF6280"/>
    <w:rsid w:val="00DF7B14"/>
    <w:rsid w:val="00DF7B16"/>
    <w:rsid w:val="00DF7F3F"/>
    <w:rsid w:val="00E00009"/>
    <w:rsid w:val="00E01EF4"/>
    <w:rsid w:val="00E02CF2"/>
    <w:rsid w:val="00E0309D"/>
    <w:rsid w:val="00E03D0D"/>
    <w:rsid w:val="00E04947"/>
    <w:rsid w:val="00E057C7"/>
    <w:rsid w:val="00E05FDF"/>
    <w:rsid w:val="00E0683F"/>
    <w:rsid w:val="00E069F7"/>
    <w:rsid w:val="00E06C35"/>
    <w:rsid w:val="00E0710D"/>
    <w:rsid w:val="00E0788C"/>
    <w:rsid w:val="00E07AD5"/>
    <w:rsid w:val="00E07F71"/>
    <w:rsid w:val="00E101C6"/>
    <w:rsid w:val="00E11182"/>
    <w:rsid w:val="00E114D8"/>
    <w:rsid w:val="00E1256E"/>
    <w:rsid w:val="00E126A0"/>
    <w:rsid w:val="00E13129"/>
    <w:rsid w:val="00E1347F"/>
    <w:rsid w:val="00E14522"/>
    <w:rsid w:val="00E1621B"/>
    <w:rsid w:val="00E1719D"/>
    <w:rsid w:val="00E1762B"/>
    <w:rsid w:val="00E178CC"/>
    <w:rsid w:val="00E200BD"/>
    <w:rsid w:val="00E20D8F"/>
    <w:rsid w:val="00E21114"/>
    <w:rsid w:val="00E22B84"/>
    <w:rsid w:val="00E23CE1"/>
    <w:rsid w:val="00E24052"/>
    <w:rsid w:val="00E245EF"/>
    <w:rsid w:val="00E24AAA"/>
    <w:rsid w:val="00E256FA"/>
    <w:rsid w:val="00E25E8A"/>
    <w:rsid w:val="00E25F1F"/>
    <w:rsid w:val="00E26045"/>
    <w:rsid w:val="00E26219"/>
    <w:rsid w:val="00E26BDB"/>
    <w:rsid w:val="00E27304"/>
    <w:rsid w:val="00E27FB7"/>
    <w:rsid w:val="00E304D5"/>
    <w:rsid w:val="00E30C65"/>
    <w:rsid w:val="00E316C3"/>
    <w:rsid w:val="00E326BD"/>
    <w:rsid w:val="00E32D11"/>
    <w:rsid w:val="00E33084"/>
    <w:rsid w:val="00E337F5"/>
    <w:rsid w:val="00E3394A"/>
    <w:rsid w:val="00E339E4"/>
    <w:rsid w:val="00E33D13"/>
    <w:rsid w:val="00E34EBC"/>
    <w:rsid w:val="00E3529F"/>
    <w:rsid w:val="00E352D0"/>
    <w:rsid w:val="00E36D59"/>
    <w:rsid w:val="00E37211"/>
    <w:rsid w:val="00E37848"/>
    <w:rsid w:val="00E4005A"/>
    <w:rsid w:val="00E4034D"/>
    <w:rsid w:val="00E404B3"/>
    <w:rsid w:val="00E404C8"/>
    <w:rsid w:val="00E41EE7"/>
    <w:rsid w:val="00E42084"/>
    <w:rsid w:val="00E42380"/>
    <w:rsid w:val="00E434E0"/>
    <w:rsid w:val="00E44854"/>
    <w:rsid w:val="00E4540D"/>
    <w:rsid w:val="00E45503"/>
    <w:rsid w:val="00E46DCE"/>
    <w:rsid w:val="00E47E8A"/>
    <w:rsid w:val="00E50A05"/>
    <w:rsid w:val="00E50B82"/>
    <w:rsid w:val="00E51630"/>
    <w:rsid w:val="00E5295D"/>
    <w:rsid w:val="00E52975"/>
    <w:rsid w:val="00E5462C"/>
    <w:rsid w:val="00E546B1"/>
    <w:rsid w:val="00E552CC"/>
    <w:rsid w:val="00E55808"/>
    <w:rsid w:val="00E559EA"/>
    <w:rsid w:val="00E5696D"/>
    <w:rsid w:val="00E56CE0"/>
    <w:rsid w:val="00E56E45"/>
    <w:rsid w:val="00E5762B"/>
    <w:rsid w:val="00E57665"/>
    <w:rsid w:val="00E6061A"/>
    <w:rsid w:val="00E611FB"/>
    <w:rsid w:val="00E6161C"/>
    <w:rsid w:val="00E61A16"/>
    <w:rsid w:val="00E61AEA"/>
    <w:rsid w:val="00E62547"/>
    <w:rsid w:val="00E628B3"/>
    <w:rsid w:val="00E62CA1"/>
    <w:rsid w:val="00E62DEC"/>
    <w:rsid w:val="00E62EA9"/>
    <w:rsid w:val="00E63233"/>
    <w:rsid w:val="00E63FE6"/>
    <w:rsid w:val="00E641A0"/>
    <w:rsid w:val="00E64BEE"/>
    <w:rsid w:val="00E65438"/>
    <w:rsid w:val="00E6583C"/>
    <w:rsid w:val="00E65960"/>
    <w:rsid w:val="00E65F8A"/>
    <w:rsid w:val="00E66ECB"/>
    <w:rsid w:val="00E67486"/>
    <w:rsid w:val="00E71139"/>
    <w:rsid w:val="00E727CE"/>
    <w:rsid w:val="00E72E1E"/>
    <w:rsid w:val="00E733C3"/>
    <w:rsid w:val="00E73D84"/>
    <w:rsid w:val="00E73F67"/>
    <w:rsid w:val="00E745E7"/>
    <w:rsid w:val="00E749E1"/>
    <w:rsid w:val="00E74F78"/>
    <w:rsid w:val="00E751E5"/>
    <w:rsid w:val="00E75D6F"/>
    <w:rsid w:val="00E77A83"/>
    <w:rsid w:val="00E8007A"/>
    <w:rsid w:val="00E80578"/>
    <w:rsid w:val="00E80B43"/>
    <w:rsid w:val="00E825EF"/>
    <w:rsid w:val="00E828BD"/>
    <w:rsid w:val="00E833CB"/>
    <w:rsid w:val="00E83995"/>
    <w:rsid w:val="00E83CBA"/>
    <w:rsid w:val="00E83D2E"/>
    <w:rsid w:val="00E83FB2"/>
    <w:rsid w:val="00E844D4"/>
    <w:rsid w:val="00E84C91"/>
    <w:rsid w:val="00E85A90"/>
    <w:rsid w:val="00E85F6A"/>
    <w:rsid w:val="00E8748C"/>
    <w:rsid w:val="00E9021D"/>
    <w:rsid w:val="00E90431"/>
    <w:rsid w:val="00E90615"/>
    <w:rsid w:val="00E90A08"/>
    <w:rsid w:val="00E91FE0"/>
    <w:rsid w:val="00E9469D"/>
    <w:rsid w:val="00E946DB"/>
    <w:rsid w:val="00E94C79"/>
    <w:rsid w:val="00E95AC2"/>
    <w:rsid w:val="00E97167"/>
    <w:rsid w:val="00E9719E"/>
    <w:rsid w:val="00E97787"/>
    <w:rsid w:val="00E97DBB"/>
    <w:rsid w:val="00EA0169"/>
    <w:rsid w:val="00EA040A"/>
    <w:rsid w:val="00EA093A"/>
    <w:rsid w:val="00EA1660"/>
    <w:rsid w:val="00EA18E1"/>
    <w:rsid w:val="00EA1F24"/>
    <w:rsid w:val="00EA3781"/>
    <w:rsid w:val="00EA4206"/>
    <w:rsid w:val="00EA429A"/>
    <w:rsid w:val="00EA4D1B"/>
    <w:rsid w:val="00EA5023"/>
    <w:rsid w:val="00EA5696"/>
    <w:rsid w:val="00EA7061"/>
    <w:rsid w:val="00EA7920"/>
    <w:rsid w:val="00EA7B02"/>
    <w:rsid w:val="00EA7C5B"/>
    <w:rsid w:val="00EB06F4"/>
    <w:rsid w:val="00EB13FE"/>
    <w:rsid w:val="00EB249A"/>
    <w:rsid w:val="00EB254B"/>
    <w:rsid w:val="00EB3706"/>
    <w:rsid w:val="00EB39F1"/>
    <w:rsid w:val="00EB44AA"/>
    <w:rsid w:val="00EB460F"/>
    <w:rsid w:val="00EB472E"/>
    <w:rsid w:val="00EB5434"/>
    <w:rsid w:val="00EB5D6C"/>
    <w:rsid w:val="00EB6A9B"/>
    <w:rsid w:val="00EB7084"/>
    <w:rsid w:val="00EB76D6"/>
    <w:rsid w:val="00EB7B4E"/>
    <w:rsid w:val="00EC0178"/>
    <w:rsid w:val="00EC049F"/>
    <w:rsid w:val="00EC11E3"/>
    <w:rsid w:val="00EC3478"/>
    <w:rsid w:val="00EC479F"/>
    <w:rsid w:val="00EC5843"/>
    <w:rsid w:val="00EC7120"/>
    <w:rsid w:val="00EC7256"/>
    <w:rsid w:val="00EC7DD0"/>
    <w:rsid w:val="00ED024E"/>
    <w:rsid w:val="00ED026E"/>
    <w:rsid w:val="00ED194C"/>
    <w:rsid w:val="00ED2715"/>
    <w:rsid w:val="00ED283C"/>
    <w:rsid w:val="00ED2C26"/>
    <w:rsid w:val="00ED3898"/>
    <w:rsid w:val="00ED38BF"/>
    <w:rsid w:val="00ED46EE"/>
    <w:rsid w:val="00ED48ED"/>
    <w:rsid w:val="00ED5DB2"/>
    <w:rsid w:val="00ED5E27"/>
    <w:rsid w:val="00ED5EC2"/>
    <w:rsid w:val="00ED5FEB"/>
    <w:rsid w:val="00ED74CC"/>
    <w:rsid w:val="00ED7594"/>
    <w:rsid w:val="00EE0DF2"/>
    <w:rsid w:val="00EE1124"/>
    <w:rsid w:val="00EE21DD"/>
    <w:rsid w:val="00EE2833"/>
    <w:rsid w:val="00EE29DE"/>
    <w:rsid w:val="00EE4AF2"/>
    <w:rsid w:val="00EE56DF"/>
    <w:rsid w:val="00EE57AC"/>
    <w:rsid w:val="00EE587F"/>
    <w:rsid w:val="00EE5ED7"/>
    <w:rsid w:val="00EE5FB8"/>
    <w:rsid w:val="00EE60D5"/>
    <w:rsid w:val="00EE64CC"/>
    <w:rsid w:val="00EE6D6B"/>
    <w:rsid w:val="00EE6FDF"/>
    <w:rsid w:val="00EE77AC"/>
    <w:rsid w:val="00EE79E8"/>
    <w:rsid w:val="00EF0E64"/>
    <w:rsid w:val="00EF117C"/>
    <w:rsid w:val="00EF1A24"/>
    <w:rsid w:val="00EF1BF1"/>
    <w:rsid w:val="00EF43C0"/>
    <w:rsid w:val="00EF4437"/>
    <w:rsid w:val="00EF5716"/>
    <w:rsid w:val="00EF6D44"/>
    <w:rsid w:val="00EF71E1"/>
    <w:rsid w:val="00EF78CE"/>
    <w:rsid w:val="00F003B9"/>
    <w:rsid w:val="00F00711"/>
    <w:rsid w:val="00F00FB0"/>
    <w:rsid w:val="00F01586"/>
    <w:rsid w:val="00F017E8"/>
    <w:rsid w:val="00F01AB2"/>
    <w:rsid w:val="00F01BD5"/>
    <w:rsid w:val="00F024E3"/>
    <w:rsid w:val="00F02561"/>
    <w:rsid w:val="00F0264E"/>
    <w:rsid w:val="00F02815"/>
    <w:rsid w:val="00F02D6E"/>
    <w:rsid w:val="00F038CA"/>
    <w:rsid w:val="00F041B2"/>
    <w:rsid w:val="00F04829"/>
    <w:rsid w:val="00F0505F"/>
    <w:rsid w:val="00F05125"/>
    <w:rsid w:val="00F05440"/>
    <w:rsid w:val="00F057DB"/>
    <w:rsid w:val="00F05B6E"/>
    <w:rsid w:val="00F05DBF"/>
    <w:rsid w:val="00F05EAF"/>
    <w:rsid w:val="00F05FBB"/>
    <w:rsid w:val="00F0620F"/>
    <w:rsid w:val="00F06967"/>
    <w:rsid w:val="00F06D7C"/>
    <w:rsid w:val="00F07F62"/>
    <w:rsid w:val="00F1049D"/>
    <w:rsid w:val="00F10B68"/>
    <w:rsid w:val="00F10EF5"/>
    <w:rsid w:val="00F119F0"/>
    <w:rsid w:val="00F11FD3"/>
    <w:rsid w:val="00F13153"/>
    <w:rsid w:val="00F140CB"/>
    <w:rsid w:val="00F147FD"/>
    <w:rsid w:val="00F14CA7"/>
    <w:rsid w:val="00F153C9"/>
    <w:rsid w:val="00F15FC1"/>
    <w:rsid w:val="00F166CE"/>
    <w:rsid w:val="00F17192"/>
    <w:rsid w:val="00F17762"/>
    <w:rsid w:val="00F17DF4"/>
    <w:rsid w:val="00F20C86"/>
    <w:rsid w:val="00F21188"/>
    <w:rsid w:val="00F22FF3"/>
    <w:rsid w:val="00F23C5A"/>
    <w:rsid w:val="00F23E91"/>
    <w:rsid w:val="00F23EB3"/>
    <w:rsid w:val="00F25B82"/>
    <w:rsid w:val="00F25C7B"/>
    <w:rsid w:val="00F261BC"/>
    <w:rsid w:val="00F26F73"/>
    <w:rsid w:val="00F277D4"/>
    <w:rsid w:val="00F27D87"/>
    <w:rsid w:val="00F3060C"/>
    <w:rsid w:val="00F30A70"/>
    <w:rsid w:val="00F31104"/>
    <w:rsid w:val="00F31E19"/>
    <w:rsid w:val="00F31FA0"/>
    <w:rsid w:val="00F3310F"/>
    <w:rsid w:val="00F33E65"/>
    <w:rsid w:val="00F33E8F"/>
    <w:rsid w:val="00F33EE5"/>
    <w:rsid w:val="00F34806"/>
    <w:rsid w:val="00F34D80"/>
    <w:rsid w:val="00F34E6F"/>
    <w:rsid w:val="00F34E93"/>
    <w:rsid w:val="00F372CF"/>
    <w:rsid w:val="00F374AA"/>
    <w:rsid w:val="00F404DA"/>
    <w:rsid w:val="00F40E42"/>
    <w:rsid w:val="00F42F7E"/>
    <w:rsid w:val="00F43F5A"/>
    <w:rsid w:val="00F44511"/>
    <w:rsid w:val="00F4474B"/>
    <w:rsid w:val="00F45B9C"/>
    <w:rsid w:val="00F46910"/>
    <w:rsid w:val="00F5097D"/>
    <w:rsid w:val="00F513E5"/>
    <w:rsid w:val="00F51A25"/>
    <w:rsid w:val="00F51BE3"/>
    <w:rsid w:val="00F51BF3"/>
    <w:rsid w:val="00F5219B"/>
    <w:rsid w:val="00F523DD"/>
    <w:rsid w:val="00F527A6"/>
    <w:rsid w:val="00F53064"/>
    <w:rsid w:val="00F53138"/>
    <w:rsid w:val="00F534C0"/>
    <w:rsid w:val="00F545CC"/>
    <w:rsid w:val="00F54930"/>
    <w:rsid w:val="00F5523B"/>
    <w:rsid w:val="00F561B7"/>
    <w:rsid w:val="00F56D69"/>
    <w:rsid w:val="00F5727D"/>
    <w:rsid w:val="00F61A40"/>
    <w:rsid w:val="00F623B6"/>
    <w:rsid w:val="00F627E6"/>
    <w:rsid w:val="00F6280F"/>
    <w:rsid w:val="00F62819"/>
    <w:rsid w:val="00F6394B"/>
    <w:rsid w:val="00F642FE"/>
    <w:rsid w:val="00F64365"/>
    <w:rsid w:val="00F64596"/>
    <w:rsid w:val="00F64F3F"/>
    <w:rsid w:val="00F6653B"/>
    <w:rsid w:val="00F67947"/>
    <w:rsid w:val="00F67A59"/>
    <w:rsid w:val="00F708D9"/>
    <w:rsid w:val="00F70F76"/>
    <w:rsid w:val="00F71D1B"/>
    <w:rsid w:val="00F720FB"/>
    <w:rsid w:val="00F72146"/>
    <w:rsid w:val="00F721C2"/>
    <w:rsid w:val="00F745B7"/>
    <w:rsid w:val="00F755B0"/>
    <w:rsid w:val="00F75BA9"/>
    <w:rsid w:val="00F75FDF"/>
    <w:rsid w:val="00F76FD3"/>
    <w:rsid w:val="00F77898"/>
    <w:rsid w:val="00F80602"/>
    <w:rsid w:val="00F81376"/>
    <w:rsid w:val="00F814DF"/>
    <w:rsid w:val="00F8174B"/>
    <w:rsid w:val="00F81E48"/>
    <w:rsid w:val="00F82C17"/>
    <w:rsid w:val="00F831FE"/>
    <w:rsid w:val="00F8464C"/>
    <w:rsid w:val="00F84C20"/>
    <w:rsid w:val="00F85C2D"/>
    <w:rsid w:val="00F866D0"/>
    <w:rsid w:val="00F869BB"/>
    <w:rsid w:val="00F86C34"/>
    <w:rsid w:val="00F87614"/>
    <w:rsid w:val="00F87FEF"/>
    <w:rsid w:val="00F91D2C"/>
    <w:rsid w:val="00F92112"/>
    <w:rsid w:val="00F9230A"/>
    <w:rsid w:val="00F92366"/>
    <w:rsid w:val="00F92753"/>
    <w:rsid w:val="00F949A3"/>
    <w:rsid w:val="00F9598E"/>
    <w:rsid w:val="00F959CD"/>
    <w:rsid w:val="00F963C9"/>
    <w:rsid w:val="00F96B32"/>
    <w:rsid w:val="00F9735A"/>
    <w:rsid w:val="00F9761C"/>
    <w:rsid w:val="00FA0956"/>
    <w:rsid w:val="00FA11A1"/>
    <w:rsid w:val="00FA160A"/>
    <w:rsid w:val="00FA2CEC"/>
    <w:rsid w:val="00FA39D5"/>
    <w:rsid w:val="00FA3CB0"/>
    <w:rsid w:val="00FA42F4"/>
    <w:rsid w:val="00FA4EBA"/>
    <w:rsid w:val="00FA58E4"/>
    <w:rsid w:val="00FA6502"/>
    <w:rsid w:val="00FA717D"/>
    <w:rsid w:val="00FA76F7"/>
    <w:rsid w:val="00FA7B72"/>
    <w:rsid w:val="00FA7C83"/>
    <w:rsid w:val="00FB019D"/>
    <w:rsid w:val="00FB0730"/>
    <w:rsid w:val="00FB0BC1"/>
    <w:rsid w:val="00FB0CD6"/>
    <w:rsid w:val="00FB14A0"/>
    <w:rsid w:val="00FB3475"/>
    <w:rsid w:val="00FB34A3"/>
    <w:rsid w:val="00FB3882"/>
    <w:rsid w:val="00FB3BB1"/>
    <w:rsid w:val="00FB44B2"/>
    <w:rsid w:val="00FB4E4A"/>
    <w:rsid w:val="00FB6D3A"/>
    <w:rsid w:val="00FB760E"/>
    <w:rsid w:val="00FB7924"/>
    <w:rsid w:val="00FB7F35"/>
    <w:rsid w:val="00FC0FBC"/>
    <w:rsid w:val="00FC11D6"/>
    <w:rsid w:val="00FC3B8A"/>
    <w:rsid w:val="00FC4497"/>
    <w:rsid w:val="00FC48DD"/>
    <w:rsid w:val="00FC5162"/>
    <w:rsid w:val="00FC51D8"/>
    <w:rsid w:val="00FC569E"/>
    <w:rsid w:val="00FC67E5"/>
    <w:rsid w:val="00FC6BFF"/>
    <w:rsid w:val="00FC6DB6"/>
    <w:rsid w:val="00FC6EFD"/>
    <w:rsid w:val="00FC7B5F"/>
    <w:rsid w:val="00FD04EB"/>
    <w:rsid w:val="00FD1036"/>
    <w:rsid w:val="00FD1062"/>
    <w:rsid w:val="00FD131D"/>
    <w:rsid w:val="00FD17B0"/>
    <w:rsid w:val="00FD1AD4"/>
    <w:rsid w:val="00FD3049"/>
    <w:rsid w:val="00FD411F"/>
    <w:rsid w:val="00FD4898"/>
    <w:rsid w:val="00FD4EB8"/>
    <w:rsid w:val="00FD5177"/>
    <w:rsid w:val="00FD5320"/>
    <w:rsid w:val="00FD5398"/>
    <w:rsid w:val="00FE1A41"/>
    <w:rsid w:val="00FE2929"/>
    <w:rsid w:val="00FE29AB"/>
    <w:rsid w:val="00FE35E1"/>
    <w:rsid w:val="00FE3736"/>
    <w:rsid w:val="00FE3AFC"/>
    <w:rsid w:val="00FE3E7C"/>
    <w:rsid w:val="00FE43E6"/>
    <w:rsid w:val="00FE487C"/>
    <w:rsid w:val="00FE4985"/>
    <w:rsid w:val="00FE4AEF"/>
    <w:rsid w:val="00FE5168"/>
    <w:rsid w:val="00FE52AF"/>
    <w:rsid w:val="00FE6928"/>
    <w:rsid w:val="00FE6D86"/>
    <w:rsid w:val="00FE7D03"/>
    <w:rsid w:val="00FE7E68"/>
    <w:rsid w:val="00FE7FB0"/>
    <w:rsid w:val="00FF0DA7"/>
    <w:rsid w:val="00FF204B"/>
    <w:rsid w:val="00FF213E"/>
    <w:rsid w:val="00FF3276"/>
    <w:rsid w:val="00FF3317"/>
    <w:rsid w:val="00FF4397"/>
    <w:rsid w:val="00FF5B26"/>
    <w:rsid w:val="00FF62E7"/>
    <w:rsid w:val="00FF69CB"/>
    <w:rsid w:val="00FF7DE7"/>
    <w:rsid w:val="01503F77"/>
    <w:rsid w:val="05991C4C"/>
    <w:rsid w:val="069B9A53"/>
    <w:rsid w:val="14CF34DE"/>
    <w:rsid w:val="15789F94"/>
    <w:rsid w:val="17CE9C2C"/>
    <w:rsid w:val="19F85EB4"/>
    <w:rsid w:val="1B942F15"/>
    <w:rsid w:val="1BC5C97D"/>
    <w:rsid w:val="1FDC5194"/>
    <w:rsid w:val="22292800"/>
    <w:rsid w:val="224ED06F"/>
    <w:rsid w:val="248C2279"/>
    <w:rsid w:val="29BAE06E"/>
    <w:rsid w:val="2A790E0F"/>
    <w:rsid w:val="334ED917"/>
    <w:rsid w:val="3366662E"/>
    <w:rsid w:val="33FD6A9B"/>
    <w:rsid w:val="35993AFC"/>
    <w:rsid w:val="3BC01202"/>
    <w:rsid w:val="3CBFBD8F"/>
    <w:rsid w:val="3CD4074E"/>
    <w:rsid w:val="3D9F07C9"/>
    <w:rsid w:val="443A979A"/>
    <w:rsid w:val="466136E4"/>
    <w:rsid w:val="4688C0CF"/>
    <w:rsid w:val="490E2B9B"/>
    <w:rsid w:val="4A24B611"/>
    <w:rsid w:val="4C16D2BA"/>
    <w:rsid w:val="4C268DD0"/>
    <w:rsid w:val="4D64A487"/>
    <w:rsid w:val="5029B960"/>
    <w:rsid w:val="50710D34"/>
    <w:rsid w:val="51E05F5E"/>
    <w:rsid w:val="526EB62C"/>
    <w:rsid w:val="529D156F"/>
    <w:rsid w:val="5C206B2B"/>
    <w:rsid w:val="64ADE30A"/>
    <w:rsid w:val="66287DAF"/>
    <w:rsid w:val="66BE2E76"/>
    <w:rsid w:val="6822288E"/>
    <w:rsid w:val="685F5BAC"/>
    <w:rsid w:val="686144F2"/>
    <w:rsid w:val="6B18AAC9"/>
    <w:rsid w:val="70532E7A"/>
    <w:rsid w:val="709EF770"/>
    <w:rsid w:val="75269F9D"/>
    <w:rsid w:val="781117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6E328B5A-E6F5-48CC-AF95-21F77656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5B0"/>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333EB0"/>
    <w:pPr>
      <w:spacing w:after="160" w:line="240" w:lineRule="exact"/>
    </w:pPr>
    <w:rPr>
      <w:vertAlign w:val="superscript"/>
      <w:lang w:val="en-GB" w:eastAsia="en-GB"/>
    </w:rPr>
  </w:style>
  <w:style w:type="paragraph" w:customStyle="1" w:styleId="Default">
    <w:name w:val="Default"/>
    <w:rsid w:val="006B3382"/>
    <w:pPr>
      <w:autoSpaceDE w:val="0"/>
      <w:autoSpaceDN w:val="0"/>
      <w:adjustRightInd w:val="0"/>
    </w:pPr>
    <w:rPr>
      <w:rFonts w:ascii="0eue Haas Grotesk Text Pro" w:hAnsi="0eue Haas Grotesk Text Pro" w:cs="0eue Haas Grotesk Text Pro"/>
      <w:color w:val="000000"/>
      <w:sz w:val="24"/>
      <w:szCs w:val="24"/>
      <w:lang w:val="en-US"/>
    </w:rPr>
  </w:style>
  <w:style w:type="character" w:customStyle="1" w:styleId="projectinfo">
    <w:name w:val="project_info"/>
    <w:basedOn w:val="DefaultParagraphFont"/>
    <w:rsid w:val="007021BB"/>
  </w:style>
  <w:style w:type="character" w:styleId="Emphasis">
    <w:name w:val="Emphasis"/>
    <w:basedOn w:val="DefaultParagraphFont"/>
    <w:uiPriority w:val="20"/>
    <w:qFormat/>
    <w:locked/>
    <w:rsid w:val="00D46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48878236">
      <w:bodyDiv w:val="1"/>
      <w:marLeft w:val="0"/>
      <w:marRight w:val="0"/>
      <w:marTop w:val="0"/>
      <w:marBottom w:val="0"/>
      <w:divBdr>
        <w:top w:val="none" w:sz="0" w:space="0" w:color="auto"/>
        <w:left w:val="none" w:sz="0" w:space="0" w:color="auto"/>
        <w:bottom w:val="none" w:sz="0" w:space="0" w:color="auto"/>
        <w:right w:val="none" w:sz="0" w:space="0" w:color="auto"/>
      </w:divBdr>
      <w:divsChild>
        <w:div w:id="1346251584">
          <w:marLeft w:val="547"/>
          <w:marRight w:val="0"/>
          <w:marTop w:val="240"/>
          <w:marBottom w:val="240"/>
          <w:divBdr>
            <w:top w:val="none" w:sz="0" w:space="0" w:color="auto"/>
            <w:left w:val="none" w:sz="0" w:space="0" w:color="auto"/>
            <w:bottom w:val="none" w:sz="0" w:space="0" w:color="auto"/>
            <w:right w:val="none" w:sz="0" w:space="0" w:color="auto"/>
          </w:divBdr>
        </w:div>
        <w:div w:id="929314333">
          <w:marLeft w:val="547"/>
          <w:marRight w:val="0"/>
          <w:marTop w:val="240"/>
          <w:marBottom w:val="240"/>
          <w:divBdr>
            <w:top w:val="none" w:sz="0" w:space="0" w:color="auto"/>
            <w:left w:val="none" w:sz="0" w:space="0" w:color="auto"/>
            <w:bottom w:val="none" w:sz="0" w:space="0" w:color="auto"/>
            <w:right w:val="none" w:sz="0" w:space="0" w:color="auto"/>
          </w:divBdr>
        </w:div>
        <w:div w:id="616178853">
          <w:marLeft w:val="547"/>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popp.undp.org/SitePages/POPPSubject.aspx?SBJID=7&amp;Menu=BusinessUn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climatecentre.org/wp-content/uploads/RCCC-ICRC-Country-profiles-Yemen.pdf" TargetMode="External"/><Relationship Id="rId2" Type="http://schemas.openxmlformats.org/officeDocument/2006/relationships/hyperlink" Target="https://osesgy.unmissions.org/press-statement-un-special-envoy-yemen-hans-grundberg-two-month-truce" TargetMode="External"/><Relationship Id="rId1" Type="http://schemas.openxmlformats.org/officeDocument/2006/relationships/hyperlink" Target="https://www.worldometers.info/world-population/yemen-population/" TargetMode="External"/><Relationship Id="rId5" Type="http://schemas.openxmlformats.org/officeDocument/2006/relationships/hyperlink" Target="https://www.american.edu/cas/economics/ejournal/upload/glass_accessible.pdf" TargetMode="External"/><Relationship Id="rId4" Type="http://schemas.openxmlformats.org/officeDocument/2006/relationships/hyperlink" Target="https://gain-new.crc.nd.edu/country/ye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UNITOFFICE-1873992594-2</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https://intranet.undp.org/unit/office/exo/sp2014/SP201417/_layouts/15/DocIdRedir.aspx?ID=UNITOFFICE-1873992594-2</Url>
      <Description>UNITOFFICE-1873992594-2</Description>
    </_dlc_DocIdUrl>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2022-01-19T23:00:00+00:00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1/19/2022                                                Version #: {POPPRefItemVersion}</DLCPolicyLabelClientValue>
    <UNDP_POPP_BUSINESSUNITID_HIDDEN xmlns="8264c5cc-ec60-4b56-8111-ce635d3d139a" xsi:nil="true"/>
    <DLCPolicyLabelValue xmlns="e560140e-7b2f-4392-90df-e7567e3021a3">Effective Date: 1/19/2022                                                Version #: {POPPRefItemVersion}</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EC458C03-36F2-496D-A6A0-7ED7E1AA4D7C}">
  <ds:schemaRefs>
    <ds:schemaRef ds:uri="http://schemas.openxmlformats.org/officeDocument/2006/bibliography"/>
  </ds:schemaRefs>
</ds:datastoreItem>
</file>

<file path=customXml/itemProps3.xml><?xml version="1.0" encoding="utf-8"?>
<ds:datastoreItem xmlns:ds="http://schemas.openxmlformats.org/officeDocument/2006/customXml" ds:itemID="{55E9C0BF-1D7B-4FD6-AC03-7E9A1F99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53FF8589-3141-42BE-BDCC-8874764DFC8F}">
  <ds:schemaRefs>
    <ds:schemaRef ds:uri="office.server.policy"/>
  </ds:schemaRefs>
</ds:datastoreItem>
</file>

<file path=customXml/itemProps6.xml><?xml version="1.0" encoding="utf-8"?>
<ds:datastoreItem xmlns:ds="http://schemas.openxmlformats.org/officeDocument/2006/customXml" ds:itemID="{493B1554-3089-48F1-8BBA-F441755DED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6219</Words>
  <Characters>35452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4</cp:revision>
  <cp:lastPrinted>2022-05-26T00:20:00Z</cp:lastPrinted>
  <dcterms:created xsi:type="dcterms:W3CDTF">2022-06-06T14:58:00Z</dcterms:created>
  <dcterms:modified xsi:type="dcterms:W3CDTF">2022-06-10T18:58:00Z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98e94454-2958-4f8e-953b-d0345c84921c</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