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DAE3" w14:textId="3850F210" w:rsidR="006667C7" w:rsidRPr="006667C7" w:rsidRDefault="006667C7" w:rsidP="006667C7">
      <w:pPr>
        <w:ind w:right="1210"/>
        <w:jc w:val="both"/>
        <w:rPr>
          <w:b/>
          <w:bCs/>
          <w:sz w:val="22"/>
          <w:szCs w:val="22"/>
        </w:rPr>
      </w:pPr>
      <w:r w:rsidRPr="006667C7">
        <w:rPr>
          <w:b/>
          <w:bCs/>
          <w:sz w:val="22"/>
          <w:szCs w:val="22"/>
        </w:rPr>
        <w:t>ANNEX:</w:t>
      </w:r>
      <w:r w:rsidRPr="006667C7">
        <w:rPr>
          <w:sz w:val="22"/>
          <w:szCs w:val="22"/>
        </w:rPr>
        <w:t xml:space="preserve">. </w:t>
      </w:r>
      <w:r w:rsidRPr="006667C7">
        <w:rPr>
          <w:b/>
          <w:bCs/>
          <w:sz w:val="22"/>
          <w:szCs w:val="22"/>
        </w:rPr>
        <w:t>FULLY COSTED EVALUATION PLAN. CPD SAUDI ARABIA 2023-2027</w:t>
      </w:r>
    </w:p>
    <w:p w14:paraId="0BFFEE84" w14:textId="77777777" w:rsidR="006667C7" w:rsidRPr="006667C7" w:rsidRDefault="006667C7" w:rsidP="006667C7">
      <w:pPr>
        <w:rPr>
          <w:sz w:val="22"/>
          <w:szCs w:val="22"/>
        </w:rPr>
      </w:pPr>
    </w:p>
    <w:p w14:paraId="746E0354" w14:textId="77777777" w:rsidR="006667C7" w:rsidRPr="006667C7" w:rsidRDefault="006667C7" w:rsidP="006667C7">
      <w:pPr>
        <w:jc w:val="both"/>
        <w:rPr>
          <w:sz w:val="22"/>
          <w:szCs w:val="22"/>
        </w:rPr>
      </w:pPr>
      <w:r w:rsidRPr="006667C7">
        <w:rPr>
          <w:sz w:val="22"/>
          <w:szCs w:val="22"/>
        </w:rPr>
        <w:t>This Evaluation Plan focuses on the CP and Project evaluations to support accountability, gaining lessons, and knowledge for the CO to strengthen its work. Multiple evaluation approaches will be used to capture a range of results during the cycle.</w:t>
      </w:r>
    </w:p>
    <w:p w14:paraId="3B82ADBD" w14:textId="77777777" w:rsidR="006667C7" w:rsidRPr="006667C7" w:rsidRDefault="006667C7" w:rsidP="006667C7">
      <w:pPr>
        <w:jc w:val="both"/>
        <w:rPr>
          <w:sz w:val="22"/>
          <w:szCs w:val="22"/>
        </w:rPr>
      </w:pPr>
    </w:p>
    <w:p w14:paraId="1F4FF59E" w14:textId="77777777" w:rsidR="006667C7" w:rsidRPr="006667C7" w:rsidRDefault="006667C7" w:rsidP="006667C7">
      <w:pPr>
        <w:jc w:val="both"/>
        <w:rPr>
          <w:sz w:val="22"/>
          <w:szCs w:val="22"/>
        </w:rPr>
      </w:pPr>
      <w:r w:rsidRPr="006667C7">
        <w:rPr>
          <w:sz w:val="22"/>
          <w:szCs w:val="22"/>
        </w:rPr>
        <w:t xml:space="preserve">The Plan anticipates six evaluations, to be updated annually as new projects are approved and launched within the framework of the cycle. Pertinent evaluations will be integrated in the Evaluation </w:t>
      </w:r>
      <w:proofErr w:type="gramStart"/>
      <w:r w:rsidRPr="006667C7">
        <w:rPr>
          <w:sz w:val="22"/>
          <w:szCs w:val="22"/>
        </w:rPr>
        <w:t>Plan</w:t>
      </w:r>
      <w:proofErr w:type="gramEnd"/>
      <w:r w:rsidRPr="006667C7">
        <w:rPr>
          <w:sz w:val="22"/>
          <w:szCs w:val="22"/>
        </w:rPr>
        <w:t xml:space="preserve"> accordingly, including thematic evaluations on gender, environment, and governance. Within the context of NCC, projects may not be identified at the onset of the CP but will be formulated at a later point; those will then be included in the updated evaluation plan.</w:t>
      </w:r>
    </w:p>
    <w:p w14:paraId="598E6C96" w14:textId="77777777" w:rsidR="006667C7" w:rsidRPr="006667C7" w:rsidRDefault="006667C7" w:rsidP="006667C7">
      <w:pPr>
        <w:jc w:val="both"/>
        <w:rPr>
          <w:sz w:val="22"/>
          <w:szCs w:val="22"/>
        </w:rPr>
      </w:pPr>
    </w:p>
    <w:p w14:paraId="47E8AD8E" w14:textId="77777777" w:rsidR="006667C7" w:rsidRPr="006667C7" w:rsidRDefault="006667C7" w:rsidP="006667C7">
      <w:pPr>
        <w:jc w:val="both"/>
        <w:rPr>
          <w:sz w:val="22"/>
          <w:szCs w:val="22"/>
        </w:rPr>
      </w:pPr>
      <w:r w:rsidRPr="006667C7">
        <w:rPr>
          <w:sz w:val="22"/>
          <w:szCs w:val="22"/>
        </w:rPr>
        <w:t xml:space="preserve">Following is a list of the foreseen evaluations: </w:t>
      </w:r>
    </w:p>
    <w:p w14:paraId="4456EC1D" w14:textId="77777777" w:rsidR="006667C7" w:rsidRPr="006667C7" w:rsidRDefault="006667C7" w:rsidP="006667C7">
      <w:pPr>
        <w:jc w:val="both"/>
        <w:rPr>
          <w:sz w:val="22"/>
          <w:szCs w:val="22"/>
        </w:rPr>
      </w:pPr>
    </w:p>
    <w:p w14:paraId="55ACF1F8" w14:textId="77777777" w:rsidR="006667C7" w:rsidRPr="006667C7" w:rsidRDefault="006667C7" w:rsidP="006667C7">
      <w:pPr>
        <w:numPr>
          <w:ilvl w:val="0"/>
          <w:numId w:val="1"/>
        </w:numPr>
        <w:jc w:val="both"/>
        <w:rPr>
          <w:sz w:val="22"/>
          <w:szCs w:val="22"/>
        </w:rPr>
      </w:pPr>
      <w:r w:rsidRPr="006667C7">
        <w:rPr>
          <w:sz w:val="22"/>
          <w:szCs w:val="22"/>
        </w:rPr>
        <w:t>UNSDCF Final Evaluation</w:t>
      </w:r>
    </w:p>
    <w:p w14:paraId="66CBA456" w14:textId="77777777" w:rsidR="006667C7" w:rsidRPr="006667C7" w:rsidRDefault="006667C7" w:rsidP="006667C7">
      <w:pPr>
        <w:numPr>
          <w:ilvl w:val="0"/>
          <w:numId w:val="1"/>
        </w:numPr>
        <w:jc w:val="both"/>
        <w:rPr>
          <w:sz w:val="22"/>
          <w:szCs w:val="22"/>
        </w:rPr>
      </w:pPr>
      <w:r w:rsidRPr="006667C7">
        <w:rPr>
          <w:sz w:val="22"/>
          <w:szCs w:val="22"/>
        </w:rPr>
        <w:t>A mid-term review of the CPD covering all projects and interventions under the four outcome areas. It will be held by mid-cycle to take stock of the achievements, and redirect the course, as necessary, to yield improved results before the end of the cycle.</w:t>
      </w:r>
    </w:p>
    <w:p w14:paraId="2D6C7101" w14:textId="77777777" w:rsidR="006667C7" w:rsidRPr="006667C7" w:rsidRDefault="006667C7" w:rsidP="006667C7">
      <w:pPr>
        <w:numPr>
          <w:ilvl w:val="0"/>
          <w:numId w:val="1"/>
        </w:numPr>
        <w:jc w:val="both"/>
        <w:rPr>
          <w:sz w:val="22"/>
          <w:szCs w:val="22"/>
        </w:rPr>
      </w:pPr>
      <w:r w:rsidRPr="006667C7">
        <w:rPr>
          <w:sz w:val="22"/>
          <w:szCs w:val="22"/>
        </w:rPr>
        <w:t>A final evaluation covering all four outcome areas to inform the design and formulation of the subsequent country programme cycle.</w:t>
      </w:r>
    </w:p>
    <w:p w14:paraId="3437ED35" w14:textId="77777777" w:rsidR="006667C7" w:rsidRPr="006667C7" w:rsidRDefault="006667C7" w:rsidP="006667C7">
      <w:pPr>
        <w:numPr>
          <w:ilvl w:val="0"/>
          <w:numId w:val="1"/>
        </w:numPr>
        <w:jc w:val="both"/>
        <w:rPr>
          <w:sz w:val="22"/>
          <w:szCs w:val="22"/>
        </w:rPr>
      </w:pPr>
      <w:r w:rsidRPr="006667C7">
        <w:rPr>
          <w:sz w:val="22"/>
          <w:szCs w:val="22"/>
        </w:rPr>
        <w:t>Three Evaluations related to Projects, all funded by the government (NCC), and more may be added as projects are requested and signed by national partners.</w:t>
      </w:r>
    </w:p>
    <w:p w14:paraId="6093ECC8" w14:textId="77777777" w:rsidR="006667C7" w:rsidRPr="006667C7" w:rsidRDefault="006667C7" w:rsidP="006667C7">
      <w:pPr>
        <w:jc w:val="both"/>
        <w:rPr>
          <w:sz w:val="22"/>
          <w:szCs w:val="22"/>
        </w:rPr>
      </w:pPr>
    </w:p>
    <w:p w14:paraId="25EFAF64" w14:textId="77777777" w:rsidR="006667C7" w:rsidRPr="006667C7" w:rsidRDefault="006667C7" w:rsidP="006667C7">
      <w:pPr>
        <w:jc w:val="both"/>
        <w:rPr>
          <w:sz w:val="22"/>
          <w:szCs w:val="22"/>
        </w:rPr>
      </w:pPr>
      <w:r w:rsidRPr="006667C7">
        <w:rPr>
          <w:sz w:val="22"/>
          <w:szCs w:val="22"/>
        </w:rPr>
        <w:t>Focus on those left furthest behind in the areas of poverty and inequality, governance accountability, and climate change is key.  All evaluations alike will be gender and youth responsive in both their implementation and analysis.</w:t>
      </w:r>
    </w:p>
    <w:tbl>
      <w:tblPr>
        <w:tblpPr w:leftFromText="180" w:rightFromText="180" w:vertAnchor="text" w:tblpX="-115" w:tblpY="1"/>
        <w:tblOverlap w:val="never"/>
        <w:tblW w:w="13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2070"/>
        <w:gridCol w:w="1800"/>
        <w:gridCol w:w="1530"/>
        <w:gridCol w:w="1260"/>
        <w:gridCol w:w="1260"/>
        <w:gridCol w:w="1375"/>
        <w:gridCol w:w="1481"/>
      </w:tblGrid>
      <w:tr w:rsidR="006667C7" w:rsidRPr="006667C7" w14:paraId="632C6EAA" w14:textId="77777777" w:rsidTr="006667C7">
        <w:trPr>
          <w:trHeight w:val="840"/>
          <w:tblHeader/>
        </w:trPr>
        <w:tc>
          <w:tcPr>
            <w:tcW w:w="1620" w:type="dxa"/>
            <w:shd w:val="clear" w:color="auto" w:fill="DBE5F1"/>
            <w:vAlign w:val="center"/>
          </w:tcPr>
          <w:p w14:paraId="77285708" w14:textId="77777777" w:rsidR="006667C7" w:rsidRPr="006667C7" w:rsidRDefault="006667C7" w:rsidP="006667C7">
            <w:pPr>
              <w:jc w:val="center"/>
              <w:rPr>
                <w:b/>
                <w:color w:val="000000"/>
                <w:sz w:val="22"/>
                <w:szCs w:val="22"/>
              </w:rPr>
            </w:pPr>
            <w:r w:rsidRPr="006667C7">
              <w:rPr>
                <w:b/>
                <w:color w:val="000000"/>
                <w:sz w:val="22"/>
                <w:szCs w:val="22"/>
              </w:rPr>
              <w:t xml:space="preserve">UNSDCF </w:t>
            </w:r>
          </w:p>
          <w:p w14:paraId="619FC797" w14:textId="77777777" w:rsidR="006667C7" w:rsidRPr="006667C7" w:rsidRDefault="006667C7" w:rsidP="006667C7">
            <w:pPr>
              <w:jc w:val="center"/>
              <w:rPr>
                <w:b/>
                <w:color w:val="000000"/>
                <w:sz w:val="22"/>
                <w:szCs w:val="22"/>
              </w:rPr>
            </w:pPr>
            <w:r w:rsidRPr="006667C7">
              <w:rPr>
                <w:b/>
                <w:color w:val="000000"/>
                <w:sz w:val="22"/>
                <w:szCs w:val="22"/>
              </w:rPr>
              <w:t xml:space="preserve">Outcome </w:t>
            </w:r>
          </w:p>
        </w:tc>
        <w:tc>
          <w:tcPr>
            <w:tcW w:w="1530" w:type="dxa"/>
            <w:shd w:val="clear" w:color="auto" w:fill="DBE5F1"/>
            <w:vAlign w:val="center"/>
          </w:tcPr>
          <w:p w14:paraId="49B8C518" w14:textId="77777777" w:rsidR="006667C7" w:rsidRPr="006667C7" w:rsidRDefault="006667C7" w:rsidP="006667C7">
            <w:pPr>
              <w:jc w:val="center"/>
              <w:rPr>
                <w:b/>
                <w:color w:val="000000"/>
                <w:sz w:val="22"/>
                <w:szCs w:val="22"/>
              </w:rPr>
            </w:pPr>
            <w:r w:rsidRPr="006667C7">
              <w:rPr>
                <w:b/>
                <w:color w:val="000000"/>
                <w:sz w:val="22"/>
                <w:szCs w:val="22"/>
              </w:rPr>
              <w:t>UNDP Strategic Plan Outcomes</w:t>
            </w:r>
          </w:p>
        </w:tc>
        <w:tc>
          <w:tcPr>
            <w:tcW w:w="2070" w:type="dxa"/>
            <w:shd w:val="clear" w:color="auto" w:fill="DBE5F1"/>
            <w:vAlign w:val="center"/>
          </w:tcPr>
          <w:p w14:paraId="506E105F" w14:textId="77777777" w:rsidR="006667C7" w:rsidRPr="006667C7" w:rsidRDefault="006667C7" w:rsidP="006667C7">
            <w:pPr>
              <w:jc w:val="center"/>
              <w:rPr>
                <w:b/>
                <w:color w:val="000000"/>
                <w:sz w:val="22"/>
                <w:szCs w:val="22"/>
              </w:rPr>
            </w:pPr>
            <w:r w:rsidRPr="006667C7">
              <w:rPr>
                <w:b/>
                <w:color w:val="000000"/>
                <w:sz w:val="22"/>
                <w:szCs w:val="22"/>
              </w:rPr>
              <w:t>Evaluation Title</w:t>
            </w:r>
          </w:p>
        </w:tc>
        <w:tc>
          <w:tcPr>
            <w:tcW w:w="1800" w:type="dxa"/>
            <w:shd w:val="clear" w:color="auto" w:fill="DBE5F1"/>
            <w:vAlign w:val="center"/>
          </w:tcPr>
          <w:p w14:paraId="2976E082" w14:textId="77777777" w:rsidR="006667C7" w:rsidRPr="006667C7" w:rsidRDefault="006667C7" w:rsidP="006667C7">
            <w:pPr>
              <w:jc w:val="center"/>
              <w:rPr>
                <w:b/>
                <w:color w:val="000000"/>
                <w:sz w:val="22"/>
                <w:szCs w:val="22"/>
              </w:rPr>
            </w:pPr>
            <w:r w:rsidRPr="006667C7">
              <w:rPr>
                <w:b/>
                <w:color w:val="000000"/>
                <w:sz w:val="22"/>
                <w:szCs w:val="22"/>
              </w:rPr>
              <w:t xml:space="preserve">Partners </w:t>
            </w:r>
          </w:p>
          <w:p w14:paraId="508FA674" w14:textId="77777777" w:rsidR="006667C7" w:rsidRPr="006667C7" w:rsidRDefault="006667C7" w:rsidP="006667C7">
            <w:pPr>
              <w:jc w:val="center"/>
              <w:rPr>
                <w:b/>
                <w:color w:val="000000"/>
                <w:sz w:val="22"/>
                <w:szCs w:val="22"/>
              </w:rPr>
            </w:pPr>
            <w:r w:rsidRPr="006667C7">
              <w:rPr>
                <w:b/>
                <w:color w:val="000000"/>
                <w:sz w:val="22"/>
                <w:szCs w:val="22"/>
              </w:rPr>
              <w:t>(joint evaluation)</w:t>
            </w:r>
          </w:p>
        </w:tc>
        <w:tc>
          <w:tcPr>
            <w:tcW w:w="1530" w:type="dxa"/>
            <w:shd w:val="clear" w:color="auto" w:fill="DBE5F1"/>
            <w:vAlign w:val="center"/>
          </w:tcPr>
          <w:p w14:paraId="31F19811" w14:textId="77777777" w:rsidR="006667C7" w:rsidRPr="006667C7" w:rsidRDefault="006667C7" w:rsidP="006667C7">
            <w:pPr>
              <w:jc w:val="center"/>
              <w:rPr>
                <w:b/>
                <w:color w:val="000000"/>
                <w:sz w:val="22"/>
                <w:szCs w:val="22"/>
              </w:rPr>
            </w:pPr>
            <w:r w:rsidRPr="006667C7">
              <w:rPr>
                <w:b/>
                <w:color w:val="000000"/>
                <w:sz w:val="22"/>
                <w:szCs w:val="22"/>
              </w:rPr>
              <w:t xml:space="preserve">Evaluation commissioned by </w:t>
            </w:r>
          </w:p>
          <w:p w14:paraId="1C639B8B" w14:textId="77777777" w:rsidR="006667C7" w:rsidRPr="006667C7" w:rsidRDefault="006667C7" w:rsidP="006667C7">
            <w:pPr>
              <w:jc w:val="center"/>
              <w:rPr>
                <w:b/>
                <w:color w:val="000000"/>
                <w:sz w:val="22"/>
                <w:szCs w:val="22"/>
              </w:rPr>
            </w:pPr>
          </w:p>
        </w:tc>
        <w:tc>
          <w:tcPr>
            <w:tcW w:w="1260" w:type="dxa"/>
            <w:shd w:val="clear" w:color="auto" w:fill="DBE5F1"/>
            <w:vAlign w:val="center"/>
          </w:tcPr>
          <w:p w14:paraId="3452F565" w14:textId="77777777" w:rsidR="006667C7" w:rsidRPr="006667C7" w:rsidRDefault="006667C7" w:rsidP="006667C7">
            <w:pPr>
              <w:jc w:val="center"/>
              <w:rPr>
                <w:b/>
                <w:color w:val="000000"/>
                <w:sz w:val="22"/>
                <w:szCs w:val="22"/>
              </w:rPr>
            </w:pPr>
            <w:r w:rsidRPr="006667C7">
              <w:rPr>
                <w:b/>
                <w:color w:val="000000"/>
                <w:sz w:val="22"/>
                <w:szCs w:val="22"/>
              </w:rPr>
              <w:t>Type of evaluation</w:t>
            </w:r>
          </w:p>
        </w:tc>
        <w:tc>
          <w:tcPr>
            <w:tcW w:w="1260" w:type="dxa"/>
            <w:shd w:val="clear" w:color="auto" w:fill="DBE5F1"/>
            <w:vAlign w:val="center"/>
          </w:tcPr>
          <w:p w14:paraId="6D9CEB9F" w14:textId="77777777" w:rsidR="006667C7" w:rsidRPr="006667C7" w:rsidRDefault="006667C7" w:rsidP="006667C7">
            <w:pPr>
              <w:jc w:val="center"/>
              <w:rPr>
                <w:b/>
                <w:color w:val="000000"/>
                <w:sz w:val="22"/>
                <w:szCs w:val="22"/>
              </w:rPr>
            </w:pPr>
            <w:r w:rsidRPr="006667C7">
              <w:rPr>
                <w:b/>
                <w:color w:val="000000"/>
                <w:sz w:val="22"/>
                <w:szCs w:val="22"/>
              </w:rPr>
              <w:t>Planned Evaluation Completion Date</w:t>
            </w:r>
          </w:p>
        </w:tc>
        <w:tc>
          <w:tcPr>
            <w:tcW w:w="1375" w:type="dxa"/>
            <w:shd w:val="clear" w:color="auto" w:fill="DBE5F1"/>
            <w:vAlign w:val="center"/>
          </w:tcPr>
          <w:p w14:paraId="38081AFD" w14:textId="77777777" w:rsidR="006667C7" w:rsidRPr="006667C7" w:rsidRDefault="006667C7" w:rsidP="006667C7">
            <w:pPr>
              <w:jc w:val="center"/>
              <w:rPr>
                <w:b/>
                <w:color w:val="000000"/>
                <w:sz w:val="22"/>
                <w:szCs w:val="22"/>
              </w:rPr>
            </w:pPr>
            <w:r w:rsidRPr="006667C7">
              <w:rPr>
                <w:b/>
                <w:color w:val="000000"/>
                <w:sz w:val="22"/>
                <w:szCs w:val="22"/>
              </w:rPr>
              <w:t>Estimated Cost (USD)</w:t>
            </w:r>
          </w:p>
        </w:tc>
        <w:tc>
          <w:tcPr>
            <w:tcW w:w="1481" w:type="dxa"/>
            <w:shd w:val="clear" w:color="auto" w:fill="DBE5F1"/>
            <w:vAlign w:val="center"/>
          </w:tcPr>
          <w:p w14:paraId="2A0028DD" w14:textId="77777777" w:rsidR="006667C7" w:rsidRPr="006667C7" w:rsidRDefault="006667C7" w:rsidP="006667C7">
            <w:pPr>
              <w:jc w:val="center"/>
              <w:rPr>
                <w:b/>
                <w:color w:val="000000"/>
                <w:sz w:val="22"/>
                <w:szCs w:val="22"/>
              </w:rPr>
            </w:pPr>
            <w:r w:rsidRPr="006667C7">
              <w:rPr>
                <w:b/>
                <w:color w:val="000000"/>
                <w:sz w:val="22"/>
                <w:szCs w:val="22"/>
              </w:rPr>
              <w:t>Provisional Source of Funding</w:t>
            </w:r>
          </w:p>
        </w:tc>
      </w:tr>
      <w:tr w:rsidR="006667C7" w:rsidRPr="006667C7" w14:paraId="0CC63589" w14:textId="77777777" w:rsidTr="005E403D">
        <w:trPr>
          <w:trHeight w:val="1722"/>
        </w:trPr>
        <w:tc>
          <w:tcPr>
            <w:tcW w:w="1620" w:type="dxa"/>
          </w:tcPr>
          <w:p w14:paraId="3A9E5B6E" w14:textId="77777777" w:rsidR="006667C7" w:rsidRPr="006667C7" w:rsidRDefault="006667C7" w:rsidP="006667C7">
            <w:pPr>
              <w:rPr>
                <w:b/>
                <w:bCs/>
              </w:rPr>
            </w:pPr>
            <w:r w:rsidRPr="006667C7">
              <w:rPr>
                <w:b/>
                <w:bCs/>
              </w:rPr>
              <w:t>All four Outcomes of the UNSDCF 2022-2026</w:t>
            </w:r>
          </w:p>
        </w:tc>
        <w:tc>
          <w:tcPr>
            <w:tcW w:w="1530" w:type="dxa"/>
          </w:tcPr>
          <w:p w14:paraId="68266579" w14:textId="77777777" w:rsidR="006667C7" w:rsidRPr="006667C7" w:rsidRDefault="006667C7" w:rsidP="006667C7">
            <w:pPr>
              <w:rPr>
                <w:b/>
                <w:bCs/>
              </w:rPr>
            </w:pPr>
            <w:r w:rsidRPr="006667C7">
              <w:rPr>
                <w:b/>
                <w:bCs/>
              </w:rPr>
              <w:t>Outcomes 1, 2 and 3</w:t>
            </w:r>
          </w:p>
        </w:tc>
        <w:tc>
          <w:tcPr>
            <w:tcW w:w="2070" w:type="dxa"/>
          </w:tcPr>
          <w:p w14:paraId="240FBCFC" w14:textId="77777777" w:rsidR="006667C7" w:rsidRPr="006667C7" w:rsidRDefault="006667C7" w:rsidP="006667C7">
            <w:r w:rsidRPr="006667C7">
              <w:t>Mid-term evaluation of the Country Programme 2023-2027</w:t>
            </w:r>
          </w:p>
        </w:tc>
        <w:tc>
          <w:tcPr>
            <w:tcW w:w="1800" w:type="dxa"/>
          </w:tcPr>
          <w:p w14:paraId="0AD1C3DA" w14:textId="77777777" w:rsidR="006667C7" w:rsidRPr="006667C7" w:rsidRDefault="006667C7" w:rsidP="006667C7">
            <w:r w:rsidRPr="006667C7">
              <w:t>Government, UNDP and relevant UN agencies, stakeholders</w:t>
            </w:r>
          </w:p>
        </w:tc>
        <w:tc>
          <w:tcPr>
            <w:tcW w:w="1530" w:type="dxa"/>
          </w:tcPr>
          <w:p w14:paraId="2C532D6E" w14:textId="77777777" w:rsidR="006667C7" w:rsidRPr="006667C7" w:rsidRDefault="006667C7" w:rsidP="006667C7">
            <w:pPr>
              <w:rPr>
                <w:color w:val="000000"/>
              </w:rPr>
            </w:pPr>
            <w:r w:rsidRPr="006667C7">
              <w:rPr>
                <w:color w:val="000000"/>
              </w:rPr>
              <w:t>UNDP</w:t>
            </w:r>
          </w:p>
        </w:tc>
        <w:tc>
          <w:tcPr>
            <w:tcW w:w="1260" w:type="dxa"/>
          </w:tcPr>
          <w:p w14:paraId="0E02A763" w14:textId="77777777" w:rsidR="006667C7" w:rsidRPr="006667C7" w:rsidRDefault="006667C7" w:rsidP="006667C7">
            <w:r w:rsidRPr="006667C7">
              <w:t>CPD Evaluation</w:t>
            </w:r>
          </w:p>
        </w:tc>
        <w:tc>
          <w:tcPr>
            <w:tcW w:w="1260" w:type="dxa"/>
          </w:tcPr>
          <w:p w14:paraId="16DC2CF3" w14:textId="77777777" w:rsidR="006667C7" w:rsidRPr="006667C7" w:rsidRDefault="006667C7" w:rsidP="006667C7">
            <w:pPr>
              <w:spacing w:before="40" w:after="40"/>
              <w:rPr>
                <w:color w:val="000000"/>
              </w:rPr>
            </w:pPr>
            <w:r w:rsidRPr="006667C7">
              <w:rPr>
                <w:color w:val="000000"/>
              </w:rPr>
              <w:t>Q1 of 2025</w:t>
            </w:r>
          </w:p>
        </w:tc>
        <w:tc>
          <w:tcPr>
            <w:tcW w:w="1375" w:type="dxa"/>
          </w:tcPr>
          <w:p w14:paraId="17B531A8" w14:textId="77777777" w:rsidR="006667C7" w:rsidRPr="006667C7" w:rsidRDefault="006667C7" w:rsidP="006667C7">
            <w:pPr>
              <w:rPr>
                <w:i/>
                <w:iCs/>
              </w:rPr>
            </w:pPr>
            <w:r w:rsidRPr="006667C7">
              <w:rPr>
                <w:i/>
                <w:iCs/>
              </w:rPr>
              <w:t>40,000 USD</w:t>
            </w:r>
          </w:p>
        </w:tc>
        <w:tc>
          <w:tcPr>
            <w:tcW w:w="1481" w:type="dxa"/>
          </w:tcPr>
          <w:p w14:paraId="1D3EC988" w14:textId="77777777" w:rsidR="006667C7" w:rsidRPr="006667C7" w:rsidRDefault="006667C7" w:rsidP="006667C7">
            <w:r w:rsidRPr="006667C7">
              <w:t>UNDP</w:t>
            </w:r>
          </w:p>
        </w:tc>
      </w:tr>
      <w:tr w:rsidR="006667C7" w:rsidRPr="006667C7" w14:paraId="79BE0311" w14:textId="77777777" w:rsidTr="005E403D">
        <w:trPr>
          <w:trHeight w:val="1722"/>
        </w:trPr>
        <w:tc>
          <w:tcPr>
            <w:tcW w:w="1620" w:type="dxa"/>
          </w:tcPr>
          <w:p w14:paraId="2B00750E" w14:textId="77777777" w:rsidR="006667C7" w:rsidRPr="006667C7" w:rsidRDefault="006667C7" w:rsidP="006667C7">
            <w:pPr>
              <w:rPr>
                <w:b/>
                <w:bCs/>
              </w:rPr>
            </w:pPr>
            <w:r w:rsidRPr="006667C7">
              <w:rPr>
                <w:b/>
                <w:bCs/>
              </w:rPr>
              <w:lastRenderedPageBreak/>
              <w:t>All four Outcomes of the UNSDCF 2022-2026</w:t>
            </w:r>
          </w:p>
        </w:tc>
        <w:tc>
          <w:tcPr>
            <w:tcW w:w="1530" w:type="dxa"/>
          </w:tcPr>
          <w:p w14:paraId="4B975AF9" w14:textId="77777777" w:rsidR="006667C7" w:rsidRPr="006667C7" w:rsidRDefault="006667C7" w:rsidP="006667C7">
            <w:pPr>
              <w:rPr>
                <w:b/>
                <w:bCs/>
              </w:rPr>
            </w:pPr>
            <w:r w:rsidRPr="006667C7">
              <w:rPr>
                <w:b/>
                <w:bCs/>
              </w:rPr>
              <w:t xml:space="preserve">Outcomes 1, 2 and 3 </w:t>
            </w:r>
          </w:p>
        </w:tc>
        <w:tc>
          <w:tcPr>
            <w:tcW w:w="2070" w:type="dxa"/>
          </w:tcPr>
          <w:p w14:paraId="0889E7D7" w14:textId="77777777" w:rsidR="006667C7" w:rsidRPr="006667C7" w:rsidRDefault="006667C7" w:rsidP="006667C7">
            <w:r w:rsidRPr="006667C7">
              <w:t xml:space="preserve">Final evaluation of the Country Programme 2023-2027 </w:t>
            </w:r>
          </w:p>
        </w:tc>
        <w:tc>
          <w:tcPr>
            <w:tcW w:w="1800" w:type="dxa"/>
          </w:tcPr>
          <w:p w14:paraId="2D8FCD5E" w14:textId="77777777" w:rsidR="006667C7" w:rsidRPr="006667C7" w:rsidRDefault="006667C7" w:rsidP="006667C7">
            <w:r w:rsidRPr="006667C7">
              <w:t>Government, UNDP and relevant UN agencies, stakeholders</w:t>
            </w:r>
          </w:p>
        </w:tc>
        <w:tc>
          <w:tcPr>
            <w:tcW w:w="1530" w:type="dxa"/>
          </w:tcPr>
          <w:p w14:paraId="00C653B6" w14:textId="77777777" w:rsidR="006667C7" w:rsidRPr="006667C7" w:rsidRDefault="006667C7" w:rsidP="006667C7">
            <w:pPr>
              <w:rPr>
                <w:color w:val="000000"/>
              </w:rPr>
            </w:pPr>
            <w:r w:rsidRPr="006667C7">
              <w:rPr>
                <w:color w:val="000000"/>
              </w:rPr>
              <w:t>UNDP</w:t>
            </w:r>
          </w:p>
        </w:tc>
        <w:tc>
          <w:tcPr>
            <w:tcW w:w="1260" w:type="dxa"/>
          </w:tcPr>
          <w:p w14:paraId="5386284F" w14:textId="77777777" w:rsidR="006667C7" w:rsidRPr="006667C7" w:rsidRDefault="006667C7" w:rsidP="006667C7">
            <w:r w:rsidRPr="006667C7">
              <w:t>CPD Evaluation</w:t>
            </w:r>
          </w:p>
        </w:tc>
        <w:tc>
          <w:tcPr>
            <w:tcW w:w="1260" w:type="dxa"/>
          </w:tcPr>
          <w:p w14:paraId="5CC54B92" w14:textId="77777777" w:rsidR="006667C7" w:rsidRPr="006667C7" w:rsidRDefault="006667C7" w:rsidP="006667C7">
            <w:pPr>
              <w:spacing w:before="40" w:after="40"/>
              <w:rPr>
                <w:color w:val="000000"/>
              </w:rPr>
            </w:pPr>
            <w:r w:rsidRPr="006667C7">
              <w:rPr>
                <w:color w:val="000000"/>
              </w:rPr>
              <w:t>Q4 of 2026</w:t>
            </w:r>
          </w:p>
        </w:tc>
        <w:tc>
          <w:tcPr>
            <w:tcW w:w="1375" w:type="dxa"/>
          </w:tcPr>
          <w:p w14:paraId="17F1026C" w14:textId="77777777" w:rsidR="006667C7" w:rsidRPr="006667C7" w:rsidRDefault="006667C7" w:rsidP="006667C7">
            <w:pPr>
              <w:rPr>
                <w:i/>
                <w:iCs/>
              </w:rPr>
            </w:pPr>
            <w:r w:rsidRPr="006667C7">
              <w:rPr>
                <w:i/>
                <w:iCs/>
              </w:rPr>
              <w:t>40,000 USD</w:t>
            </w:r>
          </w:p>
        </w:tc>
        <w:tc>
          <w:tcPr>
            <w:tcW w:w="1481" w:type="dxa"/>
          </w:tcPr>
          <w:p w14:paraId="13F6AFAC" w14:textId="77777777" w:rsidR="006667C7" w:rsidRPr="006667C7" w:rsidRDefault="006667C7" w:rsidP="006667C7">
            <w:r w:rsidRPr="006667C7">
              <w:t>UNDP</w:t>
            </w:r>
          </w:p>
        </w:tc>
      </w:tr>
      <w:tr w:rsidR="006667C7" w:rsidRPr="006667C7" w14:paraId="3E9E3FFA" w14:textId="77777777" w:rsidTr="005E403D">
        <w:trPr>
          <w:trHeight w:val="1722"/>
        </w:trPr>
        <w:tc>
          <w:tcPr>
            <w:tcW w:w="1620" w:type="dxa"/>
          </w:tcPr>
          <w:p w14:paraId="09889C1D" w14:textId="77777777" w:rsidR="006667C7" w:rsidRPr="006667C7" w:rsidRDefault="006667C7" w:rsidP="006667C7">
            <w:pPr>
              <w:rPr>
                <w:b/>
                <w:bCs/>
              </w:rPr>
            </w:pPr>
            <w:r w:rsidRPr="006667C7">
              <w:rPr>
                <w:b/>
                <w:bCs/>
              </w:rPr>
              <w:t>Outcome 3</w:t>
            </w:r>
          </w:p>
        </w:tc>
        <w:tc>
          <w:tcPr>
            <w:tcW w:w="1530" w:type="dxa"/>
          </w:tcPr>
          <w:p w14:paraId="58D9BE9A" w14:textId="77777777" w:rsidR="006667C7" w:rsidRPr="006667C7" w:rsidRDefault="006667C7" w:rsidP="006667C7">
            <w:pPr>
              <w:rPr>
                <w:b/>
                <w:bCs/>
              </w:rPr>
            </w:pPr>
            <w:r w:rsidRPr="006667C7">
              <w:rPr>
                <w:b/>
                <w:bCs/>
              </w:rPr>
              <w:t>Outcomes 1 and 2</w:t>
            </w:r>
          </w:p>
        </w:tc>
        <w:tc>
          <w:tcPr>
            <w:tcW w:w="2070" w:type="dxa"/>
          </w:tcPr>
          <w:p w14:paraId="34721162" w14:textId="77777777" w:rsidR="006667C7" w:rsidRPr="006667C7" w:rsidRDefault="006667C7" w:rsidP="006667C7">
            <w:r w:rsidRPr="006667C7">
              <w:t>Umbrella Programme for Socio-Economic Development – 137889</w:t>
            </w:r>
          </w:p>
          <w:p w14:paraId="1711A49C" w14:textId="77777777" w:rsidR="006667C7" w:rsidRPr="006667C7" w:rsidRDefault="006667C7" w:rsidP="006667C7">
            <w:r w:rsidRPr="006667C7">
              <w:t>Final Evaluation</w:t>
            </w:r>
          </w:p>
        </w:tc>
        <w:tc>
          <w:tcPr>
            <w:tcW w:w="1800" w:type="dxa"/>
          </w:tcPr>
          <w:p w14:paraId="1AE4BD81" w14:textId="77777777" w:rsidR="006667C7" w:rsidRPr="006667C7" w:rsidRDefault="006667C7" w:rsidP="006667C7">
            <w:r w:rsidRPr="006667C7">
              <w:t>Government, Relevant UN agencies &amp; Stakeholders</w:t>
            </w:r>
          </w:p>
        </w:tc>
        <w:tc>
          <w:tcPr>
            <w:tcW w:w="1530" w:type="dxa"/>
          </w:tcPr>
          <w:p w14:paraId="5446C69E" w14:textId="77777777" w:rsidR="006667C7" w:rsidRPr="006667C7" w:rsidRDefault="006667C7" w:rsidP="006667C7">
            <w:pPr>
              <w:rPr>
                <w:color w:val="000000"/>
              </w:rPr>
            </w:pPr>
            <w:r w:rsidRPr="006667C7">
              <w:rPr>
                <w:color w:val="000000"/>
              </w:rPr>
              <w:t>UNDP</w:t>
            </w:r>
          </w:p>
        </w:tc>
        <w:tc>
          <w:tcPr>
            <w:tcW w:w="1260" w:type="dxa"/>
          </w:tcPr>
          <w:p w14:paraId="3A3E838D" w14:textId="77777777" w:rsidR="006667C7" w:rsidRPr="006667C7" w:rsidRDefault="006667C7" w:rsidP="006667C7">
            <w:r w:rsidRPr="006667C7">
              <w:t xml:space="preserve">Final Project evaluation </w:t>
            </w:r>
          </w:p>
        </w:tc>
        <w:tc>
          <w:tcPr>
            <w:tcW w:w="1260" w:type="dxa"/>
          </w:tcPr>
          <w:p w14:paraId="0B497E22" w14:textId="77777777" w:rsidR="006667C7" w:rsidRPr="006667C7" w:rsidRDefault="006667C7" w:rsidP="006667C7">
            <w:pPr>
              <w:spacing w:before="40" w:after="40"/>
              <w:rPr>
                <w:color w:val="000000"/>
              </w:rPr>
            </w:pPr>
            <w:r w:rsidRPr="006667C7">
              <w:rPr>
                <w:color w:val="000000"/>
              </w:rPr>
              <w:t>Q4 of 2024</w:t>
            </w:r>
          </w:p>
        </w:tc>
        <w:tc>
          <w:tcPr>
            <w:tcW w:w="1375" w:type="dxa"/>
          </w:tcPr>
          <w:p w14:paraId="1D78A3E3" w14:textId="77777777" w:rsidR="006667C7" w:rsidRPr="006667C7" w:rsidRDefault="006667C7" w:rsidP="006667C7">
            <w:pPr>
              <w:rPr>
                <w:i/>
                <w:iCs/>
              </w:rPr>
            </w:pPr>
            <w:r w:rsidRPr="006667C7">
              <w:rPr>
                <w:i/>
                <w:iCs/>
              </w:rPr>
              <w:t>25,000 USD</w:t>
            </w:r>
          </w:p>
        </w:tc>
        <w:tc>
          <w:tcPr>
            <w:tcW w:w="1481" w:type="dxa"/>
          </w:tcPr>
          <w:p w14:paraId="38340485" w14:textId="77777777" w:rsidR="006667C7" w:rsidRPr="006667C7" w:rsidRDefault="006667C7" w:rsidP="006667C7">
            <w:r w:rsidRPr="006667C7">
              <w:t>Government</w:t>
            </w:r>
          </w:p>
        </w:tc>
      </w:tr>
      <w:tr w:rsidR="006667C7" w:rsidRPr="006667C7" w14:paraId="71F9DC76" w14:textId="77777777" w:rsidTr="005E403D">
        <w:trPr>
          <w:trHeight w:val="1722"/>
        </w:trPr>
        <w:tc>
          <w:tcPr>
            <w:tcW w:w="1620" w:type="dxa"/>
          </w:tcPr>
          <w:p w14:paraId="5809359B" w14:textId="77777777" w:rsidR="006667C7" w:rsidRPr="006667C7" w:rsidRDefault="006667C7" w:rsidP="006667C7">
            <w:pPr>
              <w:rPr>
                <w:b/>
                <w:bCs/>
              </w:rPr>
            </w:pPr>
            <w:r w:rsidRPr="006667C7">
              <w:rPr>
                <w:b/>
                <w:bCs/>
              </w:rPr>
              <w:t xml:space="preserve">Outcome 1 and  </w:t>
            </w:r>
            <w:r w:rsidRPr="006667C7">
              <w:rPr>
                <w:sz w:val="22"/>
                <w:szCs w:val="22"/>
              </w:rPr>
              <w:t xml:space="preserve"> </w:t>
            </w:r>
            <w:r w:rsidRPr="006667C7">
              <w:rPr>
                <w:b/>
                <w:bCs/>
              </w:rPr>
              <w:t>Outcome 3</w:t>
            </w:r>
          </w:p>
        </w:tc>
        <w:tc>
          <w:tcPr>
            <w:tcW w:w="1530" w:type="dxa"/>
          </w:tcPr>
          <w:p w14:paraId="745A68B3" w14:textId="77777777" w:rsidR="006667C7" w:rsidRPr="006667C7" w:rsidRDefault="006667C7" w:rsidP="006667C7">
            <w:pPr>
              <w:rPr>
                <w:b/>
                <w:bCs/>
              </w:rPr>
            </w:pPr>
            <w:r w:rsidRPr="006667C7">
              <w:rPr>
                <w:b/>
                <w:bCs/>
              </w:rPr>
              <w:t>Outcomes 1, 2 and 3</w:t>
            </w:r>
          </w:p>
        </w:tc>
        <w:tc>
          <w:tcPr>
            <w:tcW w:w="2070" w:type="dxa"/>
          </w:tcPr>
          <w:p w14:paraId="4B6FA2B9" w14:textId="77777777" w:rsidR="006667C7" w:rsidRPr="006667C7" w:rsidRDefault="006667C7" w:rsidP="006667C7">
            <w:r w:rsidRPr="006667C7">
              <w:t>Institutional Support to Statistics – 100619</w:t>
            </w:r>
          </w:p>
          <w:p w14:paraId="14C26B40" w14:textId="77777777" w:rsidR="006667C7" w:rsidRPr="006667C7" w:rsidRDefault="006667C7" w:rsidP="006667C7">
            <w:r w:rsidRPr="006667C7">
              <w:t>Final evaluation</w:t>
            </w:r>
          </w:p>
        </w:tc>
        <w:tc>
          <w:tcPr>
            <w:tcW w:w="1800" w:type="dxa"/>
          </w:tcPr>
          <w:p w14:paraId="01993A24" w14:textId="77777777" w:rsidR="006667C7" w:rsidRPr="006667C7" w:rsidRDefault="006667C7" w:rsidP="006667C7">
            <w:r w:rsidRPr="006667C7">
              <w:t xml:space="preserve">Government, UNFPA &amp; Stakeholders </w:t>
            </w:r>
          </w:p>
        </w:tc>
        <w:tc>
          <w:tcPr>
            <w:tcW w:w="1530" w:type="dxa"/>
          </w:tcPr>
          <w:p w14:paraId="6E5819EB" w14:textId="77777777" w:rsidR="006667C7" w:rsidRPr="006667C7" w:rsidRDefault="006667C7" w:rsidP="006667C7">
            <w:pPr>
              <w:rPr>
                <w:color w:val="000000"/>
              </w:rPr>
            </w:pPr>
            <w:r w:rsidRPr="006667C7">
              <w:rPr>
                <w:color w:val="000000"/>
              </w:rPr>
              <w:t>UNDP</w:t>
            </w:r>
          </w:p>
        </w:tc>
        <w:tc>
          <w:tcPr>
            <w:tcW w:w="1260" w:type="dxa"/>
          </w:tcPr>
          <w:p w14:paraId="44E737F8" w14:textId="77777777" w:rsidR="006667C7" w:rsidRPr="006667C7" w:rsidRDefault="006667C7" w:rsidP="006667C7">
            <w:r w:rsidRPr="006667C7">
              <w:t>Final Project evaluation</w:t>
            </w:r>
          </w:p>
        </w:tc>
        <w:tc>
          <w:tcPr>
            <w:tcW w:w="1260" w:type="dxa"/>
          </w:tcPr>
          <w:p w14:paraId="755B042D" w14:textId="77777777" w:rsidR="006667C7" w:rsidRPr="006667C7" w:rsidRDefault="006667C7" w:rsidP="006667C7">
            <w:pPr>
              <w:spacing w:before="40" w:after="40"/>
              <w:rPr>
                <w:color w:val="000000"/>
              </w:rPr>
            </w:pPr>
            <w:r w:rsidRPr="006667C7">
              <w:rPr>
                <w:color w:val="000000"/>
              </w:rPr>
              <w:t>Q3 of 2024</w:t>
            </w:r>
          </w:p>
        </w:tc>
        <w:tc>
          <w:tcPr>
            <w:tcW w:w="1375" w:type="dxa"/>
          </w:tcPr>
          <w:p w14:paraId="3FBC1F72" w14:textId="77777777" w:rsidR="006667C7" w:rsidRPr="006667C7" w:rsidRDefault="006667C7" w:rsidP="006667C7">
            <w:pPr>
              <w:rPr>
                <w:i/>
                <w:iCs/>
              </w:rPr>
            </w:pPr>
            <w:r w:rsidRPr="006667C7">
              <w:rPr>
                <w:i/>
                <w:iCs/>
              </w:rPr>
              <w:t>25,000 USD</w:t>
            </w:r>
          </w:p>
        </w:tc>
        <w:tc>
          <w:tcPr>
            <w:tcW w:w="1481" w:type="dxa"/>
          </w:tcPr>
          <w:p w14:paraId="2F0F1DE0" w14:textId="77777777" w:rsidR="006667C7" w:rsidRPr="006667C7" w:rsidRDefault="006667C7" w:rsidP="006667C7">
            <w:r w:rsidRPr="006667C7">
              <w:t>Government</w:t>
            </w:r>
          </w:p>
        </w:tc>
      </w:tr>
    </w:tbl>
    <w:p w14:paraId="198B7CA7" w14:textId="77777777" w:rsidR="006667C7" w:rsidRPr="006667C7" w:rsidRDefault="006667C7" w:rsidP="006667C7"/>
    <w:p w14:paraId="1739C7CC" w14:textId="77777777" w:rsidR="006667C7" w:rsidRPr="006667C7" w:rsidRDefault="006667C7" w:rsidP="006667C7">
      <w:pPr>
        <w:rPr>
          <w:sz w:val="22"/>
          <w:szCs w:val="22"/>
        </w:rPr>
      </w:pPr>
    </w:p>
    <w:p w14:paraId="77565617" w14:textId="77777777" w:rsidR="00176C82" w:rsidRPr="006667C7" w:rsidRDefault="00176C82" w:rsidP="006667C7"/>
    <w:sectPr w:rsidR="00176C82" w:rsidRPr="006667C7" w:rsidSect="006667C7">
      <w:pgSz w:w="15840" w:h="12240" w:orient="landscape"/>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94C32"/>
    <w:multiLevelType w:val="hybridMultilevel"/>
    <w:tmpl w:val="BDE0B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C7"/>
    <w:rsid w:val="00176C82"/>
    <w:rsid w:val="006667C7"/>
    <w:rsid w:val="00F0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0B5E"/>
  <w15:chartTrackingRefBased/>
  <w15:docId w15:val="{DF51FD8F-FE84-4D21-982E-D0350934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UNITOFFICE-440-2227</_dlc_DocId>
    <_dlc_DocIdUrl xmlns="5ebeba3d-fd60-4dcb-8548-a9fd3c51d9ff">
      <Url>https://intranet.undp.org/unit/office/exo/sp2014/SP201417/_layouts/15/DocIdRedir.aspx?ID=UNITOFFICE-440-2227</Url>
      <Description>UNITOFFICE-440-2227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0ED2B-DCFF-4541-A7A1-B4D65FE02879}">
  <ds:schemaRefs>
    <ds:schemaRef ds:uri="http://schemas.microsoft.com/office/2006/documentManagement/types"/>
    <ds:schemaRef ds:uri="5ebeba3d-fd60-4dcb-8548-a9fd3c51d9f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0F980B-CF58-49CF-BC6C-F1718CC2EE3E}">
  <ds:schemaRefs>
    <ds:schemaRef ds:uri="http://schemas.microsoft.com/sharepoint/v3/contenttype/forms"/>
  </ds:schemaRefs>
</ds:datastoreItem>
</file>

<file path=customXml/itemProps3.xml><?xml version="1.0" encoding="utf-8"?>
<ds:datastoreItem xmlns:ds="http://schemas.openxmlformats.org/officeDocument/2006/customXml" ds:itemID="{61C09576-A918-41B3-8867-22447A13A824}">
  <ds:schemaRefs>
    <ds:schemaRef ds:uri="http://schemas.microsoft.com/sharepoint/events"/>
  </ds:schemaRefs>
</ds:datastoreItem>
</file>

<file path=customXml/itemProps4.xml><?xml version="1.0" encoding="utf-8"?>
<ds:datastoreItem xmlns:ds="http://schemas.openxmlformats.org/officeDocument/2006/customXml" ds:itemID="{02A286B6-5103-446C-B890-95F3A1A94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2333</Characters>
  <Application>Microsoft Office Word</Application>
  <DocSecurity>4</DocSecurity>
  <Lines>55</Lines>
  <Paragraphs>19</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Azheen Mustafa</dc:creator>
  <cp:keywords/>
  <dc:description/>
  <cp:lastModifiedBy>Svetlana Iazykova</cp:lastModifiedBy>
  <cp:revision>2</cp:revision>
  <dcterms:created xsi:type="dcterms:W3CDTF">2022-05-05T20:44:00Z</dcterms:created>
  <dcterms:modified xsi:type="dcterms:W3CDTF">2022-05-05T20:44:00Z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d4f70164-5622-4302-8910-ad38675e6dd4</vt:lpwstr>
  </property>
</Properties>
</file>