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A3" w14:textId="243C77A8" w:rsidR="00785474" w:rsidRPr="003C26C1" w:rsidRDefault="00785474" w:rsidP="00D9153B">
      <w:pPr>
        <w:rPr>
          <w:rFonts w:ascii="Arial" w:hAnsi="Arial"/>
          <w:color w:val="000000"/>
          <w:spacing w:val="-2"/>
        </w:rPr>
      </w:pPr>
    </w:p>
    <w:p w14:paraId="2440D3A4" w14:textId="77777777" w:rsidR="00785474" w:rsidRPr="003C26C1" w:rsidRDefault="00785474" w:rsidP="00D9153B">
      <w:pPr>
        <w:rPr>
          <w:color w:val="000000"/>
          <w:sz w:val="6"/>
        </w:rPr>
        <w:sectPr w:rsidR="00785474" w:rsidRPr="003C26C1"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4BFD6FB2" w14:textId="77777777" w:rsidR="00482519" w:rsidRPr="00C733FD" w:rsidRDefault="00482519" w:rsidP="00482519">
      <w:pPr>
        <w:rPr>
          <w:b/>
          <w:color w:val="000000"/>
          <w:lang w:val="en-GB"/>
        </w:rPr>
      </w:pPr>
      <w:r w:rsidRPr="00C733FD">
        <w:rPr>
          <w:b/>
          <w:color w:val="000000"/>
          <w:lang w:val="en-GB"/>
        </w:rPr>
        <w:t>First regular session 2023</w:t>
      </w:r>
    </w:p>
    <w:p w14:paraId="54B2DCCD" w14:textId="77777777" w:rsidR="00482519" w:rsidRPr="00C733FD" w:rsidRDefault="00482519" w:rsidP="004825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733FD">
        <w:rPr>
          <w:color w:val="000000"/>
          <w:lang w:val="en-GB"/>
        </w:rPr>
        <w:t>30 January – 3 February 2023, New York</w:t>
      </w:r>
    </w:p>
    <w:p w14:paraId="6CCD75D8" w14:textId="77777777" w:rsidR="00482519" w:rsidRPr="00C733FD" w:rsidRDefault="00482519" w:rsidP="004825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733FD">
        <w:rPr>
          <w:color w:val="000000"/>
          <w:lang w:val="en-GB"/>
        </w:rPr>
        <w:t>Item 7 of the provisional agenda</w:t>
      </w:r>
    </w:p>
    <w:p w14:paraId="212EC35A" w14:textId="77777777" w:rsidR="00482519" w:rsidRPr="00C733FD" w:rsidRDefault="00482519" w:rsidP="00482519">
      <w:pPr>
        <w:ind w:right="1260"/>
        <w:rPr>
          <w:b/>
          <w:color w:val="000000"/>
          <w:lang w:val="en-GB"/>
        </w:rPr>
      </w:pPr>
      <w:r w:rsidRPr="00C733FD">
        <w:rPr>
          <w:b/>
          <w:color w:val="000000"/>
          <w:lang w:val="en-GB"/>
        </w:rPr>
        <w:t>Country programmes and related matters</w:t>
      </w:r>
    </w:p>
    <w:p w14:paraId="1A090C1E" w14:textId="77777777" w:rsidR="00482519" w:rsidRPr="00C733FD" w:rsidRDefault="00482519" w:rsidP="00482519">
      <w:pPr>
        <w:rPr>
          <w:b/>
          <w:color w:val="000000"/>
          <w:lang w:val="en-GB"/>
        </w:rPr>
      </w:pPr>
    </w:p>
    <w:p w14:paraId="6822AC1E" w14:textId="77777777" w:rsidR="00482519" w:rsidRPr="00C733FD" w:rsidRDefault="00482519" w:rsidP="004825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440D3AA" w14:textId="77777777" w:rsidR="00785474" w:rsidRPr="003C26C1" w:rsidRDefault="00785474" w:rsidP="00D9153B">
      <w:pPr>
        <w:pStyle w:val="SingleTxt"/>
        <w:spacing w:after="0" w:line="120" w:lineRule="exact"/>
        <w:rPr>
          <w:color w:val="000000"/>
          <w:sz w:val="10"/>
        </w:rPr>
      </w:pPr>
    </w:p>
    <w:p w14:paraId="2440D3AB" w14:textId="77777777" w:rsidR="00785474" w:rsidRPr="003C26C1" w:rsidRDefault="00785474" w:rsidP="00D9153B">
      <w:pPr>
        <w:pStyle w:val="SingleTxt"/>
        <w:spacing w:after="0" w:line="120" w:lineRule="exact"/>
        <w:rPr>
          <w:color w:val="000000"/>
          <w:sz w:val="10"/>
        </w:rPr>
      </w:pPr>
    </w:p>
    <w:p w14:paraId="33BCCCDF" w14:textId="7814B37B" w:rsidR="00482519" w:rsidRPr="00E86177" w:rsidRDefault="00785474" w:rsidP="00482519">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color w:val="000000"/>
          <w:sz w:val="28"/>
          <w:szCs w:val="28"/>
          <w:lang w:eastAsia="es-BO"/>
        </w:rPr>
      </w:pPr>
      <w:r w:rsidRPr="00E86177">
        <w:rPr>
          <w:b/>
          <w:bCs/>
          <w:color w:val="000000"/>
          <w:sz w:val="28"/>
          <w:szCs w:val="28"/>
        </w:rPr>
        <w:t xml:space="preserve">Draft country programme document for </w:t>
      </w:r>
      <w:r w:rsidR="5EFC9050" w:rsidRPr="00E86177">
        <w:rPr>
          <w:b/>
          <w:bCs/>
          <w:color w:val="000000"/>
          <w:sz w:val="28"/>
          <w:szCs w:val="28"/>
        </w:rPr>
        <w:t>Nepal</w:t>
      </w:r>
      <w:r w:rsidRPr="00E86177">
        <w:rPr>
          <w:b/>
          <w:bCs/>
          <w:color w:val="000000"/>
          <w:sz w:val="28"/>
          <w:szCs w:val="28"/>
        </w:rPr>
        <w:t xml:space="preserve"> (</w:t>
      </w:r>
      <w:r w:rsidR="722F2665" w:rsidRPr="00E86177">
        <w:rPr>
          <w:b/>
          <w:bCs/>
          <w:color w:val="000000"/>
          <w:sz w:val="28"/>
          <w:szCs w:val="28"/>
        </w:rPr>
        <w:t>2023-2027</w:t>
      </w:r>
      <w:r w:rsidRPr="00E86177">
        <w:rPr>
          <w:b/>
          <w:bCs/>
          <w:color w:val="000000"/>
          <w:sz w:val="28"/>
          <w:szCs w:val="28"/>
        </w:rPr>
        <w:t>)</w:t>
      </w:r>
      <w:r w:rsidRPr="00E86177">
        <w:rPr>
          <w:b/>
          <w:bCs/>
          <w:color w:val="000000"/>
          <w:sz w:val="28"/>
          <w:szCs w:val="28"/>
        </w:rPr>
        <w:br/>
      </w:r>
    </w:p>
    <w:p w14:paraId="6D0C627F" w14:textId="77777777" w:rsidR="00482519" w:rsidRPr="00C733FD" w:rsidRDefault="00482519" w:rsidP="0048251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C733FD">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82519" w:rsidRPr="00C733FD" w14:paraId="2C7998CB" w14:textId="77777777" w:rsidTr="0024476E">
        <w:tc>
          <w:tcPr>
            <w:tcW w:w="1260" w:type="dxa"/>
            <w:shd w:val="clear" w:color="auto" w:fill="auto"/>
          </w:tcPr>
          <w:p w14:paraId="0F2B9A06" w14:textId="77777777" w:rsidR="00482519" w:rsidRPr="00C733FD" w:rsidRDefault="00482519" w:rsidP="0024476E">
            <w:pPr>
              <w:tabs>
                <w:tab w:val="left" w:pos="1620"/>
              </w:tabs>
              <w:suppressAutoHyphens/>
              <w:spacing w:after="120"/>
              <w:jc w:val="right"/>
              <w:rPr>
                <w:i/>
                <w:color w:val="000000"/>
                <w:spacing w:val="4"/>
                <w:w w:val="103"/>
                <w:kern w:val="14"/>
                <w:sz w:val="14"/>
                <w:lang w:val="en-GB"/>
              </w:rPr>
            </w:pPr>
            <w:r w:rsidRPr="00C733FD">
              <w:rPr>
                <w:i/>
                <w:color w:val="000000"/>
                <w:spacing w:val="4"/>
                <w:w w:val="103"/>
                <w:kern w:val="14"/>
                <w:sz w:val="14"/>
                <w:lang w:val="en-GB"/>
              </w:rPr>
              <w:t>Chapter</w:t>
            </w:r>
          </w:p>
        </w:tc>
        <w:tc>
          <w:tcPr>
            <w:tcW w:w="8280" w:type="dxa"/>
            <w:gridSpan w:val="2"/>
            <w:shd w:val="clear" w:color="auto" w:fill="auto"/>
          </w:tcPr>
          <w:p w14:paraId="16C0A3A3" w14:textId="77777777" w:rsidR="00482519" w:rsidRPr="00C733FD" w:rsidRDefault="00482519" w:rsidP="0024476E">
            <w:pPr>
              <w:tabs>
                <w:tab w:val="left" w:pos="1620"/>
              </w:tabs>
              <w:suppressAutoHyphens/>
              <w:spacing w:after="120"/>
              <w:rPr>
                <w:i/>
                <w:color w:val="000000"/>
                <w:spacing w:val="4"/>
                <w:w w:val="103"/>
                <w:kern w:val="14"/>
                <w:sz w:val="14"/>
                <w:lang w:val="en-GB"/>
              </w:rPr>
            </w:pPr>
          </w:p>
        </w:tc>
        <w:tc>
          <w:tcPr>
            <w:tcW w:w="362" w:type="dxa"/>
            <w:shd w:val="clear" w:color="auto" w:fill="auto"/>
          </w:tcPr>
          <w:p w14:paraId="77525451" w14:textId="77777777" w:rsidR="00482519" w:rsidRPr="00C733FD" w:rsidRDefault="00482519" w:rsidP="0024476E">
            <w:pPr>
              <w:tabs>
                <w:tab w:val="left" w:pos="1620"/>
              </w:tabs>
              <w:suppressAutoHyphens/>
              <w:spacing w:after="120"/>
              <w:jc w:val="right"/>
              <w:rPr>
                <w:i/>
                <w:color w:val="000000"/>
                <w:spacing w:val="4"/>
                <w:w w:val="103"/>
                <w:kern w:val="14"/>
                <w:sz w:val="14"/>
                <w:lang w:val="en-GB"/>
              </w:rPr>
            </w:pPr>
            <w:r w:rsidRPr="00C733FD">
              <w:rPr>
                <w:i/>
                <w:color w:val="000000"/>
                <w:kern w:val="14"/>
                <w:sz w:val="14"/>
                <w:lang w:val="en-GB"/>
              </w:rPr>
              <w:t>Page</w:t>
            </w:r>
          </w:p>
        </w:tc>
      </w:tr>
      <w:tr w:rsidR="00482519" w:rsidRPr="00C733FD" w14:paraId="219DAD5C" w14:textId="77777777" w:rsidTr="0024476E">
        <w:tc>
          <w:tcPr>
            <w:tcW w:w="9540" w:type="dxa"/>
            <w:gridSpan w:val="3"/>
            <w:shd w:val="clear" w:color="auto" w:fill="auto"/>
          </w:tcPr>
          <w:p w14:paraId="4FE776D7" w14:textId="77777777" w:rsidR="00482519" w:rsidRPr="00C733FD" w:rsidRDefault="00482519" w:rsidP="00482519">
            <w:pPr>
              <w:numPr>
                <w:ilvl w:val="0"/>
                <w:numId w:val="4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C733FD">
              <w:rPr>
                <w:color w:val="000000"/>
                <w:kern w:val="14"/>
                <w:lang w:val="en-GB"/>
              </w:rPr>
              <w:tab/>
              <w:t>UNDP within the United Nations Sustainable Development Cooperation Framework</w:t>
            </w:r>
            <w:r w:rsidRPr="00C733FD">
              <w:rPr>
                <w:color w:val="000000"/>
                <w:sz w:val="24"/>
                <w:lang w:val="en-GB"/>
              </w:rPr>
              <w:tab/>
            </w:r>
          </w:p>
        </w:tc>
        <w:tc>
          <w:tcPr>
            <w:tcW w:w="362" w:type="dxa"/>
            <w:vMerge w:val="restart"/>
            <w:shd w:val="clear" w:color="auto" w:fill="auto"/>
            <w:vAlign w:val="bottom"/>
          </w:tcPr>
          <w:p w14:paraId="7DC700CD" w14:textId="77777777" w:rsidR="00482519" w:rsidRPr="00C733FD" w:rsidRDefault="00482519" w:rsidP="0024476E">
            <w:pPr>
              <w:tabs>
                <w:tab w:val="left" w:pos="1620"/>
              </w:tabs>
              <w:suppressAutoHyphens/>
              <w:spacing w:after="120" w:line="240" w:lineRule="exact"/>
              <w:jc w:val="right"/>
              <w:rPr>
                <w:color w:val="000000"/>
                <w:spacing w:val="4"/>
                <w:w w:val="103"/>
                <w:kern w:val="14"/>
                <w:lang w:val="en-GB"/>
              </w:rPr>
            </w:pPr>
            <w:r w:rsidRPr="00C733FD">
              <w:rPr>
                <w:color w:val="000000"/>
                <w:kern w:val="14"/>
                <w:lang w:val="en-GB"/>
              </w:rPr>
              <w:t>2</w:t>
            </w:r>
          </w:p>
          <w:p w14:paraId="5676AB7D" w14:textId="77777777" w:rsidR="00482519" w:rsidRPr="00C733FD" w:rsidRDefault="00482519" w:rsidP="0024476E">
            <w:pPr>
              <w:tabs>
                <w:tab w:val="left" w:pos="1620"/>
              </w:tabs>
              <w:suppressAutoHyphens/>
              <w:spacing w:after="120" w:line="240" w:lineRule="exact"/>
              <w:jc w:val="right"/>
              <w:rPr>
                <w:color w:val="000000"/>
                <w:spacing w:val="4"/>
                <w:w w:val="103"/>
                <w:kern w:val="14"/>
                <w:lang w:val="en-GB"/>
              </w:rPr>
            </w:pPr>
            <w:r w:rsidRPr="00C733FD">
              <w:rPr>
                <w:color w:val="000000"/>
                <w:spacing w:val="4"/>
                <w:w w:val="103"/>
                <w:kern w:val="14"/>
                <w:lang w:val="en-GB"/>
              </w:rPr>
              <w:t>4</w:t>
            </w:r>
          </w:p>
        </w:tc>
      </w:tr>
      <w:tr w:rsidR="00482519" w:rsidRPr="00C733FD" w14:paraId="1466EE33" w14:textId="77777777" w:rsidTr="0024476E">
        <w:tc>
          <w:tcPr>
            <w:tcW w:w="9540" w:type="dxa"/>
            <w:gridSpan w:val="3"/>
            <w:shd w:val="clear" w:color="auto" w:fill="auto"/>
          </w:tcPr>
          <w:p w14:paraId="391058D2" w14:textId="77777777" w:rsidR="00482519" w:rsidRPr="00C733FD" w:rsidRDefault="00482519" w:rsidP="00482519">
            <w:pPr>
              <w:numPr>
                <w:ilvl w:val="0"/>
                <w:numId w:val="4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C733FD">
              <w:rPr>
                <w:color w:val="000000"/>
                <w:kern w:val="14"/>
                <w:lang w:val="en-GB"/>
              </w:rPr>
              <w:tab/>
              <w:t>Programme priorities and partnerships</w:t>
            </w:r>
            <w:r w:rsidRPr="00C733FD">
              <w:rPr>
                <w:color w:val="000000"/>
                <w:lang w:val="en-GB"/>
              </w:rPr>
              <w:t>………………………………………………….</w:t>
            </w:r>
            <w:r w:rsidRPr="00C733FD">
              <w:rPr>
                <w:color w:val="000000"/>
                <w:lang w:val="en-GB"/>
              </w:rPr>
              <w:tab/>
              <w:t>……….…</w:t>
            </w:r>
          </w:p>
        </w:tc>
        <w:tc>
          <w:tcPr>
            <w:tcW w:w="362" w:type="dxa"/>
            <w:vMerge/>
            <w:shd w:val="clear" w:color="auto" w:fill="auto"/>
            <w:vAlign w:val="bottom"/>
          </w:tcPr>
          <w:p w14:paraId="432C452F" w14:textId="77777777" w:rsidR="00482519" w:rsidRPr="00C733FD" w:rsidRDefault="00482519" w:rsidP="0024476E">
            <w:pPr>
              <w:tabs>
                <w:tab w:val="left" w:pos="1620"/>
              </w:tabs>
              <w:suppressAutoHyphens/>
              <w:spacing w:after="120" w:line="240" w:lineRule="exact"/>
              <w:jc w:val="right"/>
              <w:rPr>
                <w:color w:val="000000"/>
                <w:spacing w:val="4"/>
                <w:w w:val="103"/>
                <w:kern w:val="14"/>
                <w:lang w:val="en-GB"/>
              </w:rPr>
            </w:pPr>
          </w:p>
        </w:tc>
      </w:tr>
      <w:tr w:rsidR="00482519" w:rsidRPr="00C733FD" w14:paraId="2CDD91BB" w14:textId="77777777" w:rsidTr="0024476E">
        <w:tc>
          <w:tcPr>
            <w:tcW w:w="9540" w:type="dxa"/>
            <w:gridSpan w:val="3"/>
            <w:shd w:val="clear" w:color="auto" w:fill="auto"/>
          </w:tcPr>
          <w:p w14:paraId="4BCCD100" w14:textId="77777777" w:rsidR="00482519" w:rsidRPr="00C733FD" w:rsidRDefault="00482519" w:rsidP="00482519">
            <w:pPr>
              <w:numPr>
                <w:ilvl w:val="0"/>
                <w:numId w:val="4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C733FD">
              <w:rPr>
                <w:color w:val="000000"/>
                <w:kern w:val="14"/>
                <w:lang w:val="en-GB"/>
              </w:rPr>
              <w:tab/>
              <w:t xml:space="preserve">Programme and risk management </w:t>
            </w:r>
            <w:r w:rsidRPr="00C733FD">
              <w:rPr>
                <w:color w:val="000000"/>
                <w:lang w:val="en-GB"/>
              </w:rPr>
              <w:t>……………………………………………….…………………</w:t>
            </w:r>
          </w:p>
        </w:tc>
        <w:tc>
          <w:tcPr>
            <w:tcW w:w="362" w:type="dxa"/>
            <w:vMerge w:val="restart"/>
            <w:shd w:val="clear" w:color="auto" w:fill="auto"/>
            <w:vAlign w:val="bottom"/>
          </w:tcPr>
          <w:p w14:paraId="0B7AC8DE" w14:textId="21F5B7A9" w:rsidR="00482519" w:rsidRPr="00C733FD" w:rsidRDefault="00FC69E0" w:rsidP="0024476E">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7</w:t>
            </w:r>
          </w:p>
          <w:p w14:paraId="0078944A" w14:textId="3AE0F78B" w:rsidR="00482519" w:rsidRPr="00C733FD" w:rsidRDefault="00FC69E0" w:rsidP="0024476E">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8</w:t>
            </w:r>
          </w:p>
        </w:tc>
      </w:tr>
      <w:tr w:rsidR="00482519" w:rsidRPr="00C733FD" w14:paraId="09B038A3" w14:textId="77777777" w:rsidTr="0024476E">
        <w:tc>
          <w:tcPr>
            <w:tcW w:w="9540" w:type="dxa"/>
            <w:gridSpan w:val="3"/>
            <w:shd w:val="clear" w:color="auto" w:fill="auto"/>
          </w:tcPr>
          <w:p w14:paraId="4B2C8B46" w14:textId="77777777" w:rsidR="00482519" w:rsidRPr="00C733FD" w:rsidRDefault="00482519" w:rsidP="00482519">
            <w:pPr>
              <w:numPr>
                <w:ilvl w:val="0"/>
                <w:numId w:val="4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C733FD">
              <w:rPr>
                <w:color w:val="000000"/>
                <w:kern w:val="14"/>
                <w:lang w:val="en-GB"/>
              </w:rPr>
              <w:tab/>
              <w:t>Monitoring and evaluation</w:t>
            </w:r>
            <w:r w:rsidRPr="00C733FD">
              <w:rPr>
                <w:color w:val="000000"/>
                <w:sz w:val="24"/>
                <w:lang w:val="en-GB"/>
              </w:rPr>
              <w:tab/>
            </w:r>
            <w:r w:rsidRPr="00C733FD">
              <w:rPr>
                <w:color w:val="000000"/>
                <w:lang w:val="en-GB"/>
              </w:rPr>
              <w:t>…………………………………………………….……………………</w:t>
            </w:r>
          </w:p>
        </w:tc>
        <w:tc>
          <w:tcPr>
            <w:tcW w:w="362" w:type="dxa"/>
            <w:vMerge/>
            <w:shd w:val="clear" w:color="auto" w:fill="auto"/>
            <w:vAlign w:val="bottom"/>
          </w:tcPr>
          <w:p w14:paraId="06E7E7B1" w14:textId="77777777" w:rsidR="00482519" w:rsidRPr="00C733FD" w:rsidRDefault="00482519" w:rsidP="0024476E">
            <w:pPr>
              <w:tabs>
                <w:tab w:val="left" w:pos="1620"/>
              </w:tabs>
              <w:suppressAutoHyphens/>
              <w:spacing w:after="120" w:line="240" w:lineRule="exact"/>
              <w:jc w:val="right"/>
              <w:rPr>
                <w:color w:val="000000"/>
                <w:spacing w:val="4"/>
                <w:w w:val="103"/>
                <w:kern w:val="14"/>
                <w:lang w:val="en-GB"/>
              </w:rPr>
            </w:pPr>
          </w:p>
        </w:tc>
      </w:tr>
      <w:tr w:rsidR="00482519" w:rsidRPr="00C733FD" w14:paraId="315D7139" w14:textId="77777777" w:rsidTr="0024476E">
        <w:tc>
          <w:tcPr>
            <w:tcW w:w="9369" w:type="dxa"/>
            <w:gridSpan w:val="2"/>
            <w:shd w:val="clear" w:color="auto" w:fill="auto"/>
          </w:tcPr>
          <w:p w14:paraId="487975B1" w14:textId="77777777" w:rsidR="00482519" w:rsidRPr="00C733FD" w:rsidRDefault="00482519" w:rsidP="0024476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C733FD">
              <w:rPr>
                <w:color w:val="000000"/>
                <w:kern w:val="14"/>
                <w:lang w:val="en-GB"/>
              </w:rPr>
              <w:t>Annex</w:t>
            </w:r>
          </w:p>
        </w:tc>
        <w:tc>
          <w:tcPr>
            <w:tcW w:w="533" w:type="dxa"/>
            <w:gridSpan w:val="2"/>
            <w:shd w:val="clear" w:color="auto" w:fill="auto"/>
            <w:vAlign w:val="bottom"/>
          </w:tcPr>
          <w:p w14:paraId="76A4F525" w14:textId="77777777" w:rsidR="00482519" w:rsidRPr="00C733FD" w:rsidRDefault="00482519" w:rsidP="0024476E">
            <w:pPr>
              <w:tabs>
                <w:tab w:val="left" w:pos="1620"/>
              </w:tabs>
              <w:suppressAutoHyphens/>
              <w:spacing w:after="120" w:line="240" w:lineRule="exact"/>
              <w:jc w:val="right"/>
              <w:rPr>
                <w:color w:val="000000"/>
                <w:spacing w:val="4"/>
                <w:w w:val="103"/>
                <w:kern w:val="14"/>
                <w:lang w:val="en-GB"/>
              </w:rPr>
            </w:pPr>
          </w:p>
        </w:tc>
      </w:tr>
      <w:tr w:rsidR="00482519" w:rsidRPr="00C733FD" w14:paraId="420CA280" w14:textId="77777777" w:rsidTr="0024476E">
        <w:tc>
          <w:tcPr>
            <w:tcW w:w="9369" w:type="dxa"/>
            <w:gridSpan w:val="2"/>
            <w:shd w:val="clear" w:color="auto" w:fill="auto"/>
          </w:tcPr>
          <w:p w14:paraId="68CD5705" w14:textId="62CFDEF3" w:rsidR="00482519" w:rsidRPr="00C733FD" w:rsidRDefault="00482519" w:rsidP="0024476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C733FD">
              <w:rPr>
                <w:color w:val="000000"/>
                <w:kern w:val="14"/>
                <w:lang w:val="en-GB"/>
              </w:rPr>
              <w:t xml:space="preserve">Results and resources framework for </w:t>
            </w:r>
            <w:r>
              <w:rPr>
                <w:color w:val="000000"/>
                <w:kern w:val="14"/>
                <w:lang w:val="en-GB"/>
              </w:rPr>
              <w:t>Nepal</w:t>
            </w:r>
            <w:r w:rsidRPr="00C733FD">
              <w:rPr>
                <w:color w:val="000000"/>
                <w:kern w:val="14"/>
                <w:lang w:val="en-GB"/>
              </w:rPr>
              <w:t xml:space="preserve"> (2023-2027)</w:t>
            </w:r>
            <w:r w:rsidRPr="00C733FD">
              <w:rPr>
                <w:color w:val="000000"/>
                <w:sz w:val="24"/>
                <w:lang w:val="en-GB"/>
              </w:rPr>
              <w:tab/>
            </w:r>
          </w:p>
        </w:tc>
        <w:tc>
          <w:tcPr>
            <w:tcW w:w="533" w:type="dxa"/>
            <w:gridSpan w:val="2"/>
            <w:shd w:val="clear" w:color="auto" w:fill="auto"/>
            <w:vAlign w:val="bottom"/>
          </w:tcPr>
          <w:p w14:paraId="28904750" w14:textId="0E04B27D" w:rsidR="00482519" w:rsidRPr="00C733FD" w:rsidRDefault="00FC69E0" w:rsidP="0024476E">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9</w:t>
            </w:r>
          </w:p>
        </w:tc>
      </w:tr>
    </w:tbl>
    <w:p w14:paraId="2440D3D6" w14:textId="79C2EB8D" w:rsidR="00785474" w:rsidRPr="003C26C1" w:rsidRDefault="00785474" w:rsidP="004825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14:paraId="2440D3D7" w14:textId="306897C2" w:rsidR="00A918A7" w:rsidRPr="003C26C1" w:rsidRDefault="00785474" w:rsidP="0014000A">
      <w:pPr>
        <w:pStyle w:val="Heading2"/>
        <w:numPr>
          <w:ilvl w:val="0"/>
          <w:numId w:val="50"/>
        </w:numPr>
        <w:ind w:left="1080" w:right="1267" w:hanging="270"/>
        <w:jc w:val="both"/>
        <w:rPr>
          <w:rFonts w:ascii="Times New Roman" w:hAnsi="Times New Roman"/>
          <w:bCs/>
          <w:color w:val="000000"/>
          <w:sz w:val="24"/>
          <w:szCs w:val="24"/>
        </w:rPr>
      </w:pPr>
      <w:r w:rsidRPr="003C26C1">
        <w:br w:type="page"/>
      </w:r>
      <w:r w:rsidR="007C2934">
        <w:rPr>
          <w:rFonts w:ascii="Times New Roman" w:hAnsi="Times New Roman"/>
          <w:bCs/>
          <w:color w:val="000000"/>
          <w:sz w:val="24"/>
          <w:szCs w:val="24"/>
        </w:rPr>
        <w:lastRenderedPageBreak/>
        <w:t>UNDP</w:t>
      </w:r>
      <w:r w:rsidR="0072070F">
        <w:rPr>
          <w:rFonts w:ascii="Times New Roman" w:hAnsi="Times New Roman"/>
          <w:bCs/>
          <w:color w:val="000000"/>
          <w:sz w:val="24"/>
          <w:szCs w:val="24"/>
        </w:rPr>
        <w:t xml:space="preserve"> </w:t>
      </w:r>
      <w:r w:rsidR="00D8383E">
        <w:rPr>
          <w:rFonts w:ascii="Times New Roman" w:hAnsi="Times New Roman"/>
          <w:bCs/>
          <w:color w:val="000000"/>
          <w:sz w:val="24"/>
          <w:szCs w:val="24"/>
        </w:rPr>
        <w:t xml:space="preserve">within </w:t>
      </w:r>
      <w:r w:rsidR="00D8383E" w:rsidRPr="00F10EA6">
        <w:rPr>
          <w:rFonts w:ascii="Times New Roman" w:hAnsi="Times New Roman"/>
          <w:color w:val="000000"/>
          <w:sz w:val="24"/>
          <w:szCs w:val="24"/>
        </w:rPr>
        <w:t>the U</w:t>
      </w:r>
      <w:r w:rsidR="00D8383E">
        <w:rPr>
          <w:rFonts w:ascii="Times New Roman" w:hAnsi="Times New Roman"/>
          <w:color w:val="000000"/>
          <w:sz w:val="24"/>
          <w:szCs w:val="24"/>
        </w:rPr>
        <w:t xml:space="preserve">nited </w:t>
      </w:r>
      <w:r w:rsidR="00D8383E" w:rsidRPr="00F10EA6">
        <w:rPr>
          <w:rFonts w:ascii="Times New Roman" w:hAnsi="Times New Roman"/>
          <w:color w:val="000000"/>
          <w:sz w:val="24"/>
          <w:szCs w:val="24"/>
        </w:rPr>
        <w:t>N</w:t>
      </w:r>
      <w:r w:rsidR="00D8383E">
        <w:rPr>
          <w:rFonts w:ascii="Times New Roman" w:hAnsi="Times New Roman"/>
          <w:color w:val="000000"/>
          <w:sz w:val="24"/>
          <w:szCs w:val="24"/>
        </w:rPr>
        <w:t>ations</w:t>
      </w:r>
      <w:r w:rsidR="00D8383E" w:rsidRPr="00F10EA6">
        <w:rPr>
          <w:rFonts w:ascii="Times New Roman" w:hAnsi="Times New Roman"/>
          <w:color w:val="000000"/>
          <w:sz w:val="24"/>
          <w:szCs w:val="24"/>
        </w:rPr>
        <w:t xml:space="preserve"> Sustainable Development Cooperation Framework</w:t>
      </w:r>
    </w:p>
    <w:p w14:paraId="7910FD0C" w14:textId="77777777" w:rsidR="007026CB" w:rsidRDefault="007026CB" w:rsidP="007026CB">
      <w:pPr>
        <w:ind w:left="1260" w:right="1210"/>
        <w:jc w:val="both"/>
      </w:pPr>
    </w:p>
    <w:p w14:paraId="3B786C28" w14:textId="6C2CF561" w:rsidR="00FD0B1A" w:rsidRPr="004C1A96" w:rsidRDefault="00D23463" w:rsidP="00DE2EAA">
      <w:pPr>
        <w:pStyle w:val="ListParagraph"/>
        <w:numPr>
          <w:ilvl w:val="0"/>
          <w:numId w:val="47"/>
        </w:numPr>
        <w:spacing w:after="120"/>
        <w:ind w:right="1210" w:firstLine="10"/>
        <w:jc w:val="both"/>
      </w:pPr>
      <w:r>
        <w:t>M</w:t>
      </w:r>
      <w:r w:rsidRPr="00FD0B1A">
        <w:t>ulti</w:t>
      </w:r>
      <w:r w:rsidR="00FD0B1A" w:rsidRPr="00FD0B1A">
        <w:t>dimensional p</w:t>
      </w:r>
      <w:r w:rsidR="00FD0B1A" w:rsidRPr="002876C5">
        <w:t>o</w:t>
      </w:r>
      <w:r w:rsidR="00FD0B1A" w:rsidRPr="00FD0B1A">
        <w:t xml:space="preserve">verty </w:t>
      </w:r>
      <w:r>
        <w:t xml:space="preserve">in Nepal </w:t>
      </w:r>
      <w:r w:rsidR="00FD0B1A" w:rsidRPr="00FD0B1A">
        <w:t xml:space="preserve">has </w:t>
      </w:r>
      <w:r>
        <w:t>decreased</w:t>
      </w:r>
      <w:r w:rsidRPr="00FD0B1A">
        <w:t xml:space="preserve"> </w:t>
      </w:r>
      <w:r w:rsidR="00FD0B1A" w:rsidRPr="00FD0B1A">
        <w:t>substantially</w:t>
      </w:r>
      <w:r>
        <w:t>,</w:t>
      </w:r>
      <w:r w:rsidR="00FD0B1A" w:rsidRPr="00FD0B1A">
        <w:t xml:space="preserve"> from 30.1</w:t>
      </w:r>
      <w:r>
        <w:t xml:space="preserve"> per cent in</w:t>
      </w:r>
      <w:r w:rsidR="00FD0B1A" w:rsidRPr="00FD0B1A">
        <w:t xml:space="preserve"> </w:t>
      </w:r>
      <w:r w:rsidR="00992246">
        <w:t xml:space="preserve">2014 </w:t>
      </w:r>
      <w:r w:rsidR="00FD0B1A" w:rsidRPr="00FD0B1A">
        <w:t>to 17.4 per</w:t>
      </w:r>
      <w:r>
        <w:t xml:space="preserve"> </w:t>
      </w:r>
      <w:r w:rsidR="00FD0B1A" w:rsidRPr="00FD0B1A">
        <w:t xml:space="preserve">cent </w:t>
      </w:r>
      <w:r>
        <w:t xml:space="preserve">in </w:t>
      </w:r>
      <w:r w:rsidR="00992246">
        <w:t>2019</w:t>
      </w:r>
      <w:r>
        <w:t>.</w:t>
      </w:r>
      <w:r w:rsidR="007F3A66">
        <w:rPr>
          <w:rStyle w:val="FootnoteReference"/>
        </w:rPr>
        <w:footnoteReference w:id="2"/>
      </w:r>
      <w:r w:rsidR="00B109FE">
        <w:t xml:space="preserve"> </w:t>
      </w:r>
      <w:r>
        <w:t>Nepal</w:t>
      </w:r>
      <w:r w:rsidR="00B109FE">
        <w:t xml:space="preserve"> falls in </w:t>
      </w:r>
      <w:r w:rsidR="00FD0B1A" w:rsidRPr="00FD0B1A">
        <w:t>the medium human development category with a H</w:t>
      </w:r>
      <w:r w:rsidR="00D7105C">
        <w:t xml:space="preserve">uman </w:t>
      </w:r>
      <w:r w:rsidR="00FD0B1A" w:rsidRPr="00FD0B1A">
        <w:t>D</w:t>
      </w:r>
      <w:r w:rsidR="00D7105C">
        <w:t xml:space="preserve">evelopment </w:t>
      </w:r>
      <w:r w:rsidR="00FD0B1A" w:rsidRPr="00FD0B1A">
        <w:t>I</w:t>
      </w:r>
      <w:r w:rsidR="00F3419D">
        <w:t>ndex</w:t>
      </w:r>
      <w:r w:rsidR="00B21E3B">
        <w:t xml:space="preserve"> </w:t>
      </w:r>
      <w:r w:rsidR="00FD0B1A" w:rsidRPr="00FD0B1A">
        <w:t xml:space="preserve">of 0.602 </w:t>
      </w:r>
      <w:r w:rsidR="00065D1C">
        <w:t>i</w:t>
      </w:r>
      <w:r w:rsidR="00FD0B1A" w:rsidRPr="00FD0B1A">
        <w:t>n 2021</w:t>
      </w:r>
      <w:r>
        <w:t>-20</w:t>
      </w:r>
      <w:r w:rsidR="00FD0B1A" w:rsidRPr="00FD0B1A">
        <w:t>22</w:t>
      </w:r>
      <w:r>
        <w:t>,</w:t>
      </w:r>
      <w:r w:rsidR="00BF579C">
        <w:rPr>
          <w:rStyle w:val="FootnoteReference"/>
        </w:rPr>
        <w:footnoteReference w:id="3"/>
      </w:r>
      <w:r w:rsidR="00FD0B1A" w:rsidRPr="00FD0B1A">
        <w:t xml:space="preserve"> exceeding the </w:t>
      </w:r>
      <w:r>
        <w:t>average for l</w:t>
      </w:r>
      <w:r w:rsidR="00AE340F">
        <w:t xml:space="preserve">east </w:t>
      </w:r>
      <w:r>
        <w:t>d</w:t>
      </w:r>
      <w:r w:rsidR="00AE340F">
        <w:t xml:space="preserve">eveloped </w:t>
      </w:r>
      <w:r>
        <w:t>c</w:t>
      </w:r>
      <w:r w:rsidR="00AE340F">
        <w:t>ountries (LDC</w:t>
      </w:r>
      <w:r w:rsidR="003C24F5">
        <w:t>s</w:t>
      </w:r>
      <w:r w:rsidR="00AE340F">
        <w:t>)</w:t>
      </w:r>
      <w:r w:rsidR="00FD0B1A" w:rsidRPr="00FD0B1A">
        <w:t xml:space="preserve">. </w:t>
      </w:r>
      <w:r w:rsidR="003C24F5">
        <w:t xml:space="preserve">Yet, </w:t>
      </w:r>
      <w:r w:rsidR="00610BBC">
        <w:t>approximately</w:t>
      </w:r>
      <w:r w:rsidR="00610BBC" w:rsidRPr="00FD0B1A">
        <w:t xml:space="preserve"> </w:t>
      </w:r>
      <w:r w:rsidR="00FD0B1A" w:rsidRPr="00FD0B1A">
        <w:t>5 million Nepali</w:t>
      </w:r>
      <w:r w:rsidR="00570AA5">
        <w:t>s</w:t>
      </w:r>
      <w:r w:rsidR="00FD0B1A" w:rsidRPr="00FD0B1A">
        <w:t xml:space="preserve"> remain multidimensional</w:t>
      </w:r>
      <w:r w:rsidR="003C24F5">
        <w:t>ly</w:t>
      </w:r>
      <w:r w:rsidR="00FD0B1A" w:rsidRPr="00FD0B1A">
        <w:t xml:space="preserve"> poor with widespread inequality</w:t>
      </w:r>
      <w:r w:rsidR="003C24F5">
        <w:t>.</w:t>
      </w:r>
      <w:r w:rsidR="00610BBC">
        <w:rPr>
          <w:rStyle w:val="FootnoteReference"/>
        </w:rPr>
        <w:footnoteReference w:id="4"/>
      </w:r>
      <w:r w:rsidR="00FD0B1A" w:rsidRPr="00FD0B1A">
        <w:t xml:space="preserve"> Certain population groups and people  in remote geographical areas remain below the poverty line and experience exclusion  bas</w:t>
      </w:r>
      <w:r w:rsidR="002876C5">
        <w:t>ed</w:t>
      </w:r>
      <w:r w:rsidR="00FD0B1A" w:rsidRPr="00FD0B1A">
        <w:t xml:space="preserve"> </w:t>
      </w:r>
      <w:r w:rsidR="002876C5">
        <w:t>on</w:t>
      </w:r>
      <w:r w:rsidR="00FD0B1A" w:rsidRPr="00FD0B1A">
        <w:t xml:space="preserve"> class, region, gender, caste and community</w:t>
      </w:r>
      <w:r w:rsidR="003C24F5">
        <w:t>.</w:t>
      </w:r>
      <w:r w:rsidR="008A5A32">
        <w:rPr>
          <w:rStyle w:val="FootnoteReference"/>
        </w:rPr>
        <w:footnoteReference w:id="5"/>
      </w:r>
      <w:r w:rsidR="00FD0B1A" w:rsidRPr="00FD0B1A">
        <w:t xml:space="preserve"> Nepal </w:t>
      </w:r>
      <w:r w:rsidR="00C05E12">
        <w:t>r</w:t>
      </w:r>
      <w:r w:rsidR="00FD0B1A" w:rsidRPr="00FD0B1A">
        <w:t>anks 143  of 191 countries</w:t>
      </w:r>
      <w:r w:rsidR="006D0197">
        <w:rPr>
          <w:rStyle w:val="FootnoteReference"/>
        </w:rPr>
        <w:footnoteReference w:id="6"/>
      </w:r>
      <w:r w:rsidR="003C24F5">
        <w:t xml:space="preserve"> on the </w:t>
      </w:r>
      <w:r w:rsidR="003C24F5" w:rsidRPr="00FD0B1A">
        <w:t xml:space="preserve">Gender Development Index </w:t>
      </w:r>
      <w:r w:rsidR="003C24F5">
        <w:t xml:space="preserve">with a value of </w:t>
      </w:r>
      <w:r w:rsidR="003C24F5" w:rsidRPr="00FD0B1A">
        <w:t>0.942</w:t>
      </w:r>
      <w:r w:rsidR="002276BD">
        <w:t>.</w:t>
      </w:r>
    </w:p>
    <w:p w14:paraId="1FA08D22" w14:textId="75A4C297" w:rsidR="00DE2EAA" w:rsidRPr="004C1A96" w:rsidRDefault="003C24F5" w:rsidP="00DE2EAA">
      <w:pPr>
        <w:pStyle w:val="ListParagraph"/>
        <w:numPr>
          <w:ilvl w:val="0"/>
          <w:numId w:val="47"/>
        </w:numPr>
        <w:spacing w:after="120"/>
        <w:ind w:right="1210" w:firstLine="10"/>
        <w:jc w:val="both"/>
      </w:pPr>
      <w:r>
        <w:t xml:space="preserve">The  </w:t>
      </w:r>
      <w:r w:rsidR="00DE2EAA" w:rsidRPr="004C1A96">
        <w:t xml:space="preserve"> economy and people’s livelihoods </w:t>
      </w:r>
      <w:r w:rsidR="00DE2EAA">
        <w:t>rely</w:t>
      </w:r>
      <w:r w:rsidR="00DE2EAA" w:rsidRPr="004C1A96">
        <w:t xml:space="preserve"> largely on natural resources, ecosystem services </w:t>
      </w:r>
      <w:r w:rsidR="00DE2EAA">
        <w:t xml:space="preserve">and </w:t>
      </w:r>
      <w:r w:rsidR="00DE2EAA" w:rsidRPr="004C1A96">
        <w:t xml:space="preserve">agriculture. There is potential for enhanced economic performance through </w:t>
      </w:r>
      <w:r w:rsidR="00EC5B6A">
        <w:t xml:space="preserve">improved </w:t>
      </w:r>
      <w:r w:rsidR="00DE2EAA" w:rsidRPr="004C1A96">
        <w:t>productivity and skills, decreased reliance on</w:t>
      </w:r>
      <w:r w:rsidR="00DE2EAA">
        <w:t xml:space="preserve"> </w:t>
      </w:r>
      <w:r w:rsidR="00624730">
        <w:t xml:space="preserve">foreign </w:t>
      </w:r>
      <w:r w:rsidR="00DE2EAA">
        <w:t>remittances</w:t>
      </w:r>
      <w:r w:rsidR="00B870B0">
        <w:t xml:space="preserve">, enlarging </w:t>
      </w:r>
      <w:r>
        <w:t xml:space="preserve">the </w:t>
      </w:r>
      <w:r w:rsidR="00EC33D0">
        <w:t xml:space="preserve">tax base and </w:t>
      </w:r>
      <w:r w:rsidR="001E665A">
        <w:t>shift</w:t>
      </w:r>
      <w:r>
        <w:t>ing</w:t>
      </w:r>
      <w:r w:rsidR="009E4514">
        <w:t xml:space="preserve"> from consumption </w:t>
      </w:r>
      <w:r w:rsidR="002B439D">
        <w:t xml:space="preserve">to </w:t>
      </w:r>
      <w:r>
        <w:t xml:space="preserve">a </w:t>
      </w:r>
      <w:r w:rsidR="002B439D">
        <w:t>production</w:t>
      </w:r>
      <w:r w:rsidR="58005F15">
        <w:t>-</w:t>
      </w:r>
      <w:r w:rsidR="002B439D">
        <w:t xml:space="preserve">based </w:t>
      </w:r>
      <w:r w:rsidR="008500D0">
        <w:t>econom</w:t>
      </w:r>
      <w:r w:rsidR="00342410">
        <w:t>y.</w:t>
      </w:r>
      <w:r w:rsidR="00DE2EAA" w:rsidRPr="004C1A96">
        <w:t xml:space="preserve"> </w:t>
      </w:r>
      <w:r w:rsidR="00732DB5">
        <w:t>T</w:t>
      </w:r>
      <w:r w:rsidR="00DE2EAA" w:rsidRPr="004C1A96">
        <w:t xml:space="preserve">he 2015 earthquake and the </w:t>
      </w:r>
      <w:r>
        <w:t>coronavirus disease (</w:t>
      </w:r>
      <w:r w:rsidR="00DE2EAA" w:rsidRPr="004C1A96">
        <w:t>COVID-19</w:t>
      </w:r>
      <w:r w:rsidR="000E2ED5">
        <w:t>)</w:t>
      </w:r>
      <w:r w:rsidR="00DE2EAA" w:rsidRPr="004C1A96">
        <w:t xml:space="preserve"> pandemic significantly disrupt</w:t>
      </w:r>
      <w:r w:rsidR="00732DB5">
        <w:t>ed</w:t>
      </w:r>
      <w:r w:rsidR="00DE2EAA" w:rsidRPr="004C1A96">
        <w:t xml:space="preserve"> progress towards </w:t>
      </w:r>
      <w:r w:rsidR="00EE37B6">
        <w:t xml:space="preserve">the Sustainable Development Goals  </w:t>
      </w:r>
      <w:r w:rsidR="00732DB5">
        <w:t>and highlighted social and economic vulnerabilities</w:t>
      </w:r>
      <w:r w:rsidR="00DE2EAA" w:rsidRPr="004C1A96">
        <w:t xml:space="preserve">. </w:t>
      </w:r>
      <w:r w:rsidR="000E2ED5">
        <w:t xml:space="preserve">Some </w:t>
      </w:r>
      <w:r w:rsidR="00DE2EAA" w:rsidRPr="004C1A96">
        <w:t>70 per</w:t>
      </w:r>
      <w:r w:rsidR="000E2ED5">
        <w:t xml:space="preserve"> </w:t>
      </w:r>
      <w:r w:rsidR="00DE2EAA" w:rsidRPr="004C1A96">
        <w:t xml:space="preserve">cent of the economically active population </w:t>
      </w:r>
      <w:r w:rsidR="00DE2EAA">
        <w:t xml:space="preserve">is </w:t>
      </w:r>
      <w:r w:rsidR="00DE2EAA" w:rsidRPr="004C1A96">
        <w:t>involved in the informal economy. Youth unemployment stands at 9.5 per</w:t>
      </w:r>
      <w:r w:rsidR="000E2ED5">
        <w:t xml:space="preserve"> </w:t>
      </w:r>
      <w:r w:rsidR="00DE2EAA" w:rsidRPr="004C1A96">
        <w:t>cent and women earn, on average, 68 per</w:t>
      </w:r>
      <w:r w:rsidR="001D3776">
        <w:t xml:space="preserve"> </w:t>
      </w:r>
      <w:r w:rsidR="00DE2EAA" w:rsidRPr="004C1A96">
        <w:t xml:space="preserve">cent of </w:t>
      </w:r>
      <w:r w:rsidR="000E2ED5">
        <w:t xml:space="preserve">what </w:t>
      </w:r>
      <w:r w:rsidR="00DE2EAA" w:rsidRPr="004C1A96">
        <w:t>men earn</w:t>
      </w:r>
      <w:r w:rsidR="000E2ED5">
        <w:t>,</w:t>
      </w:r>
      <w:r w:rsidR="00DE2EAA">
        <w:rPr>
          <w:rStyle w:val="FootnoteReference"/>
        </w:rPr>
        <w:footnoteReference w:id="7"/>
      </w:r>
      <w:r w:rsidR="00DE2EAA" w:rsidRPr="004C1A96">
        <w:t xml:space="preserve"> highlighting </w:t>
      </w:r>
      <w:r w:rsidR="001717B1">
        <w:t xml:space="preserve">disparities </w:t>
      </w:r>
      <w:r w:rsidR="00DE2EAA" w:rsidRPr="004C1A96">
        <w:t>in the labour market</w:t>
      </w:r>
      <w:r w:rsidR="000E2ED5">
        <w:t>.</w:t>
      </w:r>
      <w:r w:rsidR="00DE2EAA" w:rsidRPr="004C1A96">
        <w:t xml:space="preserve"> </w:t>
      </w:r>
      <w:r w:rsidR="00935B3F">
        <w:t>Employers report that s</w:t>
      </w:r>
      <w:r w:rsidR="00DE2EAA" w:rsidRPr="00211252">
        <w:t>kills gap</w:t>
      </w:r>
      <w:r w:rsidR="00DE2EAA">
        <w:t>s</w:t>
      </w:r>
      <w:r w:rsidR="00DE2EAA" w:rsidRPr="00211252">
        <w:t xml:space="preserve"> </w:t>
      </w:r>
      <w:r w:rsidR="00DE2EAA">
        <w:t>among</w:t>
      </w:r>
      <w:r w:rsidR="00DE2EAA" w:rsidRPr="00211252">
        <w:t xml:space="preserve"> returning migrants</w:t>
      </w:r>
      <w:r w:rsidR="00935B3F">
        <w:t xml:space="preserve"> limit their employability</w:t>
      </w:r>
      <w:r w:rsidR="00DE2EAA" w:rsidRPr="00211252">
        <w:t>.</w:t>
      </w:r>
    </w:p>
    <w:p w14:paraId="6D531024" w14:textId="0AED6311" w:rsidR="00DE2EAA" w:rsidRPr="004C1A96" w:rsidRDefault="00DE2EAA" w:rsidP="00DE2EAA">
      <w:pPr>
        <w:pStyle w:val="ListParagraph"/>
        <w:numPr>
          <w:ilvl w:val="0"/>
          <w:numId w:val="47"/>
        </w:numPr>
        <w:spacing w:after="120"/>
        <w:ind w:right="1210" w:firstLine="10"/>
        <w:jc w:val="both"/>
      </w:pPr>
      <w:r>
        <w:t xml:space="preserve">Nepal is </w:t>
      </w:r>
      <w:r w:rsidR="002876C5">
        <w:t xml:space="preserve">extremely </w:t>
      </w:r>
      <w:r>
        <w:t>vulnerable to climate change and natural hazards including earthquakes, storms, landslides, floods (including from glacier lake outbursts), forest fires and droughts, with nearly 80 per</w:t>
      </w:r>
      <w:r w:rsidR="000E2ED5">
        <w:t xml:space="preserve"> </w:t>
      </w:r>
      <w:r>
        <w:t>cent of</w:t>
      </w:r>
      <w:r w:rsidDel="003F7A8C">
        <w:t xml:space="preserve"> </w:t>
      </w:r>
      <w:r>
        <w:t>the population directly exposed to these risks.</w:t>
      </w:r>
      <w:r w:rsidDel="5403B724">
        <w:t xml:space="preserve"> </w:t>
      </w:r>
      <w:r w:rsidR="000E2ED5">
        <w:t>Threats to l</w:t>
      </w:r>
      <w:r>
        <w:t>ivelihood</w:t>
      </w:r>
      <w:r w:rsidR="000E2ED5">
        <w:t>s</w:t>
      </w:r>
      <w:r>
        <w:t xml:space="preserve"> and environmental security loom large, especially for poor and marginalized groups and key sectors and infrastructure, such as hydropower and agriculture</w:t>
      </w:r>
      <w:r w:rsidR="009768BF">
        <w:t>.</w:t>
      </w:r>
      <w:r>
        <w:rPr>
          <w:rStyle w:val="FootnoteReference"/>
        </w:rPr>
        <w:footnoteReference w:id="8"/>
      </w:r>
      <w:r>
        <w:t xml:space="preserve"> </w:t>
      </w:r>
      <w:r w:rsidRPr="004C1A96">
        <w:t>Nepal struggles to harness its significant natural and cultural resources for economic growth and diversification.</w:t>
      </w:r>
    </w:p>
    <w:p w14:paraId="269F1729" w14:textId="545E3A19" w:rsidR="00DE2EAA" w:rsidRDefault="000E2ED5" w:rsidP="00DE2EAA">
      <w:pPr>
        <w:pStyle w:val="ListParagraph"/>
        <w:numPr>
          <w:ilvl w:val="0"/>
          <w:numId w:val="47"/>
        </w:numPr>
        <w:spacing w:after="120"/>
        <w:ind w:right="1210" w:firstLine="10"/>
        <w:jc w:val="both"/>
      </w:pPr>
      <w:r>
        <w:t xml:space="preserve">The 2015 </w:t>
      </w:r>
      <w:r w:rsidR="29CB1D21" w:rsidRPr="004C1A96">
        <w:t>Constitution</w:t>
      </w:r>
      <w:r w:rsidR="3DCA6E65" w:rsidRPr="004C1A96">
        <w:t xml:space="preserve"> </w:t>
      </w:r>
      <w:r w:rsidR="29CB1D21" w:rsidRPr="004C1A96">
        <w:t>established</w:t>
      </w:r>
      <w:r w:rsidR="29CB1D21" w:rsidRPr="6A526A28">
        <w:t xml:space="preserve"> a three-tiered governance structure</w:t>
      </w:r>
      <w:r w:rsidR="29CB1D21">
        <w:t>,</w:t>
      </w:r>
      <w:r w:rsidR="29CB1D21" w:rsidRPr="004C1A96">
        <w:t xml:space="preserve"> </w:t>
      </w:r>
      <w:r w:rsidR="29CB1D21">
        <w:t>comprising</w:t>
      </w:r>
      <w:r w:rsidR="29CB1D21" w:rsidRPr="6A526A28">
        <w:t xml:space="preserve"> local, provincial and federal governments</w:t>
      </w:r>
      <w:r w:rsidR="001D3776">
        <w:t>,</w:t>
      </w:r>
      <w:r w:rsidR="29CB1D21">
        <w:t xml:space="preserve"> </w:t>
      </w:r>
      <w:r w:rsidR="29CB1D21" w:rsidRPr="6A526A28">
        <w:t>based on the principles of</w:t>
      </w:r>
      <w:r w:rsidR="29CB1D21">
        <w:t xml:space="preserve"> coordination, cooperation, coexistence</w:t>
      </w:r>
      <w:r w:rsidR="29CB1D21" w:rsidRPr="004C1A96">
        <w:t xml:space="preserve"> and </w:t>
      </w:r>
      <w:r w:rsidR="29CB1D21">
        <w:t>inclusion</w:t>
      </w:r>
      <w:r w:rsidR="29CB1D21" w:rsidDel="00713C0A">
        <w:t>.</w:t>
      </w:r>
      <w:r w:rsidR="29CB1D21">
        <w:t xml:space="preserve"> Local governments are largely responsible for delivering basic services, aiming at more inclusive and accountable governance practice</w:t>
      </w:r>
      <w:r>
        <w:t>s</w:t>
      </w:r>
      <w:r w:rsidR="29CB1D21">
        <w:t xml:space="preserve">. However, provincial and local governments struggle to </w:t>
      </w:r>
      <w:r w:rsidR="00594566">
        <w:t xml:space="preserve">perform their </w:t>
      </w:r>
      <w:r w:rsidR="29CB1D21">
        <w:t xml:space="preserve">duties </w:t>
      </w:r>
      <w:r>
        <w:t xml:space="preserve">– </w:t>
      </w:r>
      <w:r w:rsidR="29CB1D21">
        <w:t>in terms of accountability, transparency, inclusion and service delivery</w:t>
      </w:r>
      <w:r w:rsidR="00594566">
        <w:t xml:space="preserve"> </w:t>
      </w:r>
      <w:r>
        <w:t xml:space="preserve">– </w:t>
      </w:r>
      <w:r w:rsidR="00594566">
        <w:t>to their full potential</w:t>
      </w:r>
      <w:r w:rsidR="29CB1D21">
        <w:t xml:space="preserve">. </w:t>
      </w:r>
      <w:r w:rsidR="00594566">
        <w:t>One</w:t>
      </w:r>
      <w:r w:rsidR="29CB1D21">
        <w:t xml:space="preserve"> reason is the delay in implementation of administrative federalism, with </w:t>
      </w:r>
      <w:r w:rsidR="00594566">
        <w:t xml:space="preserve">key bills </w:t>
      </w:r>
      <w:r w:rsidR="29CB1D21">
        <w:t xml:space="preserve">yet to be passed and </w:t>
      </w:r>
      <w:r w:rsidR="009768BF">
        <w:t>enacted</w:t>
      </w:r>
      <w:r>
        <w:t>.</w:t>
      </w:r>
      <w:r w:rsidR="00DE2EAA">
        <w:rPr>
          <w:rStyle w:val="FootnoteReference"/>
        </w:rPr>
        <w:footnoteReference w:id="9"/>
      </w:r>
      <w:bookmarkStart w:id="0" w:name="_Hlk86226297"/>
      <w:bookmarkStart w:id="1" w:name="_Hlk97375941"/>
      <w:bookmarkEnd w:id="0"/>
      <w:bookmarkEnd w:id="1"/>
    </w:p>
    <w:p w14:paraId="404850E4" w14:textId="5FFD6D66" w:rsidR="00DE2EAA" w:rsidRDefault="000E2ED5" w:rsidP="00DE2EAA">
      <w:pPr>
        <w:pStyle w:val="ListParagraph"/>
        <w:numPr>
          <w:ilvl w:val="0"/>
          <w:numId w:val="47"/>
        </w:numPr>
        <w:spacing w:after="120"/>
        <w:ind w:right="1210" w:firstLine="10"/>
        <w:jc w:val="both"/>
      </w:pPr>
      <w:r>
        <w:t xml:space="preserve">The proposed </w:t>
      </w:r>
      <w:r w:rsidR="00DE2EAA">
        <w:t xml:space="preserve"> </w:t>
      </w:r>
      <w:r>
        <w:t>c</w:t>
      </w:r>
      <w:r w:rsidR="00DE2EAA">
        <w:t xml:space="preserve">ountry </w:t>
      </w:r>
      <w:r>
        <w:t>p</w:t>
      </w:r>
      <w:r w:rsidR="00DE2EAA">
        <w:t>rogramme 2023–2027 aims to address the</w:t>
      </w:r>
      <w:r w:rsidR="00776EF6">
        <w:t>se</w:t>
      </w:r>
      <w:r w:rsidR="00DE2EAA">
        <w:t xml:space="preserve"> challenges in support of the milestones outlined in the Government</w:t>
      </w:r>
      <w:r>
        <w:t>’s</w:t>
      </w:r>
      <w:r w:rsidR="00DE2EAA">
        <w:t xml:space="preserve"> </w:t>
      </w:r>
      <w:r w:rsidR="00776EF6">
        <w:t xml:space="preserve">Fifteenth </w:t>
      </w:r>
      <w:r w:rsidR="00DE2EAA">
        <w:t>Plan (</w:t>
      </w:r>
      <w:r w:rsidR="00776EF6">
        <w:t xml:space="preserve">Fiscal Year </w:t>
      </w:r>
      <w:r w:rsidR="00DE2EAA">
        <w:t>2019/20 – 2023/24). Wide-ranging national, provincial and local</w:t>
      </w:r>
      <w:r w:rsidR="00566A8F">
        <w:t>-</w:t>
      </w:r>
      <w:r w:rsidR="00DE2EAA">
        <w:t xml:space="preserve">level consultations informing this </w:t>
      </w:r>
      <w:r w:rsidR="00566A8F">
        <w:t>prog</w:t>
      </w:r>
      <w:r w:rsidR="00A07C18">
        <w:t>r</w:t>
      </w:r>
      <w:r w:rsidR="00566A8F">
        <w:t xml:space="preserve">amme </w:t>
      </w:r>
      <w:r w:rsidR="00DE2EAA">
        <w:t xml:space="preserve">have acknowledged the need for UNDP to bring a mix of policy and programme interventions to support federalism, build capacity for resilience to climate change and disasters and, in the wake of the </w:t>
      </w:r>
      <w:r w:rsidR="006068B4">
        <w:t>COVID</w:t>
      </w:r>
      <w:r w:rsidR="007A2061">
        <w:t xml:space="preserve">-19 </w:t>
      </w:r>
      <w:r w:rsidR="00DE2EAA">
        <w:t>pandemic, promote green path</w:t>
      </w:r>
      <w:r w:rsidR="009D21BB">
        <w:t>way</w:t>
      </w:r>
      <w:r w:rsidR="00DE2EAA">
        <w:t xml:space="preserve">s to equitable economic growth that </w:t>
      </w:r>
      <w:r w:rsidR="00DE2EAA">
        <w:lastRenderedPageBreak/>
        <w:t>include those who are left furthest behind</w:t>
      </w:r>
      <w:r w:rsidR="00A3423B">
        <w:t>, all in close collaboration with the U</w:t>
      </w:r>
      <w:r w:rsidR="0096191F">
        <w:t xml:space="preserve">nited </w:t>
      </w:r>
      <w:r w:rsidR="00A3423B">
        <w:t>N</w:t>
      </w:r>
      <w:r w:rsidR="0096191F">
        <w:t xml:space="preserve">ations </w:t>
      </w:r>
      <w:r w:rsidR="00A3423B">
        <w:t xml:space="preserve"> </w:t>
      </w:r>
      <w:r w:rsidR="0096191F">
        <w:t>c</w:t>
      </w:r>
      <w:r w:rsidR="00A3423B">
        <w:t xml:space="preserve">ountry </w:t>
      </w:r>
      <w:r w:rsidR="0096191F">
        <w:t>t</w:t>
      </w:r>
      <w:r w:rsidR="00A3423B">
        <w:t>eam</w:t>
      </w:r>
      <w:r w:rsidR="002276BD">
        <w:t xml:space="preserve"> (UNCT)</w:t>
      </w:r>
      <w:r w:rsidR="00DE2EAA">
        <w:t>.</w:t>
      </w:r>
    </w:p>
    <w:p w14:paraId="3154223B" w14:textId="3DE7A201" w:rsidR="00DE2EAA" w:rsidRPr="004C1A96" w:rsidRDefault="1F307140" w:rsidP="00DE2EAA">
      <w:pPr>
        <w:pStyle w:val="ListParagraph"/>
        <w:numPr>
          <w:ilvl w:val="0"/>
          <w:numId w:val="47"/>
        </w:numPr>
        <w:spacing w:after="120"/>
        <w:ind w:right="1210" w:firstLine="10"/>
        <w:jc w:val="both"/>
      </w:pPr>
      <w:r>
        <w:t xml:space="preserve">The </w:t>
      </w:r>
      <w:hyperlink r:id="rId16" w:history="1">
        <w:r w:rsidRPr="00272431">
          <w:rPr>
            <w:rStyle w:val="Hyperlink"/>
          </w:rPr>
          <w:t xml:space="preserve">2021 </w:t>
        </w:r>
        <w:r w:rsidR="0096191F" w:rsidRPr="00272431">
          <w:rPr>
            <w:rStyle w:val="Hyperlink"/>
          </w:rPr>
          <w:t>e</w:t>
        </w:r>
        <w:r w:rsidRPr="00272431">
          <w:rPr>
            <w:rStyle w:val="Hyperlink"/>
          </w:rPr>
          <w:t xml:space="preserve">valuation  of the </w:t>
        </w:r>
        <w:r w:rsidR="0096191F" w:rsidRPr="00272431">
          <w:rPr>
            <w:rStyle w:val="Hyperlink"/>
          </w:rPr>
          <w:t>previous country programme</w:t>
        </w:r>
      </w:hyperlink>
      <w:r w:rsidR="0096191F">
        <w:t xml:space="preserve"> (</w:t>
      </w:r>
      <w:r>
        <w:t>2018-2022</w:t>
      </w:r>
      <w:r w:rsidR="0096191F">
        <w:t>)</w:t>
      </w:r>
      <w:r>
        <w:t xml:space="preserve"> concluded that </w:t>
      </w:r>
      <w:r w:rsidR="00272431">
        <w:t xml:space="preserve">the </w:t>
      </w:r>
      <w:r>
        <w:t xml:space="preserve">contribution </w:t>
      </w:r>
      <w:r w:rsidR="00272431">
        <w:t xml:space="preserve">of UNDP </w:t>
      </w:r>
      <w:r>
        <w:t xml:space="preserve">is highly relevant to </w:t>
      </w:r>
      <w:r w:rsidR="00272431">
        <w:t xml:space="preserve">the </w:t>
      </w:r>
      <w:r>
        <w:t>development</w:t>
      </w:r>
      <w:r w:rsidR="00272431">
        <w:t xml:space="preserve"> of Nepal</w:t>
      </w:r>
      <w:r>
        <w:t>, bringing</w:t>
      </w:r>
      <w:r w:rsidR="00F4766F">
        <w:t xml:space="preserve"> </w:t>
      </w:r>
      <w:r>
        <w:t>impartial values to the development discourse</w:t>
      </w:r>
      <w:r w:rsidR="00272431">
        <w:t>;</w:t>
      </w:r>
      <w:r>
        <w:t xml:space="preserve"> addressing </w:t>
      </w:r>
      <w:r w:rsidR="00272431">
        <w:t xml:space="preserve">the </w:t>
      </w:r>
      <w:r>
        <w:t xml:space="preserve">root causes of challenges and inequalities through its core values (rule of law, diversity, equality, peace and harmony) and expertise </w:t>
      </w:r>
      <w:r w:rsidR="00272431">
        <w:t>in l</w:t>
      </w:r>
      <w:r>
        <w:t>eav</w:t>
      </w:r>
      <w:r w:rsidR="00272431">
        <w:t>ing</w:t>
      </w:r>
      <w:r>
        <w:t xml:space="preserve"> </w:t>
      </w:r>
      <w:r w:rsidR="00272431">
        <w:t>n</w:t>
      </w:r>
      <w:r>
        <w:t xml:space="preserve">o </w:t>
      </w:r>
      <w:r w:rsidR="00272431">
        <w:t>o</w:t>
      </w:r>
      <w:r>
        <w:t xml:space="preserve">ne </w:t>
      </w:r>
      <w:r w:rsidR="00272431">
        <w:t>b</w:t>
      </w:r>
      <w:r>
        <w:t>ehind</w:t>
      </w:r>
      <w:r w:rsidR="00272431">
        <w:t>;</w:t>
      </w:r>
      <w:r>
        <w:t xml:space="preserve"> supporting the </w:t>
      </w:r>
      <w:r w:rsidR="00272431">
        <w:t xml:space="preserve">Sustainable Development Goal </w:t>
      </w:r>
      <w:r>
        <w:t>localization process</w:t>
      </w:r>
      <w:r w:rsidR="00272431">
        <w:t xml:space="preserve">; </w:t>
      </w:r>
      <w:r>
        <w:t xml:space="preserve">and implementation of federalism, </w:t>
      </w:r>
      <w:r w:rsidR="000D7EC5">
        <w:t xml:space="preserve">gender </w:t>
      </w:r>
      <w:r>
        <w:t>equality and social inclusion and human rights-based development approaches. Th</w:t>
      </w:r>
      <w:r w:rsidR="00272431">
        <w:t>e proposed programme</w:t>
      </w:r>
      <w:r>
        <w:t xml:space="preserve"> builds on the </w:t>
      </w:r>
      <w:r w:rsidR="00272431">
        <w:t xml:space="preserve">evaluation’s </w:t>
      </w:r>
      <w:r>
        <w:t>recommendations, in particular</w:t>
      </w:r>
      <w:r w:rsidR="3F121011">
        <w:t>:</w:t>
      </w:r>
      <w:r>
        <w:t xml:space="preserve"> </w:t>
      </w:r>
      <w:r w:rsidR="00EF0444">
        <w:t>(a</w:t>
      </w:r>
      <w:r>
        <w:t>) intensify</w:t>
      </w:r>
      <w:r w:rsidR="35A1B81E">
        <w:t>ing</w:t>
      </w:r>
      <w:r>
        <w:t xml:space="preserve"> engagement with the</w:t>
      </w:r>
      <w:r w:rsidR="61C8D9CF">
        <w:t xml:space="preserve"> federal</w:t>
      </w:r>
      <w:r w:rsidR="00F95A7D">
        <w:t xml:space="preserve">, </w:t>
      </w:r>
      <w:r w:rsidR="00EF0444">
        <w:t>provincial and local governments</w:t>
      </w:r>
      <w:r w:rsidR="00EF0444" w:rsidDel="00EF0444">
        <w:t xml:space="preserve"> </w:t>
      </w:r>
      <w:r>
        <w:t xml:space="preserve">in support of effective and inclusive implementation of federalism; </w:t>
      </w:r>
      <w:r w:rsidR="00EF0444">
        <w:t>(b</w:t>
      </w:r>
      <w:r>
        <w:t>) ensur</w:t>
      </w:r>
      <w:r w:rsidR="679B33AB">
        <w:t>ing</w:t>
      </w:r>
      <w:r>
        <w:t xml:space="preserve"> that localization </w:t>
      </w:r>
      <w:r w:rsidR="00EF0444">
        <w:t xml:space="preserve">of the Goals </w:t>
      </w:r>
      <w:r>
        <w:t xml:space="preserve">and </w:t>
      </w:r>
      <w:r w:rsidR="00EF0444">
        <w:t xml:space="preserve">gender equality and social inclusion </w:t>
      </w:r>
      <w:r>
        <w:t xml:space="preserve">remain at the core of its interventions; and </w:t>
      </w:r>
      <w:r w:rsidR="00EF0444">
        <w:t>(c</w:t>
      </w:r>
      <w:r>
        <w:t>) continu</w:t>
      </w:r>
      <w:r w:rsidR="02A2CB8A">
        <w:t>ing</w:t>
      </w:r>
      <w:r>
        <w:t xml:space="preserve"> long-standing support to foster inclusive economic growth and resilience, balancing immediate response and medium- to long-term development impacts.</w:t>
      </w:r>
    </w:p>
    <w:p w14:paraId="7FC86D52" w14:textId="37BD71F3" w:rsidR="00CA2B90" w:rsidRDefault="29CB1D21" w:rsidP="00DE2EAA">
      <w:pPr>
        <w:pStyle w:val="ListParagraph"/>
        <w:numPr>
          <w:ilvl w:val="0"/>
          <w:numId w:val="47"/>
        </w:numPr>
        <w:spacing w:after="120"/>
        <w:ind w:right="1210" w:firstLine="10"/>
        <w:jc w:val="both"/>
      </w:pPr>
      <w:r>
        <w:t xml:space="preserve">The </w:t>
      </w:r>
      <w:r w:rsidR="009C68E7">
        <w:t>UNDP</w:t>
      </w:r>
      <w:r w:rsidR="00B467DE">
        <w:t xml:space="preserve"> programme </w:t>
      </w:r>
      <w:r>
        <w:t xml:space="preserve">will contribute </w:t>
      </w:r>
      <w:r w:rsidR="00B467DE">
        <w:t xml:space="preserve">directly </w:t>
      </w:r>
      <w:r>
        <w:t xml:space="preserve">to three of the four </w:t>
      </w:r>
      <w:r w:rsidR="00B467DE">
        <w:t xml:space="preserve">outcomes of the </w:t>
      </w:r>
      <w:r>
        <w:t>United Nations Sustainable Development Cooperation Framework (UNSDCF) 2023-2027</w:t>
      </w:r>
      <w:r w:rsidR="43D276C1">
        <w:t xml:space="preserve">: </w:t>
      </w:r>
      <w:r w:rsidR="00B467DE">
        <w:t>s</w:t>
      </w:r>
      <w:r w:rsidR="43D276C1">
        <w:t xml:space="preserve">ustainable and inclusive economic transformation; </w:t>
      </w:r>
      <w:r w:rsidR="00B467DE">
        <w:t>g</w:t>
      </w:r>
      <w:r w:rsidR="43D276C1">
        <w:t xml:space="preserve">overnance, federalism, participation and inclusion; and </w:t>
      </w:r>
      <w:r w:rsidR="00B467DE">
        <w:t>e</w:t>
      </w:r>
      <w:r w:rsidR="43D276C1">
        <w:t>nvironmental sustainability, climate and disaster resilience.</w:t>
      </w:r>
      <w:r>
        <w:t xml:space="preserve"> Guided by its Strategic Plan, UNDP contributes to the UNSDCF governance architecture and focuses on improving the policy environment, institutional frameworks</w:t>
      </w:r>
      <w:r w:rsidR="00B467DE">
        <w:t xml:space="preserve"> </w:t>
      </w:r>
      <w:r>
        <w:t xml:space="preserve">and governance capacities across the outcomes. </w:t>
      </w:r>
    </w:p>
    <w:p w14:paraId="1BFC3705" w14:textId="72A299F0" w:rsidR="00A15DC1" w:rsidRDefault="29CB1D21" w:rsidP="00DE2EAA">
      <w:pPr>
        <w:pStyle w:val="ListParagraph"/>
        <w:numPr>
          <w:ilvl w:val="0"/>
          <w:numId w:val="47"/>
        </w:numPr>
        <w:spacing w:after="120"/>
        <w:ind w:right="1210" w:firstLine="10"/>
        <w:jc w:val="both"/>
      </w:pPr>
      <w:r>
        <w:t xml:space="preserve">Building on its </w:t>
      </w:r>
      <w:r w:rsidR="00935B3F">
        <w:t xml:space="preserve">engagement in </w:t>
      </w:r>
      <w:r>
        <w:t xml:space="preserve">post-COVID recovery, </w:t>
      </w:r>
      <w:r w:rsidR="00B467DE">
        <w:t xml:space="preserve">the </w:t>
      </w:r>
      <w:r w:rsidR="00935B3F">
        <w:t>technical lead role</w:t>
      </w:r>
      <w:r>
        <w:t xml:space="preserve"> </w:t>
      </w:r>
      <w:r w:rsidR="00B467DE">
        <w:t xml:space="preserve">of UNDP </w:t>
      </w:r>
      <w:r>
        <w:t xml:space="preserve">to support the planned contributions </w:t>
      </w:r>
      <w:r w:rsidR="00B467DE">
        <w:t xml:space="preserve">of the United Nations system to the country’s </w:t>
      </w:r>
      <w:r>
        <w:t>LDC graduation process</w:t>
      </w:r>
      <w:r w:rsidR="00935B3F">
        <w:t xml:space="preserve"> has been </w:t>
      </w:r>
      <w:r w:rsidR="00880A07">
        <w:t>full</w:t>
      </w:r>
      <w:r w:rsidR="00E6733E">
        <w:t>y</w:t>
      </w:r>
      <w:r w:rsidR="00880A07">
        <w:t xml:space="preserve"> </w:t>
      </w:r>
      <w:r w:rsidR="00935B3F">
        <w:t>recognized</w:t>
      </w:r>
      <w:r>
        <w:t xml:space="preserve">. </w:t>
      </w:r>
      <w:r w:rsidR="2DC6C17B">
        <w:t>UNDP will expand current programming engagements with</w:t>
      </w:r>
      <w:r w:rsidR="7371F36A">
        <w:t xml:space="preserve"> the United Nations Entity for Gender Equality and the Empowerment of Women</w:t>
      </w:r>
      <w:r w:rsidR="2DC6C17B">
        <w:t xml:space="preserve"> </w:t>
      </w:r>
      <w:r w:rsidR="7371F36A">
        <w:t>(</w:t>
      </w:r>
      <w:r w:rsidR="2DC6C17B">
        <w:t>UN</w:t>
      </w:r>
      <w:r w:rsidR="00B467DE">
        <w:t>-</w:t>
      </w:r>
      <w:r w:rsidR="2DC6C17B">
        <w:t>Women</w:t>
      </w:r>
      <w:r w:rsidR="7371F36A">
        <w:t>)</w:t>
      </w:r>
      <w:r w:rsidR="2DC6C17B">
        <w:t xml:space="preserve"> and </w:t>
      </w:r>
      <w:r w:rsidR="1259CDC2">
        <w:t>th</w:t>
      </w:r>
      <w:r w:rsidR="36BD6B04">
        <w:t>e</w:t>
      </w:r>
      <w:r w:rsidR="1259CDC2">
        <w:t xml:space="preserve"> United Nations Children’</w:t>
      </w:r>
      <w:r w:rsidR="36BD6B04">
        <w:t>s</w:t>
      </w:r>
      <w:r w:rsidR="1259CDC2">
        <w:t xml:space="preserve"> Fund </w:t>
      </w:r>
      <w:r w:rsidR="36BD6B04">
        <w:t>(</w:t>
      </w:r>
      <w:r w:rsidR="2DC6C17B">
        <w:t>UNICEF</w:t>
      </w:r>
      <w:r w:rsidR="36BD6B04">
        <w:t>)</w:t>
      </w:r>
      <w:r w:rsidR="2DC6C17B">
        <w:t xml:space="preserve"> on joint advocacy and institutional support</w:t>
      </w:r>
      <w:r w:rsidR="002276BD">
        <w:t>;</w:t>
      </w:r>
      <w:r w:rsidR="2DC6C17B">
        <w:t xml:space="preserve"> co-lead the UNCT </w:t>
      </w:r>
      <w:r w:rsidR="002276BD">
        <w:t>w</w:t>
      </w:r>
      <w:r w:rsidR="6F8F3CC0">
        <w:t xml:space="preserve">orking </w:t>
      </w:r>
      <w:r w:rsidR="002276BD">
        <w:t>g</w:t>
      </w:r>
      <w:r w:rsidR="6F8F3CC0">
        <w:t>roup</w:t>
      </w:r>
      <w:r w:rsidR="002276BD">
        <w:t xml:space="preserve"> on leaving no one behind;</w:t>
      </w:r>
      <w:r w:rsidR="2DC6C17B">
        <w:t xml:space="preserve"> and lead the inter</w:t>
      </w:r>
      <w:r w:rsidR="002276BD">
        <w:t>-</w:t>
      </w:r>
      <w:r w:rsidR="2DC6C17B">
        <w:t>agency collaboration around the governance</w:t>
      </w:r>
      <w:r w:rsidR="6F8F3CC0">
        <w:t xml:space="preserve"> </w:t>
      </w:r>
      <w:r w:rsidR="7A529DBB">
        <w:t xml:space="preserve">and/or environment </w:t>
      </w:r>
      <w:r w:rsidR="2DC6C17B">
        <w:t xml:space="preserve">outcome. </w:t>
      </w:r>
      <w:r w:rsidR="44BAAA4D">
        <w:t>UNDP will work closely with</w:t>
      </w:r>
      <w:r w:rsidR="57BBB8CB">
        <w:t xml:space="preserve"> the U</w:t>
      </w:r>
      <w:r w:rsidR="002276BD">
        <w:t xml:space="preserve">nited </w:t>
      </w:r>
      <w:r w:rsidR="57BBB8CB">
        <w:t>N</w:t>
      </w:r>
      <w:r w:rsidR="002276BD">
        <w:t>ations</w:t>
      </w:r>
      <w:r w:rsidR="57BBB8CB">
        <w:t xml:space="preserve"> Capital Development Fund</w:t>
      </w:r>
      <w:r w:rsidR="0C08047A">
        <w:t xml:space="preserve"> (UNCDF)</w:t>
      </w:r>
      <w:r w:rsidR="57BBB8CB">
        <w:t xml:space="preserve">, </w:t>
      </w:r>
      <w:r w:rsidR="55138AA6">
        <w:t xml:space="preserve">UNICEF, </w:t>
      </w:r>
      <w:r w:rsidR="1AD198A6">
        <w:t>U</w:t>
      </w:r>
      <w:r w:rsidR="002276BD">
        <w:t xml:space="preserve">nited </w:t>
      </w:r>
      <w:r w:rsidR="1AD198A6">
        <w:t>N</w:t>
      </w:r>
      <w:r w:rsidR="002276BD">
        <w:t>ations</w:t>
      </w:r>
      <w:r w:rsidR="1AD198A6">
        <w:t xml:space="preserve"> Volunteers</w:t>
      </w:r>
      <w:r w:rsidR="002276BD">
        <w:t xml:space="preserve"> programme</w:t>
      </w:r>
      <w:r w:rsidR="1AD198A6">
        <w:t xml:space="preserve">, </w:t>
      </w:r>
      <w:r w:rsidR="55138AA6">
        <w:t>UN</w:t>
      </w:r>
      <w:r w:rsidR="002276BD">
        <w:t>-</w:t>
      </w:r>
      <w:r w:rsidR="55138AA6">
        <w:t xml:space="preserve">Women, the World Bank and </w:t>
      </w:r>
      <w:r w:rsidR="369E69F9">
        <w:t>the Asia</w:t>
      </w:r>
      <w:r w:rsidR="002276BD">
        <w:t>n</w:t>
      </w:r>
      <w:r w:rsidR="369E69F9">
        <w:t xml:space="preserve"> Development Bank (ADB) </w:t>
      </w:r>
      <w:r w:rsidR="009768BF">
        <w:t>to</w:t>
      </w:r>
      <w:r w:rsidR="55138AA6">
        <w:t xml:space="preserve"> support  </w:t>
      </w:r>
      <w:r w:rsidR="002276BD">
        <w:t xml:space="preserve">the Government’s </w:t>
      </w:r>
      <w:r w:rsidR="55138AA6">
        <w:t xml:space="preserve">implementation of federalism. </w:t>
      </w:r>
      <w:r w:rsidR="00E12253">
        <w:t>UNDP will collaborate with the International Labour Organization</w:t>
      </w:r>
      <w:r w:rsidR="00481A3F">
        <w:t>,</w:t>
      </w:r>
      <w:r w:rsidR="00E12253">
        <w:t xml:space="preserve"> the </w:t>
      </w:r>
      <w:r w:rsidR="002276BD">
        <w:t xml:space="preserve">International Organization for </w:t>
      </w:r>
      <w:r w:rsidR="00E12253">
        <w:t xml:space="preserve">Migration (IOM), UNICEF, </w:t>
      </w:r>
      <w:r w:rsidR="002276BD">
        <w:t>the United Nations Population Fund (</w:t>
      </w:r>
      <w:r w:rsidR="01CD1237">
        <w:t>UNFPA</w:t>
      </w:r>
      <w:r w:rsidR="002276BD">
        <w:t>)</w:t>
      </w:r>
      <w:r w:rsidR="5E586554">
        <w:t xml:space="preserve"> </w:t>
      </w:r>
      <w:r w:rsidR="00E12253">
        <w:t>and UN</w:t>
      </w:r>
      <w:r w:rsidR="002276BD">
        <w:t>-</w:t>
      </w:r>
      <w:r w:rsidR="00E12253">
        <w:t xml:space="preserve">Women to enhance skills, decent jobs and disability rights, and to </w:t>
      </w:r>
      <w:r w:rsidR="0D64E3E5">
        <w:t>strengthen</w:t>
      </w:r>
      <w:r w:rsidR="4AE2ABA3">
        <w:t xml:space="preserve"> </w:t>
      </w:r>
      <w:r w:rsidR="002276BD">
        <w:t>the country’s</w:t>
      </w:r>
      <w:r w:rsidR="3C684443">
        <w:t xml:space="preserve"> social security systems</w:t>
      </w:r>
      <w:r w:rsidR="002276BD">
        <w:t>;</w:t>
      </w:r>
      <w:r w:rsidR="3C684443">
        <w:t xml:space="preserve"> </w:t>
      </w:r>
      <w:r w:rsidR="29EAA20F">
        <w:t>and with UNICEF</w:t>
      </w:r>
      <w:r w:rsidR="480CC023">
        <w:t xml:space="preserve">, </w:t>
      </w:r>
      <w:r w:rsidR="29EAA20F">
        <w:t xml:space="preserve">the World Health Organization </w:t>
      </w:r>
      <w:r w:rsidR="58E46CBE">
        <w:t xml:space="preserve">and </w:t>
      </w:r>
      <w:r w:rsidR="002276BD">
        <w:t xml:space="preserve">the Joint United Nations Programme on HIV/AIDS </w:t>
      </w:r>
      <w:r w:rsidR="29EAA20F">
        <w:t xml:space="preserve">to strengthen health systems, including </w:t>
      </w:r>
      <w:r w:rsidR="4799A4ED">
        <w:t xml:space="preserve">improved health waste management. </w:t>
      </w:r>
    </w:p>
    <w:p w14:paraId="03B1FE64" w14:textId="7146AA3A" w:rsidR="00DE2EAA" w:rsidRPr="004C1A96" w:rsidRDefault="4799A4ED" w:rsidP="00DE2EAA">
      <w:pPr>
        <w:pStyle w:val="ListParagraph"/>
        <w:numPr>
          <w:ilvl w:val="0"/>
          <w:numId w:val="47"/>
        </w:numPr>
        <w:spacing w:after="120"/>
        <w:ind w:right="1210" w:firstLine="10"/>
        <w:jc w:val="both"/>
      </w:pPr>
      <w:r>
        <w:t>UNDP will liaise with</w:t>
      </w:r>
      <w:r w:rsidR="3C684443">
        <w:t xml:space="preserve"> </w:t>
      </w:r>
      <w:r w:rsidR="36BD6B04">
        <w:t>UNCDF</w:t>
      </w:r>
      <w:r w:rsidR="3C684443">
        <w:t xml:space="preserve"> and UN</w:t>
      </w:r>
      <w:r w:rsidR="002276BD">
        <w:t>-</w:t>
      </w:r>
      <w:r w:rsidR="3C684443">
        <w:t xml:space="preserve">Women to </w:t>
      </w:r>
      <w:r w:rsidR="369E69F9">
        <w:t>raise</w:t>
      </w:r>
      <w:r w:rsidR="3C684443">
        <w:t xml:space="preserve"> additional financing</w:t>
      </w:r>
      <w:r w:rsidR="002276BD">
        <w:t xml:space="preserve"> for the Sustainable Development Goals</w:t>
      </w:r>
      <w:r w:rsidR="3C684443">
        <w:t xml:space="preserve">, and with </w:t>
      </w:r>
      <w:r w:rsidR="390E883B">
        <w:t xml:space="preserve">the </w:t>
      </w:r>
      <w:r w:rsidR="0C08047A">
        <w:t>Food and Agricultural Organization</w:t>
      </w:r>
      <w:r w:rsidR="002276BD">
        <w:t xml:space="preserve"> of the United Nations</w:t>
      </w:r>
      <w:r w:rsidR="3C684443">
        <w:t xml:space="preserve">, </w:t>
      </w:r>
      <w:r w:rsidR="007A5E2D">
        <w:t>U</w:t>
      </w:r>
      <w:r w:rsidR="00A15DC1">
        <w:t xml:space="preserve">nited </w:t>
      </w:r>
      <w:r w:rsidR="007A5E2D">
        <w:t>N</w:t>
      </w:r>
      <w:r w:rsidR="00A15DC1">
        <w:t>ations</w:t>
      </w:r>
      <w:r w:rsidR="007A5E2D">
        <w:t xml:space="preserve"> Environment Programme (UNEP), </w:t>
      </w:r>
      <w:r w:rsidR="00A15DC1">
        <w:t>United Nations Human Settlements Programme</w:t>
      </w:r>
      <w:r w:rsidR="00CE1722">
        <w:t xml:space="preserve">, </w:t>
      </w:r>
      <w:r w:rsidR="3C684443">
        <w:t xml:space="preserve">UNICEF, </w:t>
      </w:r>
      <w:r w:rsidR="0FD7CC56">
        <w:t>UN</w:t>
      </w:r>
      <w:r w:rsidR="00A15DC1">
        <w:t>-</w:t>
      </w:r>
      <w:r w:rsidR="0FD7CC56">
        <w:t xml:space="preserve">Women, </w:t>
      </w:r>
      <w:r w:rsidR="00A15DC1">
        <w:t xml:space="preserve">the </w:t>
      </w:r>
      <w:r w:rsidR="0C08047A">
        <w:t>World Food Programme (</w:t>
      </w:r>
      <w:r w:rsidR="3C684443">
        <w:t>WFP</w:t>
      </w:r>
      <w:r w:rsidR="0C08047A">
        <w:t>)</w:t>
      </w:r>
      <w:r w:rsidR="3C684443">
        <w:t xml:space="preserve"> and others, to enhance </w:t>
      </w:r>
      <w:r w:rsidR="38ADC658">
        <w:t>resilient infrastructure development,</w:t>
      </w:r>
      <w:r w:rsidR="3C684443">
        <w:t xml:space="preserve"> climate</w:t>
      </w:r>
      <w:r w:rsidR="009768BF">
        <w:t>-</w:t>
      </w:r>
      <w:r w:rsidR="3C684443">
        <w:t>change adaptation</w:t>
      </w:r>
      <w:r w:rsidR="00633F8B">
        <w:t xml:space="preserve"> </w:t>
      </w:r>
      <w:r w:rsidR="00942014">
        <w:t>and risk-sensitive land-use planning. UNDP will closely work with the UN</w:t>
      </w:r>
      <w:r w:rsidR="00A15DC1">
        <w:t>CT</w:t>
      </w:r>
      <w:r w:rsidR="00942014">
        <w:t xml:space="preserve">, especially on localization and integration </w:t>
      </w:r>
      <w:r w:rsidR="00A15DC1">
        <w:t xml:space="preserve">of the Goals </w:t>
      </w:r>
      <w:r w:rsidR="00942014">
        <w:t>and sustainable graduation</w:t>
      </w:r>
      <w:r w:rsidR="00A15DC1">
        <w:t xml:space="preserve"> from LDC status</w:t>
      </w:r>
      <w:r w:rsidR="3C684443">
        <w:t>.</w:t>
      </w:r>
      <w:r w:rsidR="44BAAA4D">
        <w:t xml:space="preserve"> </w:t>
      </w:r>
      <w:r w:rsidR="0401DAC4">
        <w:t>R</w:t>
      </w:r>
      <w:r w:rsidR="29CB1D21">
        <w:t xml:space="preserve">einforcing </w:t>
      </w:r>
      <w:r w:rsidR="00A15DC1">
        <w:t xml:space="preserve">its </w:t>
      </w:r>
      <w:r w:rsidR="29CB1D21">
        <w:t xml:space="preserve"> position as a trusted development partner </w:t>
      </w:r>
      <w:r w:rsidR="00A15DC1">
        <w:t>and</w:t>
      </w:r>
      <w:r w:rsidR="0401DAC4">
        <w:t xml:space="preserve"> provider of integrated solutions</w:t>
      </w:r>
      <w:r w:rsidR="00C8170F">
        <w:t>,</w:t>
      </w:r>
      <w:r w:rsidR="29CB1D21">
        <w:t xml:space="preserve"> UNDP deploy</w:t>
      </w:r>
      <w:r w:rsidR="00661733">
        <w:t>s</w:t>
      </w:r>
      <w:r w:rsidR="29CB1D21">
        <w:t xml:space="preserve"> its six signature solutions </w:t>
      </w:r>
      <w:r w:rsidR="00121049">
        <w:t xml:space="preserve">and three </w:t>
      </w:r>
      <w:r w:rsidR="29CB1D21">
        <w:t>enablers</w:t>
      </w:r>
      <w:r w:rsidR="0099324F">
        <w:t xml:space="preserve"> </w:t>
      </w:r>
      <w:r w:rsidR="00E23642">
        <w:t>of</w:t>
      </w:r>
      <w:r w:rsidR="29CB1D21">
        <w:t xml:space="preserve"> innovation, digitalization and development financing towards achievement of </w:t>
      </w:r>
      <w:r w:rsidR="61C62BE2">
        <w:t xml:space="preserve">the </w:t>
      </w:r>
      <w:r w:rsidR="29CB1D21">
        <w:t xml:space="preserve">UNSDCF outcomes. </w:t>
      </w:r>
    </w:p>
    <w:p w14:paraId="5E78E458" w14:textId="7963C75E" w:rsidR="00DE2EAA" w:rsidRDefault="29CB1D21" w:rsidP="00DE2EAA">
      <w:pPr>
        <w:pStyle w:val="ListParagraph"/>
        <w:numPr>
          <w:ilvl w:val="0"/>
          <w:numId w:val="47"/>
        </w:numPr>
        <w:spacing w:after="120"/>
        <w:ind w:right="1210" w:firstLine="10"/>
        <w:jc w:val="both"/>
      </w:pPr>
      <w:r>
        <w:t xml:space="preserve">Among </w:t>
      </w:r>
      <w:r w:rsidR="00A15DC1">
        <w:t>the</w:t>
      </w:r>
      <w:r>
        <w:t xml:space="preserve"> key comparative advantages </w:t>
      </w:r>
      <w:r w:rsidR="00A15DC1">
        <w:t xml:space="preserve">of UNDP </w:t>
      </w:r>
      <w:r>
        <w:t>in Nepal are</w:t>
      </w:r>
      <w:r w:rsidR="41CD6197">
        <w:t xml:space="preserve"> its</w:t>
      </w:r>
      <w:r>
        <w:t xml:space="preserve"> ability to offer integrated policy advice </w:t>
      </w:r>
      <w:r w:rsidR="00A15DC1">
        <w:t xml:space="preserve">to </w:t>
      </w:r>
      <w:r w:rsidR="3B63A584">
        <w:t>inform</w:t>
      </w:r>
      <w:r>
        <w:t xml:space="preserve"> public choices towards achievement</w:t>
      </w:r>
      <w:r w:rsidR="00A15DC1">
        <w:t xml:space="preserve"> of the Goals</w:t>
      </w:r>
      <w:r>
        <w:t xml:space="preserve">; </w:t>
      </w:r>
      <w:r w:rsidR="00374D30">
        <w:t xml:space="preserve">a </w:t>
      </w:r>
      <w:r>
        <w:t xml:space="preserve">well-recognized role </w:t>
      </w:r>
      <w:r w:rsidR="78844870">
        <w:t xml:space="preserve">supporting </w:t>
      </w:r>
      <w:r w:rsidR="00687783">
        <w:t xml:space="preserve">the implementation of the </w:t>
      </w:r>
      <w:r>
        <w:t xml:space="preserve">Constitution, exemplified by multiple engagements in the federalization and inclusion arenas; and </w:t>
      </w:r>
      <w:r w:rsidR="6F1444CD">
        <w:t xml:space="preserve">its </w:t>
      </w:r>
      <w:r>
        <w:t>physical presence in provinces</w:t>
      </w:r>
      <w:r w:rsidR="00A15DC1">
        <w:t>,</w:t>
      </w:r>
      <w:r w:rsidR="00830635">
        <w:t xml:space="preserve"> </w:t>
      </w:r>
      <w:r>
        <w:t>add</w:t>
      </w:r>
      <w:r w:rsidR="38EF7A26">
        <w:t>ing</w:t>
      </w:r>
      <w:r>
        <w:t xml:space="preserve"> valuable dimension</w:t>
      </w:r>
      <w:r w:rsidR="59AA93C7">
        <w:t>s</w:t>
      </w:r>
      <w:r>
        <w:t xml:space="preserve"> to local development through tailored solutions grounded in people’s needs. A </w:t>
      </w:r>
      <w:r w:rsidR="002966B2">
        <w:t xml:space="preserve">portfolio </w:t>
      </w:r>
      <w:r>
        <w:t xml:space="preserve">approach to programme </w:t>
      </w:r>
      <w:r w:rsidR="002966B2">
        <w:t xml:space="preserve">design and </w:t>
      </w:r>
      <w:r w:rsidR="00B04C8F">
        <w:t xml:space="preserve">implementation </w:t>
      </w:r>
      <w:r>
        <w:t xml:space="preserve">ensures </w:t>
      </w:r>
      <w:r w:rsidR="00592019">
        <w:t xml:space="preserve">synergies across </w:t>
      </w:r>
      <w:r w:rsidR="003D3B8D">
        <w:t>development outcomes</w:t>
      </w:r>
      <w:r w:rsidR="00170F59">
        <w:t xml:space="preserve"> </w:t>
      </w:r>
      <w:r w:rsidR="004861A7">
        <w:t xml:space="preserve">and </w:t>
      </w:r>
      <w:r w:rsidR="00170F59">
        <w:t>help</w:t>
      </w:r>
      <w:r w:rsidR="004861A7">
        <w:t>s</w:t>
      </w:r>
      <w:r w:rsidR="003D3B8D">
        <w:t xml:space="preserve"> </w:t>
      </w:r>
      <w:r w:rsidR="00A01EC7">
        <w:t xml:space="preserve">to </w:t>
      </w:r>
      <w:r w:rsidR="00987700">
        <w:t>tackle</w:t>
      </w:r>
      <w:r w:rsidR="002C5147">
        <w:t xml:space="preserve"> </w:t>
      </w:r>
      <w:r w:rsidR="004861A7">
        <w:t xml:space="preserve">both </w:t>
      </w:r>
      <w:r>
        <w:t>immediate needs</w:t>
      </w:r>
      <w:r w:rsidR="005D77E4">
        <w:t xml:space="preserve"> and </w:t>
      </w:r>
      <w:r>
        <w:t xml:space="preserve">systemic structural </w:t>
      </w:r>
      <w:r>
        <w:lastRenderedPageBreak/>
        <w:t>barriers</w:t>
      </w:r>
      <w:r w:rsidR="005033C3">
        <w:t xml:space="preserve">. </w:t>
      </w:r>
      <w:r>
        <w:t>Th</w:t>
      </w:r>
      <w:r w:rsidR="00B04C8F">
        <w:t xml:space="preserve">is is illustrated, for example, by </w:t>
      </w:r>
      <w:r w:rsidR="00A15DC1">
        <w:t xml:space="preserve">the </w:t>
      </w:r>
      <w:r>
        <w:t xml:space="preserve">UNDP approach </w:t>
      </w:r>
      <w:r w:rsidR="00B04C8F">
        <w:t>to disaster risk response and recovery capacities of federal, provincial</w:t>
      </w:r>
      <w:r w:rsidR="00A2025E">
        <w:t xml:space="preserve"> and</w:t>
      </w:r>
      <w:r w:rsidR="00B04C8F">
        <w:t xml:space="preserve"> local governments.</w:t>
      </w:r>
    </w:p>
    <w:p w14:paraId="2641220E" w14:textId="442A8758" w:rsidR="00DE2EAA" w:rsidRDefault="29CB1D21" w:rsidP="003C2FE9">
      <w:pPr>
        <w:pStyle w:val="ListParagraph"/>
        <w:numPr>
          <w:ilvl w:val="0"/>
          <w:numId w:val="47"/>
        </w:numPr>
        <w:spacing w:after="200"/>
        <w:ind w:right="1210" w:firstLine="10"/>
        <w:jc w:val="both"/>
      </w:pPr>
      <w:r>
        <w:t xml:space="preserve">The </w:t>
      </w:r>
      <w:r w:rsidR="000A4DB4">
        <w:t>country programme’s t</w:t>
      </w:r>
      <w:r>
        <w:t xml:space="preserve">heory of </w:t>
      </w:r>
      <w:r w:rsidR="000A4DB4">
        <w:t>c</w:t>
      </w:r>
      <w:r>
        <w:t>hange is based on the premise that if prosperity is shared among all people, and if the most vulnerable and marginalized are empowered to exercise their rights and participate meaningfully in all spheres of life</w:t>
      </w:r>
      <w:r w:rsidR="73748906">
        <w:t>,</w:t>
      </w:r>
      <w:r>
        <w:t xml:space="preserve"> then </w:t>
      </w:r>
      <w:r w:rsidR="000A4DB4">
        <w:t xml:space="preserve">all people in Nepal could achieve a </w:t>
      </w:r>
      <w:r>
        <w:t>better quality of life. Enhanced inclusion</w:t>
      </w:r>
      <w:r w:rsidR="00D3562D">
        <w:t xml:space="preserve">, </w:t>
      </w:r>
      <w:r>
        <w:t xml:space="preserve"> resilience, peace and security are important preconditions to empower all people to contribute to </w:t>
      </w:r>
      <w:r w:rsidR="00D3562D">
        <w:t xml:space="preserve">the country’s </w:t>
      </w:r>
      <w:r w:rsidR="6B58F0EB">
        <w:t xml:space="preserve"> </w:t>
      </w:r>
      <w:r>
        <w:t>social and economic transformation and accelerate achievement</w:t>
      </w:r>
      <w:r w:rsidR="000A4DB4">
        <w:t xml:space="preserve"> of the Goals</w:t>
      </w:r>
      <w:r>
        <w:t xml:space="preserve">. The </w:t>
      </w:r>
      <w:r w:rsidR="000A4DB4">
        <w:t xml:space="preserve">theory of change </w:t>
      </w:r>
      <w:r>
        <w:t xml:space="preserve">underlines the critical role of inclusive and green growth as a driver for reducing poverty, unemployment and vulnerability and building resilience. Strong systems and institutions that promote inclusive and gender-responsive (e-)governance are critical for the realization of human rights, access to justice, political participation, </w:t>
      </w:r>
      <w:r w:rsidR="7FDC8A7D">
        <w:t xml:space="preserve">enhanced accountability </w:t>
      </w:r>
      <w:r>
        <w:t>and service delivery</w:t>
      </w:r>
      <w:r w:rsidR="000A4DB4">
        <w:t>,</w:t>
      </w:r>
      <w:r>
        <w:t xml:space="preserve"> especially for marginalized and vulnerable people. The </w:t>
      </w:r>
      <w:r w:rsidR="000A4DB4">
        <w:t xml:space="preserve">theory </w:t>
      </w:r>
      <w:r>
        <w:t xml:space="preserve">further </w:t>
      </w:r>
      <w:r w:rsidR="1DFBEEC8">
        <w:t>posits</w:t>
      </w:r>
      <w:r>
        <w:t xml:space="preserve"> that long-term benefits of economic and social gains </w:t>
      </w:r>
      <w:r w:rsidR="009C68E7">
        <w:t xml:space="preserve">can </w:t>
      </w:r>
      <w:r>
        <w:t xml:space="preserve">be realized </w:t>
      </w:r>
      <w:r w:rsidR="00D3562D">
        <w:t xml:space="preserve">only </w:t>
      </w:r>
      <w:r>
        <w:t>through sustainable consumption and production models. Whole</w:t>
      </w:r>
      <w:r w:rsidR="7FDC8A7D">
        <w:t>-</w:t>
      </w:r>
      <w:r>
        <w:t>of</w:t>
      </w:r>
      <w:r w:rsidR="7FDC8A7D">
        <w:t>-</w:t>
      </w:r>
      <w:r>
        <w:t xml:space="preserve">society participation and public policies and actions </w:t>
      </w:r>
      <w:r w:rsidR="174E4513">
        <w:t>focusing</w:t>
      </w:r>
      <w:r>
        <w:t xml:space="preserve"> on promoting green financing, the prevention and reduction of disaster</w:t>
      </w:r>
      <w:r w:rsidR="7FDC8A7D">
        <w:t>-</w:t>
      </w:r>
      <w:r>
        <w:t>related risks and enabling adaptive capacities to reduce long-term vulnerability of the population and protect development investments are key elements of a sustainable development pathway</w:t>
      </w:r>
      <w:r w:rsidR="3646D0C3">
        <w:t>,</w:t>
      </w:r>
      <w:r>
        <w:t xml:space="preserve"> contributing to a prosper</w:t>
      </w:r>
      <w:r w:rsidR="009C68E7">
        <w:t>ous</w:t>
      </w:r>
      <w:r>
        <w:t xml:space="preserve"> and equitable life for all.</w:t>
      </w:r>
      <w:r w:rsidR="006F5E8D">
        <w:t xml:space="preserve"> Key assumption</w:t>
      </w:r>
      <w:r w:rsidR="3B7FDD19">
        <w:t>s</w:t>
      </w:r>
      <w:r w:rsidR="00D65C7B">
        <w:t xml:space="preserve"> are </w:t>
      </w:r>
      <w:r w:rsidR="006F5E8D">
        <w:t xml:space="preserve">political stability </w:t>
      </w:r>
      <w:r w:rsidR="00241C0F">
        <w:t xml:space="preserve">and </w:t>
      </w:r>
      <w:r w:rsidR="006C27FC">
        <w:t xml:space="preserve">resource </w:t>
      </w:r>
      <w:r w:rsidR="001F0D5A">
        <w:t>availability</w:t>
      </w:r>
      <w:r w:rsidR="002F777E">
        <w:t xml:space="preserve">. </w:t>
      </w:r>
    </w:p>
    <w:p w14:paraId="2440D3E0" w14:textId="4F445D89" w:rsidR="004820B0" w:rsidRPr="003C26C1" w:rsidRDefault="00677F8A" w:rsidP="003C2FE9">
      <w:pPr>
        <w:pStyle w:val="Heading2"/>
        <w:numPr>
          <w:ilvl w:val="0"/>
          <w:numId w:val="50"/>
        </w:numPr>
        <w:ind w:left="1080" w:right="1267" w:hanging="360"/>
        <w:jc w:val="both"/>
        <w:rPr>
          <w:rFonts w:ascii="Times New Roman" w:hAnsi="Times New Roman"/>
          <w:color w:val="000000"/>
          <w:spacing w:val="-3"/>
          <w:sz w:val="20"/>
        </w:rPr>
      </w:pPr>
      <w:r w:rsidRPr="003C26C1">
        <w:rPr>
          <w:rFonts w:ascii="Times New Roman" w:hAnsi="Times New Roman"/>
          <w:bCs/>
          <w:color w:val="000000"/>
          <w:sz w:val="24"/>
          <w:szCs w:val="24"/>
        </w:rPr>
        <w:t xml:space="preserve">Programme </w:t>
      </w:r>
      <w:r w:rsidR="003C2FE9">
        <w:rPr>
          <w:rFonts w:ascii="Times New Roman" w:hAnsi="Times New Roman"/>
          <w:bCs/>
          <w:color w:val="000000"/>
          <w:sz w:val="24"/>
          <w:szCs w:val="24"/>
        </w:rPr>
        <w:t>p</w:t>
      </w:r>
      <w:r w:rsidRPr="003C26C1">
        <w:rPr>
          <w:rFonts w:ascii="Times New Roman" w:hAnsi="Times New Roman"/>
          <w:bCs/>
          <w:color w:val="000000"/>
          <w:sz w:val="24"/>
          <w:szCs w:val="24"/>
        </w:rPr>
        <w:t>riorities</w:t>
      </w:r>
      <w:r w:rsidR="002B6341" w:rsidRPr="003C26C1">
        <w:rPr>
          <w:rFonts w:ascii="Times New Roman" w:hAnsi="Times New Roman"/>
          <w:bCs/>
          <w:color w:val="000000"/>
          <w:sz w:val="24"/>
          <w:szCs w:val="24"/>
        </w:rPr>
        <w:t xml:space="preserve"> </w:t>
      </w:r>
      <w:r w:rsidR="004736BE" w:rsidRPr="003C26C1">
        <w:rPr>
          <w:rFonts w:ascii="Times New Roman" w:hAnsi="Times New Roman"/>
          <w:bCs/>
          <w:color w:val="000000"/>
          <w:sz w:val="24"/>
          <w:szCs w:val="24"/>
        </w:rPr>
        <w:t xml:space="preserve">and </w:t>
      </w:r>
      <w:r w:rsidR="003C2FE9">
        <w:rPr>
          <w:rFonts w:ascii="Times New Roman" w:hAnsi="Times New Roman"/>
          <w:bCs/>
          <w:color w:val="000000"/>
          <w:sz w:val="24"/>
          <w:szCs w:val="24"/>
        </w:rPr>
        <w:t>p</w:t>
      </w:r>
      <w:r w:rsidR="002B6341" w:rsidRPr="003C26C1">
        <w:rPr>
          <w:rFonts w:ascii="Times New Roman" w:hAnsi="Times New Roman"/>
          <w:bCs/>
          <w:color w:val="000000"/>
          <w:sz w:val="24"/>
          <w:szCs w:val="24"/>
        </w:rPr>
        <w:t>artnerships</w:t>
      </w:r>
      <w:r w:rsidR="00074DB9" w:rsidRPr="003C26C1">
        <w:rPr>
          <w:rFonts w:ascii="Times New Roman" w:hAnsi="Times New Roman"/>
          <w:bCs/>
          <w:color w:val="000000"/>
          <w:sz w:val="24"/>
          <w:szCs w:val="24"/>
        </w:rPr>
        <w:t xml:space="preserve"> </w:t>
      </w:r>
    </w:p>
    <w:p w14:paraId="2440D3E1" w14:textId="77777777" w:rsidR="00E42084" w:rsidRPr="003C26C1" w:rsidRDefault="00E42084" w:rsidP="00BD76A4"/>
    <w:p w14:paraId="7FBD4B6A" w14:textId="6104EFB9" w:rsidR="007E46A4" w:rsidRPr="004C1A96" w:rsidRDefault="00A4746E" w:rsidP="007E46A4">
      <w:pPr>
        <w:pStyle w:val="ListParagraph"/>
        <w:numPr>
          <w:ilvl w:val="0"/>
          <w:numId w:val="47"/>
        </w:numPr>
        <w:spacing w:after="120"/>
        <w:ind w:right="1210" w:firstLine="10"/>
        <w:jc w:val="both"/>
      </w:pPr>
      <w:r>
        <w:t>Aligned</w:t>
      </w:r>
      <w:r w:rsidR="007E46A4">
        <w:t xml:space="preserve"> with the UNSDCF, the country programme seeks to: (a) promote inclusive and resilient economic growth founded on decent jobs, an integrated social security and protection system and sound policies that enhance productivity and investments and reduce multidimensional poverty; (b) improve the coherence and quality of governance across the three tiers </w:t>
      </w:r>
      <w:r w:rsidR="000A4DB4">
        <w:t xml:space="preserve">of </w:t>
      </w:r>
      <w:r w:rsidR="009C68E7">
        <w:t>g</w:t>
      </w:r>
      <w:r w:rsidR="000A4DB4">
        <w:t xml:space="preserve">overnment </w:t>
      </w:r>
      <w:r w:rsidR="007E46A4">
        <w:t>to ensure constitutional rights</w:t>
      </w:r>
      <w:r w:rsidR="002D0EDD">
        <w:t xml:space="preserve">, </w:t>
      </w:r>
      <w:r w:rsidR="007E46A4">
        <w:t xml:space="preserve">access to justice and empower people, especially women and marginalized communities, to exercise agency over their lives; and (c) advance resilient and sustainable systems for use of natural resources through public policies, strong institutions and active community participation . </w:t>
      </w:r>
    </w:p>
    <w:p w14:paraId="1C032F80" w14:textId="16B09FB8" w:rsidR="007E46A4" w:rsidRPr="004C1A96" w:rsidRDefault="005F5FB7" w:rsidP="007E46A4">
      <w:pPr>
        <w:pStyle w:val="ListParagraph"/>
        <w:numPr>
          <w:ilvl w:val="0"/>
          <w:numId w:val="47"/>
        </w:numPr>
        <w:spacing w:after="120"/>
        <w:ind w:right="1210" w:firstLine="10"/>
        <w:jc w:val="both"/>
      </w:pPr>
      <w:r>
        <w:t>Across the outcomes, s</w:t>
      </w:r>
      <w:r w:rsidR="007E46A4">
        <w:t xml:space="preserve">pecial attention will be paid to: (a) supporting national reforms and upholding the values of justice, human rights, equity and transparency; (b) promoting </w:t>
      </w:r>
      <w:r w:rsidR="000A4DB4">
        <w:t>gender equality and social inclusion</w:t>
      </w:r>
      <w:r w:rsidR="007E46A4">
        <w:t xml:space="preserve"> by </w:t>
      </w:r>
      <w:r w:rsidR="00104A93">
        <w:t xml:space="preserve">supporting the strengthening and implementation of </w:t>
      </w:r>
      <w:r w:rsidR="007E46A4">
        <w:t>legislative and institutional frameworks related to international commitments; and (c) ensuring that the rights</w:t>
      </w:r>
      <w:r w:rsidR="009C68E7">
        <w:t xml:space="preserve"> to economic and social security</w:t>
      </w:r>
      <w:r w:rsidR="007E46A4">
        <w:t xml:space="preserve"> and potential of all marginalized groups are realized.</w:t>
      </w:r>
    </w:p>
    <w:p w14:paraId="4141FD11" w14:textId="1620EAC4" w:rsidR="007E46A4" w:rsidRDefault="007E46A4" w:rsidP="007E46A4">
      <w:pPr>
        <w:pStyle w:val="ListParagraph"/>
        <w:numPr>
          <w:ilvl w:val="0"/>
          <w:numId w:val="47"/>
        </w:numPr>
        <w:spacing w:after="120"/>
        <w:ind w:right="1210" w:firstLine="10"/>
        <w:jc w:val="both"/>
      </w:pPr>
      <w:r>
        <w:t>UNDP will target the poorest of the poor</w:t>
      </w:r>
      <w:r w:rsidR="00D9265C">
        <w:t xml:space="preserve"> </w:t>
      </w:r>
      <w:r w:rsidR="00C520CF">
        <w:t xml:space="preserve">and </w:t>
      </w:r>
      <w:r>
        <w:t xml:space="preserve">geographically remote areas with higher incidences of multidimensional poverty. </w:t>
      </w:r>
      <w:r w:rsidR="000A4DB4">
        <w:t xml:space="preserve">Gender equality and social inclusion </w:t>
      </w:r>
      <w:r>
        <w:t xml:space="preserve">and </w:t>
      </w:r>
      <w:r w:rsidR="000A4DB4">
        <w:t>a h</w:t>
      </w:r>
      <w:r>
        <w:t xml:space="preserve">uman </w:t>
      </w:r>
      <w:r w:rsidR="000A4DB4">
        <w:t>r</w:t>
      </w:r>
      <w:r>
        <w:t>ights</w:t>
      </w:r>
      <w:r w:rsidR="000A4DB4">
        <w:t>-b</w:t>
      </w:r>
      <w:r>
        <w:t xml:space="preserve">ased </w:t>
      </w:r>
      <w:r w:rsidR="000A4DB4">
        <w:t>a</w:t>
      </w:r>
      <w:r>
        <w:t xml:space="preserve">pproach  will be integrated in </w:t>
      </w:r>
      <w:r w:rsidR="002171AC">
        <w:t>pr</w:t>
      </w:r>
      <w:r w:rsidR="005A199F">
        <w:t xml:space="preserve">oject </w:t>
      </w:r>
      <w:r>
        <w:t xml:space="preserve">design, implementation, monitoring and evaluation, following targeted interventions </w:t>
      </w:r>
      <w:r w:rsidR="00104A93">
        <w:t xml:space="preserve">in line </w:t>
      </w:r>
      <w:r>
        <w:t xml:space="preserve">with the principle of </w:t>
      </w:r>
      <w:r w:rsidR="005539D5">
        <w:t>leaving no one behind</w:t>
      </w:r>
      <w:r>
        <w:t xml:space="preserve">. </w:t>
      </w:r>
      <w:r w:rsidR="00133EA4">
        <w:t>Empowerment of women</w:t>
      </w:r>
      <w:r>
        <w:t xml:space="preserve"> </w:t>
      </w:r>
      <w:r w:rsidR="005539D5">
        <w:t xml:space="preserve">and </w:t>
      </w:r>
      <w:r>
        <w:t>excluded and marginalized groups</w:t>
      </w:r>
      <w:r w:rsidR="00346905">
        <w:t xml:space="preserve"> and </w:t>
      </w:r>
      <w:r>
        <w:t xml:space="preserve">addressing the multiple and intersecting forms of inequalities will form an integral part of </w:t>
      </w:r>
      <w:r w:rsidR="009D414E">
        <w:t>programme</w:t>
      </w:r>
      <w:r>
        <w:t xml:space="preserve"> implementation. </w:t>
      </w:r>
    </w:p>
    <w:p w14:paraId="1B965E87" w14:textId="2FDDD1CF" w:rsidR="007E46A4" w:rsidRDefault="00B769BC" w:rsidP="007E46A4">
      <w:pPr>
        <w:pStyle w:val="ListParagraph"/>
        <w:numPr>
          <w:ilvl w:val="0"/>
          <w:numId w:val="47"/>
        </w:numPr>
        <w:spacing w:after="120"/>
        <w:ind w:right="1210" w:firstLine="10"/>
        <w:jc w:val="both"/>
      </w:pPr>
      <w:r>
        <w:t xml:space="preserve">Informed by </w:t>
      </w:r>
      <w:r w:rsidR="007E46A4">
        <w:t xml:space="preserve">results and lessons from past programmes and the </w:t>
      </w:r>
      <w:r w:rsidR="005539D5">
        <w:t>evaluation of the previous programme</w:t>
      </w:r>
      <w:r w:rsidR="007E46A4">
        <w:t xml:space="preserve">, UNDP will continue to support </w:t>
      </w:r>
      <w:r w:rsidR="009C68E7">
        <w:t>the</w:t>
      </w:r>
      <w:r w:rsidR="005539D5">
        <w:t xml:space="preserve"> </w:t>
      </w:r>
      <w:r w:rsidR="009C68E7">
        <w:t xml:space="preserve">Government </w:t>
      </w:r>
      <w:r w:rsidR="007E46A4">
        <w:t xml:space="preserve">with capacities for anticipatory, adaptive and agile responses to complex and emerging challenges by: (a) evidence gathering and analysis to address multidimensional poverty, keeping nature and </w:t>
      </w:r>
      <w:r w:rsidR="005539D5">
        <w:t xml:space="preserve">the </w:t>
      </w:r>
      <w:r w:rsidR="007E46A4">
        <w:t>environment at the heart of social and economic development; (b) promoting inclusive, human-centric digitalization and localized innovations; (c) reframing policy choices and enabling shifts to address systemic gaps; (d) testing and scaling</w:t>
      </w:r>
      <w:r w:rsidR="006F6D64">
        <w:t>-</w:t>
      </w:r>
      <w:r w:rsidR="007E46A4">
        <w:t xml:space="preserve">up </w:t>
      </w:r>
      <w:r w:rsidR="006F6D64">
        <w:t xml:space="preserve">of </w:t>
      </w:r>
      <w:r w:rsidR="007E46A4">
        <w:t xml:space="preserve">successful implementation models; and (e) developing platforms to improve fiscal planning and resource mobilization. </w:t>
      </w:r>
    </w:p>
    <w:p w14:paraId="72B5235A" w14:textId="2E9704A0" w:rsidR="007E46A4" w:rsidRDefault="007E46A4" w:rsidP="007E46A4">
      <w:pPr>
        <w:pStyle w:val="ListParagraph"/>
        <w:numPr>
          <w:ilvl w:val="0"/>
          <w:numId w:val="47"/>
        </w:numPr>
        <w:spacing w:after="120"/>
        <w:ind w:right="1210" w:firstLine="10"/>
        <w:jc w:val="both"/>
      </w:pPr>
      <w:r>
        <w:t xml:space="preserve">UNDP will </w:t>
      </w:r>
      <w:r w:rsidR="004E2319">
        <w:t>assist</w:t>
      </w:r>
      <w:r>
        <w:t xml:space="preserve"> national institutions to access knowledge and resources through South-South and </w:t>
      </w:r>
      <w:r w:rsidR="005539D5">
        <w:t>t</w:t>
      </w:r>
      <w:r>
        <w:t xml:space="preserve">riangular </w:t>
      </w:r>
      <w:r w:rsidR="005539D5">
        <w:t>c</w:t>
      </w:r>
      <w:r>
        <w:t>ooperation</w:t>
      </w:r>
      <w:r w:rsidR="00236C06">
        <w:t xml:space="preserve">, including related to LDC graduation (with Bangladesh and </w:t>
      </w:r>
      <w:r w:rsidR="005539D5">
        <w:t xml:space="preserve">the </w:t>
      </w:r>
      <w:r w:rsidR="00236C06">
        <w:t xml:space="preserve">Lao </w:t>
      </w:r>
      <w:r w:rsidR="005539D5">
        <w:t>People’s Democratic Republic</w:t>
      </w:r>
      <w:r w:rsidR="00236C06">
        <w:t xml:space="preserve">), implementation of federalism and </w:t>
      </w:r>
      <w:r w:rsidR="005539D5">
        <w:t xml:space="preserve">the </w:t>
      </w:r>
      <w:r w:rsidR="00830635">
        <w:t xml:space="preserve">guiding </w:t>
      </w:r>
      <w:r w:rsidR="00830635">
        <w:lastRenderedPageBreak/>
        <w:t xml:space="preserve">principles on </w:t>
      </w:r>
      <w:r w:rsidR="005539D5">
        <w:t>b</w:t>
      </w:r>
      <w:r w:rsidR="00236C06">
        <w:t xml:space="preserve">usiness and </w:t>
      </w:r>
      <w:r w:rsidR="005539D5">
        <w:t>h</w:t>
      </w:r>
      <w:r w:rsidR="00236C06">
        <w:t xml:space="preserve">uman </w:t>
      </w:r>
      <w:r w:rsidR="005539D5">
        <w:t>r</w:t>
      </w:r>
      <w:r w:rsidR="00236C06">
        <w:t>ights.</w:t>
      </w:r>
      <w:r>
        <w:t xml:space="preserve"> </w:t>
      </w:r>
      <w:r w:rsidR="00236C06">
        <w:t xml:space="preserve">UNDP will </w:t>
      </w:r>
      <w:r>
        <w:t>leverag</w:t>
      </w:r>
      <w:r w:rsidR="00236C06">
        <w:t>e</w:t>
      </w:r>
      <w:r>
        <w:t xml:space="preserve"> its Global Policy Network, network of country offices, communities of practice and Accelerator Labs to connect Nepal with global knowledge, expertise</w:t>
      </w:r>
      <w:r w:rsidR="00A2025E">
        <w:t xml:space="preserve"> and</w:t>
      </w:r>
      <w:r>
        <w:t xml:space="preserve"> good practice</w:t>
      </w:r>
      <w:r w:rsidR="00236C06">
        <w:t>.</w:t>
      </w:r>
      <w:r w:rsidR="002E0C85">
        <w:t xml:space="preserve"> </w:t>
      </w:r>
    </w:p>
    <w:p w14:paraId="48D8C0A7" w14:textId="4849CF41" w:rsidR="007E46A4" w:rsidRPr="00207ED1" w:rsidRDefault="007E46A4" w:rsidP="007E46A4">
      <w:pPr>
        <w:spacing w:after="120"/>
        <w:ind w:right="1210" w:firstLine="1080"/>
        <w:jc w:val="both"/>
        <w:rPr>
          <w:b/>
          <w:bCs/>
        </w:rPr>
      </w:pPr>
      <w:r w:rsidRPr="009B3CDE">
        <w:rPr>
          <w:b/>
          <w:bCs/>
        </w:rPr>
        <w:t>Outcome 1</w:t>
      </w:r>
      <w:r w:rsidR="005539D5">
        <w:rPr>
          <w:b/>
          <w:bCs/>
        </w:rPr>
        <w:t>.</w:t>
      </w:r>
      <w:r w:rsidRPr="009B3CDE">
        <w:rPr>
          <w:b/>
          <w:bCs/>
        </w:rPr>
        <w:t xml:space="preserve"> Sustainable and </w:t>
      </w:r>
      <w:r w:rsidR="005539D5">
        <w:rPr>
          <w:b/>
          <w:bCs/>
        </w:rPr>
        <w:t>i</w:t>
      </w:r>
      <w:r w:rsidRPr="009B3CDE">
        <w:rPr>
          <w:b/>
          <w:bCs/>
        </w:rPr>
        <w:t xml:space="preserve">nclusive </w:t>
      </w:r>
      <w:r w:rsidR="005539D5">
        <w:rPr>
          <w:b/>
          <w:bCs/>
        </w:rPr>
        <w:t>e</w:t>
      </w:r>
      <w:r w:rsidRPr="009B3CDE">
        <w:rPr>
          <w:b/>
          <w:bCs/>
        </w:rPr>
        <w:t xml:space="preserve">conomic </w:t>
      </w:r>
      <w:r w:rsidR="005539D5">
        <w:rPr>
          <w:b/>
          <w:bCs/>
        </w:rPr>
        <w:t>t</w:t>
      </w:r>
      <w:r w:rsidRPr="009B3CDE">
        <w:rPr>
          <w:b/>
          <w:bCs/>
        </w:rPr>
        <w:t>ransformation</w:t>
      </w:r>
    </w:p>
    <w:p w14:paraId="3E639259" w14:textId="729936CD" w:rsidR="007E46A4" w:rsidRPr="004C1A96" w:rsidRDefault="00311982" w:rsidP="007E46A4">
      <w:pPr>
        <w:pStyle w:val="ListParagraph"/>
        <w:numPr>
          <w:ilvl w:val="0"/>
          <w:numId w:val="47"/>
        </w:numPr>
        <w:spacing w:after="120"/>
        <w:ind w:right="1210" w:firstLine="10"/>
        <w:jc w:val="both"/>
      </w:pPr>
      <w:r>
        <w:t xml:space="preserve">Linking with the other two outcomes, </w:t>
      </w:r>
      <w:r w:rsidR="007E46A4">
        <w:t xml:space="preserve">UNDP will support national institutions to promote inclusive and green growth </w:t>
      </w:r>
      <w:r w:rsidR="00902D70">
        <w:t>to</w:t>
      </w:r>
      <w:r w:rsidR="007E46A4">
        <w:t xml:space="preserve"> reduc</w:t>
      </w:r>
      <w:r w:rsidR="00902D70">
        <w:t>e</w:t>
      </w:r>
      <w:r w:rsidR="007E46A4">
        <w:t xml:space="preserve"> poverty, unemployment</w:t>
      </w:r>
      <w:r w:rsidR="00CE4FF0">
        <w:t>, informality</w:t>
      </w:r>
      <w:r w:rsidR="007E46A4">
        <w:t xml:space="preserve"> and vulnerability</w:t>
      </w:r>
      <w:r w:rsidR="002E0C85">
        <w:t>,</w:t>
      </w:r>
      <w:r w:rsidR="007E46A4">
        <w:t xml:space="preserve"> and build resilience. This will include policy advisory and technical support for the </w:t>
      </w:r>
      <w:r w:rsidR="00D901AB">
        <w:t xml:space="preserve">inclusive </w:t>
      </w:r>
      <w:r w:rsidR="007E46A4">
        <w:t>design and implementation of a (</w:t>
      </w:r>
      <w:r w:rsidR="007963F4">
        <w:t>gender</w:t>
      </w:r>
      <w:r w:rsidR="006F6D64">
        <w:t>-</w:t>
      </w:r>
      <w:r w:rsidR="007963F4">
        <w:t>responsive</w:t>
      </w:r>
      <w:r w:rsidR="007E46A4">
        <w:t xml:space="preserve">) </w:t>
      </w:r>
      <w:r w:rsidR="006F6D64">
        <w:t>i</w:t>
      </w:r>
      <w:r w:rsidR="007E46A4">
        <w:t xml:space="preserve">ntegrated </w:t>
      </w:r>
      <w:r w:rsidR="006F6D64">
        <w:t>n</w:t>
      </w:r>
      <w:r w:rsidR="007E46A4">
        <w:t xml:space="preserve">ational </w:t>
      </w:r>
      <w:r w:rsidR="006F6D64">
        <w:t>f</w:t>
      </w:r>
      <w:r w:rsidR="007E46A4">
        <w:t xml:space="preserve">inancial </w:t>
      </w:r>
      <w:r w:rsidR="006F6D64">
        <w:t>f</w:t>
      </w:r>
      <w:r w:rsidR="007E46A4">
        <w:t xml:space="preserve">ramework, a sustainable LDC </w:t>
      </w:r>
      <w:r w:rsidR="006F6D64">
        <w:t>g</w:t>
      </w:r>
      <w:r w:rsidR="007E46A4">
        <w:t xml:space="preserve">raduation </w:t>
      </w:r>
      <w:r w:rsidR="006F6D64">
        <w:t>s</w:t>
      </w:r>
      <w:r w:rsidR="007E46A4">
        <w:t>trategy and related tools.</w:t>
      </w:r>
    </w:p>
    <w:p w14:paraId="408F5F9C" w14:textId="79B55464" w:rsidR="007E46A4" w:rsidRDefault="007E46A4" w:rsidP="00413AD8">
      <w:pPr>
        <w:pStyle w:val="ListParagraph"/>
        <w:numPr>
          <w:ilvl w:val="0"/>
          <w:numId w:val="47"/>
        </w:numPr>
        <w:spacing w:after="120"/>
        <w:ind w:right="1210" w:firstLine="10"/>
        <w:jc w:val="both"/>
      </w:pPr>
      <w:r>
        <w:t>UNDP will support the consolidation of reforms, strengthen capacities, address the skills mismatch and support development of an enabling environment for job creation</w:t>
      </w:r>
      <w:r w:rsidR="008807A5">
        <w:t xml:space="preserve"> and volunteering opportunities</w:t>
      </w:r>
      <w:r w:rsidR="00CE4FF0">
        <w:t>,</w:t>
      </w:r>
      <w:r>
        <w:t xml:space="preserve"> </w:t>
      </w:r>
      <w:r w:rsidR="00CE4FF0">
        <w:t>focusing</w:t>
      </w:r>
      <w:r>
        <w:t xml:space="preserve"> on women, youth and marginalized groups</w:t>
      </w:r>
      <w:r w:rsidR="006E54C0">
        <w:t xml:space="preserve">, </w:t>
      </w:r>
      <w:r w:rsidR="008A5CE3">
        <w:t>including</w:t>
      </w:r>
      <w:r w:rsidR="006E54C0">
        <w:t xml:space="preserve"> in the informal sector</w:t>
      </w:r>
      <w:r>
        <w:t xml:space="preserve">. To increase employment, UNDP will support interventions that enhance access to agricultural value chains and promote nature-based tourism that sustains livelihoods and the environment. UNDP will continue to promote competitiveness and productivity of </w:t>
      </w:r>
      <w:r w:rsidR="006F6D64">
        <w:t>m</w:t>
      </w:r>
      <w:r w:rsidR="00F614D3">
        <w:t>icro</w:t>
      </w:r>
      <w:r w:rsidR="006F6D64">
        <w:t>,</w:t>
      </w:r>
      <w:r w:rsidR="00F614D3">
        <w:t xml:space="preserve"> </w:t>
      </w:r>
      <w:r w:rsidR="006F6D64">
        <w:t>s</w:t>
      </w:r>
      <w:r w:rsidR="00F614D3">
        <w:t xml:space="preserve">mall </w:t>
      </w:r>
      <w:r w:rsidR="006F6D64">
        <w:t>and m</w:t>
      </w:r>
      <w:r w:rsidR="00F614D3">
        <w:t>edium</w:t>
      </w:r>
      <w:r w:rsidR="006F6D64">
        <w:t>-sized</w:t>
      </w:r>
      <w:r w:rsidR="00F614D3">
        <w:t xml:space="preserve"> </w:t>
      </w:r>
      <w:r w:rsidR="006F6D64">
        <w:t>e</w:t>
      </w:r>
      <w:r w:rsidR="00F614D3">
        <w:t>nterprise</w:t>
      </w:r>
      <w:r>
        <w:t>s</w:t>
      </w:r>
      <w:r w:rsidR="008A34DE">
        <w:t xml:space="preserve"> </w:t>
      </w:r>
      <w:r>
        <w:t>focusing on women and youth, partnering with labour-market stakeholders to boost employment and entrepreneurship</w:t>
      </w:r>
      <w:r w:rsidR="00413AD8">
        <w:t>, including through enhanced access to digital infrastructure and support to digital connectivity and transformation</w:t>
      </w:r>
      <w:r>
        <w:t xml:space="preserve">. </w:t>
      </w:r>
    </w:p>
    <w:p w14:paraId="5753B7D1" w14:textId="424BA756" w:rsidR="007E46A4" w:rsidRPr="00CD57A9" w:rsidRDefault="23977149" w:rsidP="007E46A4">
      <w:pPr>
        <w:pStyle w:val="ListParagraph"/>
        <w:numPr>
          <w:ilvl w:val="0"/>
          <w:numId w:val="47"/>
        </w:numPr>
        <w:spacing w:after="120"/>
        <w:ind w:right="1210" w:firstLine="10"/>
        <w:jc w:val="both"/>
      </w:pPr>
      <w:r>
        <w:t xml:space="preserve"> </w:t>
      </w:r>
      <w:r w:rsidR="78106968">
        <w:t xml:space="preserve">With IOM, </w:t>
      </w:r>
      <w:r>
        <w:t xml:space="preserve">UNDP will contribute </w:t>
      </w:r>
      <w:r w:rsidR="1E16955B">
        <w:t xml:space="preserve">to </w:t>
      </w:r>
      <w:r w:rsidR="006F6D64">
        <w:t xml:space="preserve">the </w:t>
      </w:r>
      <w:r w:rsidR="1639F38A">
        <w:t xml:space="preserve">safe migration and </w:t>
      </w:r>
      <w:r>
        <w:t xml:space="preserve">skills development of returnee migrants, often from </w:t>
      </w:r>
      <w:r w:rsidR="3F3FCA38">
        <w:t>economically</w:t>
      </w:r>
      <w:r w:rsidR="00902D70">
        <w:t xml:space="preserve"> </w:t>
      </w:r>
      <w:r w:rsidR="3F3FCA38">
        <w:t xml:space="preserve">disadvantaged </w:t>
      </w:r>
      <w:r>
        <w:t xml:space="preserve">communities, and support them in establishing </w:t>
      </w:r>
      <w:r w:rsidR="06A2876F">
        <w:t xml:space="preserve">their </w:t>
      </w:r>
      <w:r>
        <w:t>own enterprises</w:t>
      </w:r>
      <w:r w:rsidR="78106968">
        <w:t xml:space="preserve">, </w:t>
      </w:r>
      <w:r>
        <w:t>generat</w:t>
      </w:r>
      <w:r w:rsidR="78106968">
        <w:t>ing</w:t>
      </w:r>
      <w:r>
        <w:t xml:space="preserve"> income and employment. Building on social protection schemes </w:t>
      </w:r>
      <w:r w:rsidR="48478007">
        <w:t xml:space="preserve">piloted </w:t>
      </w:r>
      <w:r>
        <w:t xml:space="preserve">as part of </w:t>
      </w:r>
      <w:r w:rsidR="006F6D64">
        <w:t xml:space="preserve"> the </w:t>
      </w:r>
      <w:r>
        <w:t>socioeconomic recovery</w:t>
      </w:r>
      <w:r w:rsidR="006F6D64">
        <w:t xml:space="preserve"> from the pandemic</w:t>
      </w:r>
      <w:r>
        <w:t xml:space="preserve">, </w:t>
      </w:r>
      <w:r w:rsidR="06559D2A">
        <w:t>with UN</w:t>
      </w:r>
      <w:r w:rsidR="006F6D64">
        <w:t>-</w:t>
      </w:r>
      <w:r w:rsidR="06559D2A">
        <w:t xml:space="preserve">Women, </w:t>
      </w:r>
      <w:r>
        <w:t xml:space="preserve">UNDP will </w:t>
      </w:r>
      <w:r w:rsidR="427A1590">
        <w:t xml:space="preserve">explore </w:t>
      </w:r>
      <w:r w:rsidR="006F6D64">
        <w:t xml:space="preserve">the </w:t>
      </w:r>
      <w:r w:rsidR="427A1590">
        <w:t xml:space="preserve">expansion of </w:t>
      </w:r>
      <w:r w:rsidR="42B89890">
        <w:t>unconditional</w:t>
      </w:r>
      <w:r>
        <w:t xml:space="preserve"> cash transfers through </w:t>
      </w:r>
      <w:r w:rsidR="007118E3">
        <w:t>t</w:t>
      </w:r>
      <w:r>
        <w:t xml:space="preserve">emporary </w:t>
      </w:r>
      <w:r w:rsidR="007118E3">
        <w:t>b</w:t>
      </w:r>
      <w:r>
        <w:t xml:space="preserve">asic </w:t>
      </w:r>
      <w:r w:rsidR="007118E3">
        <w:t>i</w:t>
      </w:r>
      <w:r>
        <w:t>ncome to benefit women from marginalized communities.</w:t>
      </w:r>
    </w:p>
    <w:p w14:paraId="41BFA617" w14:textId="47D9B3D8" w:rsidR="007E46A4" w:rsidRDefault="007E46A4" w:rsidP="007E46A4">
      <w:pPr>
        <w:pStyle w:val="ListParagraph"/>
        <w:numPr>
          <w:ilvl w:val="0"/>
          <w:numId w:val="47"/>
        </w:numPr>
        <w:spacing w:after="120"/>
        <w:ind w:right="1210" w:firstLine="10"/>
        <w:jc w:val="both"/>
      </w:pPr>
      <w:r>
        <w:t>The capacities of federal</w:t>
      </w:r>
      <w:r w:rsidR="007118E3">
        <w:t>, provincial and local governments</w:t>
      </w:r>
      <w:r>
        <w:t xml:space="preserve"> will be strengthened to create green jobs and entrepreneurship opportunities for urban poor and vulnerable populations</w:t>
      </w:r>
      <w:r w:rsidR="007118E3">
        <w:t>,</w:t>
      </w:r>
      <w:r>
        <w:t xml:space="preserve"> focusing on sustainable </w:t>
      </w:r>
      <w:r w:rsidR="00FF2F16">
        <w:t xml:space="preserve">environmental </w:t>
      </w:r>
      <w:r>
        <w:t>management and promotion of a circular economy. </w:t>
      </w:r>
    </w:p>
    <w:p w14:paraId="7053A009" w14:textId="098894A9" w:rsidR="007E46A4" w:rsidRPr="00CD57A9" w:rsidRDefault="007E46A4" w:rsidP="007E46A4">
      <w:pPr>
        <w:pStyle w:val="ListParagraph"/>
        <w:numPr>
          <w:ilvl w:val="0"/>
          <w:numId w:val="47"/>
        </w:numPr>
        <w:spacing w:after="120"/>
        <w:ind w:right="1210" w:firstLine="10"/>
        <w:jc w:val="both"/>
      </w:pPr>
      <w:r>
        <w:t>UNDP will continue to provide technical leadership to implement the U</w:t>
      </w:r>
      <w:r w:rsidR="007118E3">
        <w:t xml:space="preserve">nited </w:t>
      </w:r>
      <w:r>
        <w:t>N</w:t>
      </w:r>
      <w:r w:rsidR="007118E3">
        <w:t xml:space="preserve">ations socioeconomic framework for </w:t>
      </w:r>
      <w:r>
        <w:t xml:space="preserve">recovery </w:t>
      </w:r>
      <w:r w:rsidR="007118E3">
        <w:t xml:space="preserve">from the pandemic </w:t>
      </w:r>
      <w:r>
        <w:t>as needed, building community resilience.</w:t>
      </w:r>
    </w:p>
    <w:p w14:paraId="532F77BF" w14:textId="7B522FFF" w:rsidR="007E46A4" w:rsidRPr="00207ED1" w:rsidRDefault="007E46A4" w:rsidP="007E46A4">
      <w:pPr>
        <w:spacing w:after="120"/>
        <w:ind w:right="1210" w:firstLine="1080"/>
        <w:jc w:val="both"/>
        <w:rPr>
          <w:b/>
          <w:bCs/>
        </w:rPr>
      </w:pPr>
      <w:r w:rsidRPr="00CD57A9">
        <w:rPr>
          <w:b/>
          <w:bCs/>
        </w:rPr>
        <w:t>Outcome 2</w:t>
      </w:r>
      <w:r w:rsidR="007118E3">
        <w:rPr>
          <w:b/>
          <w:bCs/>
        </w:rPr>
        <w:t>.</w:t>
      </w:r>
      <w:r w:rsidRPr="00CD57A9">
        <w:rPr>
          <w:b/>
          <w:bCs/>
        </w:rPr>
        <w:t xml:space="preserve"> </w:t>
      </w:r>
      <w:bookmarkStart w:id="2" w:name="_Hlk113302323"/>
      <w:r w:rsidRPr="00CD57A9">
        <w:rPr>
          <w:b/>
          <w:bCs/>
        </w:rPr>
        <w:t xml:space="preserve">Governance, </w:t>
      </w:r>
      <w:r w:rsidR="007118E3">
        <w:rPr>
          <w:b/>
          <w:bCs/>
        </w:rPr>
        <w:t>f</w:t>
      </w:r>
      <w:r w:rsidRPr="00CD57A9">
        <w:rPr>
          <w:b/>
          <w:bCs/>
        </w:rPr>
        <w:t xml:space="preserve">ederalism, </w:t>
      </w:r>
      <w:r w:rsidR="007118E3">
        <w:rPr>
          <w:b/>
          <w:bCs/>
        </w:rPr>
        <w:t>p</w:t>
      </w:r>
      <w:r w:rsidRPr="00CD57A9">
        <w:rPr>
          <w:b/>
          <w:bCs/>
        </w:rPr>
        <w:t xml:space="preserve">articipation and </w:t>
      </w:r>
      <w:r w:rsidR="007118E3">
        <w:rPr>
          <w:b/>
          <w:bCs/>
        </w:rPr>
        <w:t>i</w:t>
      </w:r>
      <w:r w:rsidRPr="00CD57A9">
        <w:rPr>
          <w:b/>
          <w:bCs/>
        </w:rPr>
        <w:t>nclusion</w:t>
      </w:r>
      <w:bookmarkEnd w:id="2"/>
    </w:p>
    <w:p w14:paraId="5F11CB9A" w14:textId="5E96E86C" w:rsidR="007E46A4" w:rsidRDefault="007E46A4" w:rsidP="007E46A4">
      <w:pPr>
        <w:pStyle w:val="ListParagraph"/>
        <w:numPr>
          <w:ilvl w:val="0"/>
          <w:numId w:val="47"/>
        </w:numPr>
        <w:spacing w:after="120"/>
        <w:ind w:right="1210" w:firstLine="10"/>
        <w:jc w:val="both"/>
      </w:pPr>
      <w:r>
        <w:t>UNDP interventions under this outcome are anchored around strengthening of (e-)</w:t>
      </w:r>
      <w:r w:rsidR="00104A93">
        <w:t xml:space="preserve"> </w:t>
      </w:r>
      <w:r>
        <w:t>government institutions towards ensuring gender-responsive and inclusive governance</w:t>
      </w:r>
      <w:r w:rsidR="007118E3">
        <w:t>;</w:t>
      </w:r>
      <w:r>
        <w:t xml:space="preserve"> support to legal, policy and institutional reforms concerning human rights, civic awareness and participation</w:t>
      </w:r>
      <w:r w:rsidR="007118E3">
        <w:t>;</w:t>
      </w:r>
      <w:r>
        <w:t xml:space="preserve"> </w:t>
      </w:r>
      <w:r w:rsidR="007118E3">
        <w:t xml:space="preserve">and </w:t>
      </w:r>
      <w:r>
        <w:t>capacity development for (evidence-based) policymaking and monitoring, rule of law and access to justice, inclusive service delivery transparency</w:t>
      </w:r>
      <w:r w:rsidR="00A2025E">
        <w:t xml:space="preserve"> and</w:t>
      </w:r>
      <w:r>
        <w:t xml:space="preserve"> accountability.</w:t>
      </w:r>
    </w:p>
    <w:p w14:paraId="48BCBE64" w14:textId="4AE7AE69" w:rsidR="007E46A4" w:rsidRDefault="007E46A4" w:rsidP="007E46A4">
      <w:pPr>
        <w:pStyle w:val="ListParagraph"/>
        <w:numPr>
          <w:ilvl w:val="0"/>
          <w:numId w:val="47"/>
        </w:numPr>
        <w:spacing w:after="120"/>
        <w:ind w:right="1210" w:firstLine="10"/>
        <w:jc w:val="both"/>
      </w:pPr>
      <w:r>
        <w:t xml:space="preserve">The effective implementation of federalism is a national priority. While blueprints </w:t>
      </w:r>
      <w:r w:rsidR="007118E3">
        <w:t xml:space="preserve">exist </w:t>
      </w:r>
      <w:r>
        <w:t xml:space="preserve">for the </w:t>
      </w:r>
      <w:r w:rsidR="000C6E4A">
        <w:t>provincial</w:t>
      </w:r>
      <w:r w:rsidR="007118E3">
        <w:t xml:space="preserve"> and local government </w:t>
      </w:r>
      <w:r>
        <w:t xml:space="preserve">public sector reform, implementation remains a challenge due to limited capacities, systems and procedures. The implementation of federalism therefore requires continuous policy dialogues, learning exchange across stakeholders and building </w:t>
      </w:r>
      <w:r w:rsidR="007118E3">
        <w:t xml:space="preserve">capacities at the </w:t>
      </w:r>
      <w:r>
        <w:t>federal</w:t>
      </w:r>
      <w:r w:rsidR="007118E3">
        <w:t>, provincial and local government levels</w:t>
      </w:r>
      <w:r>
        <w:t xml:space="preserve">. </w:t>
      </w:r>
    </w:p>
    <w:p w14:paraId="0BE0EE4E" w14:textId="08E24014" w:rsidR="007E46A4" w:rsidRDefault="007E46A4" w:rsidP="007E46A4">
      <w:pPr>
        <w:pStyle w:val="ListParagraph"/>
        <w:numPr>
          <w:ilvl w:val="0"/>
          <w:numId w:val="47"/>
        </w:numPr>
        <w:spacing w:after="120"/>
        <w:ind w:right="1210" w:firstLine="10"/>
        <w:jc w:val="both"/>
      </w:pPr>
      <w:r>
        <w:t xml:space="preserve">UNDP will strengthen </w:t>
      </w:r>
      <w:r w:rsidRPr="00462A21">
        <w:t xml:space="preserve">coordination among federal ministries and </w:t>
      </w:r>
      <w:r w:rsidR="00682756">
        <w:t xml:space="preserve">provincial and local governments </w:t>
      </w:r>
      <w:r>
        <w:t xml:space="preserve">by providing support to establish and strengthen effective intergovernmental coordination mechanisms. It will leverage the achievements of the </w:t>
      </w:r>
      <w:r w:rsidR="00682756">
        <w:t xml:space="preserve">Government’s </w:t>
      </w:r>
      <w:r w:rsidRPr="005069AC">
        <w:t>Provincial and Local Govern</w:t>
      </w:r>
      <w:r>
        <w:t>ance</w:t>
      </w:r>
      <w:r w:rsidRPr="005069AC">
        <w:t xml:space="preserve"> Support </w:t>
      </w:r>
      <w:r>
        <w:t>Program</w:t>
      </w:r>
      <w:r w:rsidR="006C1E9C">
        <w:t>me</w:t>
      </w:r>
      <w:r>
        <w:t xml:space="preserve"> to strengthen </w:t>
      </w:r>
      <w:r w:rsidR="00682756">
        <w:t xml:space="preserve">the </w:t>
      </w:r>
      <w:r>
        <w:t>systems and procedures</w:t>
      </w:r>
      <w:r w:rsidR="00682756">
        <w:t xml:space="preserve"> of provincial and local governments</w:t>
      </w:r>
      <w:r>
        <w:t xml:space="preserve">. In line with </w:t>
      </w:r>
      <w:r w:rsidR="00682756">
        <w:t xml:space="preserve">the </w:t>
      </w:r>
      <w:r>
        <w:t>recommendations</w:t>
      </w:r>
      <w:r w:rsidR="00682756">
        <w:t xml:space="preserve"> of the country programme evaluation</w:t>
      </w:r>
      <w:r>
        <w:t xml:space="preserve">, UNDP will intensify its support to </w:t>
      </w:r>
      <w:r w:rsidR="00682756">
        <w:t xml:space="preserve">these levels of government </w:t>
      </w:r>
      <w:r>
        <w:t xml:space="preserve">through policy formulation and capacity development, </w:t>
      </w:r>
      <w:r w:rsidR="00785C87">
        <w:t>documenting</w:t>
      </w:r>
      <w:r w:rsidR="00334AB1">
        <w:t xml:space="preserve"> and </w:t>
      </w:r>
      <w:r>
        <w:t>exchang</w:t>
      </w:r>
      <w:r w:rsidR="00830635">
        <w:t>ing</w:t>
      </w:r>
      <w:r>
        <w:t xml:space="preserve">  learning</w:t>
      </w:r>
      <w:r w:rsidR="00383922">
        <w:t xml:space="preserve"> and </w:t>
      </w:r>
      <w:r w:rsidR="00785C87">
        <w:t>scaling</w:t>
      </w:r>
      <w:r w:rsidR="00012B1D">
        <w:t>-</w:t>
      </w:r>
      <w:r w:rsidR="001C3C55">
        <w:t xml:space="preserve">up </w:t>
      </w:r>
      <w:r w:rsidR="00785C87">
        <w:t xml:space="preserve">of good </w:t>
      </w:r>
      <w:r w:rsidR="00383922">
        <w:t>practice</w:t>
      </w:r>
      <w:r w:rsidR="007876CE">
        <w:t>s</w:t>
      </w:r>
      <w:r w:rsidR="00E208F0">
        <w:t xml:space="preserve">, including through </w:t>
      </w:r>
      <w:r w:rsidR="00682756">
        <w:t>S</w:t>
      </w:r>
      <w:r w:rsidR="00E208F0">
        <w:t>outh-</w:t>
      </w:r>
      <w:r w:rsidR="00682756">
        <w:t>S</w:t>
      </w:r>
      <w:r w:rsidR="00E208F0">
        <w:t xml:space="preserve">outh </w:t>
      </w:r>
      <w:r w:rsidR="00682756">
        <w:t xml:space="preserve">cooperation </w:t>
      </w:r>
      <w:r w:rsidR="00E208F0">
        <w:t>with relevant countries</w:t>
      </w:r>
      <w:r>
        <w:t xml:space="preserve"> and internalizing </w:t>
      </w:r>
      <w:r w:rsidR="003A2EEC">
        <w:t xml:space="preserve">the </w:t>
      </w:r>
      <w:r>
        <w:t>findings and recommendations</w:t>
      </w:r>
      <w:r w:rsidR="008D5AB2">
        <w:t xml:space="preserve"> </w:t>
      </w:r>
      <w:r>
        <w:t xml:space="preserve">of </w:t>
      </w:r>
      <w:r w:rsidR="003A2EEC">
        <w:t>midt</w:t>
      </w:r>
      <w:r>
        <w:t xml:space="preserve">erm </w:t>
      </w:r>
      <w:r w:rsidR="003A2EEC">
        <w:t>r</w:t>
      </w:r>
      <w:r>
        <w:t>eview</w:t>
      </w:r>
      <w:r w:rsidR="00742E0A">
        <w:t>s and evaluations</w:t>
      </w:r>
      <w:r w:rsidR="00A0352F">
        <w:t>.</w:t>
      </w:r>
    </w:p>
    <w:p w14:paraId="4F22CFFF" w14:textId="3C955D25" w:rsidR="007E46A4" w:rsidRDefault="007E46A4" w:rsidP="007E46A4">
      <w:pPr>
        <w:pStyle w:val="ListParagraph"/>
        <w:numPr>
          <w:ilvl w:val="0"/>
          <w:numId w:val="47"/>
        </w:numPr>
        <w:spacing w:after="120"/>
        <w:ind w:right="1210" w:firstLine="10"/>
        <w:jc w:val="both"/>
      </w:pPr>
      <w:r>
        <w:lastRenderedPageBreak/>
        <w:t xml:space="preserve"> Special attention will be given to targeting </w:t>
      </w:r>
      <w:r w:rsidR="003A2EEC">
        <w:t xml:space="preserve">of beneficiaries at </w:t>
      </w:r>
      <w:r w:rsidR="00E036BD">
        <w:t>the lowest administrative tier (ward level)</w:t>
      </w:r>
      <w:r>
        <w:t>, sustainability of service benefits and increased capacity to implement planned investments to address the current underexpenditure, while strengthening the functionality and impact of existing performance assessment systems, including the Local Government Institutional Self-Assessment.</w:t>
      </w:r>
    </w:p>
    <w:p w14:paraId="0592432E" w14:textId="44B8BCF0" w:rsidR="007E46A4" w:rsidRPr="00CD57A9" w:rsidRDefault="007E46A4" w:rsidP="007E46A4">
      <w:pPr>
        <w:pStyle w:val="ListParagraph"/>
        <w:numPr>
          <w:ilvl w:val="0"/>
          <w:numId w:val="47"/>
        </w:numPr>
        <w:spacing w:after="120"/>
        <w:ind w:right="1210" w:firstLine="10"/>
        <w:jc w:val="both"/>
      </w:pPr>
      <w:r>
        <w:t xml:space="preserve">UNDP will continue to combat discriminatory social norms and gender stereotypes. It will support coordinated referral mechanisms and integrated services such as legal and specialized support for survivors of sexual and gender-based violence, largely women and girls. </w:t>
      </w:r>
      <w:r w:rsidR="003A2EEC">
        <w:t>I</w:t>
      </w:r>
      <w:r>
        <w:t xml:space="preserve">t will engage gender and diversity champions and support increased civic engagement and platforms for dialogue between </w:t>
      </w:r>
      <w:r w:rsidR="00C13720">
        <w:t xml:space="preserve">people </w:t>
      </w:r>
      <w:r>
        <w:t>and government, civil society (including organizations of persons with disabilities, gender and sexual minorities</w:t>
      </w:r>
      <w:r w:rsidR="00710047">
        <w:t xml:space="preserve"> and youth/volunteers</w:t>
      </w:r>
      <w:r>
        <w:t>, with UN</w:t>
      </w:r>
      <w:r w:rsidR="003F11D1">
        <w:t>-</w:t>
      </w:r>
      <w:r>
        <w:t>Women and UNFPA), academia, public/private entities, national human rights institutions</w:t>
      </w:r>
      <w:r w:rsidR="003F11D1">
        <w:t xml:space="preserve"> </w:t>
      </w:r>
      <w:r>
        <w:t xml:space="preserve">and </w:t>
      </w:r>
      <w:r w:rsidR="003F11D1">
        <w:t xml:space="preserve">the </w:t>
      </w:r>
      <w:r>
        <w:t>media.</w:t>
      </w:r>
    </w:p>
    <w:p w14:paraId="5727F182" w14:textId="7E35129C" w:rsidR="007E46A4" w:rsidRPr="00CD57A9" w:rsidRDefault="007E46A4" w:rsidP="007E46A4">
      <w:pPr>
        <w:pStyle w:val="ListParagraph"/>
        <w:numPr>
          <w:ilvl w:val="0"/>
          <w:numId w:val="47"/>
        </w:numPr>
        <w:spacing w:after="120"/>
        <w:ind w:right="1210" w:firstLine="10"/>
        <w:jc w:val="both"/>
      </w:pPr>
      <w:r>
        <w:t xml:space="preserve"> UNDP will strengthen </w:t>
      </w:r>
      <w:r w:rsidR="003F11D1">
        <w:t xml:space="preserve">data management at </w:t>
      </w:r>
      <w:r w:rsidR="003B4273">
        <w:t>provincial and local level</w:t>
      </w:r>
      <w:r w:rsidR="003F11D1">
        <w:t>s</w:t>
      </w:r>
      <w:r w:rsidR="003B4273">
        <w:t xml:space="preserve"> </w:t>
      </w:r>
      <w:r>
        <w:t xml:space="preserve">for sectoral and cross-sectoral analyses and will promote a culture of accountability and performance. It will help strengthen </w:t>
      </w:r>
      <w:r w:rsidR="003F11D1">
        <w:t>monitoring and</w:t>
      </w:r>
      <w:r>
        <w:t xml:space="preserve"> </w:t>
      </w:r>
      <w:r w:rsidR="003F11D1">
        <w:t xml:space="preserve">evaluation </w:t>
      </w:r>
      <w:r>
        <w:t>systems and reporting capacities of government agencies for evidence-based policy development and localization</w:t>
      </w:r>
      <w:r w:rsidR="003F11D1">
        <w:t xml:space="preserve"> of the Sustainable Development Goals</w:t>
      </w:r>
      <w:r>
        <w:t>, focus</w:t>
      </w:r>
      <w:r w:rsidR="00A43B4F">
        <w:t>ing</w:t>
      </w:r>
      <w:r>
        <w:t xml:space="preserve"> on </w:t>
      </w:r>
      <w:r w:rsidR="00A8420A">
        <w:t>gender equality and social inclusion</w:t>
      </w:r>
      <w:r>
        <w:t>.</w:t>
      </w:r>
    </w:p>
    <w:p w14:paraId="3268F21A" w14:textId="1E5752EA" w:rsidR="007E46A4" w:rsidRPr="001256B8" w:rsidRDefault="007E46A4" w:rsidP="007E46A4">
      <w:pPr>
        <w:pStyle w:val="ListParagraph"/>
        <w:numPr>
          <w:ilvl w:val="0"/>
          <w:numId w:val="47"/>
        </w:numPr>
        <w:spacing w:after="120"/>
        <w:ind w:right="1210" w:firstLine="10"/>
        <w:jc w:val="both"/>
      </w:pPr>
      <w:r>
        <w:t xml:space="preserve">UNDP will drive the vision of the </w:t>
      </w:r>
      <w:r w:rsidR="00A8420A">
        <w:t>UNSD</w:t>
      </w:r>
      <w:r>
        <w:t xml:space="preserve">CF around participatory and effective governance by building institutional and individual capacities of elected representatives and appointed officials, particularly representatives </w:t>
      </w:r>
      <w:r w:rsidR="00A8420A">
        <w:t xml:space="preserve">of </w:t>
      </w:r>
      <w:r w:rsidR="003B4273">
        <w:t xml:space="preserve">disadvantaged </w:t>
      </w:r>
      <w:r>
        <w:t xml:space="preserve">groups, to perform their </w:t>
      </w:r>
      <w:r w:rsidR="00A35FB9">
        <w:t>c</w:t>
      </w:r>
      <w:r w:rsidR="00A8420A">
        <w:t xml:space="preserve">onstitutional </w:t>
      </w:r>
      <w:r>
        <w:t>mandate</w:t>
      </w:r>
      <w:r w:rsidR="00A8420A">
        <w:t>s</w:t>
      </w:r>
      <w:r>
        <w:t xml:space="preserve"> and duties</w:t>
      </w:r>
      <w:r w:rsidR="00B70901">
        <w:t>.</w:t>
      </w:r>
      <w:r>
        <w:t xml:space="preserve"> This will involve continued strengthening of electoral processes and the functioning of assemblies in federal and provincial parliaments, building on lessons from the ongoing Parliament Support Project. UNDP will work to link parliaments with the public</w:t>
      </w:r>
      <w:r w:rsidR="00A8420A">
        <w:t xml:space="preserve"> through</w:t>
      </w:r>
      <w:r>
        <w:t xml:space="preserve"> oversight and post-legislative scrutiny</w:t>
      </w:r>
      <w:r w:rsidR="00163C40">
        <w:t>,</w:t>
      </w:r>
      <w:r>
        <w:t xml:space="preserve"> and </w:t>
      </w:r>
      <w:r w:rsidR="00135F73">
        <w:t xml:space="preserve">advocate </w:t>
      </w:r>
      <w:r>
        <w:t xml:space="preserve">for increased transparency, participation, accountability, inclusion and integrity. Institutional support is envisaged for constitutional bodies appointed to </w:t>
      </w:r>
      <w:r w:rsidR="00135F73">
        <w:t xml:space="preserve">provide oversight for </w:t>
      </w:r>
      <w:r>
        <w:t>work on inclusion and human rights.</w:t>
      </w:r>
    </w:p>
    <w:p w14:paraId="7F1C9C2B" w14:textId="0D349F7F" w:rsidR="007E46A4" w:rsidRPr="005069AC" w:rsidRDefault="007E46A4" w:rsidP="007E46A4">
      <w:pPr>
        <w:pStyle w:val="ListParagraph"/>
        <w:numPr>
          <w:ilvl w:val="0"/>
          <w:numId w:val="47"/>
        </w:numPr>
        <w:spacing w:after="120"/>
        <w:ind w:right="1210" w:firstLine="10"/>
        <w:jc w:val="both"/>
      </w:pPr>
      <w:r>
        <w:t>Innovation and inclusive digitalization will be pursued to establish more robust, modernized and efficient service delivery based on e-governance approaches, contributing to enhanced accountability, transparency</w:t>
      </w:r>
      <w:r w:rsidR="00962E29">
        <w:t xml:space="preserve">, </w:t>
      </w:r>
      <w:r>
        <w:t>better coordination and integration</w:t>
      </w:r>
      <w:r w:rsidR="005F675A">
        <w:t xml:space="preserve"> and further reach to</w:t>
      </w:r>
      <w:r>
        <w:t xml:space="preserve"> remote</w:t>
      </w:r>
      <w:r w:rsidR="00CD53A5">
        <w:t xml:space="preserve"> </w:t>
      </w:r>
      <w:r>
        <w:t>areas</w:t>
      </w:r>
      <w:r w:rsidR="00CD53A5">
        <w:t xml:space="preserve"> and people left behind</w:t>
      </w:r>
      <w:r>
        <w:t>.</w:t>
      </w:r>
    </w:p>
    <w:p w14:paraId="07A01DD4" w14:textId="655A3963" w:rsidR="007E46A4" w:rsidRPr="00207ED1" w:rsidRDefault="007E46A4" w:rsidP="007E46A4">
      <w:pPr>
        <w:spacing w:after="120"/>
        <w:ind w:right="1210" w:firstLine="1080"/>
        <w:jc w:val="both"/>
        <w:rPr>
          <w:b/>
          <w:bCs/>
        </w:rPr>
      </w:pPr>
      <w:r w:rsidRPr="00CD57A9">
        <w:rPr>
          <w:b/>
          <w:bCs/>
        </w:rPr>
        <w:t>Outcome 3</w:t>
      </w:r>
      <w:r w:rsidR="00135F73">
        <w:rPr>
          <w:b/>
          <w:bCs/>
        </w:rPr>
        <w:t>.</w:t>
      </w:r>
      <w:r w:rsidRPr="00CD57A9">
        <w:rPr>
          <w:b/>
          <w:bCs/>
        </w:rPr>
        <w:t xml:space="preserve"> Environmental </w:t>
      </w:r>
      <w:r w:rsidR="00135F73">
        <w:rPr>
          <w:b/>
          <w:bCs/>
        </w:rPr>
        <w:t>s</w:t>
      </w:r>
      <w:r w:rsidRPr="00CD57A9">
        <w:rPr>
          <w:b/>
          <w:bCs/>
        </w:rPr>
        <w:t xml:space="preserve">ustainability, </w:t>
      </w:r>
      <w:r w:rsidR="00135F73">
        <w:rPr>
          <w:b/>
          <w:bCs/>
        </w:rPr>
        <w:t>c</w:t>
      </w:r>
      <w:r w:rsidRPr="00CD57A9">
        <w:rPr>
          <w:b/>
          <w:bCs/>
        </w:rPr>
        <w:t xml:space="preserve">limate and </w:t>
      </w:r>
      <w:r w:rsidR="00135F73">
        <w:rPr>
          <w:b/>
          <w:bCs/>
        </w:rPr>
        <w:t>d</w:t>
      </w:r>
      <w:r w:rsidRPr="00CD57A9">
        <w:rPr>
          <w:b/>
          <w:bCs/>
        </w:rPr>
        <w:t xml:space="preserve">isaster </w:t>
      </w:r>
      <w:r w:rsidR="00A07C18">
        <w:rPr>
          <w:b/>
          <w:bCs/>
        </w:rPr>
        <w:t>r</w:t>
      </w:r>
      <w:r w:rsidRPr="00CD57A9">
        <w:rPr>
          <w:b/>
          <w:bCs/>
        </w:rPr>
        <w:t>esilience</w:t>
      </w:r>
    </w:p>
    <w:p w14:paraId="24A4F967" w14:textId="00C3B3F9" w:rsidR="007E46A4" w:rsidRDefault="007E46A4" w:rsidP="007E46A4">
      <w:pPr>
        <w:pStyle w:val="ListParagraph"/>
        <w:numPr>
          <w:ilvl w:val="0"/>
          <w:numId w:val="47"/>
        </w:numPr>
        <w:spacing w:after="120"/>
        <w:ind w:right="1210" w:firstLine="10"/>
        <w:jc w:val="both"/>
      </w:pPr>
      <w:r>
        <w:t xml:space="preserve">UNDP support under this outcome is aligned with </w:t>
      </w:r>
      <w:r w:rsidR="00135F73">
        <w:t xml:space="preserve">the Government’s </w:t>
      </w:r>
      <w:r>
        <w:t xml:space="preserve"> </w:t>
      </w:r>
      <w:r w:rsidR="00135F73">
        <w:t>n</w:t>
      </w:r>
      <w:r>
        <w:t xml:space="preserve">ationally </w:t>
      </w:r>
      <w:r w:rsidR="00135F73">
        <w:t>d</w:t>
      </w:r>
      <w:r>
        <w:t xml:space="preserve">etermined </w:t>
      </w:r>
      <w:r w:rsidR="00135F73">
        <w:t>c</w:t>
      </w:r>
      <w:r>
        <w:t xml:space="preserve">ontributions, the </w:t>
      </w:r>
      <w:r w:rsidR="00135F73">
        <w:t>l</w:t>
      </w:r>
      <w:r>
        <w:t>ong-</w:t>
      </w:r>
      <w:r w:rsidR="00135F73">
        <w:t>t</w:t>
      </w:r>
      <w:r>
        <w:t xml:space="preserve">erm </w:t>
      </w:r>
      <w:r w:rsidR="00135F73">
        <w:t>s</w:t>
      </w:r>
      <w:r>
        <w:t>trategy for net-zero emissions, the National Adaptation Plan</w:t>
      </w:r>
      <w:r w:rsidR="00973147">
        <w:t xml:space="preserve"> 2021-2050</w:t>
      </w:r>
      <w:r>
        <w:t xml:space="preserve">, National Policy for Disaster Risk Reduction and </w:t>
      </w:r>
      <w:r w:rsidR="00973147">
        <w:t>Strategic Action Plan</w:t>
      </w:r>
      <w:r>
        <w:t xml:space="preserve"> and other </w:t>
      </w:r>
      <w:r w:rsidR="008A1C2A">
        <w:t>related strategies</w:t>
      </w:r>
      <w:r>
        <w:t xml:space="preserve">. UNDP will continue </w:t>
      </w:r>
      <w:r w:rsidR="00A35FB9">
        <w:t xml:space="preserve">to </w:t>
      </w:r>
      <w:r>
        <w:t xml:space="preserve">support </w:t>
      </w:r>
      <w:r w:rsidR="00973147">
        <w:t xml:space="preserve">the Government’s </w:t>
      </w:r>
      <w:r>
        <w:t xml:space="preserve"> climate</w:t>
      </w:r>
      <w:r w:rsidR="00A43B4F">
        <w:t>-</w:t>
      </w:r>
      <w:r>
        <w:t>change adaptation and mitigation efforts, including through implementation of the</w:t>
      </w:r>
      <w:r w:rsidR="00A35FB9">
        <w:t xml:space="preserve"> aforementioned</w:t>
      </w:r>
      <w:r>
        <w:t xml:space="preserve"> frameworks and plans</w:t>
      </w:r>
      <w:r w:rsidR="00974225">
        <w:t xml:space="preserve">, </w:t>
      </w:r>
      <w:r w:rsidR="00E25A55">
        <w:t xml:space="preserve">in </w:t>
      </w:r>
      <w:r w:rsidR="00974225">
        <w:t>collaboration with UNEP</w:t>
      </w:r>
      <w:r>
        <w:t xml:space="preserve">. The proposed work is anchored around a strengthened risk and disaster management system, considering the national ambition to promote </w:t>
      </w:r>
      <w:r w:rsidR="006C781B">
        <w:t>g</w:t>
      </w:r>
      <w:r>
        <w:t xml:space="preserve">reen, </w:t>
      </w:r>
      <w:r w:rsidR="006C781B">
        <w:t>r</w:t>
      </w:r>
      <w:r>
        <w:t xml:space="preserve">esilient and </w:t>
      </w:r>
      <w:r w:rsidR="006C781B">
        <w:t>i</w:t>
      </w:r>
      <w:r>
        <w:t xml:space="preserve">nclusive </w:t>
      </w:r>
      <w:r w:rsidR="00973147">
        <w:t>d</w:t>
      </w:r>
      <w:r>
        <w:t>evelopment.</w:t>
      </w:r>
    </w:p>
    <w:p w14:paraId="68009E69" w14:textId="4B50F0DC" w:rsidR="007E46A4" w:rsidRDefault="007E46A4" w:rsidP="007E46A4">
      <w:pPr>
        <w:pStyle w:val="ListParagraph"/>
        <w:numPr>
          <w:ilvl w:val="0"/>
          <w:numId w:val="47"/>
        </w:numPr>
        <w:spacing w:after="120"/>
        <w:ind w:right="1210" w:firstLine="10"/>
        <w:jc w:val="both"/>
      </w:pPr>
      <w:r>
        <w:t xml:space="preserve">UNDP will assist the </w:t>
      </w:r>
      <w:r w:rsidR="00973147">
        <w:t xml:space="preserve">Government </w:t>
      </w:r>
      <w:r>
        <w:t xml:space="preserve">to drive policies and actions </w:t>
      </w:r>
      <w:r w:rsidR="004B2DFA">
        <w:t>focusing</w:t>
      </w:r>
      <w:r>
        <w:t xml:space="preserve"> on green financing, prevention and reduction of disaster</w:t>
      </w:r>
      <w:r w:rsidR="00973147">
        <w:t>-</w:t>
      </w:r>
      <w:r>
        <w:t>related risks, increasing resilience of infrastructure, ecosystems and society</w:t>
      </w:r>
      <w:r w:rsidR="00A2025E">
        <w:t xml:space="preserve"> and</w:t>
      </w:r>
      <w:r>
        <w:t xml:space="preserve"> enabling adaptive capacities to reduce long-term vulnerability of the population and protecting development investments. Specific support will be provided for local</w:t>
      </w:r>
      <w:r w:rsidR="00973147">
        <w:t>-</w:t>
      </w:r>
      <w:r>
        <w:t>level risk assessments</w:t>
      </w:r>
      <w:r w:rsidR="00973147">
        <w:t xml:space="preserve"> and</w:t>
      </w:r>
      <w:r>
        <w:t xml:space="preserve"> the use of data and knowledge to inform prevention and mitigation measures. </w:t>
      </w:r>
      <w:r w:rsidR="00973147">
        <w:t>Key priorities include r</w:t>
      </w:r>
      <w:r>
        <w:t>aising the national ambition to combat climate change and biodiversity loss</w:t>
      </w:r>
      <w:r w:rsidR="002B2FB7">
        <w:t>;</w:t>
      </w:r>
      <w:r>
        <w:t xml:space="preserve"> increasing resilience to natural and human-induced risk</w:t>
      </w:r>
      <w:r w:rsidR="00012B1D">
        <w:t xml:space="preserve"> and</w:t>
      </w:r>
      <w:r>
        <w:t xml:space="preserve"> reducing </w:t>
      </w:r>
      <w:r w:rsidR="002B2FB7">
        <w:t xml:space="preserve">related </w:t>
      </w:r>
      <w:r>
        <w:t>health impacts for vulnerable people</w:t>
      </w:r>
      <w:r w:rsidR="002B2FB7">
        <w:t>;</w:t>
      </w:r>
      <w:r>
        <w:t xml:space="preserve"> and </w:t>
      </w:r>
      <w:r w:rsidR="002B2FB7">
        <w:t xml:space="preserve">developing </w:t>
      </w:r>
      <w:r>
        <w:t xml:space="preserve">gender-responsive disaster strategies. </w:t>
      </w:r>
      <w:r w:rsidR="00973147">
        <w:t xml:space="preserve">UNDP and WFP will explore </w:t>
      </w:r>
      <w:r w:rsidR="002B2FB7">
        <w:t>scaling-up</w:t>
      </w:r>
      <w:r>
        <w:t xml:space="preserve"> of an ongoing partnership to enhance resilience of local infrastructure development.</w:t>
      </w:r>
    </w:p>
    <w:p w14:paraId="7ACA129C" w14:textId="4CC3BC9A" w:rsidR="007E46A4" w:rsidRDefault="007E46A4" w:rsidP="007E46A4">
      <w:pPr>
        <w:pStyle w:val="ListParagraph"/>
        <w:numPr>
          <w:ilvl w:val="0"/>
          <w:numId w:val="47"/>
        </w:numPr>
        <w:spacing w:after="120"/>
        <w:ind w:right="1210" w:firstLine="10"/>
        <w:jc w:val="both"/>
      </w:pPr>
      <w:r>
        <w:t xml:space="preserve">National institutions will be supported to strengthen environmental safeguards for (air) pollution control, waste management, urban greenery, community-based environmental </w:t>
      </w:r>
      <w:r>
        <w:lastRenderedPageBreak/>
        <w:t>protection and regeneration programmes</w:t>
      </w:r>
      <w:r w:rsidR="00973147">
        <w:t>,</w:t>
      </w:r>
      <w:r>
        <w:t xml:space="preserve"> and specific actions towards conserving biodiversity hotspots and vulnerable ecosystems</w:t>
      </w:r>
      <w:r w:rsidR="00973147">
        <w:t>,</w:t>
      </w:r>
      <w:r>
        <w:t xml:space="preserve"> including in higher mountains. </w:t>
      </w:r>
      <w:r w:rsidR="00116D90">
        <w:t>Building linkages with the other two outcomes, l</w:t>
      </w:r>
      <w:r>
        <w:t>ocal</w:t>
      </w:r>
      <w:r w:rsidR="00973147">
        <w:t>-</w:t>
      </w:r>
      <w:r>
        <w:t xml:space="preserve">level efforts to </w:t>
      </w:r>
      <w:r w:rsidR="003F5869">
        <w:t xml:space="preserve">enhance </w:t>
      </w:r>
      <w:r>
        <w:t xml:space="preserve">resilience, mainstream </w:t>
      </w:r>
      <w:r w:rsidR="00973147">
        <w:t>gender equality and social inclusion</w:t>
      </w:r>
      <w:r>
        <w:t xml:space="preserve">, </w:t>
      </w:r>
      <w:r w:rsidR="00DB2F36">
        <w:t xml:space="preserve">enhance risk-sensitive land-use planning </w:t>
      </w:r>
      <w:r>
        <w:t>and create green jobs through (pro-poor) partnerships will continue.  </w:t>
      </w:r>
    </w:p>
    <w:p w14:paraId="3538DD2A" w14:textId="7B3510F8" w:rsidR="007E46A4" w:rsidRDefault="00595C0B" w:rsidP="007E46A4">
      <w:pPr>
        <w:pStyle w:val="ListParagraph"/>
        <w:numPr>
          <w:ilvl w:val="0"/>
          <w:numId w:val="47"/>
        </w:numPr>
        <w:spacing w:after="120"/>
        <w:ind w:right="1210" w:firstLine="10"/>
        <w:jc w:val="both"/>
      </w:pPr>
      <w:r>
        <w:t xml:space="preserve">The programme will support </w:t>
      </w:r>
      <w:r w:rsidR="007E46A4">
        <w:t>Nepal</w:t>
      </w:r>
      <w:r>
        <w:t>i</w:t>
      </w:r>
      <w:r w:rsidR="007E46A4">
        <w:t xml:space="preserve"> efforts to improve institutional capacities</w:t>
      </w:r>
      <w:r>
        <w:t xml:space="preserve"> for</w:t>
      </w:r>
      <w:r w:rsidR="007E46A4">
        <w:t xml:space="preserve"> coordination, technologies, data analytics and financing </w:t>
      </w:r>
      <w:r w:rsidR="00663B40">
        <w:t>related to</w:t>
      </w:r>
      <w:r w:rsidR="007E46A4">
        <w:t xml:space="preserve"> climate change, disaster</w:t>
      </w:r>
      <w:r w:rsidR="00A85C23">
        <w:t xml:space="preserve"> risk reduction,</w:t>
      </w:r>
      <w:r w:rsidR="007E46A4">
        <w:t xml:space="preserve"> preparedness and management, environment, forestry and watersheds, at provincial and local levels. Building on its well-recognized work, UNDP will continue to provide dedicated support to reduce the risk of glacial lake outburst floods. It will strengthen institutional and community planning capacities for integration of climate change, biodiversity, forestry and watershed management</w:t>
      </w:r>
      <w:r w:rsidR="00C01C8E">
        <w:t xml:space="preserve"> in planning and budgeting</w:t>
      </w:r>
      <w:r>
        <w:t>;</w:t>
      </w:r>
      <w:r w:rsidR="007E46A4">
        <w:t xml:space="preserve"> </w:t>
      </w:r>
      <w:r>
        <w:t xml:space="preserve">and </w:t>
      </w:r>
      <w:r w:rsidR="007E46A4">
        <w:t>for livelihood improvement through sustainable forest management</w:t>
      </w:r>
      <w:r w:rsidR="00865A02">
        <w:t>, including non-timber forest products</w:t>
      </w:r>
      <w:r w:rsidR="007E46A4">
        <w:t xml:space="preserve">, ecotourism, circular economy </w:t>
      </w:r>
      <w:r w:rsidR="00865A02">
        <w:t xml:space="preserve">and </w:t>
      </w:r>
      <w:r w:rsidR="007E46A4">
        <w:t>sustainable production and consumption.</w:t>
      </w:r>
    </w:p>
    <w:p w14:paraId="360D2011" w14:textId="493889F1" w:rsidR="007E46A4" w:rsidRDefault="007E46A4" w:rsidP="007E46A4">
      <w:pPr>
        <w:pStyle w:val="ListParagraph"/>
        <w:numPr>
          <w:ilvl w:val="0"/>
          <w:numId w:val="47"/>
        </w:numPr>
        <w:spacing w:after="120"/>
        <w:ind w:right="1210" w:firstLine="10"/>
        <w:jc w:val="both"/>
      </w:pPr>
      <w:r>
        <w:t>UNDP will support initiatives to increase access to reliable, affordable and efficient clean energy solutions by supporting installation of renewable energy (solar</w:t>
      </w:r>
      <w:r w:rsidR="0062244D">
        <w:t>/</w:t>
      </w:r>
      <w:r>
        <w:t xml:space="preserve">micro-hydro) in remote areas, in partnership with ADB. </w:t>
      </w:r>
    </w:p>
    <w:p w14:paraId="36B53595" w14:textId="3B28E1C6" w:rsidR="007E46A4" w:rsidRDefault="007E46A4" w:rsidP="003C2FE9">
      <w:pPr>
        <w:pStyle w:val="ListParagraph"/>
        <w:numPr>
          <w:ilvl w:val="0"/>
          <w:numId w:val="47"/>
        </w:numPr>
        <w:ind w:right="1210" w:firstLine="10"/>
        <w:jc w:val="both"/>
      </w:pPr>
      <w:r>
        <w:t xml:space="preserve">Key partners in the achievement of these development results will include the federal </w:t>
      </w:r>
      <w:r w:rsidR="00A43B4F">
        <w:t>G</w:t>
      </w:r>
      <w:r>
        <w:t xml:space="preserve">overnment (particularly the Ministries of </w:t>
      </w:r>
      <w:r w:rsidR="00935B3F">
        <w:t xml:space="preserve">Foreign Affairs, </w:t>
      </w:r>
      <w:r>
        <w:t>Finance, Federal Affairs, Forests and Environment</w:t>
      </w:r>
      <w:r w:rsidR="00F568A7">
        <w:t>,</w:t>
      </w:r>
      <w:r>
        <w:t xml:space="preserve"> </w:t>
      </w:r>
      <w:r w:rsidR="007C6E55">
        <w:t>Law and Justice</w:t>
      </w:r>
      <w:r w:rsidR="00F568A7">
        <w:t>,</w:t>
      </w:r>
      <w:r w:rsidR="007C6E55">
        <w:t xml:space="preserve"> </w:t>
      </w:r>
      <w:r w:rsidR="00935B3F">
        <w:t xml:space="preserve">the National Planning Commission, </w:t>
      </w:r>
      <w:r>
        <w:t xml:space="preserve">all seven </w:t>
      </w:r>
      <w:r w:rsidR="00595C0B">
        <w:t>provincial governments</w:t>
      </w:r>
      <w:r>
        <w:t xml:space="preserve"> and </w:t>
      </w:r>
      <w:r w:rsidR="00BF3B48">
        <w:t>local governments</w:t>
      </w:r>
      <w:r>
        <w:t xml:space="preserve">); </w:t>
      </w:r>
      <w:r w:rsidR="00BF3B48">
        <w:t>i</w:t>
      </w:r>
      <w:r>
        <w:t xml:space="preserve">nternational </w:t>
      </w:r>
      <w:r w:rsidR="00BF3B48">
        <w:t>f</w:t>
      </w:r>
      <w:r>
        <w:t>inanc</w:t>
      </w:r>
      <w:r w:rsidR="00BF3B48">
        <w:t>ial</w:t>
      </w:r>
      <w:r>
        <w:t xml:space="preserve"> </w:t>
      </w:r>
      <w:r w:rsidR="00BF3B48">
        <w:t>i</w:t>
      </w:r>
      <w:r>
        <w:t xml:space="preserve">nstitutions (ADB and the World Bank); </w:t>
      </w:r>
      <w:r w:rsidR="00A43B4F">
        <w:t xml:space="preserve">the </w:t>
      </w:r>
      <w:r>
        <w:t>private sector; civil society</w:t>
      </w:r>
      <w:r w:rsidR="00995D0A">
        <w:t xml:space="preserve">, </w:t>
      </w:r>
      <w:r>
        <w:t>including community-based organizations</w:t>
      </w:r>
      <w:r w:rsidR="2FB9B80F">
        <w:t xml:space="preserve">; and </w:t>
      </w:r>
      <w:r w:rsidR="00842BC4">
        <w:t>traditional</w:t>
      </w:r>
      <w:r w:rsidR="002B14C0">
        <w:t xml:space="preserve"> </w:t>
      </w:r>
      <w:r w:rsidR="00A059F7">
        <w:t>bilateral partners</w:t>
      </w:r>
      <w:r w:rsidR="002B14C0">
        <w:t xml:space="preserve"> (</w:t>
      </w:r>
      <w:r w:rsidR="00BF3B48">
        <w:t xml:space="preserve">the European Union and the Governments of </w:t>
      </w:r>
      <w:r w:rsidR="00DC4805">
        <w:t xml:space="preserve">Japan, </w:t>
      </w:r>
      <w:r w:rsidR="002B14C0">
        <w:t>Norway,</w:t>
      </w:r>
      <w:r w:rsidR="00DC4805">
        <w:t xml:space="preserve"> </w:t>
      </w:r>
      <w:r w:rsidR="00E87ED2">
        <w:t xml:space="preserve">Republic of </w:t>
      </w:r>
      <w:r w:rsidR="00DC4805">
        <w:t>Korea,</w:t>
      </w:r>
      <w:r w:rsidR="002B14C0">
        <w:t xml:space="preserve"> </w:t>
      </w:r>
      <w:r w:rsidR="00F568A7">
        <w:t>Switzerland</w:t>
      </w:r>
      <w:r w:rsidR="00BF3B48">
        <w:t xml:space="preserve"> and the United Kingdom</w:t>
      </w:r>
      <w:r w:rsidR="00161709">
        <w:t>)</w:t>
      </w:r>
      <w:r w:rsidR="00837C80">
        <w:t xml:space="preserve">, and emerging </w:t>
      </w:r>
      <w:r w:rsidR="00DC7745">
        <w:t>partners (</w:t>
      </w:r>
      <w:r w:rsidR="00BF3B48">
        <w:t xml:space="preserve">Governments of </w:t>
      </w:r>
      <w:r w:rsidR="00DC7745">
        <w:t>China, India, Qatar</w:t>
      </w:r>
      <w:r w:rsidR="00914185">
        <w:t xml:space="preserve"> and others</w:t>
      </w:r>
      <w:r w:rsidR="00DC7745">
        <w:t>)</w:t>
      </w:r>
      <w:r w:rsidR="00914185">
        <w:t>.</w:t>
      </w:r>
      <w:r w:rsidR="00DC7745">
        <w:t xml:space="preserve"> </w:t>
      </w:r>
    </w:p>
    <w:p w14:paraId="2440D3F6" w14:textId="77777777" w:rsidR="004736BE" w:rsidRPr="003C26C1" w:rsidRDefault="004736BE" w:rsidP="00AD68A5">
      <w:pPr>
        <w:ind w:left="1627" w:right="1267"/>
        <w:jc w:val="both"/>
        <w:rPr>
          <w:color w:val="000000"/>
        </w:rPr>
      </w:pPr>
    </w:p>
    <w:p w14:paraId="2440D3F7" w14:textId="4FBF5941" w:rsidR="0063402B" w:rsidRPr="003C26C1" w:rsidRDefault="0063402B" w:rsidP="003C2FE9">
      <w:pPr>
        <w:pStyle w:val="Heading1"/>
        <w:numPr>
          <w:ilvl w:val="0"/>
          <w:numId w:val="50"/>
        </w:numPr>
        <w:tabs>
          <w:tab w:val="left" w:pos="1800"/>
        </w:tabs>
        <w:ind w:left="1080" w:right="1267" w:hanging="450"/>
        <w:jc w:val="both"/>
        <w:rPr>
          <w:rFonts w:ascii="Times New Roman" w:hAnsi="Times New Roman"/>
          <w:color w:val="000000"/>
          <w:sz w:val="20"/>
          <w:lang w:val="en-US"/>
        </w:rPr>
      </w:pPr>
      <w:r w:rsidRPr="003C26C1">
        <w:rPr>
          <w:rFonts w:ascii="Times New Roman" w:hAnsi="Times New Roman"/>
          <w:color w:val="000000"/>
          <w:sz w:val="24"/>
          <w:szCs w:val="24"/>
          <w:lang w:val="en-US"/>
        </w:rPr>
        <w:t xml:space="preserve">Programme and </w:t>
      </w:r>
      <w:r w:rsidR="003C2FE9">
        <w:rPr>
          <w:rFonts w:ascii="Times New Roman" w:hAnsi="Times New Roman"/>
          <w:color w:val="000000"/>
          <w:sz w:val="24"/>
          <w:szCs w:val="24"/>
          <w:lang w:val="en-US"/>
        </w:rPr>
        <w:t>r</w:t>
      </w:r>
      <w:r w:rsidRPr="003C26C1">
        <w:rPr>
          <w:rFonts w:ascii="Times New Roman" w:hAnsi="Times New Roman"/>
          <w:color w:val="000000"/>
          <w:sz w:val="24"/>
          <w:szCs w:val="24"/>
          <w:lang w:val="en-US"/>
        </w:rPr>
        <w:t>isk</w:t>
      </w:r>
      <w:r w:rsidR="00AC1BE7" w:rsidRPr="003C26C1">
        <w:rPr>
          <w:rFonts w:ascii="Times New Roman" w:hAnsi="Times New Roman"/>
          <w:color w:val="000000"/>
          <w:sz w:val="24"/>
          <w:szCs w:val="24"/>
          <w:lang w:val="en-US"/>
        </w:rPr>
        <w:t xml:space="preserve"> </w:t>
      </w:r>
      <w:r w:rsidR="003C2FE9">
        <w:rPr>
          <w:rFonts w:ascii="Times New Roman" w:hAnsi="Times New Roman"/>
          <w:color w:val="000000"/>
          <w:sz w:val="24"/>
          <w:szCs w:val="24"/>
          <w:lang w:val="en-US"/>
        </w:rPr>
        <w:t>m</w:t>
      </w:r>
      <w:r w:rsidR="001C6C08" w:rsidRPr="003C26C1">
        <w:rPr>
          <w:rFonts w:ascii="Times New Roman" w:hAnsi="Times New Roman"/>
          <w:color w:val="000000"/>
          <w:sz w:val="24"/>
          <w:szCs w:val="24"/>
          <w:lang w:val="en-US"/>
        </w:rPr>
        <w:t>anagement</w:t>
      </w:r>
      <w:r w:rsidRPr="003C26C1">
        <w:rPr>
          <w:rFonts w:ascii="Times New Roman" w:hAnsi="Times New Roman"/>
          <w:color w:val="000000"/>
          <w:sz w:val="24"/>
          <w:szCs w:val="24"/>
        </w:rPr>
        <w:t xml:space="preserve"> </w:t>
      </w:r>
    </w:p>
    <w:p w14:paraId="23A443F5" w14:textId="77777777" w:rsidR="000B79C2" w:rsidRDefault="000B79C2" w:rsidP="00220C88">
      <w:pPr>
        <w:ind w:left="1260" w:right="1210"/>
        <w:jc w:val="both"/>
      </w:pPr>
    </w:p>
    <w:p w14:paraId="4332EE34" w14:textId="3AB867B1" w:rsidR="000B79C2" w:rsidRPr="00AC4242" w:rsidRDefault="000B79C2" w:rsidP="000B79C2">
      <w:pPr>
        <w:pStyle w:val="ListParagraph"/>
        <w:numPr>
          <w:ilvl w:val="0"/>
          <w:numId w:val="47"/>
        </w:numPr>
        <w:spacing w:after="120"/>
        <w:ind w:right="1210" w:firstLine="10"/>
        <w:jc w:val="both"/>
      </w:pPr>
      <w:r>
        <w:t xml:space="preserve">This </w:t>
      </w:r>
      <w:r w:rsidR="00BF3B48">
        <w:t>docume</w:t>
      </w:r>
      <w:r w:rsidR="00383814">
        <w:t>nt</w:t>
      </w:r>
      <w:r w:rsidR="00BF3B48">
        <w:t xml:space="preserve"> </w:t>
      </w:r>
      <w:r>
        <w:t xml:space="preserve">outlines </w:t>
      </w:r>
      <w:r w:rsidR="00383814">
        <w:t xml:space="preserve">the </w:t>
      </w:r>
      <w: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383814">
        <w:t>are</w:t>
      </w:r>
      <w:r>
        <w:t xml:space="preserve"> prescribed in the organization’s </w:t>
      </w:r>
      <w:hyperlink r:id="rId17">
        <w:r w:rsidR="00383814">
          <w:t>programme and operations policies and procedures</w:t>
        </w:r>
      </w:hyperlink>
      <w:r w:rsidR="00383814">
        <w:t xml:space="preserve"> and </w:t>
      </w:r>
      <w:hyperlink r:id="rId18">
        <w:r w:rsidR="00383814">
          <w:t>internal control framework</w:t>
        </w:r>
      </w:hyperlink>
      <w:r w:rsidR="00383814">
        <w:t>.</w:t>
      </w:r>
    </w:p>
    <w:p w14:paraId="13E9126A" w14:textId="5FD4B9DF" w:rsidR="000B79C2" w:rsidRPr="00AC4242" w:rsidRDefault="000B79C2" w:rsidP="000B79C2">
      <w:pPr>
        <w:pStyle w:val="ListParagraph"/>
        <w:numPr>
          <w:ilvl w:val="0"/>
          <w:numId w:val="47"/>
        </w:numPr>
        <w:spacing w:after="120"/>
        <w:ind w:right="1210" w:firstLine="10"/>
        <w:jc w:val="both"/>
      </w:pPr>
      <w:r>
        <w:t xml:space="preserve">The programme will be nationally executed. If necessary, </w:t>
      </w:r>
      <w:r w:rsidR="00766EF2">
        <w:t xml:space="preserve">direct </w:t>
      </w:r>
      <w:r>
        <w:t xml:space="preserve">execution may replace </w:t>
      </w:r>
      <w:r w:rsidR="00766EF2">
        <w:t xml:space="preserve">national </w:t>
      </w:r>
      <w:r>
        <w:t>execution for part or all</w:t>
      </w:r>
      <w:r w:rsidR="00383814">
        <w:t xml:space="preserve"> </w:t>
      </w:r>
      <w:r>
        <w:t xml:space="preserve">of the programme to enable response to force majeure. </w:t>
      </w:r>
      <w:r w:rsidR="00383814">
        <w:t>The h</w:t>
      </w:r>
      <w:r>
        <w:t>armoni</w:t>
      </w:r>
      <w:r w:rsidR="00383814">
        <w:t>z</w:t>
      </w:r>
      <w:r>
        <w:t xml:space="preserve">ed </w:t>
      </w:r>
      <w:r w:rsidR="00383814">
        <w:t>a</w:t>
      </w:r>
      <w:r>
        <w:t xml:space="preserve">pproach to </w:t>
      </w:r>
      <w:r w:rsidR="00383814">
        <w:t>c</w:t>
      </w:r>
      <w:r>
        <w:t xml:space="preserve">ash </w:t>
      </w:r>
      <w:r w:rsidR="00383814">
        <w:t>t</w:t>
      </w:r>
      <w:r>
        <w:t>ransfers</w:t>
      </w:r>
      <w:r w:rsidR="00383814">
        <w:t xml:space="preserve"> </w:t>
      </w:r>
      <w:r>
        <w:t>will be used in a coordinated fashion with other U</w:t>
      </w:r>
      <w:r w:rsidR="00383814">
        <w:t xml:space="preserve">nited </w:t>
      </w:r>
      <w:r>
        <w:t>N</w:t>
      </w:r>
      <w:r w:rsidR="00383814">
        <w:t>ations</w:t>
      </w:r>
      <w:r>
        <w:t xml:space="preserve"> agencies to manage financial risks. Cost definitions and classifications for programme and development effectiveness will be charged to the projects concerned.</w:t>
      </w:r>
    </w:p>
    <w:p w14:paraId="6F7437F5" w14:textId="205D1E0F" w:rsidR="000B79C2" w:rsidRPr="00CD57A9" w:rsidRDefault="000B79C2" w:rsidP="000B79C2">
      <w:pPr>
        <w:pStyle w:val="ListParagraph"/>
        <w:numPr>
          <w:ilvl w:val="0"/>
          <w:numId w:val="47"/>
        </w:numPr>
        <w:spacing w:after="120"/>
        <w:ind w:right="1210" w:firstLine="10"/>
        <w:jc w:val="both"/>
      </w:pPr>
      <w:r>
        <w:t>UNDP will review progress against the output indicators annually</w:t>
      </w:r>
      <w:r w:rsidR="00766EF2" w:rsidRPr="00766EF2">
        <w:t xml:space="preserve"> </w:t>
      </w:r>
      <w:r w:rsidR="00766EF2">
        <w:t>with the government coordination agency, the Ministry of Finance</w:t>
      </w:r>
      <w:r>
        <w:t xml:space="preserve">. UNDP will participate in </w:t>
      </w:r>
      <w:r w:rsidR="00383814">
        <w:t>the coordination mechanisms of government, development p</w:t>
      </w:r>
      <w:r>
        <w:t>artners</w:t>
      </w:r>
      <w:r w:rsidR="00383814">
        <w:t xml:space="preserve"> </w:t>
      </w:r>
      <w:r>
        <w:t xml:space="preserve">and </w:t>
      </w:r>
      <w:r w:rsidR="00383814">
        <w:t>the United Nations</w:t>
      </w:r>
      <w:r>
        <w:t xml:space="preserve">. Programme and project boards will be established </w:t>
      </w:r>
      <w:r w:rsidR="00383814">
        <w:t>to</w:t>
      </w:r>
      <w:r>
        <w:t xml:space="preserve">, inter alia, ensure compliance with </w:t>
      </w:r>
      <w:r w:rsidR="00383814">
        <w:t>social and environmental standards, effective implementation, oversight and accountabilit</w:t>
      </w:r>
      <w:r>
        <w:t xml:space="preserve">y for results.  </w:t>
      </w:r>
    </w:p>
    <w:p w14:paraId="5893AED5" w14:textId="40A03ABE" w:rsidR="000B79C2" w:rsidRPr="009A3488" w:rsidRDefault="003B4273" w:rsidP="000B79C2">
      <w:pPr>
        <w:pStyle w:val="ListParagraph"/>
        <w:numPr>
          <w:ilvl w:val="0"/>
          <w:numId w:val="47"/>
        </w:numPr>
        <w:spacing w:after="120"/>
        <w:ind w:right="1210" w:firstLine="10"/>
        <w:jc w:val="both"/>
      </w:pPr>
      <w:r>
        <w:t>P</w:t>
      </w:r>
      <w:r w:rsidR="000B79C2">
        <w:t xml:space="preserve">otential risks are both </w:t>
      </w:r>
      <w:r w:rsidR="3C040F3B">
        <w:t>on</w:t>
      </w:r>
      <w:r w:rsidR="000B79C2">
        <w:t xml:space="preserve"> the </w:t>
      </w:r>
      <w:r>
        <w:t>resourc</w:t>
      </w:r>
      <w:r w:rsidR="0F592EFF">
        <w:t>es</w:t>
      </w:r>
      <w:r>
        <w:t xml:space="preserve"> </w:t>
      </w:r>
      <w:r w:rsidR="000B79C2">
        <w:t xml:space="preserve">and capacity side. </w:t>
      </w:r>
      <w:r>
        <w:t xml:space="preserve">Declining levels of traditional </w:t>
      </w:r>
      <w:r w:rsidR="00383814">
        <w:t>o</w:t>
      </w:r>
      <w:r w:rsidR="000B79C2">
        <w:t xml:space="preserve">fficial </w:t>
      </w:r>
      <w:r w:rsidR="00383814">
        <w:t>d</w:t>
      </w:r>
      <w:r w:rsidR="000B79C2">
        <w:t xml:space="preserve">evelopment </w:t>
      </w:r>
      <w:r w:rsidR="00383814">
        <w:t>a</w:t>
      </w:r>
      <w:r w:rsidR="000B79C2">
        <w:t xml:space="preserve">ssistance </w:t>
      </w:r>
      <w:r>
        <w:t xml:space="preserve">may impact </w:t>
      </w:r>
      <w:r w:rsidR="00383814">
        <w:t xml:space="preserve">the </w:t>
      </w:r>
      <w:r>
        <w:t xml:space="preserve">UNDP resource base over </w:t>
      </w:r>
      <w:r w:rsidR="00383814">
        <w:t xml:space="preserve">the </w:t>
      </w:r>
      <w:r>
        <w:t>country programme cycle</w:t>
      </w:r>
      <w:r w:rsidR="000B79C2">
        <w:t xml:space="preserve">. Nepal is in the process of LDC graduation which may further impact the availability of third-party funding. The COVID-19 pandemic has significantly reduced the growth rate which has further implications for domestic revenue mobilization. At the implementation level, where federalism has empowered the </w:t>
      </w:r>
      <w:r w:rsidR="00383814">
        <w:t xml:space="preserve">provincial and local governments </w:t>
      </w:r>
      <w:r w:rsidR="000B79C2">
        <w:t xml:space="preserve">financially, it has also resulted in the devolution of additional roles and responsibilities for which capacities are limited. To manage these risks, UNDP will work with national institutions </w:t>
      </w:r>
      <w:r w:rsidR="000B79C2">
        <w:lastRenderedPageBreak/>
        <w:t xml:space="preserve">to explore innovative instruments of financing </w:t>
      </w:r>
      <w:r w:rsidR="00DD6E72">
        <w:t xml:space="preserve">and seek to diversify its </w:t>
      </w:r>
      <w:r w:rsidR="001C263F">
        <w:t>donor</w:t>
      </w:r>
      <w:r w:rsidR="00DD6E72">
        <w:t xml:space="preserve"> base, </w:t>
      </w:r>
      <w:r w:rsidR="000B79C2">
        <w:t xml:space="preserve">including private financing. Ongoing projects which aim at building local capacities for implementation will be further strengthened to enhance capacities </w:t>
      </w:r>
      <w:r w:rsidR="00A07C18">
        <w:t>for</w:t>
      </w:r>
      <w:r w:rsidR="000B79C2">
        <w:t xml:space="preserve"> effective implementation. </w:t>
      </w:r>
      <w:bookmarkStart w:id="3" w:name="_Hlk66318114"/>
      <w:bookmarkEnd w:id="3"/>
    </w:p>
    <w:p w14:paraId="34A712E5" w14:textId="41C9474C" w:rsidR="000B79C2" w:rsidRPr="00CD57A9" w:rsidRDefault="000B79C2" w:rsidP="003C2FE9">
      <w:pPr>
        <w:pStyle w:val="ListParagraph"/>
        <w:numPr>
          <w:ilvl w:val="0"/>
          <w:numId w:val="47"/>
        </w:numPr>
        <w:ind w:right="1210" w:firstLine="10"/>
        <w:jc w:val="both"/>
      </w:pPr>
      <w:r>
        <w:t xml:space="preserve">Nepal has been historically exposed to risks arising </w:t>
      </w:r>
      <w:r w:rsidR="000F14CE">
        <w:t>from</w:t>
      </w:r>
      <w:r>
        <w:t xml:space="preserve"> natural hazards. UNDP will use systematic risk monitoring as a tool for early warning, risk management, risk mitigation and timely decision-making. Risks will be managed through coordination and partnerships; advocacy and policy dialogue; regular identification, mitigation and diversification, project and results monitoring; and updating of contingency plans for the country office.</w:t>
      </w:r>
    </w:p>
    <w:p w14:paraId="2440D408" w14:textId="77777777" w:rsidR="002A7363" w:rsidRPr="003C26C1" w:rsidRDefault="002A7363" w:rsidP="00550849">
      <w:pPr>
        <w:ind w:left="1620" w:right="1267"/>
        <w:jc w:val="both"/>
        <w:rPr>
          <w:color w:val="000000"/>
        </w:rPr>
      </w:pPr>
    </w:p>
    <w:p w14:paraId="2440D409" w14:textId="4BF24ADA" w:rsidR="00701B6B" w:rsidRPr="003C26C1" w:rsidRDefault="001D42D1" w:rsidP="003C2FE9">
      <w:pPr>
        <w:pStyle w:val="Heading1"/>
        <w:numPr>
          <w:ilvl w:val="0"/>
          <w:numId w:val="50"/>
        </w:numPr>
        <w:tabs>
          <w:tab w:val="left" w:pos="1800"/>
        </w:tabs>
        <w:ind w:left="1080" w:right="1267" w:hanging="450"/>
        <w:jc w:val="both"/>
        <w:rPr>
          <w:rFonts w:ascii="Times New Roman" w:hAnsi="Times New Roman"/>
          <w:color w:val="000000"/>
          <w:sz w:val="24"/>
          <w:szCs w:val="24"/>
          <w:lang w:val="en-US"/>
        </w:rPr>
      </w:pPr>
      <w:r w:rsidRPr="003C26C1">
        <w:rPr>
          <w:rFonts w:ascii="Times New Roman" w:hAnsi="Times New Roman"/>
          <w:color w:val="000000"/>
          <w:sz w:val="24"/>
          <w:szCs w:val="24"/>
        </w:rPr>
        <w:t xml:space="preserve">Monitoring and </w:t>
      </w:r>
      <w:r w:rsidR="003C2FE9">
        <w:rPr>
          <w:rFonts w:ascii="Times New Roman" w:hAnsi="Times New Roman"/>
          <w:color w:val="000000"/>
          <w:sz w:val="24"/>
          <w:szCs w:val="24"/>
          <w:lang w:val="en-US"/>
        </w:rPr>
        <w:t>e</w:t>
      </w:r>
      <w:r w:rsidR="001B3F87" w:rsidRPr="003C26C1">
        <w:rPr>
          <w:rFonts w:ascii="Times New Roman" w:hAnsi="Times New Roman"/>
          <w:color w:val="000000"/>
          <w:sz w:val="24"/>
          <w:szCs w:val="24"/>
          <w:lang w:val="en-US"/>
        </w:rPr>
        <w:t>valuation</w:t>
      </w:r>
    </w:p>
    <w:p w14:paraId="2440D40A" w14:textId="77777777" w:rsidR="001D42D1" w:rsidRPr="003C2FE9" w:rsidRDefault="001D42D1" w:rsidP="00550849">
      <w:pPr>
        <w:pStyle w:val="Heading1"/>
        <w:tabs>
          <w:tab w:val="left" w:pos="1800"/>
        </w:tabs>
        <w:ind w:left="1267" w:right="1267"/>
        <w:jc w:val="both"/>
        <w:rPr>
          <w:rFonts w:ascii="Times New Roman" w:hAnsi="Times New Roman"/>
          <w:b w:val="0"/>
          <w:bCs/>
          <w:color w:val="000000"/>
          <w:sz w:val="20"/>
          <w:lang w:val="en-US"/>
        </w:rPr>
      </w:pPr>
    </w:p>
    <w:p w14:paraId="22FC81E7" w14:textId="43EF59EE" w:rsidR="00767690" w:rsidRDefault="00767690" w:rsidP="00767690">
      <w:pPr>
        <w:pStyle w:val="ListParagraph"/>
        <w:numPr>
          <w:ilvl w:val="0"/>
          <w:numId w:val="47"/>
        </w:numPr>
        <w:spacing w:after="120"/>
        <w:ind w:right="1210" w:firstLine="10"/>
        <w:jc w:val="both"/>
      </w:pPr>
      <w:r>
        <w:t xml:space="preserve"> UNDP will use innovative data</w:t>
      </w:r>
      <w:r w:rsidR="00A2025E">
        <w:t>-</w:t>
      </w:r>
      <w:r>
        <w:t>collection and monitoring methods, including collective intelligence and user-generated feedback</w:t>
      </w:r>
      <w:r w:rsidR="000D7EC5">
        <w:t>,</w:t>
      </w:r>
      <w:r>
        <w:t xml:space="preserve"> for monitoring and assessment of results, compiling lessons and informing course correction</w:t>
      </w:r>
      <w:r w:rsidR="0096229F">
        <w:t>s</w:t>
      </w:r>
      <w:r>
        <w:t xml:space="preserve">. UNDP corporate tools including </w:t>
      </w:r>
      <w:r w:rsidR="000D7EC5">
        <w:t xml:space="preserve">the </w:t>
      </w:r>
      <w:r>
        <w:t>Gender Seal</w:t>
      </w:r>
      <w:r w:rsidR="000D7EC5">
        <w:t xml:space="preserve"> and gender m</w:t>
      </w:r>
      <w:r>
        <w:t xml:space="preserve">arker will be used to ensure that development interventions </w:t>
      </w:r>
      <w:r w:rsidR="00EE55D3">
        <w:t>contribute</w:t>
      </w:r>
      <w:r>
        <w:t xml:space="preserve"> to gender equality. UNDP will aim to allocate up to 70 per</w:t>
      </w:r>
      <w:r w:rsidR="000D7EC5">
        <w:t xml:space="preserve"> </w:t>
      </w:r>
      <w:r>
        <w:t xml:space="preserve">cent of resources towards initiatives </w:t>
      </w:r>
      <w:r w:rsidR="00650C72">
        <w:t>advancing</w:t>
      </w:r>
      <w:r>
        <w:t xml:space="preserve"> gender equality, and to monitor progress accordingly. </w:t>
      </w:r>
    </w:p>
    <w:p w14:paraId="4C1050EF" w14:textId="5D0E0DC2" w:rsidR="00767690" w:rsidRPr="00CD57A9" w:rsidRDefault="00767690" w:rsidP="00767690">
      <w:pPr>
        <w:pStyle w:val="ListParagraph"/>
        <w:numPr>
          <w:ilvl w:val="0"/>
          <w:numId w:val="47"/>
        </w:numPr>
        <w:spacing w:after="120"/>
        <w:ind w:right="1210" w:firstLine="10"/>
        <w:jc w:val="both"/>
      </w:pPr>
      <w:r>
        <w:t xml:space="preserve">The LDC graduation process offers opportunities for the </w:t>
      </w:r>
      <w:r w:rsidR="000D7EC5">
        <w:t xml:space="preserve">Government of Nepal </w:t>
      </w:r>
      <w:r>
        <w:t xml:space="preserve">and </w:t>
      </w:r>
      <w:r w:rsidR="000D7EC5">
        <w:t xml:space="preserve">the </w:t>
      </w:r>
      <w:r>
        <w:t>U</w:t>
      </w:r>
      <w:r w:rsidR="000D7EC5">
        <w:t xml:space="preserve">nited </w:t>
      </w:r>
      <w:r>
        <w:t>N</w:t>
      </w:r>
      <w:r w:rsidR="000D7EC5">
        <w:t>ations system</w:t>
      </w:r>
      <w:r>
        <w:t xml:space="preserve"> to emphasize linkages between the </w:t>
      </w:r>
      <w:r w:rsidR="000D7EC5">
        <w:t xml:space="preserve">Sustainable Development Goals </w:t>
      </w:r>
      <w:r>
        <w:t xml:space="preserve">and national development goals. UNDP will engage with </w:t>
      </w:r>
      <w:r w:rsidR="000D7EC5">
        <w:t xml:space="preserve">provincial and local governments </w:t>
      </w:r>
      <w:r>
        <w:t>to enhance capacities on local</w:t>
      </w:r>
      <w:r w:rsidR="000D7EC5">
        <w:t>-</w:t>
      </w:r>
      <w:r>
        <w:t>level indicators where data gaps are more pronounced</w:t>
      </w:r>
      <w:r w:rsidR="00FE5585">
        <w:t xml:space="preserve"> </w:t>
      </w:r>
      <w:r>
        <w:t>and support national statistical systems to improve data quality to monitor progress</w:t>
      </w:r>
      <w:r w:rsidR="000D7EC5">
        <w:t xml:space="preserve"> towards the Goals</w:t>
      </w:r>
      <w:r w:rsidR="00A77B02">
        <w:t>,</w:t>
      </w:r>
      <w:r>
        <w:t xml:space="preserve"> for which UNDP is acting as a custodian, to support real-time decision-making. Strengthening </w:t>
      </w:r>
      <w:r w:rsidR="000D7EC5">
        <w:t xml:space="preserve">the </w:t>
      </w:r>
      <w:r>
        <w:t xml:space="preserve">data ecosystems </w:t>
      </w:r>
      <w:r w:rsidR="000D7EC5">
        <w:t xml:space="preserve">of provincial and local governments </w:t>
      </w:r>
      <w:r>
        <w:t>will be instrumental in monitoring of and guiding development to those who are left behind in development process</w:t>
      </w:r>
      <w:r w:rsidR="00967927">
        <w:t>es</w:t>
      </w:r>
      <w:r>
        <w:t xml:space="preserve">. </w:t>
      </w:r>
    </w:p>
    <w:p w14:paraId="28FDCEBF" w14:textId="2DA8D7BD" w:rsidR="00767690" w:rsidRDefault="00767690" w:rsidP="00767690">
      <w:pPr>
        <w:pStyle w:val="ListParagraph"/>
        <w:numPr>
          <w:ilvl w:val="0"/>
          <w:numId w:val="47"/>
        </w:numPr>
        <w:spacing w:after="120"/>
        <w:ind w:right="1210" w:firstLine="10"/>
        <w:jc w:val="both"/>
      </w:pPr>
      <w:r>
        <w:t xml:space="preserve">UNDP will continue partnerships with </w:t>
      </w:r>
      <w:r w:rsidR="00766EF2">
        <w:t xml:space="preserve">government </w:t>
      </w:r>
      <w:r>
        <w:t>authorities, research and academic institutions, think</w:t>
      </w:r>
      <w:r w:rsidR="000D7EC5">
        <w:t xml:space="preserve"> </w:t>
      </w:r>
      <w:r>
        <w:t xml:space="preserve">tanks, </w:t>
      </w:r>
      <w:r w:rsidR="000D7EC5">
        <w:t>civil society organizations</w:t>
      </w:r>
      <w:r>
        <w:t xml:space="preserve">, including </w:t>
      </w:r>
      <w:r w:rsidR="000D7EC5">
        <w:t xml:space="preserve">those headed by </w:t>
      </w:r>
      <w:r>
        <w:t>women</w:t>
      </w:r>
      <w:r w:rsidR="000D7EC5">
        <w:t xml:space="preserve"> and other </w:t>
      </w:r>
      <w:r>
        <w:t>marginalized groups</w:t>
      </w:r>
      <w:r w:rsidR="000D7EC5">
        <w:t>,</w:t>
      </w:r>
      <w:r>
        <w:t xml:space="preserve"> and development partners for policy research</w:t>
      </w:r>
      <w:r w:rsidR="00156708">
        <w:t xml:space="preserve">, </w:t>
      </w:r>
      <w:r>
        <w:t>knowledge management</w:t>
      </w:r>
      <w:r w:rsidR="00156708">
        <w:t>,</w:t>
      </w:r>
      <w:r>
        <w:t xml:space="preserve"> </w:t>
      </w:r>
      <w:r w:rsidR="00156708">
        <w:t xml:space="preserve">and monitoring capacities </w:t>
      </w:r>
      <w:r>
        <w:t xml:space="preserve">to measure its contribution to national </w:t>
      </w:r>
      <w:r w:rsidR="00AB7C04">
        <w:t xml:space="preserve">goals </w:t>
      </w:r>
      <w:r>
        <w:t>and communicate results and lessons to partners and the public.</w:t>
      </w:r>
    </w:p>
    <w:p w14:paraId="2BF13AC6" w14:textId="1EA159A8" w:rsidR="00767690" w:rsidRDefault="00767690" w:rsidP="00767690">
      <w:pPr>
        <w:pStyle w:val="ListParagraph"/>
        <w:numPr>
          <w:ilvl w:val="0"/>
          <w:numId w:val="47"/>
        </w:numPr>
        <w:spacing w:after="120"/>
        <w:ind w:right="1210" w:firstLine="10"/>
        <w:jc w:val="both"/>
      </w:pPr>
      <w:r>
        <w:t>UNDP will embed a robust</w:t>
      </w:r>
      <w:r w:rsidR="003C47F5">
        <w:t>,</w:t>
      </w:r>
      <w:r>
        <w:t xml:space="preserve"> evidence-based</w:t>
      </w:r>
      <w:r w:rsidR="00101839">
        <w:t xml:space="preserve"> monitoring and evaluation system that responds to gender equality and social inclusion</w:t>
      </w:r>
      <w:r>
        <w:t xml:space="preserve"> in the programme and its projects, combining qualitative and quantitative data. An </w:t>
      </w:r>
      <w:r w:rsidR="00101839">
        <w:t xml:space="preserve">evaluation of the country programme </w:t>
      </w:r>
      <w:r>
        <w:t>will be conducted in 2026.</w:t>
      </w:r>
    </w:p>
    <w:p w14:paraId="6068790C" w14:textId="4EC6FF4F" w:rsidR="00767690" w:rsidRDefault="0096229F" w:rsidP="00767690">
      <w:pPr>
        <w:pStyle w:val="ListParagraph"/>
        <w:numPr>
          <w:ilvl w:val="0"/>
          <w:numId w:val="47"/>
        </w:numPr>
        <w:spacing w:after="120"/>
        <w:ind w:right="1210" w:firstLine="10"/>
        <w:jc w:val="both"/>
      </w:pPr>
      <w:r>
        <w:t xml:space="preserve">Between </w:t>
      </w:r>
      <w:r w:rsidR="00767690">
        <w:t>2</w:t>
      </w:r>
      <w:r w:rsidR="00101839">
        <w:t xml:space="preserve"> </w:t>
      </w:r>
      <w:r>
        <w:t>and</w:t>
      </w:r>
      <w:r w:rsidR="00101839">
        <w:t xml:space="preserve"> </w:t>
      </w:r>
      <w:r w:rsidR="00767690">
        <w:t>4 per</w:t>
      </w:r>
      <w:r w:rsidR="00101839">
        <w:t xml:space="preserve"> </w:t>
      </w:r>
      <w:r w:rsidR="00767690">
        <w:t xml:space="preserve">cent </w:t>
      </w:r>
      <w:r w:rsidR="0055024B">
        <w:t xml:space="preserve">of programme budgets will be allocated </w:t>
      </w:r>
      <w:r w:rsidR="00767690">
        <w:t>for monitoring, and at least 1 per</w:t>
      </w:r>
      <w:r w:rsidR="00101839">
        <w:t xml:space="preserve"> </w:t>
      </w:r>
      <w:r w:rsidR="00767690">
        <w:t xml:space="preserve">cent each for evaluation and communication of results. UNDP will support implementing partners to collect robust data, </w:t>
      </w:r>
      <w:r w:rsidR="00090990">
        <w:t>to</w:t>
      </w:r>
      <w:r w:rsidR="00767690">
        <w:t xml:space="preserve"> be verified through staff or independent monitoring systems, including field visits and surveys. Citizen and beneficiary feedback will be solicited to validate impact and comparative advantages. </w:t>
      </w:r>
    </w:p>
    <w:p w14:paraId="22F8A744" w14:textId="0D436A52" w:rsidR="00767690" w:rsidRDefault="00767690" w:rsidP="00767690">
      <w:pPr>
        <w:pStyle w:val="ListParagraph"/>
        <w:numPr>
          <w:ilvl w:val="0"/>
          <w:numId w:val="47"/>
        </w:numPr>
        <w:spacing w:after="120"/>
        <w:ind w:right="1210" w:firstLine="10"/>
        <w:jc w:val="both"/>
      </w:pPr>
      <w:r>
        <w:t xml:space="preserve">UNDP will foster an evaluation culture through </w:t>
      </w:r>
      <w:r w:rsidR="0096229F">
        <w:t xml:space="preserve">conducting </w:t>
      </w:r>
      <w:r>
        <w:t>and us</w:t>
      </w:r>
      <w:r w:rsidR="0096229F">
        <w:t>ing</w:t>
      </w:r>
      <w:r>
        <w:t xml:space="preserve"> decentralized evaluations</w:t>
      </w:r>
      <w:r w:rsidR="00766EF2">
        <w:t>, midterm and/or final evaluations</w:t>
      </w:r>
      <w:r>
        <w:t xml:space="preserve"> in line with </w:t>
      </w:r>
      <w:r w:rsidR="00101839">
        <w:t xml:space="preserve">the </w:t>
      </w:r>
      <w:r>
        <w:t xml:space="preserve">UNDP </w:t>
      </w:r>
      <w:r w:rsidR="00101839">
        <w:t>e</w:t>
      </w:r>
      <w:r>
        <w:t xml:space="preserve">valuation </w:t>
      </w:r>
      <w:r w:rsidR="00101839">
        <w:t>g</w:t>
      </w:r>
      <w:r>
        <w:t xml:space="preserve">uidelines, as per the costed evaluation plan which indicates </w:t>
      </w:r>
      <w:r w:rsidR="00772AE7">
        <w:t xml:space="preserve">planned </w:t>
      </w:r>
      <w:r>
        <w:t>project, programme and thematic</w:t>
      </w:r>
      <w:r w:rsidR="00772AE7">
        <w:t>/outcome</w:t>
      </w:r>
      <w:r>
        <w:t xml:space="preserve"> evaluations. Findings and recommendations will be used to strengthen accountability with partners and inform course corrections and new project design. The balanced evaluation plan </w:t>
      </w:r>
      <w:bookmarkStart w:id="4" w:name="_Hlk70037471"/>
      <w:r>
        <w:t xml:space="preserve">will be reviewed and adjusted yearly to reflect </w:t>
      </w:r>
      <w:bookmarkEnd w:id="4"/>
      <w:r>
        <w:t xml:space="preserve">an evolving programme portfolio. Socioeconomic, political and environmental risks have been considered when outlining the evaluation plan. Emphasis will be on national and </w:t>
      </w:r>
      <w:r w:rsidR="00101839">
        <w:t xml:space="preserve">provincial and local government </w:t>
      </w:r>
      <w:r>
        <w:t xml:space="preserve"> ownership and capacity development in evaluations.</w:t>
      </w:r>
    </w:p>
    <w:p w14:paraId="2BE79A4B" w14:textId="77777777" w:rsidR="003C2FE9" w:rsidRDefault="003C2FE9" w:rsidP="003C2FE9">
      <w:pPr>
        <w:pStyle w:val="ListParagraph"/>
        <w:spacing w:after="120"/>
        <w:ind w:left="1080" w:right="1210"/>
        <w:jc w:val="both"/>
      </w:pPr>
    </w:p>
    <w:p w14:paraId="2440D41D" w14:textId="3A9F6B15" w:rsidR="00EE0DF2" w:rsidRPr="003C26C1" w:rsidRDefault="00EE0DF2" w:rsidP="00DC5B77">
      <w:pPr>
        <w:ind w:right="1210"/>
        <w:jc w:val="both"/>
        <w:rPr>
          <w:color w:val="000000"/>
        </w:rPr>
        <w:sectPr w:rsidR="00EE0DF2" w:rsidRPr="003C26C1" w:rsidSect="00677A8F">
          <w:headerReference w:type="even" r:id="rId1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53931682" w14:textId="6586A14D" w:rsidR="0076792B" w:rsidRPr="00982FCD" w:rsidRDefault="0076792B" w:rsidP="0076792B">
      <w:pPr>
        <w:keepNext/>
        <w:spacing w:after="120"/>
        <w:outlineLvl w:val="3"/>
        <w:rPr>
          <w:b/>
          <w:lang w:val="en-GB"/>
        </w:rPr>
      </w:pPr>
      <w:r w:rsidRPr="00982FCD">
        <w:rPr>
          <w:b/>
          <w:sz w:val="24"/>
          <w:lang w:val="en-GB"/>
        </w:rPr>
        <w:lastRenderedPageBreak/>
        <w:t xml:space="preserve">Annex. </w:t>
      </w:r>
      <w:r w:rsidRPr="00982FCD">
        <w:rPr>
          <w:b/>
          <w:color w:val="000000"/>
          <w:kern w:val="14"/>
          <w:sz w:val="24"/>
          <w:lang w:val="en-GB"/>
        </w:rPr>
        <w:t xml:space="preserve">Results and resources framework for </w:t>
      </w:r>
      <w:r>
        <w:rPr>
          <w:b/>
          <w:color w:val="000000"/>
          <w:kern w:val="14"/>
          <w:sz w:val="24"/>
          <w:lang w:val="en-GB"/>
        </w:rPr>
        <w:t>Nepal</w:t>
      </w:r>
      <w:r w:rsidRPr="00982FCD">
        <w:rPr>
          <w:b/>
          <w:color w:val="000000"/>
          <w:kern w:val="14"/>
          <w:sz w:val="24"/>
          <w:lang w:val="en-GB"/>
        </w:rPr>
        <w:t xml:space="preserve"> (2023-2027)</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44" w:type="dxa"/>
          <w:bottom w:w="72" w:type="dxa"/>
          <w:right w:w="144" w:type="dxa"/>
        </w:tblCellMar>
        <w:tblLook w:val="00A0" w:firstRow="1" w:lastRow="0" w:firstColumn="1" w:lastColumn="0" w:noHBand="0" w:noVBand="0"/>
      </w:tblPr>
      <w:tblGrid>
        <w:gridCol w:w="2397"/>
        <w:gridCol w:w="2571"/>
        <w:gridCol w:w="3965"/>
        <w:gridCol w:w="2222"/>
        <w:gridCol w:w="1830"/>
      </w:tblGrid>
      <w:tr w:rsidR="00A021BE" w:rsidRPr="00D8383E" w14:paraId="1F351136" w14:textId="77777777" w:rsidTr="2A30F008">
        <w:trPr>
          <w:trHeight w:val="25"/>
        </w:trPr>
        <w:tc>
          <w:tcPr>
            <w:tcW w:w="12985" w:type="dxa"/>
            <w:gridSpan w:val="5"/>
            <w:shd w:val="clear" w:color="auto" w:fill="DBE5F1" w:themeFill="accent1" w:themeFillTint="33"/>
          </w:tcPr>
          <w:p w14:paraId="404B2E1E" w14:textId="77777777" w:rsidR="00A021BE" w:rsidRPr="00D8383E" w:rsidRDefault="00A021BE" w:rsidP="00126BEC">
            <w:pPr>
              <w:rPr>
                <w:sz w:val="18"/>
                <w:szCs w:val="18"/>
                <w:lang w:val="en-GB"/>
              </w:rPr>
            </w:pPr>
            <w:r w:rsidRPr="00D8383E">
              <w:rPr>
                <w:sz w:val="18"/>
                <w:szCs w:val="18"/>
              </w:rPr>
              <w:t xml:space="preserve">NATIONAL PRIORITY OR GOAL: 15th Plan – </w:t>
            </w:r>
            <w:r w:rsidRPr="00D8383E">
              <w:rPr>
                <w:rFonts w:eastAsia="Calibri"/>
                <w:sz w:val="18"/>
                <w:szCs w:val="18"/>
              </w:rPr>
              <w:t>Goal-3. High and sustainable production and productivity; Goal-4. High and equitable national income.</w:t>
            </w:r>
            <w:r w:rsidRPr="00D8383E">
              <w:rPr>
                <w:sz w:val="18"/>
                <w:szCs w:val="18"/>
              </w:rPr>
              <w:t xml:space="preserve"> </w:t>
            </w:r>
          </w:p>
        </w:tc>
      </w:tr>
      <w:tr w:rsidR="00A021BE" w:rsidRPr="00D8383E" w14:paraId="69754EA8" w14:textId="77777777" w:rsidTr="2A30F008">
        <w:trPr>
          <w:trHeight w:val="124"/>
        </w:trPr>
        <w:tc>
          <w:tcPr>
            <w:tcW w:w="12985" w:type="dxa"/>
            <w:gridSpan w:val="5"/>
            <w:shd w:val="clear" w:color="auto" w:fill="DBE5F1" w:themeFill="accent1" w:themeFillTint="33"/>
          </w:tcPr>
          <w:p w14:paraId="51E21610" w14:textId="5F97CC27" w:rsidR="00A021BE" w:rsidRPr="00D8383E" w:rsidRDefault="00A021BE" w:rsidP="00126BEC">
            <w:pPr>
              <w:rPr>
                <w:rFonts w:eastAsia="Calibri"/>
                <w:sz w:val="18"/>
                <w:szCs w:val="18"/>
              </w:rPr>
            </w:pPr>
            <w:r w:rsidRPr="00D8383E">
              <w:rPr>
                <w:sz w:val="18"/>
                <w:szCs w:val="18"/>
              </w:rPr>
              <w:t>COOPERATION FRAMEWORK (OR EQUIVALENT) OUTCOME INVOLVING UNDP #1: By 2027, more people, especially women, youth, the most marginalized and poor, increasingly benefit from and contribute to inclusive, resilient, and sustainable socio</w:t>
            </w:r>
            <w:r w:rsidR="00A2025E">
              <w:rPr>
                <w:sz w:val="18"/>
                <w:szCs w:val="18"/>
              </w:rPr>
              <w:t>economic</w:t>
            </w:r>
            <w:r w:rsidRPr="00D8383E">
              <w:rPr>
                <w:sz w:val="18"/>
                <w:szCs w:val="18"/>
              </w:rPr>
              <w:t xml:space="preserve"> transformation at federal, provincial</w:t>
            </w:r>
            <w:r w:rsidR="00A2025E">
              <w:rPr>
                <w:sz w:val="18"/>
                <w:szCs w:val="18"/>
              </w:rPr>
              <w:t xml:space="preserve"> and</w:t>
            </w:r>
            <w:r w:rsidRPr="00D8383E">
              <w:rPr>
                <w:sz w:val="18"/>
                <w:szCs w:val="18"/>
              </w:rPr>
              <w:t xml:space="preserve"> local levels.</w:t>
            </w:r>
          </w:p>
        </w:tc>
      </w:tr>
      <w:tr w:rsidR="00A021BE" w:rsidRPr="00D8383E" w14:paraId="3C6F252D" w14:textId="77777777" w:rsidTr="2A30F008">
        <w:trPr>
          <w:trHeight w:val="124"/>
        </w:trPr>
        <w:tc>
          <w:tcPr>
            <w:tcW w:w="12985" w:type="dxa"/>
            <w:gridSpan w:val="5"/>
            <w:shd w:val="clear" w:color="auto" w:fill="DBE5F1" w:themeFill="accent1" w:themeFillTint="33"/>
          </w:tcPr>
          <w:p w14:paraId="545783FB" w14:textId="77777777" w:rsidR="00A021BE" w:rsidRPr="00D8383E" w:rsidRDefault="00A021BE" w:rsidP="00126BEC">
            <w:pPr>
              <w:rPr>
                <w:sz w:val="18"/>
                <w:szCs w:val="18"/>
              </w:rPr>
            </w:pPr>
            <w:r w:rsidRPr="00D8383E">
              <w:rPr>
                <w:sz w:val="18"/>
                <w:szCs w:val="18"/>
              </w:rPr>
              <w:t xml:space="preserve">RELATED STRATEGIC PLAN OUTCOME: Outcome-1: Structural transformation accelerated, particularly green, inclusive and digital transitions; </w:t>
            </w:r>
          </w:p>
        </w:tc>
      </w:tr>
      <w:tr w:rsidR="00A021BE" w:rsidRPr="00D8383E" w14:paraId="2A983757" w14:textId="77777777" w:rsidTr="006F0C78">
        <w:trPr>
          <w:trHeight w:val="322"/>
        </w:trPr>
        <w:tc>
          <w:tcPr>
            <w:tcW w:w="2397" w:type="dxa"/>
            <w:shd w:val="clear" w:color="auto" w:fill="DBE5F1" w:themeFill="accent1" w:themeFillTint="33"/>
            <w:vAlign w:val="center"/>
          </w:tcPr>
          <w:p w14:paraId="0EF205E5" w14:textId="77777777" w:rsidR="00A021BE" w:rsidRPr="00D8383E" w:rsidRDefault="00A021BE" w:rsidP="00A93D9F">
            <w:pPr>
              <w:jc w:val="center"/>
              <w:rPr>
                <w:sz w:val="18"/>
                <w:szCs w:val="18"/>
              </w:rPr>
            </w:pPr>
            <w:r w:rsidRPr="00D8383E">
              <w:rPr>
                <w:sz w:val="18"/>
                <w:szCs w:val="18"/>
              </w:rPr>
              <w:t>COOPERATION FRAMEWORK OUTCOME INDICATOR(S), BASELINES, TARGET(S)</w:t>
            </w:r>
          </w:p>
        </w:tc>
        <w:tc>
          <w:tcPr>
            <w:tcW w:w="2571" w:type="dxa"/>
            <w:shd w:val="clear" w:color="auto" w:fill="DBE5F1" w:themeFill="accent1" w:themeFillTint="33"/>
            <w:tcMar>
              <w:top w:w="0" w:type="dxa"/>
              <w:left w:w="29" w:type="dxa"/>
              <w:bottom w:w="0" w:type="dxa"/>
              <w:right w:w="29" w:type="dxa"/>
            </w:tcMar>
            <w:vAlign w:val="center"/>
          </w:tcPr>
          <w:p w14:paraId="75D8CDCC" w14:textId="77777777" w:rsidR="00A021BE" w:rsidRPr="00D8383E" w:rsidRDefault="00A021BE" w:rsidP="00A93D9F">
            <w:pPr>
              <w:jc w:val="center"/>
              <w:rPr>
                <w:sz w:val="18"/>
                <w:szCs w:val="18"/>
              </w:rPr>
            </w:pPr>
            <w:r w:rsidRPr="00D8383E">
              <w:rPr>
                <w:sz w:val="18"/>
                <w:szCs w:val="18"/>
              </w:rPr>
              <w:t>DATA SOURCE AND FREQUENCY OF DATA COLLECTION, AND RESPONSIBILITIES</w:t>
            </w:r>
          </w:p>
        </w:tc>
        <w:tc>
          <w:tcPr>
            <w:tcW w:w="3965" w:type="dxa"/>
            <w:shd w:val="clear" w:color="auto" w:fill="DBE5F1" w:themeFill="accent1" w:themeFillTint="33"/>
            <w:vAlign w:val="center"/>
          </w:tcPr>
          <w:p w14:paraId="195C0060" w14:textId="77777777" w:rsidR="00A021BE" w:rsidRPr="00D8383E" w:rsidRDefault="00A021BE" w:rsidP="00A93D9F">
            <w:pPr>
              <w:jc w:val="center"/>
              <w:rPr>
                <w:sz w:val="18"/>
                <w:szCs w:val="18"/>
              </w:rPr>
            </w:pPr>
            <w:r w:rsidRPr="00D8383E">
              <w:rPr>
                <w:sz w:val="18"/>
                <w:szCs w:val="18"/>
              </w:rPr>
              <w:t>INDICATIVE COUNTRY PROGRAMME OUTPUTS (including indicators, baselines targets)</w:t>
            </w:r>
          </w:p>
        </w:tc>
        <w:tc>
          <w:tcPr>
            <w:tcW w:w="2222" w:type="dxa"/>
            <w:shd w:val="clear" w:color="auto" w:fill="DBE5F1" w:themeFill="accent1" w:themeFillTint="33"/>
            <w:tcMar>
              <w:top w:w="0" w:type="dxa"/>
              <w:left w:w="29" w:type="dxa"/>
              <w:bottom w:w="0" w:type="dxa"/>
              <w:right w:w="29" w:type="dxa"/>
            </w:tcMar>
            <w:vAlign w:val="center"/>
          </w:tcPr>
          <w:p w14:paraId="798720B0" w14:textId="77777777" w:rsidR="00A021BE" w:rsidRPr="00D8383E" w:rsidRDefault="00A021BE" w:rsidP="00A93D9F">
            <w:pPr>
              <w:jc w:val="center"/>
              <w:rPr>
                <w:sz w:val="18"/>
                <w:szCs w:val="18"/>
              </w:rPr>
            </w:pPr>
            <w:r w:rsidRPr="00D8383E">
              <w:rPr>
                <w:sz w:val="18"/>
                <w:szCs w:val="18"/>
              </w:rPr>
              <w:t>MAJOR PARTNERS / PARTNERSHIPS</w:t>
            </w:r>
          </w:p>
          <w:p w14:paraId="4FFDFA85" w14:textId="77777777" w:rsidR="00A021BE" w:rsidRPr="00D8383E" w:rsidRDefault="00A021BE" w:rsidP="00A93D9F">
            <w:pPr>
              <w:jc w:val="center"/>
              <w:rPr>
                <w:sz w:val="18"/>
                <w:szCs w:val="18"/>
              </w:rPr>
            </w:pPr>
            <w:r w:rsidRPr="00D8383E">
              <w:rPr>
                <w:sz w:val="18"/>
                <w:szCs w:val="18"/>
              </w:rPr>
              <w:t>FRAMEWORKS</w:t>
            </w:r>
          </w:p>
        </w:tc>
        <w:tc>
          <w:tcPr>
            <w:tcW w:w="1830" w:type="dxa"/>
            <w:tcBorders>
              <w:bottom w:val="single" w:sz="4" w:space="0" w:color="auto"/>
            </w:tcBorders>
            <w:shd w:val="clear" w:color="auto" w:fill="DBE5F1" w:themeFill="accent1" w:themeFillTint="33"/>
            <w:tcMar>
              <w:top w:w="15" w:type="dxa"/>
              <w:left w:w="108" w:type="dxa"/>
              <w:bottom w:w="0" w:type="dxa"/>
              <w:right w:w="108" w:type="dxa"/>
            </w:tcMar>
            <w:vAlign w:val="center"/>
          </w:tcPr>
          <w:p w14:paraId="5D80A073" w14:textId="5A6C199B" w:rsidR="00A021BE" w:rsidRPr="00D8383E" w:rsidRDefault="00A021BE" w:rsidP="00A93D9F">
            <w:pPr>
              <w:jc w:val="center"/>
              <w:rPr>
                <w:sz w:val="18"/>
                <w:szCs w:val="18"/>
              </w:rPr>
            </w:pPr>
            <w:r w:rsidRPr="00D8383E">
              <w:rPr>
                <w:sz w:val="18"/>
                <w:szCs w:val="18"/>
              </w:rPr>
              <w:t>ESTIMATED COST BY OUTCOME ($)</w:t>
            </w:r>
          </w:p>
        </w:tc>
      </w:tr>
      <w:tr w:rsidR="00A021BE" w:rsidRPr="00D8383E" w14:paraId="08DB3DF7" w14:textId="77777777" w:rsidTr="006F0C78">
        <w:trPr>
          <w:trHeight w:val="133"/>
        </w:trPr>
        <w:tc>
          <w:tcPr>
            <w:tcW w:w="2397" w:type="dxa"/>
            <w:vMerge w:val="restart"/>
            <w:shd w:val="clear" w:color="auto" w:fill="auto"/>
          </w:tcPr>
          <w:p w14:paraId="2C8FDD19" w14:textId="77777777" w:rsidR="00A021BE" w:rsidRPr="00D8383E" w:rsidRDefault="00A021BE" w:rsidP="00126BEC">
            <w:pPr>
              <w:rPr>
                <w:sz w:val="18"/>
                <w:szCs w:val="18"/>
              </w:rPr>
            </w:pPr>
            <w:r w:rsidRPr="00D8383E">
              <w:rPr>
                <w:sz w:val="18"/>
                <w:szCs w:val="18"/>
              </w:rPr>
              <w:t>Annual growth (change) rate of real GDP per capita (SDG-8.2.1)</w:t>
            </w:r>
          </w:p>
          <w:p w14:paraId="2621CF6A" w14:textId="77777777" w:rsidR="00A021BE" w:rsidRPr="00D8383E" w:rsidRDefault="00A021BE" w:rsidP="00126BEC">
            <w:pPr>
              <w:rPr>
                <w:sz w:val="18"/>
                <w:szCs w:val="18"/>
              </w:rPr>
            </w:pPr>
            <w:r w:rsidRPr="00D8383E">
              <w:rPr>
                <w:sz w:val="18"/>
                <w:szCs w:val="18"/>
              </w:rPr>
              <w:t>Baseline: 2.6 (2020/2021)</w:t>
            </w:r>
          </w:p>
          <w:p w14:paraId="7A1EEC59" w14:textId="77777777" w:rsidR="00A021BE" w:rsidRPr="00D8383E" w:rsidRDefault="00A021BE" w:rsidP="00126BEC">
            <w:pPr>
              <w:rPr>
                <w:sz w:val="18"/>
                <w:szCs w:val="18"/>
              </w:rPr>
            </w:pPr>
            <w:r w:rsidRPr="00D8383E">
              <w:rPr>
                <w:sz w:val="18"/>
                <w:szCs w:val="18"/>
              </w:rPr>
              <w:t>Target: 5.4 (2025)</w:t>
            </w:r>
          </w:p>
          <w:p w14:paraId="0F5E002E" w14:textId="77777777" w:rsidR="00A021BE" w:rsidRPr="00D8383E" w:rsidRDefault="00A021BE" w:rsidP="00126BEC">
            <w:pPr>
              <w:rPr>
                <w:sz w:val="18"/>
                <w:szCs w:val="18"/>
              </w:rPr>
            </w:pPr>
          </w:p>
          <w:p w14:paraId="2439A347" w14:textId="77777777" w:rsidR="00A021BE" w:rsidRPr="00D8383E" w:rsidRDefault="00A021BE" w:rsidP="00126BEC">
            <w:pPr>
              <w:rPr>
                <w:sz w:val="18"/>
                <w:szCs w:val="18"/>
              </w:rPr>
            </w:pPr>
            <w:r w:rsidRPr="00D8383E">
              <w:rPr>
                <w:sz w:val="18"/>
                <w:szCs w:val="18"/>
              </w:rPr>
              <w:t>Proportion of informal employment in total employment (SDG-8.3.1)</w:t>
            </w:r>
          </w:p>
          <w:p w14:paraId="5239A7F8" w14:textId="77777777" w:rsidR="00A021BE" w:rsidRPr="00D8383E" w:rsidRDefault="00A021BE" w:rsidP="00126BEC">
            <w:pPr>
              <w:rPr>
                <w:sz w:val="18"/>
                <w:szCs w:val="18"/>
              </w:rPr>
            </w:pPr>
            <w:r w:rsidRPr="00D8383E">
              <w:rPr>
                <w:sz w:val="18"/>
                <w:szCs w:val="18"/>
              </w:rPr>
              <w:t>Baseline: 62.2% (2017/18)</w:t>
            </w:r>
          </w:p>
          <w:p w14:paraId="08EDB262" w14:textId="77777777" w:rsidR="00A021BE" w:rsidRPr="00D8383E" w:rsidRDefault="00A021BE" w:rsidP="00126BEC">
            <w:pPr>
              <w:rPr>
                <w:sz w:val="18"/>
                <w:szCs w:val="18"/>
              </w:rPr>
            </w:pPr>
            <w:r w:rsidRPr="00D8383E">
              <w:rPr>
                <w:sz w:val="18"/>
                <w:szCs w:val="18"/>
              </w:rPr>
              <w:t>Target: 30% (2025)</w:t>
            </w:r>
          </w:p>
          <w:p w14:paraId="21E1128D" w14:textId="77777777" w:rsidR="00A021BE" w:rsidRPr="00D8383E" w:rsidRDefault="00A021BE" w:rsidP="00126BEC">
            <w:pPr>
              <w:rPr>
                <w:sz w:val="18"/>
                <w:szCs w:val="18"/>
              </w:rPr>
            </w:pPr>
          </w:p>
          <w:p w14:paraId="5291607F" w14:textId="77777777" w:rsidR="00A021BE" w:rsidRPr="00D8383E" w:rsidRDefault="00A021BE" w:rsidP="00126BEC">
            <w:pPr>
              <w:rPr>
                <w:sz w:val="18"/>
                <w:szCs w:val="18"/>
              </w:rPr>
            </w:pPr>
            <w:r w:rsidRPr="00D8383E">
              <w:rPr>
                <w:sz w:val="18"/>
                <w:szCs w:val="18"/>
              </w:rPr>
              <w:t>Proportion of population covered by social protection floors/systems (SDG 1.3.1)</w:t>
            </w:r>
          </w:p>
          <w:p w14:paraId="2E2FC799" w14:textId="77777777" w:rsidR="00A021BE" w:rsidRPr="00D8383E" w:rsidRDefault="00A021BE" w:rsidP="00126BEC">
            <w:pPr>
              <w:rPr>
                <w:sz w:val="18"/>
                <w:szCs w:val="18"/>
              </w:rPr>
            </w:pPr>
            <w:r w:rsidRPr="00D8383E">
              <w:rPr>
                <w:sz w:val="18"/>
                <w:szCs w:val="18"/>
              </w:rPr>
              <w:t>Baseline: 42% (2019)</w:t>
            </w:r>
          </w:p>
          <w:p w14:paraId="7A08FBCA" w14:textId="77777777" w:rsidR="00A021BE" w:rsidRPr="00D8383E" w:rsidRDefault="00A021BE" w:rsidP="00126BEC">
            <w:pPr>
              <w:rPr>
                <w:sz w:val="18"/>
                <w:szCs w:val="18"/>
              </w:rPr>
            </w:pPr>
            <w:r w:rsidRPr="00D8383E">
              <w:rPr>
                <w:sz w:val="18"/>
                <w:szCs w:val="18"/>
              </w:rPr>
              <w:t>Target: 56% (2025)</w:t>
            </w:r>
          </w:p>
          <w:p w14:paraId="45B071F6" w14:textId="77777777" w:rsidR="00A021BE" w:rsidRPr="00D8383E" w:rsidRDefault="00A021BE" w:rsidP="00126BEC">
            <w:pPr>
              <w:rPr>
                <w:sz w:val="18"/>
                <w:szCs w:val="18"/>
              </w:rPr>
            </w:pPr>
          </w:p>
          <w:p w14:paraId="1D10D4B1" w14:textId="77777777" w:rsidR="00A021BE" w:rsidRPr="00D8383E" w:rsidRDefault="00A021BE" w:rsidP="00126BEC">
            <w:pPr>
              <w:rPr>
                <w:sz w:val="18"/>
                <w:szCs w:val="18"/>
              </w:rPr>
            </w:pPr>
            <w:r w:rsidRPr="00D8383E">
              <w:rPr>
                <w:sz w:val="18"/>
                <w:szCs w:val="18"/>
              </w:rPr>
              <w:t>Women’s ownership of property–land and house (SDG-5.a.2)</w:t>
            </w:r>
          </w:p>
          <w:p w14:paraId="29BC5A7A" w14:textId="77777777" w:rsidR="00A021BE" w:rsidRPr="00D8383E" w:rsidRDefault="00A021BE" w:rsidP="00126BEC">
            <w:pPr>
              <w:rPr>
                <w:sz w:val="18"/>
                <w:szCs w:val="18"/>
              </w:rPr>
            </w:pPr>
            <w:r w:rsidRPr="00D8383E">
              <w:rPr>
                <w:sz w:val="18"/>
                <w:szCs w:val="18"/>
              </w:rPr>
              <w:t>Baseline: 26% (2016)</w:t>
            </w:r>
          </w:p>
          <w:p w14:paraId="39E7BB6F" w14:textId="77777777" w:rsidR="00A021BE" w:rsidRPr="00D8383E" w:rsidRDefault="00A021BE" w:rsidP="00126BEC">
            <w:pPr>
              <w:rPr>
                <w:sz w:val="18"/>
                <w:szCs w:val="18"/>
              </w:rPr>
            </w:pPr>
            <w:r w:rsidRPr="00D8383E">
              <w:rPr>
                <w:sz w:val="18"/>
                <w:szCs w:val="18"/>
              </w:rPr>
              <w:t>Target: 35.3% (2025)</w:t>
            </w:r>
          </w:p>
          <w:p w14:paraId="0A0E653F" w14:textId="77777777" w:rsidR="00A021BE" w:rsidRPr="00D8383E" w:rsidRDefault="00A021BE" w:rsidP="00126BEC">
            <w:pPr>
              <w:rPr>
                <w:sz w:val="18"/>
                <w:szCs w:val="18"/>
              </w:rPr>
            </w:pPr>
          </w:p>
        </w:tc>
        <w:tc>
          <w:tcPr>
            <w:tcW w:w="2571" w:type="dxa"/>
            <w:vMerge w:val="restart"/>
            <w:shd w:val="clear" w:color="auto" w:fill="auto"/>
            <w:tcMar>
              <w:top w:w="0" w:type="dxa"/>
              <w:left w:w="29" w:type="dxa"/>
              <w:bottom w:w="0" w:type="dxa"/>
              <w:right w:w="29" w:type="dxa"/>
            </w:tcMar>
          </w:tcPr>
          <w:p w14:paraId="654EE625" w14:textId="28A20FF6" w:rsidR="00A021BE" w:rsidRPr="00D8383E" w:rsidRDefault="00A021BE" w:rsidP="00126BEC">
            <w:pPr>
              <w:rPr>
                <w:rFonts w:eastAsiaTheme="minorHAnsi"/>
                <w:sz w:val="18"/>
                <w:szCs w:val="18"/>
              </w:rPr>
            </w:pPr>
            <w:r w:rsidRPr="00D8383E">
              <w:rPr>
                <w:rFonts w:eastAsiaTheme="minorHAnsi"/>
                <w:sz w:val="18"/>
                <w:szCs w:val="18"/>
              </w:rPr>
              <w:t xml:space="preserve">Source: National Accounts, </w:t>
            </w:r>
            <w:r w:rsidR="00BF7C80">
              <w:rPr>
                <w:rFonts w:eastAsiaTheme="minorHAnsi"/>
                <w:sz w:val="18"/>
                <w:szCs w:val="18"/>
              </w:rPr>
              <w:t>Central Bureau of Statistics (</w:t>
            </w:r>
            <w:r w:rsidRPr="00D8383E">
              <w:rPr>
                <w:rFonts w:eastAsiaTheme="minorHAnsi"/>
                <w:sz w:val="18"/>
                <w:szCs w:val="18"/>
              </w:rPr>
              <w:t>CBS</w:t>
            </w:r>
            <w:r w:rsidR="00BF7C80">
              <w:rPr>
                <w:rFonts w:eastAsiaTheme="minorHAnsi"/>
                <w:sz w:val="18"/>
                <w:szCs w:val="18"/>
              </w:rPr>
              <w:t>)</w:t>
            </w:r>
          </w:p>
          <w:p w14:paraId="1EE0057E" w14:textId="77777777" w:rsidR="00A021BE" w:rsidRPr="00D8383E" w:rsidRDefault="00A021BE" w:rsidP="00126BEC">
            <w:pPr>
              <w:rPr>
                <w:rFonts w:eastAsiaTheme="minorHAnsi"/>
                <w:sz w:val="18"/>
                <w:szCs w:val="18"/>
              </w:rPr>
            </w:pPr>
            <w:r w:rsidRPr="00D8383E">
              <w:rPr>
                <w:rFonts w:eastAsiaTheme="minorHAnsi"/>
                <w:sz w:val="18"/>
                <w:szCs w:val="18"/>
              </w:rPr>
              <w:t>Frequency: Annual</w:t>
            </w:r>
          </w:p>
          <w:p w14:paraId="133F6368" w14:textId="77777777" w:rsidR="00A021BE" w:rsidRPr="00D8383E" w:rsidRDefault="00A021BE" w:rsidP="00126BEC">
            <w:pPr>
              <w:rPr>
                <w:rFonts w:eastAsiaTheme="minorHAnsi"/>
                <w:sz w:val="18"/>
                <w:szCs w:val="18"/>
              </w:rPr>
            </w:pPr>
            <w:r w:rsidRPr="00D8383E">
              <w:rPr>
                <w:rFonts w:eastAsiaTheme="minorHAnsi"/>
                <w:sz w:val="18"/>
                <w:szCs w:val="18"/>
              </w:rPr>
              <w:t>Responsibility: TBC</w:t>
            </w:r>
          </w:p>
          <w:p w14:paraId="01D53BD7" w14:textId="77777777" w:rsidR="00A021BE" w:rsidRPr="00D8383E" w:rsidRDefault="00A021BE" w:rsidP="00126BEC">
            <w:pPr>
              <w:rPr>
                <w:sz w:val="18"/>
                <w:szCs w:val="18"/>
              </w:rPr>
            </w:pPr>
          </w:p>
          <w:p w14:paraId="6C655D47" w14:textId="77777777" w:rsidR="00A021BE" w:rsidRPr="00D8383E" w:rsidRDefault="00A021BE" w:rsidP="00126BEC">
            <w:pPr>
              <w:rPr>
                <w:sz w:val="18"/>
                <w:szCs w:val="18"/>
              </w:rPr>
            </w:pPr>
          </w:p>
          <w:p w14:paraId="07B85327" w14:textId="77777777" w:rsidR="00A021BE" w:rsidRPr="00D8383E" w:rsidRDefault="00A021BE" w:rsidP="00126BEC">
            <w:pPr>
              <w:rPr>
                <w:rFonts w:eastAsiaTheme="minorHAnsi"/>
                <w:sz w:val="18"/>
                <w:szCs w:val="18"/>
              </w:rPr>
            </w:pPr>
            <w:r w:rsidRPr="00D8383E">
              <w:rPr>
                <w:rFonts w:eastAsiaTheme="minorHAnsi"/>
                <w:sz w:val="18"/>
                <w:szCs w:val="18"/>
              </w:rPr>
              <w:t xml:space="preserve">Source: </w:t>
            </w:r>
            <w:r w:rsidRPr="00D8383E">
              <w:rPr>
                <w:sz w:val="18"/>
                <w:szCs w:val="18"/>
              </w:rPr>
              <w:t>Labour Force Survey, CBS</w:t>
            </w:r>
          </w:p>
          <w:p w14:paraId="455AA801" w14:textId="77777777" w:rsidR="00A021BE" w:rsidRPr="00D8383E" w:rsidRDefault="00A021BE" w:rsidP="00126BEC">
            <w:pPr>
              <w:rPr>
                <w:rFonts w:eastAsiaTheme="minorHAnsi"/>
                <w:sz w:val="18"/>
                <w:szCs w:val="18"/>
              </w:rPr>
            </w:pPr>
            <w:r w:rsidRPr="00D8383E">
              <w:rPr>
                <w:rFonts w:eastAsiaTheme="minorHAnsi"/>
                <w:sz w:val="18"/>
                <w:szCs w:val="18"/>
              </w:rPr>
              <w:t>Frequency: TBC</w:t>
            </w:r>
          </w:p>
          <w:p w14:paraId="41EC07FA" w14:textId="77777777" w:rsidR="00A021BE" w:rsidRPr="00D8383E" w:rsidRDefault="00A021BE" w:rsidP="00126BEC">
            <w:pPr>
              <w:rPr>
                <w:rFonts w:eastAsiaTheme="minorHAnsi"/>
                <w:sz w:val="18"/>
                <w:szCs w:val="18"/>
              </w:rPr>
            </w:pPr>
            <w:r w:rsidRPr="00D8383E">
              <w:rPr>
                <w:rFonts w:eastAsiaTheme="minorHAnsi"/>
                <w:sz w:val="18"/>
                <w:szCs w:val="18"/>
              </w:rPr>
              <w:t xml:space="preserve">Responsibility: </w:t>
            </w:r>
          </w:p>
          <w:p w14:paraId="16FAE4F4" w14:textId="77777777" w:rsidR="00A021BE" w:rsidRPr="00D8383E" w:rsidRDefault="00A021BE" w:rsidP="00126BEC">
            <w:pPr>
              <w:rPr>
                <w:sz w:val="18"/>
                <w:szCs w:val="18"/>
              </w:rPr>
            </w:pPr>
          </w:p>
          <w:p w14:paraId="322E2408" w14:textId="77777777" w:rsidR="00A021BE" w:rsidRPr="00D8383E" w:rsidRDefault="00A021BE" w:rsidP="00126BEC">
            <w:pPr>
              <w:rPr>
                <w:sz w:val="18"/>
                <w:szCs w:val="18"/>
              </w:rPr>
            </w:pPr>
          </w:p>
          <w:p w14:paraId="2F291402" w14:textId="00D71E14" w:rsidR="00A021BE" w:rsidRPr="00D8383E" w:rsidRDefault="00A021BE" w:rsidP="00126BEC">
            <w:pPr>
              <w:rPr>
                <w:rFonts w:eastAsiaTheme="minorHAnsi"/>
                <w:sz w:val="18"/>
                <w:szCs w:val="18"/>
              </w:rPr>
            </w:pPr>
            <w:r w:rsidRPr="00D8383E">
              <w:rPr>
                <w:rFonts w:eastAsiaTheme="minorHAnsi"/>
                <w:sz w:val="18"/>
                <w:szCs w:val="18"/>
              </w:rPr>
              <w:t xml:space="preserve">Source: </w:t>
            </w:r>
            <w:r w:rsidR="00BF7C80">
              <w:rPr>
                <w:rFonts w:eastAsiaTheme="minorHAnsi"/>
                <w:sz w:val="18"/>
                <w:szCs w:val="18"/>
              </w:rPr>
              <w:t>Multiple indicator cluster survey</w:t>
            </w:r>
          </w:p>
          <w:p w14:paraId="55F1670B" w14:textId="77777777" w:rsidR="00A021BE" w:rsidRPr="00D8383E" w:rsidRDefault="00A021BE" w:rsidP="00126BEC">
            <w:pPr>
              <w:rPr>
                <w:rFonts w:eastAsiaTheme="minorHAnsi"/>
                <w:sz w:val="18"/>
                <w:szCs w:val="18"/>
              </w:rPr>
            </w:pPr>
            <w:r w:rsidRPr="00D8383E">
              <w:rPr>
                <w:rFonts w:eastAsiaTheme="minorHAnsi"/>
                <w:sz w:val="18"/>
                <w:szCs w:val="18"/>
              </w:rPr>
              <w:t>Frequency: TBC</w:t>
            </w:r>
          </w:p>
          <w:p w14:paraId="290AF46D" w14:textId="77777777" w:rsidR="00A021BE" w:rsidRPr="00D8383E" w:rsidRDefault="00A021BE" w:rsidP="00126BEC">
            <w:pPr>
              <w:rPr>
                <w:rFonts w:eastAsiaTheme="minorHAnsi"/>
                <w:sz w:val="18"/>
                <w:szCs w:val="18"/>
              </w:rPr>
            </w:pPr>
            <w:r w:rsidRPr="00D8383E">
              <w:rPr>
                <w:rFonts w:eastAsiaTheme="minorHAnsi"/>
                <w:sz w:val="18"/>
                <w:szCs w:val="18"/>
              </w:rPr>
              <w:t>Responsibility: TBC</w:t>
            </w:r>
          </w:p>
          <w:p w14:paraId="244FD4DD" w14:textId="77777777" w:rsidR="00A021BE" w:rsidRPr="00D8383E" w:rsidRDefault="00A021BE" w:rsidP="00126BEC">
            <w:pPr>
              <w:rPr>
                <w:sz w:val="18"/>
                <w:szCs w:val="18"/>
              </w:rPr>
            </w:pPr>
          </w:p>
          <w:p w14:paraId="25A5DEE7" w14:textId="77777777" w:rsidR="00A021BE" w:rsidRPr="00D8383E" w:rsidRDefault="00A021BE" w:rsidP="00126BEC">
            <w:pPr>
              <w:rPr>
                <w:sz w:val="18"/>
                <w:szCs w:val="18"/>
              </w:rPr>
            </w:pPr>
          </w:p>
          <w:p w14:paraId="67651BBB" w14:textId="7A986044" w:rsidR="00A021BE" w:rsidRPr="00D8383E" w:rsidRDefault="00A021BE" w:rsidP="00126BEC">
            <w:pPr>
              <w:rPr>
                <w:rFonts w:eastAsiaTheme="minorHAnsi"/>
                <w:sz w:val="18"/>
                <w:szCs w:val="18"/>
              </w:rPr>
            </w:pPr>
            <w:r w:rsidRPr="00D8383E">
              <w:rPr>
                <w:rFonts w:eastAsiaTheme="minorHAnsi"/>
                <w:sz w:val="18"/>
                <w:szCs w:val="18"/>
              </w:rPr>
              <w:t xml:space="preserve">Source: </w:t>
            </w:r>
            <w:r w:rsidR="00BF7C80">
              <w:rPr>
                <w:rFonts w:eastAsiaTheme="minorHAnsi"/>
                <w:sz w:val="18"/>
                <w:szCs w:val="18"/>
              </w:rPr>
              <w:t>National Planning Commission (</w:t>
            </w:r>
            <w:r w:rsidRPr="00D8383E">
              <w:rPr>
                <w:rFonts w:eastAsiaTheme="minorHAnsi"/>
                <w:sz w:val="18"/>
                <w:szCs w:val="18"/>
              </w:rPr>
              <w:t>NPC</w:t>
            </w:r>
            <w:r w:rsidR="00945FA5">
              <w:rPr>
                <w:rFonts w:eastAsiaTheme="minorHAnsi"/>
                <w:sz w:val="18"/>
                <w:szCs w:val="18"/>
              </w:rPr>
              <w:t>)</w:t>
            </w:r>
            <w:r w:rsidRPr="00D8383E">
              <w:rPr>
                <w:rFonts w:eastAsiaTheme="minorHAnsi"/>
                <w:sz w:val="18"/>
                <w:szCs w:val="18"/>
              </w:rPr>
              <w:t xml:space="preserve">/CBS </w:t>
            </w:r>
          </w:p>
          <w:p w14:paraId="2CE5D0A4" w14:textId="77777777" w:rsidR="00A021BE" w:rsidRPr="00D8383E" w:rsidRDefault="00A021BE" w:rsidP="00126BEC">
            <w:pPr>
              <w:rPr>
                <w:rFonts w:eastAsiaTheme="minorHAnsi"/>
                <w:sz w:val="18"/>
                <w:szCs w:val="18"/>
              </w:rPr>
            </w:pPr>
            <w:r w:rsidRPr="00D8383E">
              <w:rPr>
                <w:rFonts w:eastAsiaTheme="minorHAnsi"/>
                <w:sz w:val="18"/>
                <w:szCs w:val="18"/>
              </w:rPr>
              <w:t>Frequency: TBC</w:t>
            </w:r>
          </w:p>
          <w:p w14:paraId="0781F926" w14:textId="77777777" w:rsidR="00A021BE" w:rsidRPr="00D8383E" w:rsidRDefault="00A021BE" w:rsidP="00126BEC">
            <w:pPr>
              <w:rPr>
                <w:rFonts w:eastAsiaTheme="minorHAnsi"/>
                <w:sz w:val="18"/>
                <w:szCs w:val="18"/>
              </w:rPr>
            </w:pPr>
            <w:r w:rsidRPr="00D8383E">
              <w:rPr>
                <w:rFonts w:eastAsiaTheme="minorHAnsi"/>
                <w:sz w:val="18"/>
                <w:szCs w:val="18"/>
              </w:rPr>
              <w:t>Responsibility: TBC</w:t>
            </w:r>
          </w:p>
          <w:p w14:paraId="203FEAEB" w14:textId="77777777" w:rsidR="00A021BE" w:rsidRPr="00D8383E" w:rsidRDefault="00A021BE" w:rsidP="00126BEC">
            <w:pPr>
              <w:rPr>
                <w:sz w:val="18"/>
                <w:szCs w:val="18"/>
              </w:rPr>
            </w:pPr>
          </w:p>
        </w:tc>
        <w:tc>
          <w:tcPr>
            <w:tcW w:w="3965" w:type="dxa"/>
            <w:vMerge w:val="restart"/>
            <w:shd w:val="clear" w:color="auto" w:fill="auto"/>
          </w:tcPr>
          <w:p w14:paraId="4F23F11E" w14:textId="0D81CD9D" w:rsidR="00A021BE" w:rsidRPr="00D8383E" w:rsidRDefault="00A021BE" w:rsidP="00126BEC">
            <w:pPr>
              <w:rPr>
                <w:rFonts w:eastAsiaTheme="minorEastAsia"/>
                <w:sz w:val="18"/>
                <w:szCs w:val="18"/>
              </w:rPr>
            </w:pPr>
            <w:r w:rsidRPr="00D8383E">
              <w:rPr>
                <w:rFonts w:eastAsiaTheme="minorEastAsia"/>
                <w:sz w:val="18"/>
                <w:szCs w:val="18"/>
              </w:rPr>
              <w:t xml:space="preserve">Output 1.1. Strengthened </w:t>
            </w:r>
            <w:r w:rsidRPr="00D8383E">
              <w:rPr>
                <w:sz w:val="18"/>
                <w:szCs w:val="18"/>
              </w:rPr>
              <w:t xml:space="preserve">policy environment leads to acceleration of SDG implementation and sustainable LDC </w:t>
            </w:r>
            <w:r w:rsidR="00BF7C80">
              <w:rPr>
                <w:sz w:val="18"/>
                <w:szCs w:val="18"/>
              </w:rPr>
              <w:t>g</w:t>
            </w:r>
            <w:r w:rsidRPr="00D8383E">
              <w:rPr>
                <w:sz w:val="18"/>
                <w:szCs w:val="18"/>
              </w:rPr>
              <w:t>raduation</w:t>
            </w:r>
          </w:p>
          <w:p w14:paraId="30E5EB22" w14:textId="77777777" w:rsidR="00A021BE" w:rsidRPr="00D8383E" w:rsidRDefault="00A021BE" w:rsidP="00126BEC">
            <w:pPr>
              <w:rPr>
                <w:rFonts w:eastAsiaTheme="minorHAnsi"/>
                <w:sz w:val="18"/>
                <w:szCs w:val="18"/>
              </w:rPr>
            </w:pPr>
          </w:p>
          <w:p w14:paraId="7F7A4C04" w14:textId="3B592C8E" w:rsidR="00A021BE" w:rsidRPr="00D8383E" w:rsidRDefault="00A021BE" w:rsidP="00126BEC">
            <w:pPr>
              <w:rPr>
                <w:rFonts w:eastAsiaTheme="minorEastAsia"/>
                <w:sz w:val="18"/>
                <w:szCs w:val="18"/>
              </w:rPr>
            </w:pPr>
            <w:r w:rsidRPr="00D8383E" w:rsidDel="3798F7FC">
              <w:rPr>
                <w:rFonts w:eastAsiaTheme="minorEastAsia"/>
                <w:sz w:val="18"/>
                <w:szCs w:val="18"/>
              </w:rPr>
              <w:t>1.1.1</w:t>
            </w:r>
            <w:r w:rsidRPr="00D8383E">
              <w:rPr>
                <w:rFonts w:eastAsiaTheme="minorEastAsia"/>
                <w:sz w:val="18"/>
                <w:szCs w:val="18"/>
              </w:rPr>
              <w:t>. Number of </w:t>
            </w:r>
            <w:r w:rsidR="007B489F" w:rsidRPr="00D8383E">
              <w:rPr>
                <w:rFonts w:eastAsiaTheme="minorEastAsia"/>
                <w:sz w:val="18"/>
                <w:szCs w:val="18"/>
              </w:rPr>
              <w:t xml:space="preserve">strategic policy </w:t>
            </w:r>
            <w:r w:rsidR="00406115" w:rsidRPr="00D8383E">
              <w:rPr>
                <w:rFonts w:eastAsiaTheme="minorEastAsia"/>
                <w:sz w:val="18"/>
                <w:szCs w:val="18"/>
              </w:rPr>
              <w:t>solutions</w:t>
            </w:r>
            <w:r w:rsidR="007B489F" w:rsidRPr="00D8383E">
              <w:rPr>
                <w:rFonts w:eastAsiaTheme="minorEastAsia"/>
                <w:sz w:val="18"/>
                <w:szCs w:val="18"/>
              </w:rPr>
              <w:t xml:space="preserve"> </w:t>
            </w:r>
            <w:r w:rsidRPr="00D8383E">
              <w:rPr>
                <w:rFonts w:eastAsiaTheme="minorEastAsia"/>
                <w:sz w:val="18"/>
                <w:szCs w:val="18"/>
              </w:rPr>
              <w:t>developed and adopted by public and private sector</w:t>
            </w:r>
            <w:r w:rsidR="00406115" w:rsidRPr="00D8383E">
              <w:rPr>
                <w:rFonts w:eastAsiaTheme="minorEastAsia"/>
                <w:sz w:val="18"/>
                <w:szCs w:val="18"/>
              </w:rPr>
              <w:t>, including for green</w:t>
            </w:r>
            <w:r w:rsidR="3B8D2C1B" w:rsidRPr="00D8383E">
              <w:rPr>
                <w:rFonts w:eastAsiaTheme="minorEastAsia"/>
                <w:sz w:val="18"/>
                <w:szCs w:val="18"/>
              </w:rPr>
              <w:t xml:space="preserve"> and </w:t>
            </w:r>
            <w:r w:rsidR="00423CC7" w:rsidRPr="00D8383E">
              <w:rPr>
                <w:rFonts w:eastAsiaTheme="minorEastAsia"/>
                <w:sz w:val="18"/>
                <w:szCs w:val="18"/>
              </w:rPr>
              <w:t xml:space="preserve">resilient </w:t>
            </w:r>
            <w:r w:rsidR="0B85467C" w:rsidRPr="00D8383E">
              <w:rPr>
                <w:rFonts w:eastAsiaTheme="minorEastAsia"/>
                <w:sz w:val="18"/>
                <w:szCs w:val="18"/>
              </w:rPr>
              <w:t>development</w:t>
            </w:r>
            <w:r w:rsidR="572F3371" w:rsidRPr="00D8383E">
              <w:rPr>
                <w:rFonts w:eastAsiaTheme="minorEastAsia"/>
                <w:sz w:val="18"/>
                <w:szCs w:val="18"/>
              </w:rPr>
              <w:t xml:space="preserve"> (</w:t>
            </w:r>
            <w:r w:rsidR="00D7300B" w:rsidRPr="00D8383E">
              <w:rPr>
                <w:rFonts w:eastAsiaTheme="minorEastAsia"/>
                <w:sz w:val="18"/>
                <w:szCs w:val="18"/>
              </w:rPr>
              <w:t xml:space="preserve">UNDP </w:t>
            </w:r>
            <w:r w:rsidR="572F3371" w:rsidRPr="00D8383E">
              <w:rPr>
                <w:rFonts w:eastAsiaTheme="minorEastAsia"/>
                <w:sz w:val="18"/>
                <w:szCs w:val="18"/>
              </w:rPr>
              <w:t>S</w:t>
            </w:r>
            <w:r w:rsidR="00D7300B" w:rsidRPr="00D8383E">
              <w:rPr>
                <w:rFonts w:eastAsiaTheme="minorEastAsia"/>
                <w:sz w:val="18"/>
                <w:szCs w:val="18"/>
              </w:rPr>
              <w:t xml:space="preserve">trategic Plan </w:t>
            </w:r>
            <w:r w:rsidR="00BF7C80" w:rsidRPr="00D8383E">
              <w:rPr>
                <w:rFonts w:eastAsiaTheme="minorEastAsia"/>
                <w:sz w:val="18"/>
                <w:szCs w:val="18"/>
              </w:rPr>
              <w:t xml:space="preserve">integrated results and resources framework (indicator#) - </w:t>
            </w:r>
            <w:r w:rsidR="0063761B" w:rsidRPr="00D8383E">
              <w:rPr>
                <w:rFonts w:eastAsiaTheme="minorEastAsia"/>
                <w:sz w:val="18"/>
                <w:szCs w:val="18"/>
              </w:rPr>
              <w:t>IRR</w:t>
            </w:r>
            <w:r w:rsidR="572F3371" w:rsidRPr="00D8383E">
              <w:rPr>
                <w:rFonts w:eastAsiaTheme="minorEastAsia"/>
                <w:sz w:val="18"/>
                <w:szCs w:val="18"/>
              </w:rPr>
              <w:t>F-1.1.1)</w:t>
            </w:r>
          </w:p>
          <w:p w14:paraId="11C33F66" w14:textId="157D33B1" w:rsidR="00A021BE" w:rsidRPr="00D8383E" w:rsidRDefault="00A021BE" w:rsidP="00126BEC">
            <w:pPr>
              <w:rPr>
                <w:rFonts w:eastAsiaTheme="minorEastAsia"/>
                <w:sz w:val="18"/>
                <w:szCs w:val="18"/>
              </w:rPr>
            </w:pPr>
            <w:r w:rsidRPr="00D8383E">
              <w:rPr>
                <w:rFonts w:eastAsiaTheme="minorEastAsia"/>
                <w:sz w:val="18"/>
                <w:szCs w:val="18"/>
              </w:rPr>
              <w:t>Baseline</w:t>
            </w:r>
            <w:r w:rsidR="00EB636A" w:rsidRPr="00D8383E">
              <w:rPr>
                <w:rFonts w:eastAsiaTheme="minorEastAsia"/>
                <w:sz w:val="18"/>
                <w:szCs w:val="18"/>
              </w:rPr>
              <w:t xml:space="preserve"> (2022)</w:t>
            </w:r>
            <w:r w:rsidRPr="00D8383E">
              <w:rPr>
                <w:rFonts w:eastAsiaTheme="minorEastAsia"/>
                <w:sz w:val="18"/>
                <w:szCs w:val="18"/>
              </w:rPr>
              <w:t>: 0</w:t>
            </w:r>
          </w:p>
          <w:p w14:paraId="0A63EEF8" w14:textId="7F34C4E5" w:rsidR="00A021BE" w:rsidRPr="00D8383E" w:rsidRDefault="00A021BE" w:rsidP="00126BEC">
            <w:pPr>
              <w:rPr>
                <w:rFonts w:eastAsiaTheme="minorEastAsia"/>
                <w:sz w:val="18"/>
                <w:szCs w:val="18"/>
              </w:rPr>
            </w:pPr>
            <w:r w:rsidRPr="00D8383E">
              <w:rPr>
                <w:rFonts w:eastAsiaTheme="minorEastAsia"/>
                <w:sz w:val="18"/>
                <w:szCs w:val="18"/>
              </w:rPr>
              <w:t>Target</w:t>
            </w:r>
            <w:r w:rsidR="00EB636A" w:rsidRPr="00D8383E">
              <w:rPr>
                <w:rFonts w:eastAsiaTheme="minorEastAsia"/>
                <w:sz w:val="18"/>
                <w:szCs w:val="18"/>
              </w:rPr>
              <w:t xml:space="preserve"> (2027)</w:t>
            </w:r>
            <w:r w:rsidRPr="00D8383E">
              <w:rPr>
                <w:rFonts w:eastAsiaTheme="minorEastAsia"/>
                <w:sz w:val="18"/>
                <w:szCs w:val="18"/>
              </w:rPr>
              <w:t>: 10</w:t>
            </w:r>
          </w:p>
          <w:p w14:paraId="36D35B70" w14:textId="670F0E23" w:rsidR="00A021BE" w:rsidRPr="00D8383E" w:rsidRDefault="00A021BE" w:rsidP="00126BEC">
            <w:pPr>
              <w:rPr>
                <w:rFonts w:eastAsiaTheme="minorEastAsia"/>
                <w:sz w:val="18"/>
                <w:szCs w:val="18"/>
              </w:rPr>
            </w:pPr>
            <w:r w:rsidRPr="00D8383E">
              <w:rPr>
                <w:rFonts w:eastAsiaTheme="minorEastAsia"/>
                <w:sz w:val="18"/>
                <w:szCs w:val="18"/>
              </w:rPr>
              <w:t xml:space="preserve">Source/Frequency: NPC, MoF, </w:t>
            </w:r>
            <w:r w:rsidR="00E257C6" w:rsidRPr="00D8383E">
              <w:rPr>
                <w:rFonts w:eastAsiaTheme="minorEastAsia"/>
                <w:sz w:val="18"/>
                <w:szCs w:val="18"/>
              </w:rPr>
              <w:t xml:space="preserve">MoFE, MoALD, </w:t>
            </w:r>
            <w:r w:rsidRPr="00D8383E">
              <w:rPr>
                <w:rFonts w:eastAsiaTheme="minorEastAsia"/>
                <w:sz w:val="18"/>
                <w:szCs w:val="18"/>
              </w:rPr>
              <w:t xml:space="preserve">Office of the Investment Board, </w:t>
            </w:r>
            <w:r w:rsidR="00945FA5">
              <w:rPr>
                <w:rFonts w:eastAsiaTheme="minorEastAsia"/>
                <w:sz w:val="18"/>
                <w:szCs w:val="18"/>
              </w:rPr>
              <w:t>provincial and local governments</w:t>
            </w:r>
            <w:r w:rsidRPr="00D8383E">
              <w:rPr>
                <w:rFonts w:eastAsiaTheme="minorEastAsia"/>
                <w:sz w:val="18"/>
                <w:szCs w:val="18"/>
              </w:rPr>
              <w:t>/Annual</w:t>
            </w:r>
          </w:p>
          <w:p w14:paraId="6567AC21" w14:textId="77777777" w:rsidR="00A021BE" w:rsidRPr="00D8383E" w:rsidRDefault="00A021BE" w:rsidP="00126BEC">
            <w:pPr>
              <w:rPr>
                <w:rFonts w:eastAsiaTheme="minorEastAsia"/>
                <w:sz w:val="18"/>
                <w:szCs w:val="18"/>
              </w:rPr>
            </w:pPr>
          </w:p>
          <w:p w14:paraId="55436306" w14:textId="53446E09" w:rsidR="00A021BE" w:rsidRPr="00D8383E" w:rsidRDefault="00A021BE" w:rsidP="00126BEC">
            <w:pPr>
              <w:rPr>
                <w:rFonts w:eastAsiaTheme="minorEastAsia"/>
                <w:sz w:val="18"/>
                <w:szCs w:val="18"/>
              </w:rPr>
            </w:pPr>
            <w:r w:rsidRPr="00D8383E">
              <w:rPr>
                <w:rFonts w:eastAsiaTheme="minorEastAsia"/>
                <w:sz w:val="18"/>
                <w:szCs w:val="18"/>
              </w:rPr>
              <w:t xml:space="preserve">1.1.2: Number of SDG progress reports prepared by the government </w:t>
            </w:r>
            <w:r w:rsidR="4E3B719D" w:rsidRPr="00D8383E">
              <w:rPr>
                <w:rFonts w:eastAsiaTheme="minorEastAsia"/>
                <w:sz w:val="18"/>
                <w:szCs w:val="18"/>
              </w:rPr>
              <w:t>(IRRF-1.1.3)</w:t>
            </w:r>
          </w:p>
          <w:p w14:paraId="153AD2BF" w14:textId="763D9282" w:rsidR="00A021BE" w:rsidRPr="00D8383E" w:rsidRDefault="00A021BE" w:rsidP="00126BEC">
            <w:pPr>
              <w:rPr>
                <w:sz w:val="18"/>
                <w:szCs w:val="18"/>
              </w:rPr>
            </w:pPr>
            <w:r w:rsidRPr="00D8383E">
              <w:rPr>
                <w:sz w:val="18"/>
                <w:szCs w:val="18"/>
              </w:rPr>
              <w:t>Baseline</w:t>
            </w:r>
            <w:r w:rsidR="00EB636A" w:rsidRPr="00D8383E">
              <w:rPr>
                <w:sz w:val="18"/>
                <w:szCs w:val="18"/>
              </w:rPr>
              <w:t xml:space="preserve"> (2020)</w:t>
            </w:r>
            <w:r w:rsidRPr="00D8383E">
              <w:rPr>
                <w:sz w:val="18"/>
                <w:szCs w:val="18"/>
              </w:rPr>
              <w:t>: 1</w:t>
            </w:r>
            <w:r w:rsidR="002453AD" w:rsidRPr="00D8383E">
              <w:rPr>
                <w:sz w:val="18"/>
                <w:szCs w:val="18"/>
              </w:rPr>
              <w:t>-</w:t>
            </w:r>
            <w:r w:rsidRPr="00D8383E">
              <w:rPr>
                <w:sz w:val="18"/>
                <w:szCs w:val="18"/>
              </w:rPr>
              <w:t>federal</w:t>
            </w:r>
          </w:p>
          <w:p w14:paraId="0CB39CA4" w14:textId="332A7159" w:rsidR="00A021BE" w:rsidRPr="00D8383E" w:rsidRDefault="00A021BE" w:rsidP="00126BEC">
            <w:pPr>
              <w:rPr>
                <w:sz w:val="18"/>
                <w:szCs w:val="18"/>
              </w:rPr>
            </w:pPr>
            <w:r w:rsidRPr="00D8383E">
              <w:rPr>
                <w:sz w:val="18"/>
                <w:szCs w:val="18"/>
              </w:rPr>
              <w:t>Target</w:t>
            </w:r>
            <w:r w:rsidR="00FF54C0" w:rsidRPr="00D8383E">
              <w:rPr>
                <w:sz w:val="18"/>
                <w:szCs w:val="18"/>
              </w:rPr>
              <w:t xml:space="preserve"> (2027)</w:t>
            </w:r>
            <w:r w:rsidRPr="00D8383E">
              <w:rPr>
                <w:sz w:val="18"/>
                <w:szCs w:val="18"/>
              </w:rPr>
              <w:t>: 22 (1-federal, 7-</w:t>
            </w:r>
            <w:bookmarkStart w:id="6" w:name="_Int_C2FbHgLm"/>
            <w:r w:rsidRPr="00D8383E">
              <w:rPr>
                <w:sz w:val="18"/>
                <w:szCs w:val="18"/>
              </w:rPr>
              <w:t>provincial</w:t>
            </w:r>
            <w:bookmarkEnd w:id="6"/>
            <w:r w:rsidRPr="00D8383E">
              <w:rPr>
                <w:sz w:val="18"/>
                <w:szCs w:val="18"/>
              </w:rPr>
              <w:t>, 14-local)</w:t>
            </w:r>
          </w:p>
          <w:p w14:paraId="47B187F8" w14:textId="0B92BE91" w:rsidR="00A021BE" w:rsidRPr="00D8383E" w:rsidRDefault="00A021BE" w:rsidP="00126BEC">
            <w:pPr>
              <w:rPr>
                <w:sz w:val="18"/>
                <w:szCs w:val="18"/>
                <w:highlight w:val="yellow"/>
              </w:rPr>
            </w:pPr>
            <w:r w:rsidRPr="00D8383E">
              <w:rPr>
                <w:sz w:val="18"/>
                <w:szCs w:val="18"/>
              </w:rPr>
              <w:t>Source/Frequency: NPC</w:t>
            </w:r>
            <w:r w:rsidR="0694011A" w:rsidRPr="00D8383E">
              <w:rPr>
                <w:sz w:val="18"/>
                <w:szCs w:val="18"/>
              </w:rPr>
              <w:t>/</w:t>
            </w:r>
            <w:r w:rsidR="00567DA0">
              <w:rPr>
                <w:rFonts w:eastAsiaTheme="minorEastAsia"/>
                <w:sz w:val="18"/>
                <w:szCs w:val="18"/>
              </w:rPr>
              <w:t>provincial and local governments</w:t>
            </w:r>
            <w:r w:rsidRPr="00D8383E">
              <w:rPr>
                <w:sz w:val="18"/>
                <w:szCs w:val="18"/>
              </w:rPr>
              <w:t xml:space="preserve">/Annual </w:t>
            </w:r>
          </w:p>
          <w:p w14:paraId="19969880" w14:textId="77777777" w:rsidR="00065D1C" w:rsidRPr="00D8383E" w:rsidRDefault="00065D1C" w:rsidP="00126BEC">
            <w:pPr>
              <w:rPr>
                <w:sz w:val="18"/>
                <w:szCs w:val="18"/>
              </w:rPr>
            </w:pPr>
          </w:p>
          <w:p w14:paraId="00BA098B" w14:textId="77777777" w:rsidR="00A021BE" w:rsidRPr="00D8383E" w:rsidRDefault="00A021BE" w:rsidP="00126BEC">
            <w:pPr>
              <w:rPr>
                <w:sz w:val="18"/>
                <w:szCs w:val="18"/>
              </w:rPr>
            </w:pPr>
            <w:r w:rsidRPr="00D8383E">
              <w:rPr>
                <w:rFonts w:eastAsiaTheme="minorEastAsia"/>
                <w:sz w:val="18"/>
                <w:szCs w:val="18"/>
              </w:rPr>
              <w:t>Output 1.2. Expanded access to sustainable livelihoods and income for women, youth, poor and other marginalized groups.</w:t>
            </w:r>
          </w:p>
          <w:p w14:paraId="7C0CC1CE" w14:textId="77777777" w:rsidR="00A021BE" w:rsidRPr="00D8383E" w:rsidRDefault="00A021BE" w:rsidP="00126BEC">
            <w:pPr>
              <w:rPr>
                <w:sz w:val="18"/>
                <w:szCs w:val="18"/>
              </w:rPr>
            </w:pPr>
          </w:p>
          <w:p w14:paraId="1073F167" w14:textId="17A5785A" w:rsidR="00A021BE" w:rsidRPr="00D8383E" w:rsidRDefault="00A021BE" w:rsidP="00126BEC">
            <w:pPr>
              <w:rPr>
                <w:sz w:val="18"/>
                <w:szCs w:val="18"/>
              </w:rPr>
            </w:pPr>
            <w:r w:rsidRPr="00D8383E">
              <w:rPr>
                <w:sz w:val="18"/>
                <w:szCs w:val="18"/>
              </w:rPr>
              <w:t>1.2.1 Number of green jobs created</w:t>
            </w:r>
            <w:r w:rsidR="33A2F7F4" w:rsidRPr="00D8383E">
              <w:rPr>
                <w:sz w:val="18"/>
                <w:szCs w:val="18"/>
              </w:rPr>
              <w:t xml:space="preserve"> (IRRF-1.3.3)</w:t>
            </w:r>
          </w:p>
          <w:p w14:paraId="4B00BB48" w14:textId="496B188E" w:rsidR="00A021BE" w:rsidRPr="00D8383E" w:rsidRDefault="00A021BE" w:rsidP="00126BEC">
            <w:pPr>
              <w:rPr>
                <w:rFonts w:eastAsiaTheme="minorEastAsia"/>
                <w:sz w:val="18"/>
                <w:szCs w:val="18"/>
              </w:rPr>
            </w:pPr>
            <w:r w:rsidRPr="00D8383E">
              <w:rPr>
                <w:rFonts w:eastAsiaTheme="minorEastAsia"/>
                <w:sz w:val="18"/>
                <w:szCs w:val="18"/>
              </w:rPr>
              <w:lastRenderedPageBreak/>
              <w:t>Baseline (2021): 8,780 (51% women, 38% youth, 17% Dalit)</w:t>
            </w:r>
          </w:p>
          <w:p w14:paraId="761DA234" w14:textId="39C1223C" w:rsidR="00A021BE" w:rsidRPr="00D8383E" w:rsidRDefault="00A021BE" w:rsidP="00126BEC">
            <w:pPr>
              <w:rPr>
                <w:rFonts w:eastAsiaTheme="minorEastAsia"/>
                <w:sz w:val="18"/>
                <w:szCs w:val="18"/>
              </w:rPr>
            </w:pPr>
            <w:r w:rsidRPr="00D8383E">
              <w:rPr>
                <w:rFonts w:eastAsiaTheme="minorEastAsia"/>
                <w:sz w:val="18"/>
                <w:szCs w:val="18"/>
              </w:rPr>
              <w:t>Target</w:t>
            </w:r>
            <w:r w:rsidR="00307384" w:rsidRPr="00D8383E">
              <w:rPr>
                <w:rFonts w:eastAsiaTheme="minorEastAsia"/>
                <w:sz w:val="18"/>
                <w:szCs w:val="18"/>
              </w:rPr>
              <w:t xml:space="preserve"> (2027)</w:t>
            </w:r>
            <w:r w:rsidRPr="00D8383E">
              <w:rPr>
                <w:rFonts w:eastAsiaTheme="minorEastAsia"/>
                <w:sz w:val="18"/>
                <w:szCs w:val="18"/>
              </w:rPr>
              <w:t>: 4</w:t>
            </w:r>
            <w:r w:rsidR="00236279" w:rsidRPr="00D8383E">
              <w:rPr>
                <w:rFonts w:eastAsiaTheme="minorEastAsia"/>
                <w:sz w:val="18"/>
                <w:szCs w:val="18"/>
              </w:rPr>
              <w:t>8</w:t>
            </w:r>
            <w:r w:rsidRPr="00D8383E">
              <w:rPr>
                <w:rFonts w:eastAsiaTheme="minorEastAsia"/>
                <w:sz w:val="18"/>
                <w:szCs w:val="18"/>
              </w:rPr>
              <w:t>,</w:t>
            </w:r>
            <w:r w:rsidR="00236279" w:rsidRPr="00D8383E">
              <w:rPr>
                <w:rFonts w:eastAsiaTheme="minorEastAsia"/>
                <w:sz w:val="18"/>
                <w:szCs w:val="18"/>
              </w:rPr>
              <w:t>78</w:t>
            </w:r>
            <w:r w:rsidRPr="00D8383E">
              <w:rPr>
                <w:rFonts w:eastAsiaTheme="minorEastAsia"/>
                <w:sz w:val="18"/>
                <w:szCs w:val="18"/>
              </w:rPr>
              <w:t>0 (50% women, 40% youth, 20% Dalit)</w:t>
            </w:r>
          </w:p>
          <w:p w14:paraId="69E4980E" w14:textId="77777777" w:rsidR="00A021BE" w:rsidRPr="00D8383E" w:rsidRDefault="00A021BE" w:rsidP="00126BEC">
            <w:pPr>
              <w:rPr>
                <w:rFonts w:eastAsiaTheme="minorEastAsia"/>
                <w:sz w:val="18"/>
                <w:szCs w:val="18"/>
              </w:rPr>
            </w:pPr>
            <w:r w:rsidRPr="00D8383E">
              <w:rPr>
                <w:rFonts w:eastAsiaTheme="minorEastAsia"/>
                <w:sz w:val="18"/>
                <w:szCs w:val="18"/>
              </w:rPr>
              <w:t>Source/Frequency: UNDP/Annual</w:t>
            </w:r>
          </w:p>
          <w:p w14:paraId="01AA31F9" w14:textId="77777777" w:rsidR="00A021BE" w:rsidRPr="00D8383E" w:rsidRDefault="00A021BE" w:rsidP="00126BEC">
            <w:pPr>
              <w:rPr>
                <w:sz w:val="18"/>
                <w:szCs w:val="18"/>
              </w:rPr>
            </w:pPr>
          </w:p>
          <w:p w14:paraId="794BCB9C" w14:textId="41603204" w:rsidR="00A021BE" w:rsidRPr="00D8383E" w:rsidRDefault="00A021BE" w:rsidP="00126BEC">
            <w:pPr>
              <w:rPr>
                <w:sz w:val="18"/>
                <w:szCs w:val="18"/>
              </w:rPr>
            </w:pPr>
            <w:r w:rsidRPr="00D8383E">
              <w:rPr>
                <w:sz w:val="18"/>
                <w:szCs w:val="18"/>
              </w:rPr>
              <w:t>1.2.2. Number of marginalized people, including urban poor, with</w:t>
            </w:r>
            <w:r w:rsidR="00D40F9B">
              <w:rPr>
                <w:sz w:val="18"/>
                <w:szCs w:val="18"/>
              </w:rPr>
              <w:t>:</w:t>
            </w:r>
            <w:r w:rsidRPr="00D8383E">
              <w:rPr>
                <w:sz w:val="18"/>
                <w:szCs w:val="18"/>
              </w:rPr>
              <w:t xml:space="preserve"> </w:t>
            </w:r>
            <w:r w:rsidR="00D40F9B">
              <w:rPr>
                <w:sz w:val="18"/>
                <w:szCs w:val="18"/>
              </w:rPr>
              <w:t>(</w:t>
            </w:r>
            <w:r w:rsidRPr="00D8383E">
              <w:rPr>
                <w:sz w:val="18"/>
                <w:szCs w:val="18"/>
              </w:rPr>
              <w:t>a) enhanced</w:t>
            </w:r>
            <w:r w:rsidRPr="00D8383E" w:rsidDel="513728E6">
              <w:rPr>
                <w:sz w:val="18"/>
                <w:szCs w:val="18"/>
              </w:rPr>
              <w:t xml:space="preserve"> skills</w:t>
            </w:r>
            <w:r w:rsidR="00D40F9B">
              <w:rPr>
                <w:sz w:val="18"/>
                <w:szCs w:val="18"/>
              </w:rPr>
              <w:t>;</w:t>
            </w:r>
            <w:r w:rsidRPr="00D8383E">
              <w:rPr>
                <w:sz w:val="18"/>
                <w:szCs w:val="18"/>
              </w:rPr>
              <w:t xml:space="preserve"> </w:t>
            </w:r>
            <w:r w:rsidR="00D40F9B">
              <w:rPr>
                <w:sz w:val="18"/>
                <w:szCs w:val="18"/>
              </w:rPr>
              <w:t>(</w:t>
            </w:r>
            <w:r w:rsidRPr="00D8383E">
              <w:rPr>
                <w:sz w:val="18"/>
                <w:szCs w:val="18"/>
              </w:rPr>
              <w:t xml:space="preserve">b) accessing </w:t>
            </w:r>
            <w:r w:rsidR="00D40F9B" w:rsidRPr="00D8383E">
              <w:rPr>
                <w:sz w:val="18"/>
                <w:szCs w:val="18"/>
              </w:rPr>
              <w:t xml:space="preserve">temporary basic income </w:t>
            </w:r>
            <w:r w:rsidR="02A81789" w:rsidRPr="00D8383E">
              <w:rPr>
                <w:sz w:val="18"/>
                <w:szCs w:val="18"/>
              </w:rPr>
              <w:t>(IRRF-1.2.2)</w:t>
            </w:r>
          </w:p>
          <w:p w14:paraId="6BCF1BAD" w14:textId="6D07D56A" w:rsidR="00A021BE" w:rsidRPr="00D8383E" w:rsidRDefault="00A021BE" w:rsidP="00126BEC">
            <w:pPr>
              <w:rPr>
                <w:sz w:val="18"/>
                <w:szCs w:val="18"/>
              </w:rPr>
            </w:pPr>
            <w:r w:rsidRPr="00D8383E">
              <w:rPr>
                <w:sz w:val="18"/>
                <w:szCs w:val="18"/>
              </w:rPr>
              <w:t xml:space="preserve">Baseline (2021): </w:t>
            </w:r>
            <w:r w:rsidR="00D40F9B">
              <w:rPr>
                <w:sz w:val="18"/>
                <w:szCs w:val="18"/>
              </w:rPr>
              <w:t>(</w:t>
            </w:r>
            <w:r w:rsidRPr="00D8383E">
              <w:rPr>
                <w:sz w:val="18"/>
                <w:szCs w:val="18"/>
              </w:rPr>
              <w:t>a</w:t>
            </w:r>
            <w:r w:rsidR="00D40F9B">
              <w:rPr>
                <w:sz w:val="18"/>
                <w:szCs w:val="18"/>
              </w:rPr>
              <w:t>)</w:t>
            </w:r>
            <w:r w:rsidRPr="00D8383E">
              <w:rPr>
                <w:sz w:val="18"/>
                <w:szCs w:val="18"/>
              </w:rPr>
              <w:t xml:space="preserve"> 14,075 (45% women, 40% youth, 5% Dalit); </w:t>
            </w:r>
            <w:r w:rsidR="00D40F9B">
              <w:rPr>
                <w:sz w:val="18"/>
                <w:szCs w:val="18"/>
              </w:rPr>
              <w:t>(</w:t>
            </w:r>
            <w:r w:rsidRPr="00D8383E">
              <w:rPr>
                <w:sz w:val="18"/>
                <w:szCs w:val="18"/>
              </w:rPr>
              <w:t>b) 2,387</w:t>
            </w:r>
            <w:r w:rsidR="00914FB8" w:rsidRPr="00D8383E">
              <w:rPr>
                <w:sz w:val="18"/>
                <w:szCs w:val="18"/>
              </w:rPr>
              <w:t xml:space="preserve"> (</w:t>
            </w:r>
            <w:r w:rsidR="003316D5" w:rsidRPr="00D8383E">
              <w:rPr>
                <w:sz w:val="18"/>
                <w:szCs w:val="18"/>
              </w:rPr>
              <w:t xml:space="preserve">77% Dalit, </w:t>
            </w:r>
            <w:r w:rsidR="00124FD1" w:rsidRPr="00D8383E">
              <w:rPr>
                <w:sz w:val="18"/>
                <w:szCs w:val="18"/>
              </w:rPr>
              <w:t xml:space="preserve">10% </w:t>
            </w:r>
            <w:r w:rsidR="00D40F9B">
              <w:rPr>
                <w:sz w:val="18"/>
                <w:szCs w:val="18"/>
              </w:rPr>
              <w:t>e</w:t>
            </w:r>
            <w:r w:rsidR="00124FD1" w:rsidRPr="00D8383E">
              <w:rPr>
                <w:sz w:val="18"/>
                <w:szCs w:val="18"/>
              </w:rPr>
              <w:t>thnic communities, 6%</w:t>
            </w:r>
            <w:r w:rsidR="000B3066" w:rsidRPr="00D8383E">
              <w:rPr>
                <w:sz w:val="18"/>
                <w:szCs w:val="18"/>
              </w:rPr>
              <w:t xml:space="preserve"> P</w:t>
            </w:r>
            <w:r w:rsidR="00FF54C0" w:rsidRPr="00D8383E">
              <w:rPr>
                <w:sz w:val="18"/>
                <w:szCs w:val="18"/>
              </w:rPr>
              <w:t xml:space="preserve">ersons with </w:t>
            </w:r>
            <w:r w:rsidR="00D40F9B">
              <w:rPr>
                <w:sz w:val="18"/>
                <w:szCs w:val="18"/>
              </w:rPr>
              <w:t>d</w:t>
            </w:r>
            <w:r w:rsidR="00FF54C0" w:rsidRPr="00D8383E">
              <w:rPr>
                <w:sz w:val="18"/>
                <w:szCs w:val="18"/>
              </w:rPr>
              <w:t>isabilities (P</w:t>
            </w:r>
            <w:r w:rsidR="000B3066" w:rsidRPr="00D8383E">
              <w:rPr>
                <w:sz w:val="18"/>
                <w:szCs w:val="18"/>
              </w:rPr>
              <w:t>WDs</w:t>
            </w:r>
            <w:r w:rsidR="00FF54C0" w:rsidRPr="00D8383E">
              <w:rPr>
                <w:sz w:val="18"/>
                <w:szCs w:val="18"/>
              </w:rPr>
              <w:t>)</w:t>
            </w:r>
            <w:r w:rsidR="000B3066" w:rsidRPr="00D8383E">
              <w:rPr>
                <w:sz w:val="18"/>
                <w:szCs w:val="18"/>
              </w:rPr>
              <w:t xml:space="preserve">, 1% </w:t>
            </w:r>
            <w:r w:rsidR="00D40F9B">
              <w:rPr>
                <w:sz w:val="18"/>
                <w:szCs w:val="18"/>
              </w:rPr>
              <w:t>s</w:t>
            </w:r>
            <w:r w:rsidR="00FF54C0" w:rsidRPr="00D8383E">
              <w:rPr>
                <w:sz w:val="18"/>
                <w:szCs w:val="18"/>
              </w:rPr>
              <w:t>urvivor</w:t>
            </w:r>
            <w:r w:rsidR="00D40F9B">
              <w:rPr>
                <w:sz w:val="18"/>
                <w:szCs w:val="18"/>
              </w:rPr>
              <w:t>s</w:t>
            </w:r>
            <w:r w:rsidR="00FF54C0" w:rsidRPr="00D8383E">
              <w:rPr>
                <w:sz w:val="18"/>
                <w:szCs w:val="18"/>
              </w:rPr>
              <w:t xml:space="preserve"> of </w:t>
            </w:r>
            <w:r w:rsidR="00D40F9B">
              <w:rPr>
                <w:sz w:val="18"/>
                <w:szCs w:val="18"/>
              </w:rPr>
              <w:t>sexual and g</w:t>
            </w:r>
            <w:r w:rsidR="00FF54C0" w:rsidRPr="00D8383E">
              <w:rPr>
                <w:sz w:val="18"/>
                <w:szCs w:val="18"/>
              </w:rPr>
              <w:t xml:space="preserve">ender-based </w:t>
            </w:r>
            <w:r w:rsidR="005632BF" w:rsidRPr="00D8383E">
              <w:rPr>
                <w:sz w:val="18"/>
                <w:szCs w:val="18"/>
              </w:rPr>
              <w:t>violence</w:t>
            </w:r>
            <w:r w:rsidR="000B3690" w:rsidRPr="00D8383E">
              <w:rPr>
                <w:sz w:val="18"/>
                <w:szCs w:val="18"/>
              </w:rPr>
              <w:t xml:space="preserve"> </w:t>
            </w:r>
            <w:r w:rsidR="005632BF" w:rsidRPr="00D8383E">
              <w:rPr>
                <w:sz w:val="18"/>
                <w:szCs w:val="18"/>
              </w:rPr>
              <w:t>(</w:t>
            </w:r>
            <w:r w:rsidR="003A23B9" w:rsidRPr="00D8383E">
              <w:rPr>
                <w:sz w:val="18"/>
                <w:szCs w:val="18"/>
              </w:rPr>
              <w:t>S</w:t>
            </w:r>
            <w:r w:rsidR="000B3066" w:rsidRPr="00D8383E">
              <w:rPr>
                <w:sz w:val="18"/>
                <w:szCs w:val="18"/>
              </w:rPr>
              <w:t>GBV</w:t>
            </w:r>
            <w:r w:rsidR="003A23B9" w:rsidRPr="00D8383E">
              <w:rPr>
                <w:sz w:val="18"/>
                <w:szCs w:val="18"/>
              </w:rPr>
              <w:t>)</w:t>
            </w:r>
          </w:p>
          <w:p w14:paraId="0365B8E8" w14:textId="75D0ABDE" w:rsidR="00A021BE" w:rsidRPr="00D8383E" w:rsidRDefault="00A021BE" w:rsidP="00126BEC">
            <w:pPr>
              <w:rPr>
                <w:sz w:val="18"/>
                <w:szCs w:val="18"/>
              </w:rPr>
            </w:pPr>
            <w:r w:rsidRPr="00D8383E">
              <w:rPr>
                <w:sz w:val="18"/>
                <w:szCs w:val="18"/>
              </w:rPr>
              <w:t xml:space="preserve">Target (2027): </w:t>
            </w:r>
            <w:r w:rsidR="00D40F9B">
              <w:rPr>
                <w:sz w:val="18"/>
                <w:szCs w:val="18"/>
              </w:rPr>
              <w:t>(</w:t>
            </w:r>
            <w:r w:rsidRPr="00D8383E">
              <w:rPr>
                <w:sz w:val="18"/>
                <w:szCs w:val="18"/>
              </w:rPr>
              <w:t>a</w:t>
            </w:r>
            <w:r w:rsidR="00D40F9B">
              <w:rPr>
                <w:sz w:val="18"/>
                <w:szCs w:val="18"/>
              </w:rPr>
              <w:t>)</w:t>
            </w:r>
            <w:r w:rsidRPr="00D8383E">
              <w:rPr>
                <w:sz w:val="18"/>
                <w:szCs w:val="18"/>
              </w:rPr>
              <w:t xml:space="preserve"> </w:t>
            </w:r>
            <w:r w:rsidR="00B0717C" w:rsidRPr="00D8383E">
              <w:rPr>
                <w:sz w:val="18"/>
                <w:szCs w:val="18"/>
              </w:rPr>
              <w:t>74,075</w:t>
            </w:r>
            <w:r w:rsidRPr="00D8383E">
              <w:rPr>
                <w:sz w:val="18"/>
                <w:szCs w:val="18"/>
              </w:rPr>
              <w:t xml:space="preserve"> (50% women, 40% youth, 20% Dalit); </w:t>
            </w:r>
            <w:r w:rsidR="00D40F9B">
              <w:rPr>
                <w:sz w:val="18"/>
                <w:szCs w:val="18"/>
              </w:rPr>
              <w:t>(</w:t>
            </w:r>
            <w:r w:rsidRPr="00D8383E">
              <w:rPr>
                <w:sz w:val="18"/>
                <w:szCs w:val="18"/>
              </w:rPr>
              <w:t>b</w:t>
            </w:r>
            <w:r w:rsidR="00D40F9B">
              <w:rPr>
                <w:sz w:val="18"/>
                <w:szCs w:val="18"/>
              </w:rPr>
              <w:t>)</w:t>
            </w:r>
            <w:r w:rsidRPr="00D8383E">
              <w:rPr>
                <w:sz w:val="18"/>
                <w:szCs w:val="18"/>
              </w:rPr>
              <w:t xml:space="preserve"> </w:t>
            </w:r>
            <w:r w:rsidR="00026EE1" w:rsidRPr="00D8383E">
              <w:rPr>
                <w:sz w:val="18"/>
                <w:szCs w:val="18"/>
              </w:rPr>
              <w:t>7,387</w:t>
            </w:r>
            <w:r w:rsidRPr="00D8383E">
              <w:rPr>
                <w:sz w:val="18"/>
                <w:szCs w:val="18"/>
              </w:rPr>
              <w:t xml:space="preserve"> (</w:t>
            </w:r>
            <w:r w:rsidR="00677D16" w:rsidRPr="00D8383E">
              <w:rPr>
                <w:sz w:val="18"/>
                <w:szCs w:val="18"/>
              </w:rPr>
              <w:t>60</w:t>
            </w:r>
            <w:r w:rsidR="003A23B9" w:rsidRPr="00D8383E">
              <w:rPr>
                <w:sz w:val="18"/>
                <w:szCs w:val="18"/>
              </w:rPr>
              <w:t xml:space="preserve">% Dalit, </w:t>
            </w:r>
            <w:r w:rsidR="00677D16" w:rsidRPr="00D8383E">
              <w:rPr>
                <w:sz w:val="18"/>
                <w:szCs w:val="18"/>
              </w:rPr>
              <w:t>2</w:t>
            </w:r>
            <w:r w:rsidR="003A23B9" w:rsidRPr="00D8383E">
              <w:rPr>
                <w:sz w:val="18"/>
                <w:szCs w:val="18"/>
              </w:rPr>
              <w:t xml:space="preserve">0% Ethnic communities, </w:t>
            </w:r>
            <w:r w:rsidR="00677D16" w:rsidRPr="00D8383E">
              <w:rPr>
                <w:sz w:val="18"/>
                <w:szCs w:val="18"/>
              </w:rPr>
              <w:t>10</w:t>
            </w:r>
            <w:r w:rsidR="003A23B9" w:rsidRPr="00D8383E">
              <w:rPr>
                <w:sz w:val="18"/>
                <w:szCs w:val="18"/>
              </w:rPr>
              <w:t xml:space="preserve">% PWDs, </w:t>
            </w:r>
            <w:r w:rsidR="00E9688F" w:rsidRPr="00D8383E">
              <w:rPr>
                <w:sz w:val="18"/>
                <w:szCs w:val="18"/>
              </w:rPr>
              <w:t>3</w:t>
            </w:r>
            <w:r w:rsidR="003A23B9" w:rsidRPr="00D8383E">
              <w:rPr>
                <w:sz w:val="18"/>
                <w:szCs w:val="18"/>
              </w:rPr>
              <w:t>% SGBV)</w:t>
            </w:r>
          </w:p>
          <w:p w14:paraId="707355E6" w14:textId="77777777" w:rsidR="00A021BE" w:rsidRPr="00D8383E" w:rsidRDefault="00A021BE" w:rsidP="00126BEC">
            <w:pPr>
              <w:rPr>
                <w:sz w:val="18"/>
                <w:szCs w:val="18"/>
              </w:rPr>
            </w:pPr>
            <w:r w:rsidRPr="00D8383E">
              <w:rPr>
                <w:sz w:val="18"/>
                <w:szCs w:val="18"/>
              </w:rPr>
              <w:t>Source/Frequency: UNDP/Annual</w:t>
            </w:r>
          </w:p>
          <w:p w14:paraId="13B34C8C" w14:textId="77777777" w:rsidR="00A021BE" w:rsidRPr="00D8383E" w:rsidRDefault="00A021BE" w:rsidP="00126BEC">
            <w:pPr>
              <w:rPr>
                <w:sz w:val="18"/>
                <w:szCs w:val="18"/>
              </w:rPr>
            </w:pPr>
          </w:p>
          <w:p w14:paraId="608C513A" w14:textId="615E57A3" w:rsidR="00A021BE" w:rsidRPr="00D8383E" w:rsidRDefault="00A021BE" w:rsidP="00126BEC">
            <w:pPr>
              <w:rPr>
                <w:sz w:val="18"/>
                <w:szCs w:val="18"/>
              </w:rPr>
            </w:pPr>
            <w:r w:rsidRPr="00D8383E">
              <w:rPr>
                <w:sz w:val="18"/>
                <w:szCs w:val="18"/>
              </w:rPr>
              <w:t xml:space="preserve">1.2.3. Number of digital solutions and innovations developed </w:t>
            </w:r>
            <w:r w:rsidR="008A56DC" w:rsidRPr="00D8383E">
              <w:rPr>
                <w:sz w:val="18"/>
                <w:szCs w:val="18"/>
              </w:rPr>
              <w:t xml:space="preserve">and sustained </w:t>
            </w:r>
            <w:r w:rsidRPr="00D8383E">
              <w:rPr>
                <w:sz w:val="18"/>
                <w:szCs w:val="18"/>
              </w:rPr>
              <w:t>in key sectors</w:t>
            </w:r>
            <w:r w:rsidR="7E586B1B" w:rsidRPr="00D8383E">
              <w:rPr>
                <w:sz w:val="18"/>
                <w:szCs w:val="18"/>
              </w:rPr>
              <w:t xml:space="preserve"> (IRR</w:t>
            </w:r>
            <w:r w:rsidR="54B9C619" w:rsidRPr="00D8383E">
              <w:rPr>
                <w:sz w:val="18"/>
                <w:szCs w:val="18"/>
              </w:rPr>
              <w:t>F</w:t>
            </w:r>
            <w:r w:rsidR="7E586B1B" w:rsidRPr="00D8383E">
              <w:rPr>
                <w:sz w:val="18"/>
                <w:szCs w:val="18"/>
              </w:rPr>
              <w:t>-E</w:t>
            </w:r>
            <w:r w:rsidR="0018650D" w:rsidRPr="00D8383E">
              <w:rPr>
                <w:sz w:val="18"/>
                <w:szCs w:val="18"/>
              </w:rPr>
              <w:t>.</w:t>
            </w:r>
            <w:r w:rsidR="649761D5" w:rsidRPr="00D8383E">
              <w:rPr>
                <w:sz w:val="18"/>
                <w:szCs w:val="18"/>
              </w:rPr>
              <w:t>2</w:t>
            </w:r>
            <w:r w:rsidR="7E586B1B" w:rsidRPr="00D8383E">
              <w:rPr>
                <w:sz w:val="18"/>
                <w:szCs w:val="18"/>
              </w:rPr>
              <w:t>.</w:t>
            </w:r>
            <w:r w:rsidR="6E96D0AE" w:rsidRPr="00D8383E">
              <w:rPr>
                <w:sz w:val="18"/>
                <w:szCs w:val="18"/>
              </w:rPr>
              <w:t>2</w:t>
            </w:r>
            <w:r w:rsidR="7E586B1B" w:rsidRPr="00D8383E">
              <w:rPr>
                <w:sz w:val="18"/>
                <w:szCs w:val="18"/>
              </w:rPr>
              <w:t>)</w:t>
            </w:r>
          </w:p>
          <w:p w14:paraId="02150B05" w14:textId="2A8BE22F" w:rsidR="00A021BE" w:rsidRPr="00D8383E" w:rsidRDefault="00A021BE" w:rsidP="00126BEC">
            <w:pPr>
              <w:rPr>
                <w:sz w:val="18"/>
                <w:szCs w:val="18"/>
              </w:rPr>
            </w:pPr>
            <w:r w:rsidRPr="00D8383E">
              <w:rPr>
                <w:sz w:val="18"/>
                <w:szCs w:val="18"/>
              </w:rPr>
              <w:t>Baseline</w:t>
            </w:r>
            <w:r w:rsidR="00026EE1" w:rsidRPr="00D8383E">
              <w:rPr>
                <w:sz w:val="18"/>
                <w:szCs w:val="18"/>
              </w:rPr>
              <w:t xml:space="preserve"> (2022)</w:t>
            </w:r>
            <w:r w:rsidRPr="00D8383E">
              <w:rPr>
                <w:sz w:val="18"/>
                <w:szCs w:val="18"/>
              </w:rPr>
              <w:t>: 0</w:t>
            </w:r>
          </w:p>
          <w:p w14:paraId="7C547656" w14:textId="2F3B3C57" w:rsidR="00A021BE" w:rsidRPr="00D8383E" w:rsidRDefault="00A021BE" w:rsidP="00126BEC">
            <w:pPr>
              <w:rPr>
                <w:sz w:val="18"/>
                <w:szCs w:val="18"/>
              </w:rPr>
            </w:pPr>
            <w:r w:rsidRPr="00D8383E">
              <w:rPr>
                <w:sz w:val="18"/>
                <w:szCs w:val="18"/>
              </w:rPr>
              <w:t>Target</w:t>
            </w:r>
            <w:r w:rsidR="00026EE1" w:rsidRPr="00D8383E">
              <w:rPr>
                <w:sz w:val="18"/>
                <w:szCs w:val="18"/>
              </w:rPr>
              <w:t xml:space="preserve"> (2027)</w:t>
            </w:r>
            <w:r w:rsidRPr="00D8383E">
              <w:rPr>
                <w:sz w:val="18"/>
                <w:szCs w:val="18"/>
              </w:rPr>
              <w:t xml:space="preserve">: 4 </w:t>
            </w:r>
          </w:p>
          <w:p w14:paraId="6265CE7A" w14:textId="77777777" w:rsidR="00085C3A" w:rsidRPr="00D8383E" w:rsidRDefault="00085C3A" w:rsidP="00085C3A">
            <w:pPr>
              <w:rPr>
                <w:sz w:val="18"/>
                <w:szCs w:val="18"/>
              </w:rPr>
            </w:pPr>
            <w:r w:rsidRPr="00D8383E">
              <w:rPr>
                <w:sz w:val="18"/>
                <w:szCs w:val="18"/>
              </w:rPr>
              <w:t>Source/Frequency: UNDP/Annual</w:t>
            </w:r>
          </w:p>
          <w:p w14:paraId="4F4CB1F0" w14:textId="77777777" w:rsidR="00A021BE" w:rsidRPr="00D8383E" w:rsidRDefault="00A021BE" w:rsidP="00126BEC">
            <w:pPr>
              <w:rPr>
                <w:rFonts w:eastAsiaTheme="minorEastAsia"/>
                <w:sz w:val="18"/>
                <w:szCs w:val="18"/>
              </w:rPr>
            </w:pPr>
          </w:p>
          <w:p w14:paraId="1C62CC37" w14:textId="7B54E8F2" w:rsidR="4FD68A0C" w:rsidRPr="00D8383E" w:rsidRDefault="4FD68A0C">
            <w:pPr>
              <w:rPr>
                <w:sz w:val="18"/>
                <w:szCs w:val="18"/>
              </w:rPr>
            </w:pPr>
            <w:r w:rsidRPr="00D8383E">
              <w:rPr>
                <w:sz w:val="18"/>
                <w:szCs w:val="18"/>
              </w:rPr>
              <w:t>1.2.</w:t>
            </w:r>
            <w:r w:rsidR="0848FB80" w:rsidRPr="00D8383E">
              <w:rPr>
                <w:sz w:val="18"/>
                <w:szCs w:val="18"/>
              </w:rPr>
              <w:t xml:space="preserve">4. </w:t>
            </w:r>
            <w:r w:rsidRPr="00D8383E">
              <w:rPr>
                <w:sz w:val="18"/>
                <w:szCs w:val="18"/>
              </w:rPr>
              <w:t>Number of innovative enterprises promoted and sustained to foster green and circular development</w:t>
            </w:r>
            <w:r w:rsidR="37093C39" w:rsidRPr="00D8383E">
              <w:rPr>
                <w:sz w:val="18"/>
                <w:szCs w:val="18"/>
              </w:rPr>
              <w:t xml:space="preserve"> </w:t>
            </w:r>
            <w:r w:rsidR="00AF011B" w:rsidRPr="00D8383E">
              <w:rPr>
                <w:sz w:val="18"/>
                <w:szCs w:val="18"/>
              </w:rPr>
              <w:t>and reduced environmental pollution</w:t>
            </w:r>
            <w:r w:rsidR="37093C39" w:rsidRPr="00D8383E">
              <w:rPr>
                <w:sz w:val="18"/>
                <w:szCs w:val="18"/>
              </w:rPr>
              <w:t xml:space="preserve"> (IRRF-1.3.3)</w:t>
            </w:r>
          </w:p>
          <w:p w14:paraId="3F8ABDBF" w14:textId="211805A6" w:rsidR="4FD68A0C" w:rsidRPr="00D8383E" w:rsidRDefault="4FD68A0C">
            <w:pPr>
              <w:rPr>
                <w:sz w:val="18"/>
                <w:szCs w:val="18"/>
              </w:rPr>
            </w:pPr>
            <w:r w:rsidRPr="00D8383E">
              <w:rPr>
                <w:sz w:val="18"/>
                <w:szCs w:val="18"/>
              </w:rPr>
              <w:t xml:space="preserve">Baseline (2022): </w:t>
            </w:r>
            <w:r w:rsidR="00686CAE" w:rsidRPr="00D8383E">
              <w:rPr>
                <w:sz w:val="18"/>
                <w:szCs w:val="18"/>
              </w:rPr>
              <w:t>9</w:t>
            </w:r>
          </w:p>
          <w:p w14:paraId="07250349" w14:textId="319D85C0" w:rsidR="4FD68A0C" w:rsidRPr="00D8383E" w:rsidRDefault="4FD68A0C">
            <w:pPr>
              <w:rPr>
                <w:sz w:val="18"/>
                <w:szCs w:val="18"/>
              </w:rPr>
            </w:pPr>
            <w:r w:rsidRPr="00D8383E">
              <w:rPr>
                <w:sz w:val="18"/>
                <w:szCs w:val="18"/>
              </w:rPr>
              <w:t xml:space="preserve">Target (2027): </w:t>
            </w:r>
            <w:r w:rsidR="00686CAE" w:rsidRPr="00D8383E">
              <w:rPr>
                <w:sz w:val="18"/>
                <w:szCs w:val="18"/>
              </w:rPr>
              <w:t>19</w:t>
            </w:r>
          </w:p>
          <w:p w14:paraId="18A42534" w14:textId="77777777" w:rsidR="00A021BE" w:rsidRPr="00D8383E" w:rsidRDefault="00A021BE" w:rsidP="00126BEC">
            <w:pPr>
              <w:rPr>
                <w:sz w:val="18"/>
                <w:szCs w:val="18"/>
              </w:rPr>
            </w:pPr>
            <w:r w:rsidRPr="00D8383E" w:rsidDel="0E3BCDB7">
              <w:rPr>
                <w:sz w:val="18"/>
                <w:szCs w:val="18"/>
              </w:rPr>
              <w:t>Source</w:t>
            </w:r>
            <w:r w:rsidRPr="00D8383E">
              <w:rPr>
                <w:sz w:val="18"/>
                <w:szCs w:val="18"/>
              </w:rPr>
              <w:t>/Frequency</w:t>
            </w:r>
            <w:r w:rsidRPr="00D8383E" w:rsidDel="0E3BCDB7">
              <w:rPr>
                <w:sz w:val="18"/>
                <w:szCs w:val="18"/>
              </w:rPr>
              <w:t xml:space="preserve">: </w:t>
            </w:r>
            <w:r w:rsidRPr="00D8383E" w:rsidDel="32652A84">
              <w:rPr>
                <w:sz w:val="18"/>
                <w:szCs w:val="18"/>
              </w:rPr>
              <w:t>UNDP</w:t>
            </w:r>
            <w:r w:rsidRPr="00D8383E">
              <w:rPr>
                <w:sz w:val="18"/>
                <w:szCs w:val="18"/>
              </w:rPr>
              <w:t>/Annual</w:t>
            </w:r>
          </w:p>
        </w:tc>
        <w:tc>
          <w:tcPr>
            <w:tcW w:w="2222" w:type="dxa"/>
            <w:vMerge w:val="restart"/>
            <w:shd w:val="clear" w:color="auto" w:fill="auto"/>
            <w:tcMar>
              <w:top w:w="0" w:type="dxa"/>
              <w:left w:w="29" w:type="dxa"/>
              <w:bottom w:w="0" w:type="dxa"/>
              <w:right w:w="29" w:type="dxa"/>
            </w:tcMar>
          </w:tcPr>
          <w:p w14:paraId="0370F9D7" w14:textId="6580EB2D" w:rsidR="00A021BE" w:rsidRPr="00D8383E" w:rsidRDefault="00A021BE" w:rsidP="00126BEC">
            <w:pPr>
              <w:rPr>
                <w:rFonts w:eastAsiaTheme="minorEastAsia"/>
                <w:sz w:val="18"/>
                <w:szCs w:val="18"/>
              </w:rPr>
            </w:pPr>
            <w:r w:rsidRPr="00D8383E">
              <w:rPr>
                <w:rFonts w:eastAsiaTheme="minorEastAsia"/>
                <w:sz w:val="18"/>
                <w:szCs w:val="18"/>
              </w:rPr>
              <w:lastRenderedPageBreak/>
              <w:t xml:space="preserve">Ministries: </w:t>
            </w:r>
            <w:r w:rsidR="008941D0">
              <w:rPr>
                <w:rFonts w:eastAsiaTheme="minorEastAsia"/>
                <w:sz w:val="18"/>
                <w:szCs w:val="18"/>
              </w:rPr>
              <w:t xml:space="preserve">of </w:t>
            </w:r>
            <w:r w:rsidRPr="00D8383E">
              <w:rPr>
                <w:rFonts w:eastAsiaTheme="minorEastAsia"/>
                <w:sz w:val="18"/>
                <w:szCs w:val="18"/>
              </w:rPr>
              <w:t>Finance</w:t>
            </w:r>
            <w:r w:rsidR="00374F60">
              <w:rPr>
                <w:rFonts w:eastAsiaTheme="minorEastAsia"/>
                <w:sz w:val="18"/>
                <w:szCs w:val="18"/>
              </w:rPr>
              <w:t>;</w:t>
            </w:r>
            <w:r w:rsidRPr="00D8383E">
              <w:rPr>
                <w:rFonts w:eastAsiaTheme="minorEastAsia"/>
                <w:sz w:val="18"/>
                <w:szCs w:val="18"/>
              </w:rPr>
              <w:t xml:space="preserve"> (MoF),</w:t>
            </w:r>
            <w:r w:rsidR="008941D0">
              <w:rPr>
                <w:rFonts w:eastAsiaTheme="minorEastAsia"/>
                <w:sz w:val="18"/>
                <w:szCs w:val="18"/>
              </w:rPr>
              <w:t xml:space="preserve"> of</w:t>
            </w:r>
            <w:r w:rsidRPr="00D8383E">
              <w:rPr>
                <w:rFonts w:eastAsiaTheme="minorEastAsia"/>
                <w:sz w:val="18"/>
                <w:szCs w:val="18"/>
              </w:rPr>
              <w:t xml:space="preserve"> Industry, Commerce and Supplies</w:t>
            </w:r>
            <w:r w:rsidR="00374F60">
              <w:rPr>
                <w:rFonts w:eastAsiaTheme="minorEastAsia"/>
                <w:sz w:val="18"/>
                <w:szCs w:val="18"/>
              </w:rPr>
              <w:t>;</w:t>
            </w:r>
            <w:r w:rsidRPr="00D8383E">
              <w:rPr>
                <w:rFonts w:eastAsiaTheme="minorEastAsia"/>
                <w:sz w:val="18"/>
                <w:szCs w:val="18"/>
              </w:rPr>
              <w:t xml:space="preserve"> </w:t>
            </w:r>
            <w:r w:rsidR="008941D0">
              <w:rPr>
                <w:rFonts w:eastAsiaTheme="minorEastAsia"/>
                <w:sz w:val="18"/>
                <w:szCs w:val="18"/>
              </w:rPr>
              <w:t xml:space="preserve">of </w:t>
            </w:r>
            <w:r w:rsidRPr="00D8383E">
              <w:rPr>
                <w:rFonts w:eastAsiaTheme="minorEastAsia"/>
                <w:sz w:val="18"/>
                <w:szCs w:val="18"/>
              </w:rPr>
              <w:t>Land Management, Cooperatives and Poverty Alleviation</w:t>
            </w:r>
            <w:r w:rsidR="00374F60">
              <w:rPr>
                <w:rFonts w:eastAsiaTheme="minorEastAsia"/>
                <w:sz w:val="18"/>
                <w:szCs w:val="18"/>
              </w:rPr>
              <w:t>;</w:t>
            </w:r>
            <w:r w:rsidRPr="00D8383E">
              <w:rPr>
                <w:rFonts w:eastAsiaTheme="minorEastAsia"/>
                <w:sz w:val="18"/>
                <w:szCs w:val="18"/>
              </w:rPr>
              <w:t xml:space="preserve"> </w:t>
            </w:r>
            <w:r w:rsidR="008941D0">
              <w:rPr>
                <w:rFonts w:eastAsiaTheme="minorEastAsia"/>
                <w:sz w:val="18"/>
                <w:szCs w:val="18"/>
              </w:rPr>
              <w:t xml:space="preserve">of </w:t>
            </w:r>
            <w:r w:rsidRPr="00D8383E">
              <w:rPr>
                <w:rFonts w:eastAsiaTheme="minorEastAsia"/>
                <w:sz w:val="18"/>
                <w:szCs w:val="18"/>
              </w:rPr>
              <w:t>Education</w:t>
            </w:r>
            <w:r w:rsidR="00374F60">
              <w:rPr>
                <w:rFonts w:eastAsiaTheme="minorEastAsia"/>
                <w:sz w:val="18"/>
                <w:szCs w:val="18"/>
              </w:rPr>
              <w:t>;</w:t>
            </w:r>
            <w:r w:rsidRPr="00D8383E">
              <w:rPr>
                <w:rFonts w:eastAsiaTheme="minorEastAsia"/>
                <w:sz w:val="18"/>
                <w:szCs w:val="18"/>
              </w:rPr>
              <w:t xml:space="preserve"> </w:t>
            </w:r>
            <w:r w:rsidR="008941D0">
              <w:rPr>
                <w:rFonts w:eastAsiaTheme="minorEastAsia"/>
                <w:sz w:val="18"/>
                <w:szCs w:val="18"/>
              </w:rPr>
              <w:t xml:space="preserve">of </w:t>
            </w:r>
            <w:r w:rsidRPr="00D8383E">
              <w:rPr>
                <w:rFonts w:eastAsiaTheme="minorEastAsia"/>
                <w:sz w:val="18"/>
                <w:szCs w:val="18"/>
              </w:rPr>
              <w:t>Federal Affairs and General Administration (MoFAGA)</w:t>
            </w:r>
            <w:r w:rsidR="00374F60">
              <w:rPr>
                <w:rFonts w:eastAsiaTheme="minorEastAsia"/>
                <w:sz w:val="18"/>
                <w:szCs w:val="18"/>
              </w:rPr>
              <w:t>;</w:t>
            </w:r>
            <w:r w:rsidR="00D64A3A" w:rsidRPr="00D8383E">
              <w:rPr>
                <w:rFonts w:eastAsiaTheme="minorEastAsia"/>
                <w:sz w:val="18"/>
                <w:szCs w:val="18"/>
              </w:rPr>
              <w:t xml:space="preserve"> </w:t>
            </w:r>
            <w:r w:rsidR="008941D0">
              <w:rPr>
                <w:rFonts w:eastAsiaTheme="minorEastAsia"/>
                <w:sz w:val="18"/>
                <w:szCs w:val="18"/>
              </w:rPr>
              <w:t xml:space="preserve">of </w:t>
            </w:r>
            <w:r w:rsidR="00D64A3A" w:rsidRPr="00D8383E">
              <w:rPr>
                <w:rFonts w:eastAsiaTheme="minorEastAsia"/>
                <w:sz w:val="18"/>
                <w:szCs w:val="18"/>
              </w:rPr>
              <w:t>Labour, Employment and Social Security (MoLESS)</w:t>
            </w:r>
            <w:r w:rsidR="00374F60">
              <w:rPr>
                <w:rFonts w:eastAsiaTheme="minorEastAsia"/>
                <w:sz w:val="18"/>
                <w:szCs w:val="18"/>
              </w:rPr>
              <w:t>;</w:t>
            </w:r>
            <w:r w:rsidR="008941D0">
              <w:rPr>
                <w:rFonts w:eastAsiaTheme="minorEastAsia"/>
                <w:sz w:val="18"/>
                <w:szCs w:val="18"/>
              </w:rPr>
              <w:t xml:space="preserve"> of</w:t>
            </w:r>
            <w:r w:rsidR="00D64A3A" w:rsidRPr="00D8383E">
              <w:rPr>
                <w:rFonts w:eastAsiaTheme="minorEastAsia"/>
                <w:sz w:val="18"/>
                <w:szCs w:val="18"/>
              </w:rPr>
              <w:t xml:space="preserve"> </w:t>
            </w:r>
            <w:r w:rsidRPr="00D8383E">
              <w:rPr>
                <w:rFonts w:eastAsiaTheme="minorEastAsia"/>
                <w:sz w:val="18"/>
                <w:szCs w:val="18"/>
              </w:rPr>
              <w:t>Urban Development</w:t>
            </w:r>
            <w:r w:rsidR="00864447" w:rsidRPr="00D8383E">
              <w:rPr>
                <w:rFonts w:eastAsiaTheme="minorEastAsia"/>
                <w:sz w:val="18"/>
                <w:szCs w:val="18"/>
              </w:rPr>
              <w:t xml:space="preserve"> (MoUD)</w:t>
            </w:r>
            <w:r w:rsidR="00374F60">
              <w:rPr>
                <w:rFonts w:eastAsiaTheme="minorEastAsia"/>
                <w:sz w:val="18"/>
                <w:szCs w:val="18"/>
              </w:rPr>
              <w:t>;</w:t>
            </w:r>
            <w:r w:rsidRPr="00D8383E">
              <w:rPr>
                <w:rFonts w:eastAsiaTheme="minorEastAsia"/>
                <w:sz w:val="18"/>
                <w:szCs w:val="18"/>
              </w:rPr>
              <w:t xml:space="preserve"> </w:t>
            </w:r>
            <w:r w:rsidR="008941D0">
              <w:rPr>
                <w:rFonts w:eastAsiaTheme="minorEastAsia"/>
                <w:sz w:val="18"/>
                <w:szCs w:val="18"/>
              </w:rPr>
              <w:t xml:space="preserve">of </w:t>
            </w:r>
            <w:r w:rsidRPr="00D8383E">
              <w:rPr>
                <w:rFonts w:eastAsiaTheme="minorEastAsia"/>
                <w:sz w:val="18"/>
                <w:szCs w:val="18"/>
              </w:rPr>
              <w:t>Energy</w:t>
            </w:r>
            <w:r w:rsidR="00374F60">
              <w:rPr>
                <w:rFonts w:eastAsiaTheme="minorEastAsia"/>
                <w:sz w:val="18"/>
                <w:szCs w:val="18"/>
              </w:rPr>
              <w:t>;</w:t>
            </w:r>
            <w:r w:rsidRPr="00D8383E">
              <w:rPr>
                <w:rFonts w:eastAsiaTheme="minorEastAsia"/>
                <w:sz w:val="18"/>
                <w:szCs w:val="18"/>
              </w:rPr>
              <w:t xml:space="preserve"> </w:t>
            </w:r>
            <w:r w:rsidR="008941D0">
              <w:rPr>
                <w:rFonts w:eastAsiaTheme="minorEastAsia"/>
                <w:sz w:val="18"/>
                <w:szCs w:val="18"/>
              </w:rPr>
              <w:t xml:space="preserve">of </w:t>
            </w:r>
            <w:r w:rsidRPr="00D8383E">
              <w:rPr>
                <w:rFonts w:eastAsiaTheme="minorEastAsia"/>
                <w:sz w:val="18"/>
                <w:szCs w:val="18"/>
              </w:rPr>
              <w:t>Forest and Environment (MoFE)</w:t>
            </w:r>
            <w:r w:rsidR="00374F60">
              <w:rPr>
                <w:rFonts w:eastAsiaTheme="minorEastAsia"/>
                <w:sz w:val="18"/>
                <w:szCs w:val="18"/>
              </w:rPr>
              <w:t>;</w:t>
            </w:r>
            <w:r w:rsidRPr="00D8383E">
              <w:rPr>
                <w:rFonts w:eastAsiaTheme="minorEastAsia"/>
                <w:sz w:val="18"/>
                <w:szCs w:val="18"/>
              </w:rPr>
              <w:t xml:space="preserve"> </w:t>
            </w:r>
            <w:r w:rsidR="008941D0">
              <w:rPr>
                <w:rFonts w:eastAsiaTheme="minorEastAsia"/>
                <w:sz w:val="18"/>
                <w:szCs w:val="18"/>
              </w:rPr>
              <w:t xml:space="preserve">of </w:t>
            </w:r>
            <w:r w:rsidRPr="00D8383E">
              <w:rPr>
                <w:rFonts w:eastAsiaTheme="minorEastAsia"/>
                <w:sz w:val="18"/>
                <w:szCs w:val="18"/>
              </w:rPr>
              <w:t>Agriculture and Livestock Development (MoALD)</w:t>
            </w:r>
            <w:r w:rsidR="00374F60">
              <w:rPr>
                <w:rFonts w:eastAsiaTheme="minorEastAsia"/>
                <w:sz w:val="18"/>
                <w:szCs w:val="18"/>
              </w:rPr>
              <w:t>;</w:t>
            </w:r>
            <w:r w:rsidRPr="00D8383E">
              <w:rPr>
                <w:rFonts w:eastAsiaTheme="minorEastAsia"/>
                <w:sz w:val="18"/>
                <w:szCs w:val="18"/>
              </w:rPr>
              <w:t xml:space="preserve"> Central Bank</w:t>
            </w:r>
            <w:r w:rsidR="00374F60">
              <w:rPr>
                <w:rFonts w:eastAsiaTheme="minorEastAsia"/>
                <w:sz w:val="18"/>
                <w:szCs w:val="18"/>
              </w:rPr>
              <w:t>;</w:t>
            </w:r>
            <w:r w:rsidRPr="00D8383E">
              <w:rPr>
                <w:rFonts w:eastAsiaTheme="minorEastAsia"/>
                <w:sz w:val="18"/>
                <w:szCs w:val="18"/>
              </w:rPr>
              <w:t xml:space="preserve"> NPC</w:t>
            </w:r>
            <w:r w:rsidR="00374F60">
              <w:rPr>
                <w:rFonts w:eastAsiaTheme="minorEastAsia"/>
                <w:sz w:val="18"/>
                <w:szCs w:val="18"/>
              </w:rPr>
              <w:t>;</w:t>
            </w:r>
            <w:r w:rsidRPr="00D8383E">
              <w:rPr>
                <w:rFonts w:eastAsiaTheme="minorEastAsia"/>
                <w:sz w:val="18"/>
                <w:szCs w:val="18"/>
              </w:rPr>
              <w:t xml:space="preserve"> </w:t>
            </w:r>
            <w:r w:rsidR="00567DA0">
              <w:rPr>
                <w:rFonts w:eastAsiaTheme="minorEastAsia"/>
                <w:sz w:val="18"/>
                <w:szCs w:val="18"/>
              </w:rPr>
              <w:t>provincial and local governments</w:t>
            </w:r>
            <w:r w:rsidR="00374F60">
              <w:rPr>
                <w:rFonts w:eastAsiaTheme="minorEastAsia"/>
                <w:sz w:val="18"/>
                <w:szCs w:val="18"/>
              </w:rPr>
              <w:t>;</w:t>
            </w:r>
            <w:r w:rsidRPr="00D8383E">
              <w:rPr>
                <w:rFonts w:eastAsiaTheme="minorEastAsia"/>
                <w:sz w:val="18"/>
                <w:szCs w:val="18"/>
              </w:rPr>
              <w:t xml:space="preserve"> private sector</w:t>
            </w:r>
            <w:r w:rsidR="00374F60">
              <w:rPr>
                <w:rFonts w:eastAsiaTheme="minorEastAsia"/>
                <w:sz w:val="18"/>
                <w:szCs w:val="18"/>
              </w:rPr>
              <w:t>;</w:t>
            </w:r>
            <w:r w:rsidRPr="00D8383E">
              <w:rPr>
                <w:rFonts w:eastAsiaTheme="minorEastAsia"/>
                <w:sz w:val="18"/>
                <w:szCs w:val="18"/>
              </w:rPr>
              <w:t xml:space="preserve"> financial institutions</w:t>
            </w:r>
            <w:r w:rsidR="00374F60">
              <w:rPr>
                <w:rFonts w:eastAsiaTheme="minorEastAsia"/>
                <w:sz w:val="18"/>
                <w:szCs w:val="18"/>
              </w:rPr>
              <w:t>;</w:t>
            </w:r>
            <w:r w:rsidRPr="00D8383E">
              <w:rPr>
                <w:rFonts w:eastAsiaTheme="minorEastAsia"/>
                <w:sz w:val="18"/>
                <w:szCs w:val="18"/>
              </w:rPr>
              <w:t xml:space="preserve"> </w:t>
            </w:r>
            <w:r w:rsidR="00D61085" w:rsidRPr="00D8383E">
              <w:rPr>
                <w:rFonts w:eastAsiaTheme="minorEastAsia"/>
                <w:sz w:val="18"/>
                <w:szCs w:val="18"/>
              </w:rPr>
              <w:t xml:space="preserve">civil society/ </w:t>
            </w:r>
            <w:r w:rsidRPr="00D8383E">
              <w:rPr>
                <w:rFonts w:eastAsiaTheme="minorEastAsia"/>
                <w:sz w:val="18"/>
                <w:szCs w:val="18"/>
              </w:rPr>
              <w:t>community-based organizations</w:t>
            </w:r>
            <w:r w:rsidR="00374F60">
              <w:rPr>
                <w:rFonts w:eastAsiaTheme="minorEastAsia"/>
                <w:sz w:val="18"/>
                <w:szCs w:val="18"/>
              </w:rPr>
              <w:t>;</w:t>
            </w:r>
            <w:r w:rsidR="00DC7ECA">
              <w:rPr>
                <w:rFonts w:eastAsiaTheme="minorEastAsia"/>
                <w:sz w:val="18"/>
                <w:szCs w:val="18"/>
              </w:rPr>
              <w:t xml:space="preserve"> </w:t>
            </w:r>
            <w:r w:rsidR="00511569" w:rsidRPr="00D8383E">
              <w:rPr>
                <w:rFonts w:eastAsiaTheme="minorEastAsia"/>
                <w:sz w:val="18"/>
                <w:szCs w:val="18"/>
              </w:rPr>
              <w:t xml:space="preserve">IFAD, </w:t>
            </w:r>
            <w:r w:rsidR="00256D76" w:rsidRPr="00D8383E">
              <w:rPr>
                <w:rFonts w:eastAsiaTheme="minorEastAsia"/>
                <w:sz w:val="18"/>
                <w:szCs w:val="18"/>
              </w:rPr>
              <w:t xml:space="preserve">ILO, IOM, </w:t>
            </w:r>
            <w:r w:rsidR="001028CE" w:rsidRPr="00D8383E">
              <w:rPr>
                <w:rFonts w:eastAsiaTheme="minorEastAsia"/>
                <w:sz w:val="18"/>
                <w:szCs w:val="18"/>
              </w:rPr>
              <w:t xml:space="preserve">UNCDF, </w:t>
            </w:r>
            <w:r w:rsidR="00511569" w:rsidRPr="00D8383E">
              <w:rPr>
                <w:rFonts w:eastAsiaTheme="minorEastAsia"/>
                <w:sz w:val="18"/>
                <w:szCs w:val="18"/>
              </w:rPr>
              <w:t>UN-H</w:t>
            </w:r>
            <w:r w:rsidR="00567DA0" w:rsidRPr="00567DA0">
              <w:rPr>
                <w:rFonts w:eastAsiaTheme="minorEastAsia"/>
                <w:sz w:val="16"/>
                <w:szCs w:val="16"/>
              </w:rPr>
              <w:t>abitat</w:t>
            </w:r>
            <w:r w:rsidR="00511569" w:rsidRPr="00D8383E">
              <w:rPr>
                <w:rFonts w:eastAsiaTheme="minorEastAsia"/>
                <w:sz w:val="18"/>
                <w:szCs w:val="18"/>
              </w:rPr>
              <w:t xml:space="preserve">, </w:t>
            </w:r>
            <w:r w:rsidR="001028CE" w:rsidRPr="00D8383E">
              <w:rPr>
                <w:rFonts w:eastAsiaTheme="minorEastAsia"/>
                <w:sz w:val="18"/>
                <w:szCs w:val="18"/>
              </w:rPr>
              <w:t xml:space="preserve">UNICEF, </w:t>
            </w:r>
            <w:r w:rsidRPr="00D8383E">
              <w:rPr>
                <w:rFonts w:eastAsiaTheme="minorEastAsia"/>
                <w:sz w:val="18"/>
                <w:szCs w:val="18"/>
              </w:rPr>
              <w:t>UN</w:t>
            </w:r>
            <w:r w:rsidR="00567DA0">
              <w:rPr>
                <w:rFonts w:eastAsiaTheme="minorEastAsia"/>
                <w:sz w:val="18"/>
                <w:szCs w:val="18"/>
              </w:rPr>
              <w:t>-</w:t>
            </w:r>
            <w:r w:rsidR="00616C35" w:rsidRPr="00D8383E">
              <w:rPr>
                <w:rFonts w:eastAsiaTheme="minorEastAsia"/>
                <w:sz w:val="18"/>
                <w:szCs w:val="18"/>
              </w:rPr>
              <w:t>Women,</w:t>
            </w:r>
            <w:r w:rsidR="00511569" w:rsidRPr="00D8383E">
              <w:rPr>
                <w:rFonts w:eastAsiaTheme="minorEastAsia"/>
                <w:sz w:val="18"/>
                <w:szCs w:val="18"/>
              </w:rPr>
              <w:t xml:space="preserve"> WFP</w:t>
            </w:r>
          </w:p>
        </w:tc>
        <w:tc>
          <w:tcPr>
            <w:tcW w:w="1830" w:type="dxa"/>
            <w:tcBorders>
              <w:bottom w:val="nil"/>
            </w:tcBorders>
            <w:shd w:val="clear" w:color="auto" w:fill="auto"/>
            <w:tcMar>
              <w:top w:w="15" w:type="dxa"/>
              <w:left w:w="108" w:type="dxa"/>
              <w:bottom w:w="0" w:type="dxa"/>
              <w:right w:w="108" w:type="dxa"/>
            </w:tcMar>
          </w:tcPr>
          <w:p w14:paraId="202D5E69" w14:textId="0AEF315D" w:rsidR="00A021BE" w:rsidRPr="00D8383E" w:rsidRDefault="00A021BE" w:rsidP="00126BEC">
            <w:pPr>
              <w:rPr>
                <w:sz w:val="18"/>
                <w:szCs w:val="18"/>
              </w:rPr>
            </w:pPr>
            <w:r w:rsidRPr="00D8383E">
              <w:rPr>
                <w:sz w:val="18"/>
                <w:szCs w:val="18"/>
              </w:rPr>
              <w:t>Regular</w:t>
            </w:r>
            <w:r w:rsidR="00121289">
              <w:rPr>
                <w:sz w:val="18"/>
                <w:szCs w:val="18"/>
              </w:rPr>
              <w:t>:</w:t>
            </w:r>
            <w:r w:rsidR="00BF7C80">
              <w:rPr>
                <w:sz w:val="18"/>
                <w:szCs w:val="18"/>
              </w:rPr>
              <w:t xml:space="preserve"> </w:t>
            </w:r>
            <w:r w:rsidR="00121289">
              <w:rPr>
                <w:sz w:val="18"/>
                <w:szCs w:val="18"/>
              </w:rPr>
              <w:t>$</w:t>
            </w:r>
            <w:r w:rsidRPr="00D8383E">
              <w:rPr>
                <w:sz w:val="18"/>
                <w:szCs w:val="18"/>
              </w:rPr>
              <w:t>7,800,000</w:t>
            </w:r>
          </w:p>
          <w:p w14:paraId="51D238D6" w14:textId="456D87F6" w:rsidR="00A021BE" w:rsidRPr="00D8383E" w:rsidRDefault="00A021BE" w:rsidP="00121289">
            <w:pPr>
              <w:rPr>
                <w:sz w:val="18"/>
                <w:szCs w:val="18"/>
              </w:rPr>
            </w:pPr>
            <w:r w:rsidRPr="00D8383E">
              <w:rPr>
                <w:sz w:val="18"/>
                <w:szCs w:val="18"/>
              </w:rPr>
              <w:t>Other</w:t>
            </w:r>
            <w:r w:rsidR="00121289">
              <w:rPr>
                <w:sz w:val="18"/>
                <w:szCs w:val="18"/>
              </w:rPr>
              <w:t>: $</w:t>
            </w:r>
            <w:r w:rsidRPr="00D8383E">
              <w:rPr>
                <w:sz w:val="18"/>
                <w:szCs w:val="18"/>
              </w:rPr>
              <w:t>15,409,590</w:t>
            </w:r>
          </w:p>
        </w:tc>
      </w:tr>
      <w:tr w:rsidR="00A021BE" w:rsidRPr="00D8383E" w14:paraId="797A6635" w14:textId="77777777" w:rsidTr="006F0C78">
        <w:trPr>
          <w:trHeight w:val="3900"/>
        </w:trPr>
        <w:tc>
          <w:tcPr>
            <w:tcW w:w="2397" w:type="dxa"/>
            <w:vMerge/>
          </w:tcPr>
          <w:p w14:paraId="5DE4E680" w14:textId="77777777" w:rsidR="00A021BE" w:rsidRPr="00D8383E" w:rsidRDefault="00A021BE" w:rsidP="00126BEC">
            <w:pPr>
              <w:rPr>
                <w:sz w:val="18"/>
                <w:szCs w:val="18"/>
              </w:rPr>
            </w:pPr>
          </w:p>
        </w:tc>
        <w:tc>
          <w:tcPr>
            <w:tcW w:w="2571" w:type="dxa"/>
            <w:vMerge/>
            <w:tcMar>
              <w:top w:w="0" w:type="dxa"/>
              <w:left w:w="29" w:type="dxa"/>
              <w:bottom w:w="0" w:type="dxa"/>
              <w:right w:w="29" w:type="dxa"/>
            </w:tcMar>
          </w:tcPr>
          <w:p w14:paraId="316B9810" w14:textId="77777777" w:rsidR="00A021BE" w:rsidRPr="00D8383E" w:rsidRDefault="00A021BE" w:rsidP="00126BEC">
            <w:pPr>
              <w:rPr>
                <w:sz w:val="18"/>
                <w:szCs w:val="18"/>
              </w:rPr>
            </w:pPr>
          </w:p>
        </w:tc>
        <w:tc>
          <w:tcPr>
            <w:tcW w:w="3965" w:type="dxa"/>
            <w:vMerge/>
          </w:tcPr>
          <w:p w14:paraId="07B5764E" w14:textId="77777777" w:rsidR="00A021BE" w:rsidRPr="00D8383E" w:rsidRDefault="00A021BE" w:rsidP="00126BEC">
            <w:pPr>
              <w:rPr>
                <w:sz w:val="18"/>
                <w:szCs w:val="18"/>
              </w:rPr>
            </w:pPr>
          </w:p>
        </w:tc>
        <w:tc>
          <w:tcPr>
            <w:tcW w:w="2222" w:type="dxa"/>
            <w:vMerge/>
            <w:tcMar>
              <w:top w:w="0" w:type="dxa"/>
              <w:left w:w="29" w:type="dxa"/>
              <w:bottom w:w="0" w:type="dxa"/>
              <w:right w:w="29" w:type="dxa"/>
            </w:tcMar>
          </w:tcPr>
          <w:p w14:paraId="578855AB" w14:textId="77777777" w:rsidR="00A021BE" w:rsidRPr="00D8383E" w:rsidRDefault="00A021BE" w:rsidP="00126BEC">
            <w:pPr>
              <w:rPr>
                <w:sz w:val="18"/>
                <w:szCs w:val="18"/>
              </w:rPr>
            </w:pPr>
          </w:p>
        </w:tc>
        <w:tc>
          <w:tcPr>
            <w:tcW w:w="1830" w:type="dxa"/>
            <w:tcBorders>
              <w:top w:val="nil"/>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44B57F7" w14:textId="761EDB11" w:rsidR="00A021BE" w:rsidRPr="00D8383E" w:rsidRDefault="00A021BE" w:rsidP="00126BEC">
            <w:pPr>
              <w:rPr>
                <w:sz w:val="18"/>
                <w:szCs w:val="18"/>
              </w:rPr>
            </w:pPr>
          </w:p>
        </w:tc>
      </w:tr>
    </w:tbl>
    <w:p w14:paraId="176124AB" w14:textId="77777777" w:rsidR="006F0C78" w:rsidRDefault="006F0C78">
      <w:r>
        <w:br w:type="page"/>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44" w:type="dxa"/>
          <w:bottom w:w="72" w:type="dxa"/>
          <w:right w:w="144" w:type="dxa"/>
        </w:tblCellMar>
        <w:tblLook w:val="00A0" w:firstRow="1" w:lastRow="0" w:firstColumn="1" w:lastColumn="0" w:noHBand="0" w:noVBand="0"/>
      </w:tblPr>
      <w:tblGrid>
        <w:gridCol w:w="2397"/>
        <w:gridCol w:w="2571"/>
        <w:gridCol w:w="3965"/>
        <w:gridCol w:w="2222"/>
        <w:gridCol w:w="1830"/>
      </w:tblGrid>
      <w:tr w:rsidR="00A021BE" w:rsidRPr="00D8383E" w14:paraId="678BAA5E" w14:textId="77777777" w:rsidTr="2A30F008">
        <w:trPr>
          <w:trHeight w:val="25"/>
        </w:trPr>
        <w:tc>
          <w:tcPr>
            <w:tcW w:w="12985" w:type="dxa"/>
            <w:gridSpan w:val="5"/>
            <w:shd w:val="clear" w:color="auto" w:fill="DBE5F1" w:themeFill="accent1" w:themeFillTint="33"/>
          </w:tcPr>
          <w:p w14:paraId="67B00A65" w14:textId="52C62AB4" w:rsidR="00A021BE" w:rsidRPr="00D8383E" w:rsidRDefault="00A021BE" w:rsidP="00126BEC">
            <w:pPr>
              <w:rPr>
                <w:sz w:val="18"/>
                <w:szCs w:val="18"/>
                <w:lang w:val="en-GB"/>
              </w:rPr>
            </w:pPr>
            <w:r w:rsidRPr="00D8383E">
              <w:rPr>
                <w:sz w:val="18"/>
                <w:szCs w:val="18"/>
              </w:rPr>
              <w:lastRenderedPageBreak/>
              <w:t xml:space="preserve">NATIONAL PRIORITY OR GOAL: 15th Plan – </w:t>
            </w:r>
            <w:r w:rsidRPr="00D8383E">
              <w:rPr>
                <w:rFonts w:eastAsia="Calibri"/>
                <w:sz w:val="18"/>
                <w:szCs w:val="18"/>
              </w:rPr>
              <w:t>Goal-6. Safe, civilized</w:t>
            </w:r>
            <w:r w:rsidR="00D40F9B">
              <w:rPr>
                <w:rFonts w:eastAsia="Calibri"/>
                <w:sz w:val="18"/>
                <w:szCs w:val="18"/>
              </w:rPr>
              <w:t xml:space="preserve">                                                                                                                                                                                                                                                                              </w:t>
            </w:r>
            <w:r w:rsidRPr="00D8383E">
              <w:rPr>
                <w:rFonts w:eastAsia="Calibri"/>
                <w:sz w:val="18"/>
                <w:szCs w:val="18"/>
              </w:rPr>
              <w:t xml:space="preserve"> and just society; Goal-8. Good governance and rule of law; Goal-9. Comprehensive democracy; Goal-10. National unity, security</w:t>
            </w:r>
            <w:r w:rsidR="00A2025E">
              <w:rPr>
                <w:rFonts w:eastAsia="Calibri"/>
                <w:sz w:val="18"/>
                <w:szCs w:val="18"/>
              </w:rPr>
              <w:t xml:space="preserve"> and</w:t>
            </w:r>
            <w:r w:rsidRPr="00D8383E">
              <w:rPr>
                <w:rFonts w:eastAsia="Calibri"/>
                <w:sz w:val="18"/>
                <w:szCs w:val="18"/>
              </w:rPr>
              <w:t xml:space="preserve"> dignity.</w:t>
            </w:r>
            <w:r w:rsidRPr="00D8383E">
              <w:rPr>
                <w:sz w:val="18"/>
                <w:szCs w:val="18"/>
              </w:rPr>
              <w:t xml:space="preserve"> </w:t>
            </w:r>
          </w:p>
        </w:tc>
      </w:tr>
      <w:tr w:rsidR="00A021BE" w:rsidRPr="00D8383E" w14:paraId="356BC861" w14:textId="77777777" w:rsidTr="2A30F008">
        <w:trPr>
          <w:trHeight w:val="124"/>
        </w:trPr>
        <w:tc>
          <w:tcPr>
            <w:tcW w:w="12985" w:type="dxa"/>
            <w:gridSpan w:val="5"/>
            <w:shd w:val="clear" w:color="auto" w:fill="DBE5F1" w:themeFill="accent1" w:themeFillTint="33"/>
          </w:tcPr>
          <w:p w14:paraId="7413C4A4" w14:textId="75F7E0CE" w:rsidR="00A021BE" w:rsidRPr="00D8383E" w:rsidRDefault="00A021BE" w:rsidP="00126BEC">
            <w:pPr>
              <w:rPr>
                <w:rFonts w:eastAsia="Calibri"/>
                <w:sz w:val="18"/>
                <w:szCs w:val="18"/>
              </w:rPr>
            </w:pPr>
            <w:r w:rsidRPr="00D8383E">
              <w:rPr>
                <w:sz w:val="18"/>
                <w:szCs w:val="18"/>
              </w:rPr>
              <w:t xml:space="preserve">COOPERATION FRAMEWORK (OR EQUIVALENT) OUTCOME INVOLVING UNDP #2:  </w:t>
            </w:r>
            <w:r w:rsidRPr="00D8383E">
              <w:rPr>
                <w:rFonts w:eastAsia="Calibri"/>
                <w:sz w:val="18"/>
                <w:szCs w:val="18"/>
              </w:rPr>
              <w:t xml:space="preserve">By 2027, more people, especially women, youth, and the most marginalized and poor increasingly participate in and benefit from coordinated, inclusive, </w:t>
            </w:r>
            <w:r w:rsidR="0078407B" w:rsidRPr="00D8383E">
              <w:rPr>
                <w:rFonts w:eastAsia="Calibri"/>
                <w:sz w:val="18"/>
                <w:szCs w:val="18"/>
              </w:rPr>
              <w:t xml:space="preserve">accessible, </w:t>
            </w:r>
            <w:r w:rsidRPr="00D8383E">
              <w:rPr>
                <w:rFonts w:eastAsia="Calibri"/>
                <w:sz w:val="18"/>
                <w:szCs w:val="18"/>
              </w:rPr>
              <w:t>participatory, transparent</w:t>
            </w:r>
            <w:r w:rsidR="00A2025E">
              <w:rPr>
                <w:rFonts w:eastAsia="Calibri"/>
                <w:sz w:val="18"/>
                <w:szCs w:val="18"/>
              </w:rPr>
              <w:t xml:space="preserve"> and</w:t>
            </w:r>
            <w:r w:rsidRPr="00D8383E">
              <w:rPr>
                <w:rFonts w:eastAsia="Calibri"/>
                <w:sz w:val="18"/>
                <w:szCs w:val="18"/>
              </w:rPr>
              <w:t xml:space="preserve"> gender-responsive governance, access to justice and human rights at federal, provincial</w:t>
            </w:r>
            <w:r w:rsidR="00A2025E">
              <w:rPr>
                <w:rFonts w:eastAsia="Calibri"/>
                <w:sz w:val="18"/>
                <w:szCs w:val="18"/>
              </w:rPr>
              <w:t xml:space="preserve"> and</w:t>
            </w:r>
            <w:r w:rsidRPr="00D8383E">
              <w:rPr>
                <w:rFonts w:eastAsia="Calibri"/>
                <w:sz w:val="18"/>
                <w:szCs w:val="18"/>
              </w:rPr>
              <w:t xml:space="preserve"> local levels.</w:t>
            </w:r>
          </w:p>
        </w:tc>
      </w:tr>
      <w:tr w:rsidR="00A021BE" w:rsidRPr="00D8383E" w14:paraId="42613FE7" w14:textId="77777777" w:rsidTr="2A30F008">
        <w:trPr>
          <w:trHeight w:val="124"/>
        </w:trPr>
        <w:tc>
          <w:tcPr>
            <w:tcW w:w="12985" w:type="dxa"/>
            <w:gridSpan w:val="5"/>
            <w:shd w:val="clear" w:color="auto" w:fill="DBE5F1" w:themeFill="accent1" w:themeFillTint="33"/>
          </w:tcPr>
          <w:p w14:paraId="02F3145F" w14:textId="77777777" w:rsidR="00A021BE" w:rsidRPr="00D8383E" w:rsidRDefault="00A021BE" w:rsidP="00126BEC">
            <w:pPr>
              <w:rPr>
                <w:sz w:val="18"/>
                <w:szCs w:val="18"/>
              </w:rPr>
            </w:pPr>
            <w:r w:rsidRPr="00D8383E">
              <w:rPr>
                <w:sz w:val="18"/>
                <w:szCs w:val="18"/>
              </w:rPr>
              <w:t xml:space="preserve">RELATED STRATEGIC PLAN OUTCOME: Outcome-2: No one left behind centring on equitable access to opportunities and a rights-based approach to human agency and human development; </w:t>
            </w:r>
          </w:p>
        </w:tc>
      </w:tr>
      <w:tr w:rsidR="00A021BE" w:rsidRPr="00D8383E" w14:paraId="4393F11F" w14:textId="77777777" w:rsidTr="006F0C78">
        <w:trPr>
          <w:trHeight w:val="133"/>
        </w:trPr>
        <w:tc>
          <w:tcPr>
            <w:tcW w:w="2397" w:type="dxa"/>
            <w:shd w:val="clear" w:color="auto" w:fill="auto"/>
          </w:tcPr>
          <w:p w14:paraId="31E0EF04" w14:textId="77777777" w:rsidR="00A021BE" w:rsidRPr="00D8383E" w:rsidRDefault="00A021BE" w:rsidP="00126BEC">
            <w:pPr>
              <w:rPr>
                <w:sz w:val="18"/>
                <w:szCs w:val="18"/>
              </w:rPr>
            </w:pPr>
            <w:r w:rsidRPr="00D8383E">
              <w:rPr>
                <w:sz w:val="18"/>
                <w:szCs w:val="18"/>
              </w:rPr>
              <w:t>2.1. Proportion of positions in national and local institutions, including (a) the legislatures (federal and provincial); (b) public service (Federal level); and (c) judiciary (SDG-16.7.1)</w:t>
            </w:r>
          </w:p>
          <w:p w14:paraId="1D3E2793" w14:textId="77777777" w:rsidR="00A021BE" w:rsidRPr="00D8383E" w:rsidRDefault="00A021BE" w:rsidP="00126BEC">
            <w:pPr>
              <w:rPr>
                <w:sz w:val="18"/>
                <w:szCs w:val="18"/>
              </w:rPr>
            </w:pPr>
            <w:r w:rsidRPr="00D8383E">
              <w:rPr>
                <w:sz w:val="18"/>
                <w:szCs w:val="18"/>
              </w:rPr>
              <w:t xml:space="preserve">Baseline: </w:t>
            </w:r>
          </w:p>
          <w:p w14:paraId="7480F1F0" w14:textId="77777777" w:rsidR="00A021BE" w:rsidRPr="00D8383E" w:rsidRDefault="00A021BE" w:rsidP="00126BEC">
            <w:pPr>
              <w:rPr>
                <w:sz w:val="18"/>
                <w:szCs w:val="18"/>
              </w:rPr>
            </w:pPr>
            <w:r w:rsidRPr="00D8383E">
              <w:rPr>
                <w:sz w:val="18"/>
                <w:szCs w:val="18"/>
              </w:rPr>
              <w:t>Federal: M-67.66%; F-32.34%; O-0%; PwD-0%</w:t>
            </w:r>
          </w:p>
          <w:p w14:paraId="11CE8598" w14:textId="77777777" w:rsidR="00A021BE" w:rsidRPr="00D8383E" w:rsidRDefault="00A021BE" w:rsidP="00126BEC">
            <w:pPr>
              <w:rPr>
                <w:sz w:val="18"/>
                <w:szCs w:val="18"/>
              </w:rPr>
            </w:pPr>
            <w:r w:rsidRPr="00D8383E">
              <w:rPr>
                <w:sz w:val="18"/>
                <w:szCs w:val="18"/>
              </w:rPr>
              <w:t>Province: M-64.55%; F-35.45%; O-0%; PwD-0.36%</w:t>
            </w:r>
          </w:p>
          <w:p w14:paraId="3AE7C002" w14:textId="77777777" w:rsidR="00A021BE" w:rsidRPr="00D8383E" w:rsidRDefault="00A021BE" w:rsidP="00126BEC">
            <w:pPr>
              <w:rPr>
                <w:sz w:val="18"/>
                <w:szCs w:val="18"/>
              </w:rPr>
            </w:pPr>
            <w:r w:rsidRPr="00D8383E">
              <w:rPr>
                <w:sz w:val="18"/>
                <w:szCs w:val="18"/>
              </w:rPr>
              <w:t>Judiciary: 25.94%</w:t>
            </w:r>
          </w:p>
          <w:p w14:paraId="67BDD182" w14:textId="77777777" w:rsidR="00A021BE" w:rsidRPr="00D8383E" w:rsidRDefault="00A021BE" w:rsidP="00126BEC">
            <w:pPr>
              <w:rPr>
                <w:sz w:val="18"/>
                <w:szCs w:val="18"/>
              </w:rPr>
            </w:pPr>
            <w:r w:rsidRPr="00D8383E">
              <w:rPr>
                <w:sz w:val="18"/>
                <w:szCs w:val="18"/>
              </w:rPr>
              <w:t xml:space="preserve">Public service: </w:t>
            </w:r>
          </w:p>
          <w:p w14:paraId="781B5EAF" w14:textId="77777777" w:rsidR="00A021BE" w:rsidRPr="00D8383E" w:rsidRDefault="00A021BE" w:rsidP="00126BEC">
            <w:pPr>
              <w:rPr>
                <w:sz w:val="18"/>
                <w:szCs w:val="18"/>
              </w:rPr>
            </w:pPr>
            <w:r w:rsidRPr="00D8383E">
              <w:rPr>
                <w:sz w:val="18"/>
                <w:szCs w:val="18"/>
              </w:rPr>
              <w:t xml:space="preserve">Target: </w:t>
            </w:r>
          </w:p>
          <w:p w14:paraId="4D0C6672" w14:textId="77777777" w:rsidR="00A021BE" w:rsidRPr="00D8383E" w:rsidRDefault="00A021BE" w:rsidP="00126BEC">
            <w:pPr>
              <w:rPr>
                <w:sz w:val="18"/>
                <w:szCs w:val="18"/>
              </w:rPr>
            </w:pPr>
            <w:r w:rsidRPr="00D8383E">
              <w:rPr>
                <w:sz w:val="18"/>
                <w:szCs w:val="18"/>
              </w:rPr>
              <w:t>Federal: TBD - M-; F-; O-; PwD-</w:t>
            </w:r>
          </w:p>
          <w:p w14:paraId="6FC2FB74" w14:textId="77777777" w:rsidR="00A021BE" w:rsidRPr="00D8383E" w:rsidRDefault="00A021BE" w:rsidP="00126BEC">
            <w:pPr>
              <w:rPr>
                <w:sz w:val="18"/>
                <w:szCs w:val="18"/>
              </w:rPr>
            </w:pPr>
            <w:r w:rsidRPr="00D8383E">
              <w:rPr>
                <w:sz w:val="18"/>
                <w:szCs w:val="18"/>
              </w:rPr>
              <w:t>Province: TBD - M-; F-; O-; PwD-</w:t>
            </w:r>
          </w:p>
          <w:p w14:paraId="26357B64" w14:textId="77777777" w:rsidR="00A021BE" w:rsidRPr="00D8383E" w:rsidRDefault="00A021BE" w:rsidP="00126BEC">
            <w:pPr>
              <w:rPr>
                <w:sz w:val="18"/>
                <w:szCs w:val="18"/>
              </w:rPr>
            </w:pPr>
            <w:r w:rsidRPr="00D8383E">
              <w:rPr>
                <w:sz w:val="18"/>
                <w:szCs w:val="18"/>
              </w:rPr>
              <w:t>Judiciary: TBD</w:t>
            </w:r>
          </w:p>
          <w:p w14:paraId="6CCB74AE" w14:textId="77777777" w:rsidR="00A021BE" w:rsidRPr="00D8383E" w:rsidRDefault="00A021BE" w:rsidP="00126BEC">
            <w:pPr>
              <w:rPr>
                <w:sz w:val="18"/>
                <w:szCs w:val="18"/>
              </w:rPr>
            </w:pPr>
            <w:r w:rsidRPr="00D8383E">
              <w:rPr>
                <w:sz w:val="18"/>
                <w:szCs w:val="18"/>
              </w:rPr>
              <w:t>Public service: TBD</w:t>
            </w:r>
          </w:p>
          <w:p w14:paraId="544830BE" w14:textId="77777777" w:rsidR="00A021BE" w:rsidRPr="00D8383E" w:rsidRDefault="00A021BE" w:rsidP="00126BEC">
            <w:pPr>
              <w:rPr>
                <w:sz w:val="18"/>
                <w:szCs w:val="18"/>
              </w:rPr>
            </w:pPr>
          </w:p>
          <w:p w14:paraId="7082DAD6" w14:textId="77777777" w:rsidR="00A021BE" w:rsidRPr="00D8383E" w:rsidRDefault="00A021BE" w:rsidP="00126BEC">
            <w:pPr>
              <w:rPr>
                <w:sz w:val="18"/>
                <w:szCs w:val="18"/>
              </w:rPr>
            </w:pPr>
            <w:r w:rsidRPr="00D8383E">
              <w:rPr>
                <w:sz w:val="18"/>
                <w:szCs w:val="18"/>
              </w:rPr>
              <w:t>Note: Baselines/targets to be updated following the November 2022 elections</w:t>
            </w:r>
          </w:p>
          <w:p w14:paraId="67124092" w14:textId="77777777" w:rsidR="00A021BE" w:rsidRPr="00D8383E" w:rsidRDefault="00A021BE" w:rsidP="00126BEC">
            <w:pPr>
              <w:rPr>
                <w:sz w:val="18"/>
                <w:szCs w:val="18"/>
              </w:rPr>
            </w:pPr>
          </w:p>
          <w:p w14:paraId="4244128E" w14:textId="1DCB0B45" w:rsidR="00A021BE" w:rsidRPr="00D8383E" w:rsidRDefault="00A021BE" w:rsidP="00126BEC">
            <w:pPr>
              <w:rPr>
                <w:sz w:val="18"/>
                <w:szCs w:val="18"/>
              </w:rPr>
            </w:pPr>
            <w:r w:rsidRPr="00D8383E">
              <w:rPr>
                <w:sz w:val="18"/>
                <w:szCs w:val="18"/>
              </w:rPr>
              <w:t xml:space="preserve">2.2. Primary government expenditures (federal and provincial) as a proportion of original approved budget, by sector or by budget codes including </w:t>
            </w:r>
            <w:r w:rsidR="00EA1D2F">
              <w:rPr>
                <w:sz w:val="18"/>
                <w:szCs w:val="18"/>
              </w:rPr>
              <w:t>gender-responsive budgeting</w:t>
            </w:r>
            <w:r w:rsidRPr="00D8383E">
              <w:rPr>
                <w:sz w:val="18"/>
                <w:szCs w:val="18"/>
              </w:rPr>
              <w:t xml:space="preserve"> or similar (SDG-16.6.1)</w:t>
            </w:r>
          </w:p>
          <w:p w14:paraId="4888B28B" w14:textId="77777777" w:rsidR="00A021BE" w:rsidRPr="00D8383E" w:rsidRDefault="00A021BE" w:rsidP="00126BEC">
            <w:pPr>
              <w:rPr>
                <w:sz w:val="18"/>
                <w:szCs w:val="18"/>
              </w:rPr>
            </w:pPr>
            <w:r w:rsidRPr="00D8383E">
              <w:rPr>
                <w:sz w:val="18"/>
                <w:szCs w:val="18"/>
              </w:rPr>
              <w:lastRenderedPageBreak/>
              <w:t>Baseline (2019): 77.9%</w:t>
            </w:r>
          </w:p>
          <w:p w14:paraId="3F3659FC" w14:textId="77777777" w:rsidR="00A021BE" w:rsidRPr="00D8383E" w:rsidRDefault="00A021BE" w:rsidP="00126BEC">
            <w:pPr>
              <w:rPr>
                <w:sz w:val="18"/>
                <w:szCs w:val="18"/>
              </w:rPr>
            </w:pPr>
            <w:r w:rsidRPr="00D8383E">
              <w:rPr>
                <w:sz w:val="18"/>
                <w:szCs w:val="18"/>
              </w:rPr>
              <w:t>Target (2025): 88.7%</w:t>
            </w:r>
          </w:p>
          <w:p w14:paraId="2326EA12" w14:textId="77777777" w:rsidR="00A021BE" w:rsidRPr="00D8383E" w:rsidRDefault="00A021BE" w:rsidP="00126BEC">
            <w:pPr>
              <w:rPr>
                <w:sz w:val="18"/>
                <w:szCs w:val="18"/>
              </w:rPr>
            </w:pPr>
          </w:p>
          <w:p w14:paraId="26EE7FFE" w14:textId="117C1B74" w:rsidR="00A021BE" w:rsidRPr="00D8383E" w:rsidRDefault="00A021BE" w:rsidP="00126BEC">
            <w:pPr>
              <w:rPr>
                <w:sz w:val="18"/>
                <w:szCs w:val="18"/>
              </w:rPr>
            </w:pPr>
            <w:r w:rsidRPr="00D8383E">
              <w:rPr>
                <w:sz w:val="18"/>
                <w:szCs w:val="18"/>
              </w:rPr>
              <w:t xml:space="preserve">2.3. Rule of Law index (15th </w:t>
            </w:r>
            <w:r w:rsidR="00EA1D2F">
              <w:rPr>
                <w:sz w:val="18"/>
                <w:szCs w:val="18"/>
              </w:rPr>
              <w:t>Plan</w:t>
            </w:r>
            <w:r w:rsidR="00EA1D2F" w:rsidRPr="00D8383E">
              <w:rPr>
                <w:sz w:val="18"/>
                <w:szCs w:val="18"/>
              </w:rPr>
              <w:t xml:space="preserve"> </w:t>
            </w:r>
            <w:r w:rsidRPr="00D8383E">
              <w:rPr>
                <w:sz w:val="18"/>
                <w:szCs w:val="18"/>
              </w:rPr>
              <w:t xml:space="preserve">indicator 8.1.1) </w:t>
            </w:r>
          </w:p>
          <w:p w14:paraId="26B109BE" w14:textId="77777777" w:rsidR="00A021BE" w:rsidRPr="00D8383E" w:rsidRDefault="00A021BE" w:rsidP="00126BEC">
            <w:pPr>
              <w:rPr>
                <w:sz w:val="18"/>
                <w:szCs w:val="18"/>
              </w:rPr>
            </w:pPr>
            <w:r w:rsidRPr="00D8383E">
              <w:rPr>
                <w:sz w:val="18"/>
                <w:szCs w:val="18"/>
              </w:rPr>
              <w:t>Baseline (2021): 0.52</w:t>
            </w:r>
          </w:p>
          <w:p w14:paraId="70CF8906" w14:textId="77777777" w:rsidR="00A021BE" w:rsidRPr="00D8383E" w:rsidRDefault="00A021BE" w:rsidP="00126BEC">
            <w:pPr>
              <w:rPr>
                <w:sz w:val="18"/>
                <w:szCs w:val="18"/>
              </w:rPr>
            </w:pPr>
            <w:r w:rsidRPr="00D8383E">
              <w:rPr>
                <w:sz w:val="18"/>
                <w:szCs w:val="18"/>
              </w:rPr>
              <w:t xml:space="preserve">Target (2027): 0.65 </w:t>
            </w:r>
          </w:p>
          <w:p w14:paraId="64C8A490" w14:textId="77777777" w:rsidR="00A021BE" w:rsidRPr="00D8383E" w:rsidRDefault="00A021BE" w:rsidP="00126BEC">
            <w:pPr>
              <w:rPr>
                <w:sz w:val="18"/>
                <w:szCs w:val="18"/>
                <w:highlight w:val="yellow"/>
              </w:rPr>
            </w:pPr>
          </w:p>
          <w:p w14:paraId="005E0C0C" w14:textId="77777777" w:rsidR="00A021BE" w:rsidRPr="00D8383E" w:rsidRDefault="00A021BE" w:rsidP="00126BEC">
            <w:pPr>
              <w:rPr>
                <w:sz w:val="18"/>
                <w:szCs w:val="18"/>
              </w:rPr>
            </w:pPr>
            <w:r w:rsidRPr="00D8383E">
              <w:rPr>
                <w:sz w:val="18"/>
                <w:szCs w:val="18"/>
              </w:rPr>
              <w:t>2.4. Transparency, accountability, and corruption in public (score out of 6)</w:t>
            </w:r>
          </w:p>
          <w:p w14:paraId="3300D2C5" w14:textId="77777777" w:rsidR="00A021BE" w:rsidRPr="00D8383E" w:rsidRDefault="00A021BE" w:rsidP="00126BEC">
            <w:pPr>
              <w:rPr>
                <w:sz w:val="18"/>
                <w:szCs w:val="18"/>
              </w:rPr>
            </w:pPr>
            <w:r w:rsidRPr="00D8383E">
              <w:rPr>
                <w:sz w:val="18"/>
                <w:szCs w:val="18"/>
              </w:rPr>
              <w:t>Baseline (2021): 2.5</w:t>
            </w:r>
          </w:p>
          <w:p w14:paraId="41A2A210" w14:textId="77777777" w:rsidR="00A021BE" w:rsidRPr="00D8383E" w:rsidRDefault="00A021BE" w:rsidP="00126BEC">
            <w:pPr>
              <w:rPr>
                <w:sz w:val="18"/>
                <w:szCs w:val="18"/>
              </w:rPr>
            </w:pPr>
            <w:r w:rsidRPr="00D8383E">
              <w:rPr>
                <w:sz w:val="18"/>
                <w:szCs w:val="18"/>
              </w:rPr>
              <w:t xml:space="preserve">Target (2025): 4 </w:t>
            </w:r>
          </w:p>
          <w:p w14:paraId="17302784" w14:textId="77777777" w:rsidR="00A021BE" w:rsidRPr="00D8383E" w:rsidRDefault="00A021BE" w:rsidP="00126BEC">
            <w:pPr>
              <w:rPr>
                <w:sz w:val="18"/>
                <w:szCs w:val="18"/>
              </w:rPr>
            </w:pPr>
          </w:p>
          <w:p w14:paraId="2D68B56A" w14:textId="77777777" w:rsidR="00A021BE" w:rsidRPr="00D8383E" w:rsidRDefault="00A021BE" w:rsidP="00126BEC">
            <w:pPr>
              <w:rPr>
                <w:sz w:val="18"/>
                <w:szCs w:val="18"/>
              </w:rPr>
            </w:pPr>
            <w:r w:rsidRPr="00D8383E">
              <w:rPr>
                <w:sz w:val="18"/>
                <w:szCs w:val="18"/>
              </w:rPr>
              <w:t xml:space="preserve">2.5. Proportion of population who believe there are sufficient opportunities to participate in the decision-making processes of public institutions (disaggregated by sex, age, federal/local level) </w:t>
            </w:r>
          </w:p>
          <w:p w14:paraId="250481C5" w14:textId="77777777" w:rsidR="00A021BE" w:rsidRPr="00D8383E" w:rsidRDefault="00A021BE" w:rsidP="00126BEC">
            <w:pPr>
              <w:rPr>
                <w:sz w:val="18"/>
                <w:szCs w:val="18"/>
              </w:rPr>
            </w:pPr>
            <w:r w:rsidRPr="00D8383E">
              <w:rPr>
                <w:sz w:val="18"/>
                <w:szCs w:val="18"/>
              </w:rPr>
              <w:t>Baseline: TBC – pending baseline survey (2023)</w:t>
            </w:r>
          </w:p>
          <w:p w14:paraId="38F32960" w14:textId="77777777" w:rsidR="00A021BE" w:rsidRPr="00D8383E" w:rsidRDefault="00A021BE" w:rsidP="00126BEC">
            <w:pPr>
              <w:rPr>
                <w:sz w:val="18"/>
                <w:szCs w:val="18"/>
              </w:rPr>
            </w:pPr>
            <w:r w:rsidRPr="00D8383E">
              <w:rPr>
                <w:sz w:val="18"/>
                <w:szCs w:val="18"/>
              </w:rPr>
              <w:t>Target: TBC – pending baseline survey (2023)</w:t>
            </w:r>
          </w:p>
          <w:p w14:paraId="6387144D" w14:textId="77777777" w:rsidR="00A021BE" w:rsidRPr="00D8383E" w:rsidRDefault="00A021BE" w:rsidP="00126BEC">
            <w:pPr>
              <w:rPr>
                <w:sz w:val="18"/>
                <w:szCs w:val="18"/>
              </w:rPr>
            </w:pPr>
          </w:p>
        </w:tc>
        <w:tc>
          <w:tcPr>
            <w:tcW w:w="2571" w:type="dxa"/>
            <w:shd w:val="clear" w:color="auto" w:fill="auto"/>
            <w:tcMar>
              <w:top w:w="0" w:type="dxa"/>
              <w:left w:w="29" w:type="dxa"/>
              <w:bottom w:w="0" w:type="dxa"/>
              <w:right w:w="29" w:type="dxa"/>
            </w:tcMar>
          </w:tcPr>
          <w:p w14:paraId="5022B24D" w14:textId="77777777" w:rsidR="00A021BE" w:rsidRPr="00D8383E" w:rsidRDefault="00A021BE" w:rsidP="00126BEC">
            <w:pPr>
              <w:rPr>
                <w:rFonts w:eastAsiaTheme="minorEastAsia"/>
                <w:sz w:val="18"/>
                <w:szCs w:val="18"/>
              </w:rPr>
            </w:pPr>
            <w:r w:rsidRPr="00D8383E">
              <w:rPr>
                <w:rFonts w:eastAsiaTheme="minorEastAsia"/>
                <w:sz w:val="18"/>
                <w:szCs w:val="18"/>
              </w:rPr>
              <w:lastRenderedPageBreak/>
              <w:t>Source: TBC</w:t>
            </w:r>
          </w:p>
          <w:p w14:paraId="5E1F1621" w14:textId="77777777" w:rsidR="00A021BE" w:rsidRPr="00D8383E" w:rsidRDefault="00A021BE" w:rsidP="00126BEC">
            <w:pPr>
              <w:rPr>
                <w:rFonts w:eastAsiaTheme="minorEastAsia"/>
                <w:sz w:val="18"/>
                <w:szCs w:val="18"/>
              </w:rPr>
            </w:pPr>
            <w:r w:rsidRPr="00D8383E">
              <w:rPr>
                <w:rFonts w:eastAsiaTheme="minorEastAsia"/>
                <w:sz w:val="18"/>
                <w:szCs w:val="18"/>
              </w:rPr>
              <w:t xml:space="preserve">Frequency: Annual </w:t>
            </w:r>
          </w:p>
          <w:p w14:paraId="69A0C7E0" w14:textId="77777777" w:rsidR="00A021BE" w:rsidRPr="00D8383E" w:rsidRDefault="00A021BE" w:rsidP="00126BEC">
            <w:pPr>
              <w:rPr>
                <w:rFonts w:eastAsiaTheme="minorEastAsia"/>
                <w:sz w:val="18"/>
                <w:szCs w:val="18"/>
              </w:rPr>
            </w:pPr>
            <w:r w:rsidRPr="00D8383E">
              <w:rPr>
                <w:rFonts w:eastAsiaTheme="minorEastAsia"/>
                <w:sz w:val="18"/>
                <w:szCs w:val="18"/>
              </w:rPr>
              <w:t>Responsibility: TBC</w:t>
            </w:r>
          </w:p>
          <w:p w14:paraId="5820DF0C" w14:textId="77777777" w:rsidR="00A021BE" w:rsidRPr="00D8383E" w:rsidRDefault="00A021BE" w:rsidP="00126BEC">
            <w:pPr>
              <w:rPr>
                <w:sz w:val="18"/>
                <w:szCs w:val="18"/>
              </w:rPr>
            </w:pPr>
          </w:p>
          <w:p w14:paraId="0019C72D" w14:textId="77777777" w:rsidR="00A021BE" w:rsidRPr="00D8383E" w:rsidRDefault="00A021BE" w:rsidP="00126BEC">
            <w:pPr>
              <w:rPr>
                <w:sz w:val="18"/>
                <w:szCs w:val="18"/>
              </w:rPr>
            </w:pPr>
          </w:p>
          <w:p w14:paraId="77FAA777" w14:textId="77777777" w:rsidR="00A021BE" w:rsidRPr="00D8383E" w:rsidRDefault="00A021BE" w:rsidP="00126BEC">
            <w:pPr>
              <w:rPr>
                <w:sz w:val="18"/>
                <w:szCs w:val="18"/>
              </w:rPr>
            </w:pPr>
          </w:p>
          <w:p w14:paraId="65F7812E" w14:textId="77777777" w:rsidR="00A021BE" w:rsidRPr="00D8383E" w:rsidRDefault="00A021BE" w:rsidP="00126BEC">
            <w:pPr>
              <w:rPr>
                <w:sz w:val="18"/>
                <w:szCs w:val="18"/>
              </w:rPr>
            </w:pPr>
          </w:p>
          <w:p w14:paraId="6323C06A" w14:textId="77777777" w:rsidR="00A021BE" w:rsidRPr="00D8383E" w:rsidRDefault="00A021BE" w:rsidP="00126BEC">
            <w:pPr>
              <w:rPr>
                <w:sz w:val="18"/>
                <w:szCs w:val="18"/>
              </w:rPr>
            </w:pPr>
          </w:p>
          <w:p w14:paraId="6D998244" w14:textId="77777777" w:rsidR="00A021BE" w:rsidRPr="00D8383E" w:rsidRDefault="00A021BE" w:rsidP="00126BEC">
            <w:pPr>
              <w:rPr>
                <w:sz w:val="18"/>
                <w:szCs w:val="18"/>
              </w:rPr>
            </w:pPr>
          </w:p>
          <w:p w14:paraId="352749CA" w14:textId="77777777" w:rsidR="00A021BE" w:rsidRPr="00D8383E" w:rsidRDefault="00A021BE" w:rsidP="00126BEC">
            <w:pPr>
              <w:rPr>
                <w:rFonts w:eastAsiaTheme="minorEastAsia"/>
                <w:sz w:val="18"/>
                <w:szCs w:val="18"/>
              </w:rPr>
            </w:pPr>
          </w:p>
          <w:p w14:paraId="3F469131" w14:textId="77777777" w:rsidR="00A021BE" w:rsidRPr="00D8383E" w:rsidRDefault="00A021BE" w:rsidP="00126BEC">
            <w:pPr>
              <w:rPr>
                <w:rFonts w:eastAsiaTheme="minorEastAsia"/>
                <w:sz w:val="18"/>
                <w:szCs w:val="18"/>
              </w:rPr>
            </w:pPr>
          </w:p>
          <w:p w14:paraId="113CD13B" w14:textId="77777777" w:rsidR="00A021BE" w:rsidRPr="00D8383E" w:rsidRDefault="00A021BE" w:rsidP="00126BEC">
            <w:pPr>
              <w:rPr>
                <w:rFonts w:eastAsiaTheme="minorEastAsia"/>
                <w:sz w:val="18"/>
                <w:szCs w:val="18"/>
              </w:rPr>
            </w:pPr>
          </w:p>
          <w:p w14:paraId="65338266" w14:textId="77777777" w:rsidR="00A021BE" w:rsidRPr="00D8383E" w:rsidRDefault="00A021BE" w:rsidP="00126BEC">
            <w:pPr>
              <w:rPr>
                <w:rFonts w:eastAsiaTheme="minorEastAsia"/>
                <w:sz w:val="18"/>
                <w:szCs w:val="18"/>
              </w:rPr>
            </w:pPr>
          </w:p>
          <w:p w14:paraId="041E6537" w14:textId="77777777" w:rsidR="00A021BE" w:rsidRPr="00D8383E" w:rsidRDefault="00A021BE" w:rsidP="00126BEC">
            <w:pPr>
              <w:rPr>
                <w:rFonts w:eastAsiaTheme="minorEastAsia"/>
                <w:sz w:val="18"/>
                <w:szCs w:val="18"/>
              </w:rPr>
            </w:pPr>
          </w:p>
          <w:p w14:paraId="1D1DA083" w14:textId="77777777" w:rsidR="00A021BE" w:rsidRPr="00D8383E" w:rsidRDefault="00A021BE" w:rsidP="00126BEC">
            <w:pPr>
              <w:rPr>
                <w:rFonts w:eastAsiaTheme="minorEastAsia"/>
                <w:sz w:val="18"/>
                <w:szCs w:val="18"/>
              </w:rPr>
            </w:pPr>
          </w:p>
          <w:p w14:paraId="14A3778B" w14:textId="77777777" w:rsidR="00A021BE" w:rsidRPr="00D8383E" w:rsidRDefault="00A021BE" w:rsidP="00126BEC">
            <w:pPr>
              <w:rPr>
                <w:rFonts w:eastAsiaTheme="minorEastAsia"/>
                <w:sz w:val="18"/>
                <w:szCs w:val="18"/>
              </w:rPr>
            </w:pPr>
          </w:p>
          <w:p w14:paraId="5E2DBA94" w14:textId="77777777" w:rsidR="00A021BE" w:rsidRPr="00D8383E" w:rsidRDefault="00A021BE" w:rsidP="00126BEC">
            <w:pPr>
              <w:rPr>
                <w:rFonts w:eastAsiaTheme="minorEastAsia"/>
                <w:sz w:val="18"/>
                <w:szCs w:val="18"/>
              </w:rPr>
            </w:pPr>
          </w:p>
          <w:p w14:paraId="1B5BAA9E" w14:textId="77777777" w:rsidR="00A021BE" w:rsidRPr="00D8383E" w:rsidRDefault="00A021BE" w:rsidP="00126BEC">
            <w:pPr>
              <w:rPr>
                <w:rFonts w:eastAsiaTheme="minorEastAsia"/>
                <w:sz w:val="18"/>
                <w:szCs w:val="18"/>
              </w:rPr>
            </w:pPr>
          </w:p>
          <w:p w14:paraId="26AD23A0" w14:textId="77777777" w:rsidR="00A021BE" w:rsidRPr="00D8383E" w:rsidRDefault="00A021BE" w:rsidP="00126BEC">
            <w:pPr>
              <w:rPr>
                <w:rFonts w:eastAsiaTheme="minorEastAsia"/>
                <w:sz w:val="18"/>
                <w:szCs w:val="18"/>
              </w:rPr>
            </w:pPr>
          </w:p>
          <w:p w14:paraId="71B60D07" w14:textId="77777777" w:rsidR="00FD3046" w:rsidRDefault="00A021BE" w:rsidP="00126BEC">
            <w:pPr>
              <w:rPr>
                <w:rFonts w:eastAsiaTheme="minorEastAsia"/>
                <w:sz w:val="18"/>
                <w:szCs w:val="18"/>
              </w:rPr>
            </w:pPr>
            <w:r w:rsidRPr="00D8383E">
              <w:rPr>
                <w:rFonts w:eastAsiaTheme="minorEastAsia"/>
                <w:sz w:val="18"/>
                <w:szCs w:val="18"/>
              </w:rPr>
              <w:t xml:space="preserve">Source: MoF, </w:t>
            </w:r>
            <w:r w:rsidR="00FD3046">
              <w:rPr>
                <w:rFonts w:eastAsiaTheme="minorEastAsia"/>
                <w:sz w:val="18"/>
                <w:szCs w:val="18"/>
              </w:rPr>
              <w:t>Management Information System (</w:t>
            </w:r>
            <w:r w:rsidRPr="00D8383E">
              <w:rPr>
                <w:rFonts w:eastAsiaTheme="minorEastAsia"/>
                <w:sz w:val="18"/>
                <w:szCs w:val="18"/>
              </w:rPr>
              <w:t>MIS</w:t>
            </w:r>
            <w:r w:rsidR="00FD3046">
              <w:rPr>
                <w:rFonts w:eastAsiaTheme="minorEastAsia"/>
                <w:sz w:val="18"/>
                <w:szCs w:val="18"/>
              </w:rPr>
              <w:t>)</w:t>
            </w:r>
          </w:p>
          <w:p w14:paraId="5B3C7BC1" w14:textId="44CFC499" w:rsidR="00A021BE" w:rsidRPr="00D8383E" w:rsidRDefault="00A021BE" w:rsidP="00126BEC">
            <w:pPr>
              <w:rPr>
                <w:rFonts w:eastAsiaTheme="minorEastAsia"/>
                <w:sz w:val="18"/>
                <w:szCs w:val="18"/>
              </w:rPr>
            </w:pPr>
            <w:r w:rsidRPr="00D8383E">
              <w:rPr>
                <w:rFonts w:eastAsiaTheme="minorEastAsia"/>
                <w:sz w:val="18"/>
                <w:szCs w:val="18"/>
              </w:rPr>
              <w:t>, Annual Report</w:t>
            </w:r>
          </w:p>
          <w:p w14:paraId="3A6471A8" w14:textId="77777777" w:rsidR="00A021BE" w:rsidRPr="00D8383E" w:rsidRDefault="00A021BE" w:rsidP="00126BEC">
            <w:pPr>
              <w:rPr>
                <w:rFonts w:eastAsiaTheme="minorEastAsia"/>
                <w:sz w:val="18"/>
                <w:szCs w:val="18"/>
              </w:rPr>
            </w:pPr>
            <w:r w:rsidRPr="00D8383E">
              <w:rPr>
                <w:rFonts w:eastAsiaTheme="minorEastAsia"/>
                <w:sz w:val="18"/>
                <w:szCs w:val="18"/>
              </w:rPr>
              <w:t xml:space="preserve">Frequency: Annual </w:t>
            </w:r>
          </w:p>
          <w:p w14:paraId="3A690C01" w14:textId="77777777" w:rsidR="00A021BE" w:rsidRPr="00D8383E" w:rsidRDefault="00A021BE" w:rsidP="00126BEC">
            <w:pPr>
              <w:rPr>
                <w:rFonts w:eastAsiaTheme="minorEastAsia"/>
                <w:sz w:val="18"/>
                <w:szCs w:val="18"/>
              </w:rPr>
            </w:pPr>
            <w:r w:rsidRPr="00D8383E">
              <w:rPr>
                <w:rFonts w:eastAsiaTheme="minorEastAsia"/>
                <w:sz w:val="18"/>
                <w:szCs w:val="18"/>
              </w:rPr>
              <w:t>Responsibility: TBC</w:t>
            </w:r>
          </w:p>
          <w:p w14:paraId="6AFE5143" w14:textId="77777777" w:rsidR="00A021BE" w:rsidRPr="00D8383E" w:rsidRDefault="00A021BE" w:rsidP="00126BEC">
            <w:pPr>
              <w:rPr>
                <w:rFonts w:eastAsiaTheme="minorEastAsia"/>
                <w:sz w:val="18"/>
                <w:szCs w:val="18"/>
              </w:rPr>
            </w:pPr>
          </w:p>
          <w:p w14:paraId="39805B72" w14:textId="77777777" w:rsidR="00A021BE" w:rsidRPr="00D8383E" w:rsidRDefault="00A021BE" w:rsidP="00126BEC">
            <w:pPr>
              <w:rPr>
                <w:rFonts w:eastAsiaTheme="minorEastAsia"/>
                <w:sz w:val="18"/>
                <w:szCs w:val="18"/>
              </w:rPr>
            </w:pPr>
          </w:p>
          <w:p w14:paraId="0C40F1AB" w14:textId="77777777" w:rsidR="00A021BE" w:rsidRPr="00D8383E" w:rsidRDefault="00A021BE" w:rsidP="00126BEC">
            <w:pPr>
              <w:rPr>
                <w:rFonts w:eastAsiaTheme="minorEastAsia"/>
                <w:sz w:val="18"/>
                <w:szCs w:val="18"/>
              </w:rPr>
            </w:pPr>
          </w:p>
          <w:p w14:paraId="3283EB03" w14:textId="77777777" w:rsidR="00A021BE" w:rsidRPr="00D8383E" w:rsidRDefault="00A021BE" w:rsidP="00126BEC">
            <w:pPr>
              <w:rPr>
                <w:rFonts w:eastAsiaTheme="minorEastAsia"/>
                <w:sz w:val="18"/>
                <w:szCs w:val="18"/>
              </w:rPr>
            </w:pPr>
          </w:p>
          <w:p w14:paraId="09DBAD48" w14:textId="77777777" w:rsidR="00A021BE" w:rsidRPr="00D8383E" w:rsidRDefault="00A021BE" w:rsidP="00126BEC">
            <w:pPr>
              <w:rPr>
                <w:rFonts w:eastAsiaTheme="minorEastAsia"/>
                <w:sz w:val="18"/>
                <w:szCs w:val="18"/>
              </w:rPr>
            </w:pPr>
            <w:r w:rsidRPr="00D8383E">
              <w:rPr>
                <w:rFonts w:eastAsiaTheme="minorEastAsia"/>
                <w:sz w:val="18"/>
                <w:szCs w:val="18"/>
              </w:rPr>
              <w:t>Source: Rule of Law Index, WJP</w:t>
            </w:r>
          </w:p>
          <w:p w14:paraId="4B9358CE" w14:textId="77777777" w:rsidR="00A021BE" w:rsidRPr="00D8383E" w:rsidRDefault="00A021BE" w:rsidP="00126BEC">
            <w:pPr>
              <w:rPr>
                <w:rFonts w:eastAsiaTheme="minorEastAsia"/>
                <w:sz w:val="18"/>
                <w:szCs w:val="18"/>
              </w:rPr>
            </w:pPr>
            <w:r w:rsidRPr="00D8383E">
              <w:rPr>
                <w:rFonts w:eastAsiaTheme="minorEastAsia"/>
                <w:sz w:val="18"/>
                <w:szCs w:val="18"/>
              </w:rPr>
              <w:t>Frequency: Annual</w:t>
            </w:r>
          </w:p>
          <w:p w14:paraId="6EC2B2C5" w14:textId="77777777" w:rsidR="00A021BE" w:rsidRPr="00D8383E" w:rsidRDefault="00A021BE" w:rsidP="00126BEC">
            <w:pPr>
              <w:rPr>
                <w:rFonts w:eastAsiaTheme="minorEastAsia"/>
                <w:sz w:val="18"/>
                <w:szCs w:val="18"/>
              </w:rPr>
            </w:pPr>
            <w:r w:rsidRPr="00D8383E">
              <w:rPr>
                <w:rFonts w:eastAsiaTheme="minorEastAsia"/>
                <w:sz w:val="18"/>
                <w:szCs w:val="18"/>
              </w:rPr>
              <w:t>Responsibility: TBC</w:t>
            </w:r>
          </w:p>
          <w:p w14:paraId="3E512AE6" w14:textId="77777777" w:rsidR="00A021BE" w:rsidRPr="00D8383E" w:rsidRDefault="00A021BE" w:rsidP="00126BEC">
            <w:pPr>
              <w:rPr>
                <w:rFonts w:eastAsiaTheme="minorEastAsia"/>
                <w:sz w:val="18"/>
                <w:szCs w:val="18"/>
              </w:rPr>
            </w:pPr>
          </w:p>
          <w:p w14:paraId="4AE792CB" w14:textId="77777777" w:rsidR="00A021BE" w:rsidRPr="00D8383E" w:rsidRDefault="00A021BE" w:rsidP="00126BEC">
            <w:pPr>
              <w:rPr>
                <w:rFonts w:eastAsiaTheme="minorEastAsia"/>
                <w:sz w:val="18"/>
                <w:szCs w:val="18"/>
              </w:rPr>
            </w:pPr>
          </w:p>
          <w:p w14:paraId="30F75C66" w14:textId="6135EC42" w:rsidR="00A021BE" w:rsidRPr="00D8383E" w:rsidRDefault="00A021BE" w:rsidP="00126BEC">
            <w:pPr>
              <w:rPr>
                <w:rFonts w:eastAsiaTheme="minorEastAsia"/>
                <w:sz w:val="18"/>
                <w:szCs w:val="18"/>
              </w:rPr>
            </w:pPr>
            <w:r w:rsidRPr="00D8383E">
              <w:rPr>
                <w:rFonts w:eastAsiaTheme="minorEastAsia"/>
                <w:sz w:val="18"/>
                <w:szCs w:val="18"/>
              </w:rPr>
              <w:lastRenderedPageBreak/>
              <w:t xml:space="preserve">Source: </w:t>
            </w:r>
            <w:r w:rsidR="00EA1D2F" w:rsidRPr="00EA1D2F">
              <w:rPr>
                <w:rFonts w:eastAsiaTheme="minorEastAsia"/>
                <w:sz w:val="18"/>
                <w:szCs w:val="18"/>
              </w:rPr>
              <w:t>Country Policy and Institutional Assessment</w:t>
            </w:r>
          </w:p>
          <w:p w14:paraId="1CA0890D" w14:textId="77777777" w:rsidR="00A021BE" w:rsidRPr="00D8383E" w:rsidRDefault="00A021BE" w:rsidP="00126BEC">
            <w:pPr>
              <w:rPr>
                <w:rFonts w:eastAsiaTheme="minorEastAsia"/>
                <w:sz w:val="18"/>
                <w:szCs w:val="18"/>
              </w:rPr>
            </w:pPr>
            <w:r w:rsidRPr="00D8383E">
              <w:rPr>
                <w:rFonts w:eastAsiaTheme="minorEastAsia"/>
                <w:sz w:val="18"/>
                <w:szCs w:val="18"/>
              </w:rPr>
              <w:t>Frequency: Annual</w:t>
            </w:r>
          </w:p>
          <w:p w14:paraId="55B682F3" w14:textId="77777777" w:rsidR="00A021BE" w:rsidRPr="00D8383E" w:rsidRDefault="00A021BE" w:rsidP="00126BEC">
            <w:pPr>
              <w:rPr>
                <w:rFonts w:eastAsiaTheme="minorEastAsia"/>
                <w:sz w:val="18"/>
                <w:szCs w:val="18"/>
              </w:rPr>
            </w:pPr>
            <w:r w:rsidRPr="00D8383E">
              <w:rPr>
                <w:rFonts w:eastAsiaTheme="minorEastAsia"/>
                <w:sz w:val="18"/>
                <w:szCs w:val="18"/>
              </w:rPr>
              <w:t>Responsibility: TBC</w:t>
            </w:r>
          </w:p>
          <w:p w14:paraId="55CA8C34" w14:textId="77777777" w:rsidR="00A021BE" w:rsidRPr="00D8383E" w:rsidRDefault="00A021BE" w:rsidP="00126BEC">
            <w:pPr>
              <w:rPr>
                <w:rFonts w:eastAsiaTheme="minorEastAsia"/>
                <w:sz w:val="18"/>
                <w:szCs w:val="18"/>
              </w:rPr>
            </w:pPr>
          </w:p>
          <w:p w14:paraId="56717E42" w14:textId="77777777" w:rsidR="00A021BE" w:rsidRPr="00D8383E" w:rsidRDefault="00A021BE" w:rsidP="00126BEC">
            <w:pPr>
              <w:rPr>
                <w:rFonts w:eastAsiaTheme="minorEastAsia"/>
                <w:sz w:val="18"/>
                <w:szCs w:val="18"/>
              </w:rPr>
            </w:pPr>
          </w:p>
          <w:p w14:paraId="5B057BDF" w14:textId="77777777" w:rsidR="00A021BE" w:rsidRPr="00D8383E" w:rsidRDefault="00A021BE" w:rsidP="00126BEC">
            <w:pPr>
              <w:rPr>
                <w:rFonts w:eastAsiaTheme="minorEastAsia"/>
                <w:sz w:val="18"/>
                <w:szCs w:val="18"/>
              </w:rPr>
            </w:pPr>
            <w:r w:rsidRPr="00D8383E">
              <w:rPr>
                <w:rFonts w:eastAsiaTheme="minorEastAsia"/>
                <w:sz w:val="18"/>
                <w:szCs w:val="18"/>
              </w:rPr>
              <w:t xml:space="preserve">Source: Trust in Governance Survey  </w:t>
            </w:r>
          </w:p>
          <w:p w14:paraId="7C6E084E" w14:textId="77777777" w:rsidR="00A021BE" w:rsidRPr="00D8383E" w:rsidRDefault="00A021BE" w:rsidP="00126BEC">
            <w:pPr>
              <w:rPr>
                <w:rFonts w:eastAsiaTheme="minorEastAsia"/>
                <w:sz w:val="18"/>
                <w:szCs w:val="18"/>
              </w:rPr>
            </w:pPr>
            <w:r w:rsidRPr="00D8383E">
              <w:rPr>
                <w:rFonts w:eastAsiaTheme="minorEastAsia"/>
                <w:sz w:val="18"/>
                <w:szCs w:val="18"/>
              </w:rPr>
              <w:t>Frequency: TBC</w:t>
            </w:r>
          </w:p>
          <w:p w14:paraId="24418090" w14:textId="180AEA00" w:rsidR="00A021BE" w:rsidRPr="00D8383E" w:rsidRDefault="00A021BE" w:rsidP="00126BEC">
            <w:pPr>
              <w:rPr>
                <w:rFonts w:eastAsiaTheme="minorEastAsia"/>
                <w:sz w:val="18"/>
                <w:szCs w:val="18"/>
              </w:rPr>
            </w:pPr>
            <w:r w:rsidRPr="00D8383E">
              <w:rPr>
                <w:rFonts w:eastAsiaTheme="minorEastAsia"/>
                <w:sz w:val="18"/>
                <w:szCs w:val="18"/>
              </w:rPr>
              <w:t>Responsibility: UNDP, UN</w:t>
            </w:r>
            <w:r w:rsidR="0076732D">
              <w:rPr>
                <w:rFonts w:eastAsiaTheme="minorEastAsia"/>
                <w:sz w:val="18"/>
                <w:szCs w:val="18"/>
              </w:rPr>
              <w:t>-</w:t>
            </w:r>
            <w:r w:rsidRPr="00D8383E">
              <w:rPr>
                <w:rFonts w:eastAsiaTheme="minorEastAsia"/>
                <w:sz w:val="18"/>
                <w:szCs w:val="18"/>
              </w:rPr>
              <w:t>Women</w:t>
            </w:r>
          </w:p>
          <w:p w14:paraId="7FEDE143" w14:textId="77777777" w:rsidR="00A021BE" w:rsidRPr="00D8383E" w:rsidRDefault="00A021BE" w:rsidP="00126BEC">
            <w:pPr>
              <w:rPr>
                <w:sz w:val="18"/>
                <w:szCs w:val="18"/>
              </w:rPr>
            </w:pPr>
          </w:p>
        </w:tc>
        <w:tc>
          <w:tcPr>
            <w:tcW w:w="3965" w:type="dxa"/>
            <w:shd w:val="clear" w:color="auto" w:fill="auto"/>
          </w:tcPr>
          <w:p w14:paraId="63E7B615" w14:textId="2A34C508" w:rsidR="00A021BE" w:rsidRPr="00D8383E" w:rsidRDefault="00A021BE" w:rsidP="00126BEC">
            <w:pPr>
              <w:rPr>
                <w:rFonts w:eastAsiaTheme="minorEastAsia"/>
                <w:sz w:val="18"/>
                <w:szCs w:val="18"/>
              </w:rPr>
            </w:pPr>
            <w:r w:rsidRPr="00D8383E">
              <w:rPr>
                <w:rFonts w:eastAsiaTheme="minorEastAsia"/>
                <w:sz w:val="18"/>
                <w:szCs w:val="18"/>
              </w:rPr>
              <w:lastRenderedPageBreak/>
              <w:t xml:space="preserve">Output 2.1: Inclusive and participatory </w:t>
            </w:r>
            <w:r w:rsidR="004853DC" w:rsidRPr="00D8383E">
              <w:rPr>
                <w:rFonts w:eastAsiaTheme="minorEastAsia"/>
                <w:sz w:val="18"/>
                <w:szCs w:val="18"/>
              </w:rPr>
              <w:t xml:space="preserve">policies, </w:t>
            </w:r>
            <w:r w:rsidRPr="00D8383E">
              <w:rPr>
                <w:rFonts w:eastAsiaTheme="minorEastAsia"/>
                <w:sz w:val="18"/>
                <w:szCs w:val="18"/>
              </w:rPr>
              <w:t>processes and systems strengthened for implementation of federalism</w:t>
            </w:r>
            <w:r w:rsidR="3C7C8FDE" w:rsidRPr="00D8383E">
              <w:rPr>
                <w:rFonts w:eastAsiaTheme="minorEastAsia"/>
                <w:sz w:val="18"/>
                <w:szCs w:val="18"/>
              </w:rPr>
              <w:t xml:space="preserve"> at three </w:t>
            </w:r>
            <w:r w:rsidR="0058129C" w:rsidRPr="00D8383E">
              <w:rPr>
                <w:rFonts w:eastAsiaTheme="minorEastAsia"/>
                <w:sz w:val="18"/>
                <w:szCs w:val="18"/>
              </w:rPr>
              <w:t>levels</w:t>
            </w:r>
            <w:r w:rsidR="3C7C8FDE" w:rsidRPr="00D8383E">
              <w:rPr>
                <w:rFonts w:eastAsiaTheme="minorEastAsia"/>
                <w:sz w:val="18"/>
                <w:szCs w:val="18"/>
              </w:rPr>
              <w:t xml:space="preserve"> of government</w:t>
            </w:r>
          </w:p>
          <w:p w14:paraId="4B412F73" w14:textId="77777777" w:rsidR="00A021BE" w:rsidRPr="00D8383E" w:rsidRDefault="00A021BE" w:rsidP="00126BEC">
            <w:pPr>
              <w:rPr>
                <w:rFonts w:eastAsiaTheme="minorEastAsia"/>
                <w:sz w:val="18"/>
                <w:szCs w:val="18"/>
              </w:rPr>
            </w:pPr>
          </w:p>
          <w:p w14:paraId="1EC6373B" w14:textId="75BFC19C" w:rsidR="00A021BE" w:rsidRPr="00D8383E" w:rsidRDefault="00A021BE" w:rsidP="00126BEC">
            <w:pPr>
              <w:rPr>
                <w:sz w:val="18"/>
                <w:szCs w:val="18"/>
              </w:rPr>
            </w:pPr>
            <w:r w:rsidRPr="00D8383E">
              <w:rPr>
                <w:rFonts w:eastAsiaTheme="minorEastAsia"/>
                <w:sz w:val="18"/>
                <w:szCs w:val="18"/>
              </w:rPr>
              <w:t>2.1.</w:t>
            </w:r>
            <w:r w:rsidRPr="00D8383E">
              <w:rPr>
                <w:sz w:val="18"/>
                <w:szCs w:val="18"/>
              </w:rPr>
              <w:t>1</w:t>
            </w:r>
            <w:r w:rsidRPr="00D8383E">
              <w:rPr>
                <w:rFonts w:eastAsiaTheme="minorEastAsia"/>
                <w:sz w:val="18"/>
                <w:szCs w:val="18"/>
              </w:rPr>
              <w:t xml:space="preserve"> Number of </w:t>
            </w:r>
            <w:r w:rsidRPr="00D8383E">
              <w:rPr>
                <w:sz w:val="18"/>
                <w:szCs w:val="18"/>
              </w:rPr>
              <w:t>oversight initiatives by federal/provincial parliaments to monitor effectiveness of implementation of laws/policies</w:t>
            </w:r>
            <w:r w:rsidR="0136176B" w:rsidRPr="00D8383E">
              <w:rPr>
                <w:sz w:val="18"/>
                <w:szCs w:val="18"/>
              </w:rPr>
              <w:t xml:space="preserve"> (IRRF-2.</w:t>
            </w:r>
            <w:r w:rsidR="00386C06" w:rsidRPr="00D8383E">
              <w:rPr>
                <w:sz w:val="18"/>
                <w:szCs w:val="18"/>
              </w:rPr>
              <w:t>4</w:t>
            </w:r>
            <w:r w:rsidR="0136176B" w:rsidRPr="00D8383E">
              <w:rPr>
                <w:sz w:val="18"/>
                <w:szCs w:val="18"/>
              </w:rPr>
              <w:t>.1)</w:t>
            </w:r>
          </w:p>
          <w:p w14:paraId="35418DDA" w14:textId="77777777" w:rsidR="00A021BE" w:rsidRPr="00D8383E" w:rsidRDefault="00A021BE" w:rsidP="00126BEC">
            <w:pPr>
              <w:rPr>
                <w:sz w:val="18"/>
                <w:szCs w:val="18"/>
              </w:rPr>
            </w:pPr>
            <w:r w:rsidRPr="00D8383E">
              <w:rPr>
                <w:sz w:val="18"/>
                <w:szCs w:val="18"/>
              </w:rPr>
              <w:t xml:space="preserve">Baseline (2021): 33 </w:t>
            </w:r>
          </w:p>
          <w:p w14:paraId="2EEBBF9C" w14:textId="18D69596" w:rsidR="00A021BE" w:rsidRPr="00D8383E" w:rsidRDefault="00A021BE" w:rsidP="00126BEC">
            <w:pPr>
              <w:rPr>
                <w:sz w:val="18"/>
                <w:szCs w:val="18"/>
              </w:rPr>
            </w:pPr>
            <w:r w:rsidRPr="00D8383E">
              <w:rPr>
                <w:sz w:val="18"/>
                <w:szCs w:val="18"/>
              </w:rPr>
              <w:t xml:space="preserve">Target (2027): </w:t>
            </w:r>
            <w:r w:rsidR="000E3C12" w:rsidRPr="00D8383E">
              <w:rPr>
                <w:sz w:val="18"/>
                <w:szCs w:val="18"/>
              </w:rPr>
              <w:t>100</w:t>
            </w:r>
          </w:p>
          <w:p w14:paraId="25228E3A" w14:textId="29E57160" w:rsidR="00A021BE" w:rsidRPr="00D8383E" w:rsidRDefault="00A021BE" w:rsidP="00126BEC">
            <w:pPr>
              <w:rPr>
                <w:sz w:val="18"/>
                <w:szCs w:val="18"/>
              </w:rPr>
            </w:pPr>
            <w:r w:rsidRPr="00D8383E">
              <w:rPr>
                <w:sz w:val="18"/>
                <w:szCs w:val="18"/>
              </w:rPr>
              <w:t xml:space="preserve">Source/Frequency: Federal/Provincial Parliaments/Annual </w:t>
            </w:r>
          </w:p>
          <w:p w14:paraId="39B716A5" w14:textId="77777777" w:rsidR="00A021BE" w:rsidRPr="00D8383E" w:rsidRDefault="00A021BE" w:rsidP="00126BEC">
            <w:pPr>
              <w:rPr>
                <w:rFonts w:eastAsiaTheme="minorEastAsia"/>
                <w:sz w:val="18"/>
                <w:szCs w:val="18"/>
              </w:rPr>
            </w:pPr>
          </w:p>
          <w:p w14:paraId="3FEC8E09" w14:textId="5873860A" w:rsidR="00A021BE" w:rsidRPr="00D8383E" w:rsidRDefault="00A021BE" w:rsidP="00126BEC">
            <w:pPr>
              <w:rPr>
                <w:rFonts w:eastAsiaTheme="minorEastAsia"/>
                <w:sz w:val="18"/>
                <w:szCs w:val="18"/>
              </w:rPr>
            </w:pPr>
            <w:r w:rsidRPr="00D8383E">
              <w:rPr>
                <w:rFonts w:eastAsiaTheme="minorEastAsia"/>
                <w:sz w:val="18"/>
                <w:szCs w:val="18"/>
              </w:rPr>
              <w:t>2.1.2. Intergovernmental coordination mechanisms are effectively functional</w:t>
            </w:r>
            <w:r w:rsidR="36C2C466" w:rsidRPr="00D8383E">
              <w:rPr>
                <w:rFonts w:eastAsiaTheme="minorEastAsia"/>
                <w:sz w:val="18"/>
                <w:szCs w:val="18"/>
              </w:rPr>
              <w:t xml:space="preserve"> (IRRF-2.1.3)</w:t>
            </w:r>
          </w:p>
          <w:p w14:paraId="7111BDCB" w14:textId="27388AFD" w:rsidR="00A021BE" w:rsidRPr="00D8383E" w:rsidRDefault="00A021BE" w:rsidP="00126BEC">
            <w:pPr>
              <w:rPr>
                <w:rFonts w:eastAsiaTheme="minorEastAsia"/>
                <w:sz w:val="18"/>
                <w:szCs w:val="18"/>
              </w:rPr>
            </w:pPr>
            <w:r w:rsidRPr="00D8383E">
              <w:rPr>
                <w:rFonts w:eastAsiaTheme="minorEastAsia"/>
                <w:sz w:val="18"/>
                <w:szCs w:val="18"/>
              </w:rPr>
              <w:t>Baseline</w:t>
            </w:r>
            <w:r w:rsidR="009077B5" w:rsidRPr="00D8383E">
              <w:rPr>
                <w:rFonts w:eastAsiaTheme="minorEastAsia"/>
                <w:sz w:val="18"/>
                <w:szCs w:val="18"/>
              </w:rPr>
              <w:t xml:space="preserve"> (2022)</w:t>
            </w:r>
            <w:r w:rsidRPr="00D8383E">
              <w:rPr>
                <w:rFonts w:eastAsiaTheme="minorEastAsia"/>
                <w:sz w:val="18"/>
                <w:szCs w:val="18"/>
              </w:rPr>
              <w:t>: FG-0; PG-0</w:t>
            </w:r>
          </w:p>
          <w:p w14:paraId="50AAFC5F" w14:textId="3F38D664" w:rsidR="00A021BE" w:rsidRPr="00D8383E" w:rsidRDefault="00A021BE" w:rsidP="00126BEC">
            <w:pPr>
              <w:rPr>
                <w:rFonts w:eastAsiaTheme="minorEastAsia"/>
                <w:sz w:val="18"/>
                <w:szCs w:val="18"/>
              </w:rPr>
            </w:pPr>
            <w:r w:rsidRPr="00D8383E">
              <w:rPr>
                <w:rFonts w:eastAsiaTheme="minorEastAsia"/>
                <w:sz w:val="18"/>
                <w:szCs w:val="18"/>
              </w:rPr>
              <w:t>Target</w:t>
            </w:r>
            <w:r w:rsidR="009077B5" w:rsidRPr="00D8383E">
              <w:rPr>
                <w:rFonts w:eastAsiaTheme="minorEastAsia"/>
                <w:sz w:val="18"/>
                <w:szCs w:val="18"/>
              </w:rPr>
              <w:t xml:space="preserve"> (2027)</w:t>
            </w:r>
            <w:r w:rsidRPr="00D8383E">
              <w:rPr>
                <w:rFonts w:eastAsiaTheme="minorEastAsia"/>
                <w:sz w:val="18"/>
                <w:szCs w:val="18"/>
              </w:rPr>
              <w:t>: FG-1; PG-7</w:t>
            </w:r>
          </w:p>
          <w:p w14:paraId="4AA0AA71" w14:textId="3572DCD0" w:rsidR="00A021BE" w:rsidRPr="00D8383E" w:rsidRDefault="00A021BE" w:rsidP="00126BEC">
            <w:pPr>
              <w:rPr>
                <w:rFonts w:eastAsiaTheme="minorEastAsia"/>
                <w:sz w:val="18"/>
                <w:szCs w:val="18"/>
              </w:rPr>
            </w:pPr>
            <w:r w:rsidRPr="00D8383E">
              <w:rPr>
                <w:rFonts w:eastAsiaTheme="minorEastAsia"/>
                <w:sz w:val="18"/>
                <w:szCs w:val="18"/>
              </w:rPr>
              <w:t xml:space="preserve">Source/Frequency: </w:t>
            </w:r>
            <w:r w:rsidR="007014E2">
              <w:rPr>
                <w:rFonts w:eastAsiaTheme="minorEastAsia"/>
                <w:sz w:val="18"/>
                <w:szCs w:val="18"/>
              </w:rPr>
              <w:t>Office of the Prime Minister and Council of Ministers (</w:t>
            </w:r>
            <w:r w:rsidRPr="00D8383E">
              <w:rPr>
                <w:rFonts w:eastAsiaTheme="minorEastAsia"/>
                <w:sz w:val="18"/>
                <w:szCs w:val="18"/>
              </w:rPr>
              <w:t>OPMCM</w:t>
            </w:r>
            <w:r w:rsidR="007014E2">
              <w:rPr>
                <w:rFonts w:eastAsiaTheme="minorEastAsia"/>
                <w:sz w:val="18"/>
                <w:szCs w:val="18"/>
              </w:rPr>
              <w:t>)</w:t>
            </w:r>
            <w:r w:rsidRPr="00D8383E">
              <w:rPr>
                <w:rFonts w:eastAsiaTheme="minorEastAsia"/>
                <w:sz w:val="18"/>
                <w:szCs w:val="18"/>
              </w:rPr>
              <w:t xml:space="preserve">, MoFAGA, </w:t>
            </w:r>
            <w:r w:rsidR="007014E2">
              <w:rPr>
                <w:rFonts w:eastAsiaTheme="minorEastAsia"/>
                <w:sz w:val="18"/>
                <w:szCs w:val="18"/>
              </w:rPr>
              <w:t>Offices of Chief Minister and Council of Ministers (</w:t>
            </w:r>
            <w:r w:rsidRPr="00D8383E">
              <w:rPr>
                <w:rFonts w:eastAsiaTheme="minorEastAsia"/>
                <w:sz w:val="18"/>
                <w:szCs w:val="18"/>
              </w:rPr>
              <w:t>OCMCMs</w:t>
            </w:r>
            <w:r w:rsidR="007014E2">
              <w:rPr>
                <w:rFonts w:eastAsiaTheme="minorEastAsia"/>
                <w:sz w:val="18"/>
                <w:szCs w:val="18"/>
              </w:rPr>
              <w:t>)</w:t>
            </w:r>
            <w:r w:rsidRPr="00D8383E">
              <w:rPr>
                <w:rFonts w:eastAsiaTheme="minorEastAsia"/>
                <w:sz w:val="18"/>
                <w:szCs w:val="18"/>
              </w:rPr>
              <w:t>/Annual</w:t>
            </w:r>
          </w:p>
          <w:p w14:paraId="10B79A67" w14:textId="77777777" w:rsidR="00A021BE" w:rsidRPr="00D8383E" w:rsidRDefault="00A021BE" w:rsidP="00126BEC">
            <w:pPr>
              <w:rPr>
                <w:rFonts w:eastAsiaTheme="minorEastAsia"/>
                <w:sz w:val="18"/>
                <w:szCs w:val="18"/>
              </w:rPr>
            </w:pPr>
          </w:p>
          <w:p w14:paraId="3B2BD630" w14:textId="62EA1DF3" w:rsidR="00F50A43" w:rsidRPr="00D8383E" w:rsidRDefault="00A021BE" w:rsidP="00126BEC">
            <w:pPr>
              <w:rPr>
                <w:rFonts w:eastAsiaTheme="minorEastAsia"/>
                <w:sz w:val="18"/>
                <w:szCs w:val="18"/>
              </w:rPr>
            </w:pPr>
            <w:r w:rsidRPr="00D8383E">
              <w:rPr>
                <w:rFonts w:eastAsiaTheme="minorEastAsia"/>
                <w:sz w:val="18"/>
                <w:szCs w:val="18"/>
              </w:rPr>
              <w:t xml:space="preserve">2.1.3. Number of </w:t>
            </w:r>
            <w:r w:rsidR="00031ACF" w:rsidRPr="00D8383E">
              <w:rPr>
                <w:rFonts w:eastAsiaTheme="minorEastAsia"/>
                <w:sz w:val="18"/>
                <w:szCs w:val="18"/>
              </w:rPr>
              <w:t>gender-</w:t>
            </w:r>
            <w:r w:rsidR="0051606E" w:rsidRPr="00D8383E">
              <w:rPr>
                <w:rFonts w:eastAsiaTheme="minorEastAsia"/>
                <w:sz w:val="18"/>
                <w:szCs w:val="18"/>
              </w:rPr>
              <w:t>sensitive</w:t>
            </w:r>
            <w:r w:rsidR="00031ACF" w:rsidRPr="00D8383E">
              <w:rPr>
                <w:rFonts w:eastAsiaTheme="minorEastAsia"/>
                <w:sz w:val="18"/>
                <w:szCs w:val="18"/>
              </w:rPr>
              <w:t xml:space="preserve"> and </w:t>
            </w:r>
            <w:r w:rsidR="00D408E0" w:rsidRPr="00D8383E">
              <w:rPr>
                <w:rFonts w:eastAsiaTheme="minorEastAsia"/>
                <w:sz w:val="18"/>
                <w:szCs w:val="18"/>
              </w:rPr>
              <w:t xml:space="preserve">inclusive </w:t>
            </w:r>
            <w:r w:rsidRPr="00D8383E">
              <w:rPr>
                <w:rFonts w:eastAsiaTheme="minorEastAsia"/>
                <w:sz w:val="18"/>
                <w:szCs w:val="18"/>
              </w:rPr>
              <w:t>policies and laws drafted</w:t>
            </w:r>
            <w:r w:rsidR="00992E72" w:rsidRPr="00D8383E">
              <w:rPr>
                <w:rFonts w:eastAsiaTheme="minorEastAsia"/>
                <w:sz w:val="18"/>
                <w:szCs w:val="18"/>
              </w:rPr>
              <w:t xml:space="preserve">, </w:t>
            </w:r>
            <w:r w:rsidRPr="00D8383E">
              <w:rPr>
                <w:rFonts w:eastAsiaTheme="minorEastAsia"/>
                <w:sz w:val="18"/>
                <w:szCs w:val="18"/>
              </w:rPr>
              <w:t xml:space="preserve">reviewed </w:t>
            </w:r>
            <w:r w:rsidR="00992E72" w:rsidRPr="00D8383E">
              <w:rPr>
                <w:rFonts w:eastAsiaTheme="minorEastAsia"/>
                <w:sz w:val="18"/>
                <w:szCs w:val="18"/>
              </w:rPr>
              <w:t xml:space="preserve">and implemented </w:t>
            </w:r>
            <w:r w:rsidRPr="00D8383E">
              <w:rPr>
                <w:rFonts w:eastAsiaTheme="minorEastAsia"/>
                <w:sz w:val="18"/>
                <w:szCs w:val="18"/>
              </w:rPr>
              <w:t>in line with the Constitution</w:t>
            </w:r>
            <w:r w:rsidR="00877D0D" w:rsidRPr="00D8383E">
              <w:rPr>
                <w:rFonts w:eastAsiaTheme="minorEastAsia"/>
                <w:sz w:val="18"/>
                <w:szCs w:val="18"/>
              </w:rPr>
              <w:t xml:space="preserve"> (IRRF-2.4.1)</w:t>
            </w:r>
          </w:p>
          <w:p w14:paraId="36868D42" w14:textId="77777777" w:rsidR="00A021BE" w:rsidRPr="00D8383E" w:rsidRDefault="00A021BE" w:rsidP="00126BEC">
            <w:pPr>
              <w:rPr>
                <w:rFonts w:eastAsiaTheme="minorEastAsia"/>
                <w:sz w:val="18"/>
                <w:szCs w:val="18"/>
              </w:rPr>
            </w:pPr>
            <w:r w:rsidRPr="00D8383E">
              <w:rPr>
                <w:rFonts w:eastAsiaTheme="minorEastAsia"/>
                <w:sz w:val="18"/>
                <w:szCs w:val="18"/>
              </w:rPr>
              <w:t xml:space="preserve">Baseline (2021): 30 </w:t>
            </w:r>
          </w:p>
          <w:p w14:paraId="62E5EC06" w14:textId="01D8B442" w:rsidR="00A021BE" w:rsidRPr="00D8383E" w:rsidRDefault="00A021BE" w:rsidP="00126BEC">
            <w:pPr>
              <w:rPr>
                <w:rFonts w:eastAsiaTheme="minorEastAsia"/>
                <w:sz w:val="18"/>
                <w:szCs w:val="18"/>
              </w:rPr>
            </w:pPr>
            <w:r w:rsidRPr="00D8383E">
              <w:rPr>
                <w:rFonts w:eastAsiaTheme="minorEastAsia"/>
                <w:sz w:val="18"/>
                <w:szCs w:val="18"/>
              </w:rPr>
              <w:t>Target</w:t>
            </w:r>
            <w:r w:rsidR="00523F48" w:rsidRPr="00D8383E">
              <w:rPr>
                <w:rFonts w:eastAsiaTheme="minorEastAsia"/>
                <w:sz w:val="18"/>
                <w:szCs w:val="18"/>
              </w:rPr>
              <w:t xml:space="preserve"> (2027)</w:t>
            </w:r>
            <w:r w:rsidRPr="00D8383E">
              <w:rPr>
                <w:rFonts w:eastAsiaTheme="minorEastAsia"/>
                <w:sz w:val="18"/>
                <w:szCs w:val="18"/>
              </w:rPr>
              <w:t xml:space="preserve">: </w:t>
            </w:r>
            <w:r w:rsidR="00B41597" w:rsidRPr="00D8383E">
              <w:rPr>
                <w:rFonts w:eastAsiaTheme="minorEastAsia"/>
                <w:sz w:val="18"/>
                <w:szCs w:val="18"/>
              </w:rPr>
              <w:t xml:space="preserve">100 </w:t>
            </w:r>
          </w:p>
          <w:p w14:paraId="299C9439" w14:textId="071BFA15" w:rsidR="00A021BE" w:rsidRPr="00D8383E" w:rsidRDefault="00A021BE" w:rsidP="00126BEC">
            <w:pPr>
              <w:rPr>
                <w:rFonts w:eastAsiaTheme="minorEastAsia"/>
                <w:sz w:val="18"/>
                <w:szCs w:val="18"/>
              </w:rPr>
            </w:pPr>
            <w:r w:rsidRPr="00D8383E">
              <w:rPr>
                <w:rFonts w:eastAsiaTheme="minorEastAsia"/>
                <w:sz w:val="18"/>
                <w:szCs w:val="18"/>
              </w:rPr>
              <w:t xml:space="preserve">Source/Frequency: MoLJPA, MoFAGA, </w:t>
            </w:r>
            <w:r w:rsidR="00A2025E">
              <w:rPr>
                <w:rFonts w:eastAsiaTheme="minorEastAsia"/>
                <w:sz w:val="18"/>
                <w:szCs w:val="18"/>
              </w:rPr>
              <w:t>p</w:t>
            </w:r>
            <w:r w:rsidRPr="00D8383E">
              <w:rPr>
                <w:rFonts w:eastAsiaTheme="minorEastAsia"/>
                <w:sz w:val="18"/>
                <w:szCs w:val="18"/>
              </w:rPr>
              <w:t>arliament(s)/Annual</w:t>
            </w:r>
          </w:p>
          <w:p w14:paraId="76EF13B7" w14:textId="77777777" w:rsidR="00A021BE" w:rsidRPr="00D8383E" w:rsidRDefault="00A021BE" w:rsidP="00126BEC">
            <w:pPr>
              <w:rPr>
                <w:rFonts w:eastAsiaTheme="minorEastAsia"/>
                <w:sz w:val="18"/>
                <w:szCs w:val="18"/>
              </w:rPr>
            </w:pPr>
          </w:p>
          <w:p w14:paraId="6DD4DE4B" w14:textId="6678BABD" w:rsidR="0089186D" w:rsidRPr="00D8383E" w:rsidRDefault="0089186D" w:rsidP="0089186D">
            <w:pPr>
              <w:rPr>
                <w:rFonts w:eastAsiaTheme="minorEastAsia"/>
                <w:sz w:val="18"/>
                <w:szCs w:val="18"/>
              </w:rPr>
            </w:pPr>
            <w:r w:rsidRPr="00D8383E">
              <w:rPr>
                <w:rFonts w:eastAsiaTheme="minorEastAsia"/>
                <w:sz w:val="18"/>
                <w:szCs w:val="18"/>
              </w:rPr>
              <w:t xml:space="preserve">2.1.4. Number of </w:t>
            </w:r>
            <w:r w:rsidR="00A97098">
              <w:rPr>
                <w:rFonts w:eastAsiaTheme="minorEastAsia"/>
                <w:sz w:val="18"/>
                <w:szCs w:val="18"/>
              </w:rPr>
              <w:t>provincial and local gove</w:t>
            </w:r>
            <w:r w:rsidR="0076732D">
              <w:rPr>
                <w:rFonts w:eastAsiaTheme="minorEastAsia"/>
                <w:sz w:val="18"/>
                <w:szCs w:val="18"/>
              </w:rPr>
              <w:t>r</w:t>
            </w:r>
            <w:r w:rsidR="00A97098">
              <w:rPr>
                <w:rFonts w:eastAsiaTheme="minorEastAsia"/>
                <w:sz w:val="18"/>
                <w:szCs w:val="18"/>
              </w:rPr>
              <w:t>nments</w:t>
            </w:r>
            <w:r w:rsidRPr="00D8383E">
              <w:rPr>
                <w:rFonts w:eastAsiaTheme="minorEastAsia"/>
                <w:sz w:val="18"/>
                <w:szCs w:val="18"/>
              </w:rPr>
              <w:t xml:space="preserve">/parliaments adopting (digital) </w:t>
            </w:r>
            <w:r w:rsidRPr="00D8383E">
              <w:rPr>
                <w:rFonts w:eastAsiaTheme="minorEastAsia"/>
                <w:sz w:val="18"/>
                <w:szCs w:val="18"/>
              </w:rPr>
              <w:lastRenderedPageBreak/>
              <w:t xml:space="preserve">systems/mechanisms for effective </w:t>
            </w:r>
            <w:r w:rsidR="002F3961" w:rsidRPr="00D8383E">
              <w:rPr>
                <w:rFonts w:eastAsiaTheme="minorEastAsia"/>
                <w:sz w:val="18"/>
                <w:szCs w:val="18"/>
              </w:rPr>
              <w:t>service delivery</w:t>
            </w:r>
            <w:r w:rsidRPr="00D8383E">
              <w:rPr>
                <w:rFonts w:eastAsiaTheme="minorEastAsia"/>
                <w:sz w:val="18"/>
                <w:szCs w:val="18"/>
              </w:rPr>
              <w:t xml:space="preserve"> (IRRF-2.</w:t>
            </w:r>
            <w:r w:rsidR="00294649" w:rsidRPr="00D8383E">
              <w:rPr>
                <w:rFonts w:eastAsiaTheme="minorEastAsia"/>
                <w:sz w:val="18"/>
                <w:szCs w:val="18"/>
              </w:rPr>
              <w:t>3</w:t>
            </w:r>
            <w:r w:rsidRPr="00D8383E">
              <w:rPr>
                <w:rFonts w:eastAsiaTheme="minorEastAsia"/>
                <w:sz w:val="18"/>
                <w:szCs w:val="18"/>
              </w:rPr>
              <w:t>.1)</w:t>
            </w:r>
          </w:p>
          <w:p w14:paraId="1A60D2AB" w14:textId="77777777" w:rsidR="00A021BE" w:rsidRPr="00D8383E" w:rsidRDefault="00A021BE" w:rsidP="00126BEC">
            <w:pPr>
              <w:rPr>
                <w:rFonts w:eastAsiaTheme="minorEastAsia"/>
                <w:sz w:val="18"/>
                <w:szCs w:val="18"/>
              </w:rPr>
            </w:pPr>
            <w:r w:rsidRPr="00D8383E">
              <w:rPr>
                <w:rFonts w:eastAsiaTheme="minorEastAsia"/>
                <w:sz w:val="18"/>
                <w:szCs w:val="18"/>
              </w:rPr>
              <w:t>Baseline</w:t>
            </w:r>
            <w:r w:rsidR="001C05F9" w:rsidRPr="00D8383E">
              <w:rPr>
                <w:rFonts w:eastAsiaTheme="minorEastAsia"/>
                <w:sz w:val="18"/>
                <w:szCs w:val="18"/>
              </w:rPr>
              <w:t xml:space="preserve"> (202</w:t>
            </w:r>
            <w:r w:rsidR="00D12A3D" w:rsidRPr="00D8383E">
              <w:rPr>
                <w:rFonts w:eastAsiaTheme="minorEastAsia"/>
                <w:sz w:val="18"/>
                <w:szCs w:val="18"/>
              </w:rPr>
              <w:t>1</w:t>
            </w:r>
            <w:r w:rsidR="001C05F9" w:rsidRPr="00D8383E">
              <w:rPr>
                <w:rFonts w:eastAsiaTheme="minorEastAsia"/>
                <w:sz w:val="18"/>
                <w:szCs w:val="18"/>
              </w:rPr>
              <w:t>)</w:t>
            </w:r>
            <w:r w:rsidRPr="00D8383E">
              <w:rPr>
                <w:rFonts w:eastAsiaTheme="minorEastAsia"/>
                <w:sz w:val="18"/>
                <w:szCs w:val="18"/>
              </w:rPr>
              <w:t xml:space="preserve">: Federal-2; Provincial-7; </w:t>
            </w:r>
            <w:r w:rsidR="00D12A3D" w:rsidRPr="00D8383E">
              <w:rPr>
                <w:rFonts w:eastAsiaTheme="minorEastAsia"/>
                <w:sz w:val="18"/>
                <w:szCs w:val="18"/>
              </w:rPr>
              <w:t>LG</w:t>
            </w:r>
            <w:r w:rsidRPr="00D8383E">
              <w:rPr>
                <w:rFonts w:eastAsiaTheme="minorEastAsia"/>
                <w:sz w:val="18"/>
                <w:szCs w:val="18"/>
              </w:rPr>
              <w:t xml:space="preserve">-75 </w:t>
            </w:r>
          </w:p>
          <w:p w14:paraId="0F7EA17F" w14:textId="77777777" w:rsidR="00A021BE" w:rsidRPr="00D8383E" w:rsidRDefault="00A021BE" w:rsidP="00126BEC">
            <w:pPr>
              <w:rPr>
                <w:rFonts w:eastAsiaTheme="minorEastAsia"/>
                <w:sz w:val="18"/>
                <w:szCs w:val="18"/>
              </w:rPr>
            </w:pPr>
            <w:r w:rsidRPr="00D8383E">
              <w:rPr>
                <w:rFonts w:eastAsiaTheme="minorEastAsia"/>
                <w:sz w:val="18"/>
                <w:szCs w:val="18"/>
              </w:rPr>
              <w:t>Target</w:t>
            </w:r>
            <w:r w:rsidR="00C6654F" w:rsidRPr="00D8383E">
              <w:rPr>
                <w:rFonts w:eastAsiaTheme="minorEastAsia"/>
                <w:sz w:val="18"/>
                <w:szCs w:val="18"/>
              </w:rPr>
              <w:t xml:space="preserve"> (2027)</w:t>
            </w:r>
            <w:r w:rsidRPr="00D8383E">
              <w:rPr>
                <w:rFonts w:eastAsiaTheme="minorEastAsia"/>
                <w:sz w:val="18"/>
                <w:szCs w:val="18"/>
              </w:rPr>
              <w:t>: FG-</w:t>
            </w:r>
            <w:r w:rsidR="00C6654F" w:rsidRPr="00D8383E">
              <w:rPr>
                <w:rFonts w:eastAsiaTheme="minorEastAsia"/>
                <w:sz w:val="18"/>
                <w:szCs w:val="18"/>
              </w:rPr>
              <w:t>3</w:t>
            </w:r>
            <w:r w:rsidRPr="00D8383E">
              <w:rPr>
                <w:rFonts w:eastAsiaTheme="minorEastAsia"/>
                <w:sz w:val="18"/>
                <w:szCs w:val="18"/>
              </w:rPr>
              <w:t>; PG-7; LG-1</w:t>
            </w:r>
            <w:r w:rsidR="00DC0C71" w:rsidRPr="00D8383E">
              <w:rPr>
                <w:rFonts w:eastAsiaTheme="minorEastAsia"/>
                <w:sz w:val="18"/>
                <w:szCs w:val="18"/>
              </w:rPr>
              <w:t>75</w:t>
            </w:r>
            <w:r w:rsidRPr="00D8383E">
              <w:rPr>
                <w:rFonts w:eastAsiaTheme="minorEastAsia"/>
                <w:sz w:val="18"/>
                <w:szCs w:val="18"/>
              </w:rPr>
              <w:t xml:space="preserve"> </w:t>
            </w:r>
          </w:p>
          <w:p w14:paraId="08064188" w14:textId="6CB585E0" w:rsidR="00A021BE" w:rsidRPr="00D8383E" w:rsidRDefault="00A021BE" w:rsidP="00126BEC">
            <w:pPr>
              <w:rPr>
                <w:rFonts w:eastAsiaTheme="minorEastAsia"/>
                <w:sz w:val="18"/>
                <w:szCs w:val="18"/>
              </w:rPr>
            </w:pPr>
            <w:r w:rsidRPr="00D8383E">
              <w:rPr>
                <w:rFonts w:eastAsiaTheme="minorEastAsia"/>
                <w:sz w:val="18"/>
                <w:szCs w:val="18"/>
              </w:rPr>
              <w:t xml:space="preserve">Source/Frequency: MoFAGA, </w:t>
            </w:r>
            <w:r w:rsidR="00EA1D2F">
              <w:rPr>
                <w:rFonts w:eastAsiaTheme="minorEastAsia"/>
                <w:sz w:val="18"/>
                <w:szCs w:val="18"/>
              </w:rPr>
              <w:t>provincial and local governments</w:t>
            </w:r>
            <w:r w:rsidRPr="00D8383E">
              <w:rPr>
                <w:rFonts w:eastAsiaTheme="minorEastAsia"/>
                <w:sz w:val="18"/>
                <w:szCs w:val="18"/>
              </w:rPr>
              <w:t>, Parliaments/Annual</w:t>
            </w:r>
          </w:p>
          <w:p w14:paraId="3BA7CE56" w14:textId="77777777" w:rsidR="00A021BE" w:rsidRPr="00D8383E" w:rsidRDefault="00A021BE" w:rsidP="00126BEC">
            <w:pPr>
              <w:rPr>
                <w:sz w:val="18"/>
                <w:szCs w:val="18"/>
              </w:rPr>
            </w:pPr>
          </w:p>
          <w:p w14:paraId="2FA38539" w14:textId="1469E05F" w:rsidR="00A021BE" w:rsidRPr="00D8383E" w:rsidRDefault="00A021BE" w:rsidP="00126BEC">
            <w:pPr>
              <w:rPr>
                <w:rFonts w:eastAsiaTheme="minorEastAsia"/>
                <w:sz w:val="18"/>
                <w:szCs w:val="18"/>
              </w:rPr>
            </w:pPr>
            <w:r w:rsidRPr="00D8383E">
              <w:rPr>
                <w:rFonts w:eastAsiaTheme="minorEastAsia"/>
                <w:sz w:val="18"/>
                <w:szCs w:val="18"/>
              </w:rPr>
              <w:t>Output 2.</w:t>
            </w:r>
            <w:r w:rsidR="00250CDF" w:rsidRPr="00D8383E">
              <w:rPr>
                <w:rFonts w:eastAsiaTheme="minorEastAsia"/>
                <w:sz w:val="18"/>
                <w:szCs w:val="18"/>
              </w:rPr>
              <w:t>2</w:t>
            </w:r>
            <w:r w:rsidRPr="00D8383E">
              <w:rPr>
                <w:rFonts w:eastAsiaTheme="minorEastAsia"/>
                <w:sz w:val="18"/>
                <w:szCs w:val="18"/>
              </w:rPr>
              <w:t xml:space="preserve">. </w:t>
            </w:r>
            <w:r w:rsidRPr="00D8383E">
              <w:rPr>
                <w:sz w:val="18"/>
                <w:szCs w:val="18"/>
              </w:rPr>
              <w:t>Rule of law institutions and systems strengthened for expanded access to justice, human rights, and freedom from discrimination</w:t>
            </w:r>
            <w:r w:rsidR="00D20E71" w:rsidRPr="00D8383E">
              <w:rPr>
                <w:sz w:val="18"/>
                <w:szCs w:val="18"/>
              </w:rPr>
              <w:t xml:space="preserve">, in line with </w:t>
            </w:r>
            <w:r w:rsidR="00A2025E">
              <w:rPr>
                <w:sz w:val="18"/>
                <w:szCs w:val="18"/>
              </w:rPr>
              <w:t>u</w:t>
            </w:r>
            <w:r w:rsidR="00C60B30" w:rsidRPr="00D8383E">
              <w:rPr>
                <w:sz w:val="18"/>
                <w:szCs w:val="18"/>
              </w:rPr>
              <w:t xml:space="preserve">niversal </w:t>
            </w:r>
            <w:r w:rsidR="00A2025E">
              <w:rPr>
                <w:sz w:val="18"/>
                <w:szCs w:val="18"/>
              </w:rPr>
              <w:t>p</w:t>
            </w:r>
            <w:r w:rsidR="00C60B30" w:rsidRPr="00D8383E">
              <w:rPr>
                <w:sz w:val="18"/>
                <w:szCs w:val="18"/>
              </w:rPr>
              <w:t xml:space="preserve">eriodic </w:t>
            </w:r>
            <w:r w:rsidR="00A2025E">
              <w:rPr>
                <w:sz w:val="18"/>
                <w:szCs w:val="18"/>
              </w:rPr>
              <w:t>r</w:t>
            </w:r>
            <w:r w:rsidR="0007341B" w:rsidRPr="00D8383E">
              <w:rPr>
                <w:sz w:val="18"/>
                <w:szCs w:val="18"/>
              </w:rPr>
              <w:t>eview</w:t>
            </w:r>
            <w:r w:rsidR="00D20E71" w:rsidRPr="00D8383E">
              <w:rPr>
                <w:sz w:val="18"/>
                <w:szCs w:val="18"/>
              </w:rPr>
              <w:t xml:space="preserve"> recommendations</w:t>
            </w:r>
            <w:r w:rsidR="00885128" w:rsidRPr="00D8383E">
              <w:rPr>
                <w:sz w:val="18"/>
                <w:szCs w:val="18"/>
              </w:rPr>
              <w:t xml:space="preserve"> (IRRF-2.2.1)</w:t>
            </w:r>
          </w:p>
          <w:p w14:paraId="2F3A963A" w14:textId="77777777" w:rsidR="00A021BE" w:rsidRPr="00D8383E" w:rsidRDefault="00A021BE" w:rsidP="00126BEC">
            <w:pPr>
              <w:rPr>
                <w:rFonts w:eastAsiaTheme="minorEastAsia"/>
                <w:sz w:val="18"/>
                <w:szCs w:val="18"/>
              </w:rPr>
            </w:pPr>
          </w:p>
          <w:p w14:paraId="75A20396" w14:textId="41A416A6" w:rsidR="00A021BE" w:rsidRPr="00D8383E" w:rsidRDefault="00A021BE" w:rsidP="00126BEC">
            <w:pPr>
              <w:rPr>
                <w:rFonts w:eastAsiaTheme="minorEastAsia"/>
                <w:sz w:val="18"/>
                <w:szCs w:val="18"/>
              </w:rPr>
            </w:pPr>
            <w:r w:rsidRPr="00D8383E">
              <w:rPr>
                <w:rFonts w:eastAsiaTheme="minorEastAsia"/>
                <w:sz w:val="18"/>
                <w:szCs w:val="18"/>
              </w:rPr>
              <w:t>2.</w:t>
            </w:r>
            <w:r w:rsidR="0089186D" w:rsidRPr="00D8383E">
              <w:rPr>
                <w:rFonts w:eastAsiaTheme="minorEastAsia"/>
                <w:sz w:val="18"/>
                <w:szCs w:val="18"/>
              </w:rPr>
              <w:t>2</w:t>
            </w:r>
            <w:r w:rsidRPr="00D8383E">
              <w:rPr>
                <w:rFonts w:eastAsiaTheme="minorEastAsia"/>
                <w:sz w:val="18"/>
                <w:szCs w:val="18"/>
              </w:rPr>
              <w:t>.1. Number of people benefit</w:t>
            </w:r>
            <w:r w:rsidR="0055290F">
              <w:rPr>
                <w:rFonts w:eastAsiaTheme="minorEastAsia"/>
                <w:sz w:val="18"/>
                <w:szCs w:val="18"/>
              </w:rPr>
              <w:t>ing</w:t>
            </w:r>
            <w:r w:rsidRPr="00D8383E">
              <w:rPr>
                <w:rFonts w:eastAsiaTheme="minorEastAsia"/>
                <w:sz w:val="18"/>
                <w:szCs w:val="18"/>
              </w:rPr>
              <w:t xml:space="preserve"> from integrated legal aid services </w:t>
            </w:r>
            <w:r w:rsidR="1037BC9F" w:rsidRPr="00D8383E">
              <w:rPr>
                <w:rFonts w:eastAsiaTheme="minorEastAsia"/>
                <w:sz w:val="18"/>
                <w:szCs w:val="18"/>
              </w:rPr>
              <w:t>(</w:t>
            </w:r>
            <w:r w:rsidR="000811F9">
              <w:rPr>
                <w:rFonts w:eastAsiaTheme="minorEastAsia"/>
                <w:sz w:val="18"/>
                <w:szCs w:val="18"/>
              </w:rPr>
              <w:t>IRFF</w:t>
            </w:r>
            <w:r w:rsidR="1037BC9F" w:rsidRPr="00D8383E">
              <w:rPr>
                <w:rFonts w:eastAsiaTheme="minorEastAsia"/>
                <w:sz w:val="18"/>
                <w:szCs w:val="18"/>
              </w:rPr>
              <w:t>-2.2.3)</w:t>
            </w:r>
          </w:p>
          <w:p w14:paraId="63708D7F" w14:textId="7D058AC6" w:rsidR="00A021BE" w:rsidRPr="00D8383E" w:rsidRDefault="00A021BE" w:rsidP="00126BEC">
            <w:pPr>
              <w:rPr>
                <w:rFonts w:eastAsiaTheme="minorEastAsia"/>
                <w:sz w:val="18"/>
                <w:szCs w:val="18"/>
              </w:rPr>
            </w:pPr>
            <w:r w:rsidRPr="00D8383E">
              <w:rPr>
                <w:rFonts w:eastAsiaTheme="minorEastAsia"/>
                <w:sz w:val="18"/>
                <w:szCs w:val="18"/>
              </w:rPr>
              <w:t>Baseline</w:t>
            </w:r>
            <w:r w:rsidR="00932CE0" w:rsidRPr="00D8383E">
              <w:rPr>
                <w:rFonts w:eastAsiaTheme="minorEastAsia"/>
                <w:sz w:val="18"/>
                <w:szCs w:val="18"/>
              </w:rPr>
              <w:t xml:space="preserve"> (2021)</w:t>
            </w:r>
            <w:r w:rsidRPr="00D8383E">
              <w:rPr>
                <w:rFonts w:eastAsiaTheme="minorEastAsia"/>
                <w:sz w:val="18"/>
                <w:szCs w:val="18"/>
              </w:rPr>
              <w:t xml:space="preserve">: </w:t>
            </w:r>
            <w:r w:rsidR="00753562" w:rsidRPr="00D8383E">
              <w:rPr>
                <w:rFonts w:eastAsiaTheme="minorEastAsia"/>
                <w:sz w:val="18"/>
                <w:szCs w:val="18"/>
              </w:rPr>
              <w:t>6,627</w:t>
            </w:r>
            <w:r w:rsidRPr="00D8383E">
              <w:rPr>
                <w:rFonts w:eastAsiaTheme="minorEastAsia"/>
                <w:sz w:val="18"/>
                <w:szCs w:val="18"/>
              </w:rPr>
              <w:t xml:space="preserve"> (</w:t>
            </w:r>
            <w:r w:rsidR="00634BE7" w:rsidRPr="00D8383E">
              <w:rPr>
                <w:rFonts w:eastAsiaTheme="minorEastAsia"/>
                <w:sz w:val="18"/>
                <w:szCs w:val="18"/>
              </w:rPr>
              <w:t>6</w:t>
            </w:r>
            <w:r w:rsidR="00753562" w:rsidRPr="00D8383E">
              <w:rPr>
                <w:rFonts w:eastAsiaTheme="minorEastAsia"/>
                <w:sz w:val="18"/>
                <w:szCs w:val="18"/>
              </w:rPr>
              <w:t>1</w:t>
            </w:r>
            <w:r w:rsidR="00634BE7" w:rsidRPr="00D8383E">
              <w:rPr>
                <w:rFonts w:eastAsiaTheme="minorEastAsia"/>
                <w:sz w:val="18"/>
                <w:szCs w:val="18"/>
              </w:rPr>
              <w:t xml:space="preserve">% </w:t>
            </w:r>
            <w:r w:rsidR="00CC66CF" w:rsidRPr="00D8383E">
              <w:rPr>
                <w:rFonts w:eastAsiaTheme="minorEastAsia"/>
                <w:sz w:val="18"/>
                <w:szCs w:val="18"/>
              </w:rPr>
              <w:t>women</w:t>
            </w:r>
            <w:r w:rsidRPr="00D8383E">
              <w:rPr>
                <w:rFonts w:eastAsiaTheme="minorEastAsia"/>
                <w:sz w:val="18"/>
                <w:szCs w:val="18"/>
              </w:rPr>
              <w:t>)</w:t>
            </w:r>
          </w:p>
          <w:p w14:paraId="6FF132A7" w14:textId="0202E662" w:rsidR="00A021BE" w:rsidRPr="00D8383E" w:rsidRDefault="00A021BE" w:rsidP="00126BEC">
            <w:pPr>
              <w:rPr>
                <w:rFonts w:eastAsiaTheme="minorEastAsia"/>
                <w:sz w:val="18"/>
                <w:szCs w:val="18"/>
              </w:rPr>
            </w:pPr>
            <w:r w:rsidRPr="00D8383E">
              <w:rPr>
                <w:rFonts w:eastAsiaTheme="minorEastAsia"/>
                <w:sz w:val="18"/>
                <w:szCs w:val="18"/>
              </w:rPr>
              <w:t>Target</w:t>
            </w:r>
            <w:r w:rsidR="00C77287" w:rsidRPr="00D8383E">
              <w:rPr>
                <w:rFonts w:eastAsiaTheme="minorEastAsia"/>
                <w:sz w:val="18"/>
                <w:szCs w:val="18"/>
              </w:rPr>
              <w:t xml:space="preserve"> (2027)</w:t>
            </w:r>
            <w:r w:rsidRPr="00D8383E">
              <w:rPr>
                <w:rFonts w:eastAsiaTheme="minorEastAsia"/>
                <w:sz w:val="18"/>
                <w:szCs w:val="18"/>
              </w:rPr>
              <w:t xml:space="preserve">: </w:t>
            </w:r>
            <w:r w:rsidR="004649DA" w:rsidRPr="00D8383E">
              <w:rPr>
                <w:rFonts w:eastAsiaTheme="minorEastAsia"/>
                <w:sz w:val="18"/>
                <w:szCs w:val="18"/>
              </w:rPr>
              <w:t>6</w:t>
            </w:r>
            <w:r w:rsidRPr="00D8383E">
              <w:rPr>
                <w:rFonts w:eastAsiaTheme="minorEastAsia"/>
                <w:sz w:val="18"/>
                <w:szCs w:val="18"/>
              </w:rPr>
              <w:t>0,000 (</w:t>
            </w:r>
            <w:r w:rsidR="0093076C" w:rsidRPr="00D8383E">
              <w:rPr>
                <w:rFonts w:eastAsiaTheme="minorEastAsia"/>
                <w:sz w:val="18"/>
                <w:szCs w:val="18"/>
              </w:rPr>
              <w:t xml:space="preserve">67% </w:t>
            </w:r>
            <w:r w:rsidR="00CC66CF" w:rsidRPr="00D8383E">
              <w:rPr>
                <w:rFonts w:eastAsiaTheme="minorEastAsia"/>
                <w:sz w:val="18"/>
                <w:szCs w:val="18"/>
              </w:rPr>
              <w:t>women</w:t>
            </w:r>
            <w:r w:rsidR="0093076C" w:rsidRPr="00D8383E">
              <w:rPr>
                <w:rFonts w:eastAsiaTheme="minorEastAsia"/>
                <w:sz w:val="18"/>
                <w:szCs w:val="18"/>
              </w:rPr>
              <w:t>)</w:t>
            </w:r>
            <w:r w:rsidRPr="00D8383E">
              <w:rPr>
                <w:rFonts w:eastAsiaTheme="minorEastAsia"/>
                <w:sz w:val="18"/>
                <w:szCs w:val="18"/>
              </w:rPr>
              <w:t xml:space="preserve"> </w:t>
            </w:r>
          </w:p>
          <w:p w14:paraId="133111A1" w14:textId="77777777" w:rsidR="00A021BE" w:rsidRPr="00D8383E" w:rsidRDefault="00A021BE" w:rsidP="00126BEC">
            <w:pPr>
              <w:rPr>
                <w:rFonts w:eastAsiaTheme="minorEastAsia"/>
                <w:sz w:val="18"/>
                <w:szCs w:val="18"/>
              </w:rPr>
            </w:pPr>
            <w:r w:rsidRPr="00D8383E">
              <w:rPr>
                <w:rFonts w:eastAsiaTheme="minorEastAsia"/>
                <w:sz w:val="18"/>
                <w:szCs w:val="18"/>
              </w:rPr>
              <w:t xml:space="preserve">Source/Frequency: MoLJPA, Nepal Bar Association/Annual </w:t>
            </w:r>
          </w:p>
          <w:p w14:paraId="5C7E02C3" w14:textId="77777777" w:rsidR="00A021BE" w:rsidRPr="00D8383E" w:rsidRDefault="00A021BE" w:rsidP="00126BEC">
            <w:pPr>
              <w:rPr>
                <w:rFonts w:eastAsiaTheme="minorEastAsia"/>
                <w:sz w:val="18"/>
                <w:szCs w:val="18"/>
                <w:highlight w:val="green"/>
              </w:rPr>
            </w:pPr>
          </w:p>
          <w:p w14:paraId="693CD24C" w14:textId="1299F0B7" w:rsidR="00A021BE" w:rsidRPr="00D8383E" w:rsidRDefault="00A021BE" w:rsidP="00126BEC">
            <w:pPr>
              <w:rPr>
                <w:sz w:val="18"/>
                <w:szCs w:val="18"/>
              </w:rPr>
            </w:pPr>
            <w:r w:rsidRPr="00D8383E">
              <w:rPr>
                <w:sz w:val="18"/>
                <w:szCs w:val="18"/>
              </w:rPr>
              <w:t xml:space="preserve">2.2.2. </w:t>
            </w:r>
            <w:r w:rsidR="14D32E7E" w:rsidRPr="00D8383E">
              <w:rPr>
                <w:sz w:val="18"/>
                <w:szCs w:val="18"/>
              </w:rPr>
              <w:t>Per</w:t>
            </w:r>
            <w:r w:rsidR="00A2025E">
              <w:rPr>
                <w:sz w:val="18"/>
                <w:szCs w:val="18"/>
              </w:rPr>
              <w:t xml:space="preserve"> cent</w:t>
            </w:r>
            <w:r w:rsidR="14D32E7E" w:rsidRPr="00D8383E">
              <w:rPr>
                <w:sz w:val="18"/>
                <w:szCs w:val="18"/>
              </w:rPr>
              <w:t xml:space="preserve"> increase in c</w:t>
            </w:r>
            <w:r w:rsidRPr="00D8383E">
              <w:rPr>
                <w:sz w:val="18"/>
                <w:szCs w:val="18"/>
              </w:rPr>
              <w:t xml:space="preserve">onfidence of marginalized groups </w:t>
            </w:r>
            <w:r w:rsidR="23C53514" w:rsidRPr="00D8383E">
              <w:rPr>
                <w:sz w:val="18"/>
                <w:szCs w:val="18"/>
              </w:rPr>
              <w:t xml:space="preserve">in </w:t>
            </w:r>
            <w:r w:rsidRPr="00D8383E">
              <w:rPr>
                <w:sz w:val="18"/>
                <w:szCs w:val="18"/>
              </w:rPr>
              <w:t>the formal justice system</w:t>
            </w:r>
            <w:r w:rsidR="3E6CF744" w:rsidRPr="00D8383E">
              <w:rPr>
                <w:sz w:val="18"/>
                <w:szCs w:val="18"/>
              </w:rPr>
              <w:t xml:space="preserve"> (</w:t>
            </w:r>
            <w:r w:rsidR="000811F9">
              <w:rPr>
                <w:sz w:val="18"/>
                <w:szCs w:val="18"/>
              </w:rPr>
              <w:t>IRFF</w:t>
            </w:r>
            <w:r w:rsidR="2B6F11DB" w:rsidRPr="00D8383E">
              <w:rPr>
                <w:sz w:val="18"/>
                <w:szCs w:val="18"/>
              </w:rPr>
              <w:t>-2.4.5)</w:t>
            </w:r>
          </w:p>
          <w:p w14:paraId="5D5C972F" w14:textId="416E9C1A" w:rsidR="00A021BE" w:rsidRPr="00D8383E" w:rsidRDefault="00A021BE" w:rsidP="00126BEC">
            <w:pPr>
              <w:rPr>
                <w:sz w:val="18"/>
                <w:szCs w:val="18"/>
              </w:rPr>
            </w:pPr>
            <w:r w:rsidRPr="00D8383E">
              <w:rPr>
                <w:sz w:val="18"/>
                <w:szCs w:val="18"/>
              </w:rPr>
              <w:t>Baseline</w:t>
            </w:r>
            <w:r w:rsidR="003D6D9E" w:rsidRPr="00D8383E">
              <w:rPr>
                <w:sz w:val="18"/>
                <w:szCs w:val="18"/>
              </w:rPr>
              <w:t xml:space="preserve"> (202</w:t>
            </w:r>
            <w:r w:rsidR="00DE0FA4" w:rsidRPr="00D8383E">
              <w:rPr>
                <w:sz w:val="18"/>
                <w:szCs w:val="18"/>
              </w:rPr>
              <w:t>2</w:t>
            </w:r>
            <w:r w:rsidR="003D6D9E" w:rsidRPr="00D8383E">
              <w:rPr>
                <w:sz w:val="18"/>
                <w:szCs w:val="18"/>
              </w:rPr>
              <w:t>)</w:t>
            </w:r>
            <w:r w:rsidRPr="00D8383E">
              <w:rPr>
                <w:sz w:val="18"/>
                <w:szCs w:val="18"/>
              </w:rPr>
              <w:t>: TBD (Baseline survey ongoing)</w:t>
            </w:r>
          </w:p>
          <w:p w14:paraId="4420BD4A" w14:textId="4B6769A3" w:rsidR="00A021BE" w:rsidRPr="00D8383E" w:rsidRDefault="00A021BE" w:rsidP="00126BEC">
            <w:pPr>
              <w:rPr>
                <w:sz w:val="18"/>
                <w:szCs w:val="18"/>
              </w:rPr>
            </w:pPr>
            <w:r w:rsidRPr="00D8383E">
              <w:rPr>
                <w:sz w:val="18"/>
                <w:szCs w:val="18"/>
              </w:rPr>
              <w:t>Target</w:t>
            </w:r>
            <w:r w:rsidR="00DE0FA4" w:rsidRPr="00D8383E">
              <w:rPr>
                <w:sz w:val="18"/>
                <w:szCs w:val="18"/>
              </w:rPr>
              <w:t xml:space="preserve"> (2027)</w:t>
            </w:r>
            <w:r w:rsidRPr="00D8383E">
              <w:rPr>
                <w:sz w:val="18"/>
                <w:szCs w:val="18"/>
              </w:rPr>
              <w:t>: Confidence level increased by 20% (pending baseline survey)</w:t>
            </w:r>
          </w:p>
          <w:p w14:paraId="370AAA35" w14:textId="77777777" w:rsidR="00A021BE" w:rsidRPr="00D8383E" w:rsidRDefault="00A021BE" w:rsidP="00126BEC">
            <w:pPr>
              <w:rPr>
                <w:sz w:val="18"/>
                <w:szCs w:val="18"/>
              </w:rPr>
            </w:pPr>
            <w:r w:rsidRPr="00D8383E">
              <w:rPr>
                <w:sz w:val="18"/>
                <w:szCs w:val="18"/>
              </w:rPr>
              <w:t>Source/Frequency: UNDP Surveys/Periodic</w:t>
            </w:r>
          </w:p>
          <w:p w14:paraId="2F30836E" w14:textId="77777777" w:rsidR="00A021BE" w:rsidRPr="00D8383E" w:rsidRDefault="00A021BE" w:rsidP="00126BEC">
            <w:pPr>
              <w:rPr>
                <w:rFonts w:eastAsiaTheme="minorEastAsia"/>
                <w:sz w:val="18"/>
                <w:szCs w:val="18"/>
              </w:rPr>
            </w:pPr>
          </w:p>
          <w:p w14:paraId="732ED412" w14:textId="481DC098" w:rsidR="00A021BE" w:rsidRPr="00D8383E" w:rsidRDefault="00A021BE" w:rsidP="00126BEC">
            <w:pPr>
              <w:rPr>
                <w:sz w:val="18"/>
                <w:szCs w:val="18"/>
              </w:rPr>
            </w:pPr>
            <w:r w:rsidRPr="00D8383E">
              <w:rPr>
                <w:sz w:val="18"/>
                <w:szCs w:val="18"/>
              </w:rPr>
              <w:t xml:space="preserve">2.2.3. </w:t>
            </w:r>
            <w:r w:rsidR="653F3E58" w:rsidRPr="00D8383E">
              <w:rPr>
                <w:sz w:val="18"/>
                <w:szCs w:val="18"/>
              </w:rPr>
              <w:t>National Action Plan on Business and Human Rights, in line with U</w:t>
            </w:r>
            <w:r w:rsidR="00FD3046">
              <w:rPr>
                <w:sz w:val="18"/>
                <w:szCs w:val="18"/>
              </w:rPr>
              <w:t xml:space="preserve">nited </w:t>
            </w:r>
            <w:r w:rsidR="653F3E58" w:rsidRPr="00D8383E">
              <w:rPr>
                <w:sz w:val="18"/>
                <w:szCs w:val="18"/>
              </w:rPr>
              <w:t>N</w:t>
            </w:r>
            <w:r w:rsidR="00FD3046">
              <w:rPr>
                <w:sz w:val="18"/>
                <w:szCs w:val="18"/>
              </w:rPr>
              <w:t>ations</w:t>
            </w:r>
            <w:r w:rsidR="653F3E58" w:rsidRPr="00D8383E">
              <w:rPr>
                <w:sz w:val="18"/>
                <w:szCs w:val="18"/>
              </w:rPr>
              <w:t xml:space="preserve"> Guiding Principles, enacted </w:t>
            </w:r>
            <w:r w:rsidR="28257B46" w:rsidRPr="00D8383E">
              <w:rPr>
                <w:sz w:val="18"/>
                <w:szCs w:val="18"/>
              </w:rPr>
              <w:t>(</w:t>
            </w:r>
            <w:r w:rsidR="000811F9">
              <w:rPr>
                <w:sz w:val="18"/>
                <w:szCs w:val="18"/>
              </w:rPr>
              <w:t>IRFF</w:t>
            </w:r>
            <w:r w:rsidR="28257B46" w:rsidRPr="00D8383E">
              <w:rPr>
                <w:sz w:val="18"/>
                <w:szCs w:val="18"/>
              </w:rPr>
              <w:t>-2.2.1)</w:t>
            </w:r>
          </w:p>
          <w:p w14:paraId="668AB0D2" w14:textId="1B1C74EB" w:rsidR="00A021BE" w:rsidRPr="00D8383E" w:rsidRDefault="00A021BE" w:rsidP="00126BEC">
            <w:pPr>
              <w:rPr>
                <w:sz w:val="18"/>
                <w:szCs w:val="18"/>
              </w:rPr>
            </w:pPr>
            <w:r w:rsidRPr="00D8383E">
              <w:rPr>
                <w:sz w:val="18"/>
                <w:szCs w:val="18"/>
              </w:rPr>
              <w:t>Baseline</w:t>
            </w:r>
            <w:r w:rsidR="00DE0FA4" w:rsidRPr="00D8383E">
              <w:rPr>
                <w:sz w:val="18"/>
                <w:szCs w:val="18"/>
              </w:rPr>
              <w:t xml:space="preserve"> (2022)</w:t>
            </w:r>
            <w:r w:rsidRPr="00D8383E">
              <w:rPr>
                <w:sz w:val="18"/>
                <w:szCs w:val="18"/>
              </w:rPr>
              <w:t xml:space="preserve">: </w:t>
            </w:r>
            <w:r w:rsidR="002A21AE" w:rsidRPr="00D8383E">
              <w:rPr>
                <w:sz w:val="18"/>
                <w:szCs w:val="18"/>
              </w:rPr>
              <w:t>No</w:t>
            </w:r>
          </w:p>
          <w:p w14:paraId="71AE52E9" w14:textId="349F0BDF" w:rsidR="00A021BE" w:rsidRPr="00D8383E" w:rsidRDefault="00A021BE" w:rsidP="00126BEC">
            <w:pPr>
              <w:rPr>
                <w:sz w:val="18"/>
                <w:szCs w:val="18"/>
              </w:rPr>
            </w:pPr>
            <w:r w:rsidRPr="00D8383E">
              <w:rPr>
                <w:sz w:val="18"/>
                <w:szCs w:val="18"/>
              </w:rPr>
              <w:t>Target</w:t>
            </w:r>
            <w:r w:rsidR="00DE0FA4" w:rsidRPr="00D8383E">
              <w:rPr>
                <w:sz w:val="18"/>
                <w:szCs w:val="18"/>
              </w:rPr>
              <w:t xml:space="preserve"> (2027)</w:t>
            </w:r>
            <w:r w:rsidRPr="00D8383E">
              <w:rPr>
                <w:sz w:val="18"/>
                <w:szCs w:val="18"/>
              </w:rPr>
              <w:t xml:space="preserve">: </w:t>
            </w:r>
            <w:r w:rsidR="002A21AE" w:rsidRPr="00D8383E">
              <w:rPr>
                <w:sz w:val="18"/>
                <w:szCs w:val="18"/>
              </w:rPr>
              <w:t>Yes</w:t>
            </w:r>
          </w:p>
          <w:p w14:paraId="47AFA0B1" w14:textId="77777777" w:rsidR="00A021BE" w:rsidRPr="00D8383E" w:rsidRDefault="00A021BE" w:rsidP="00126BEC">
            <w:pPr>
              <w:rPr>
                <w:sz w:val="18"/>
                <w:szCs w:val="18"/>
              </w:rPr>
            </w:pPr>
            <w:r w:rsidRPr="00D8383E">
              <w:rPr>
                <w:sz w:val="18"/>
                <w:szCs w:val="18"/>
              </w:rPr>
              <w:t>Source/Frequency: MoLESS/Annual</w:t>
            </w:r>
          </w:p>
          <w:p w14:paraId="37B47D71" w14:textId="77777777" w:rsidR="00A021BE" w:rsidRPr="00D8383E" w:rsidRDefault="00A021BE" w:rsidP="00126BEC">
            <w:pPr>
              <w:rPr>
                <w:rFonts w:eastAsiaTheme="minorEastAsia"/>
                <w:sz w:val="18"/>
                <w:szCs w:val="18"/>
              </w:rPr>
            </w:pPr>
          </w:p>
          <w:p w14:paraId="223D3B68" w14:textId="7330EF8D" w:rsidR="00A021BE" w:rsidRPr="00D8383E" w:rsidRDefault="00A021BE" w:rsidP="00126BEC">
            <w:pPr>
              <w:rPr>
                <w:sz w:val="18"/>
                <w:szCs w:val="18"/>
              </w:rPr>
            </w:pPr>
            <w:r w:rsidRPr="00D8383E">
              <w:rPr>
                <w:rFonts w:eastAsiaTheme="minorEastAsia"/>
                <w:sz w:val="18"/>
                <w:szCs w:val="18"/>
              </w:rPr>
              <w:t>Output 2.</w:t>
            </w:r>
            <w:r w:rsidR="00250CDF" w:rsidRPr="00D8383E">
              <w:rPr>
                <w:rFonts w:eastAsiaTheme="minorEastAsia"/>
                <w:sz w:val="18"/>
                <w:szCs w:val="18"/>
              </w:rPr>
              <w:t>3</w:t>
            </w:r>
            <w:r w:rsidRPr="00D8383E">
              <w:rPr>
                <w:rFonts w:eastAsiaTheme="minorEastAsia"/>
                <w:sz w:val="18"/>
                <w:szCs w:val="18"/>
              </w:rPr>
              <w:t xml:space="preserve">. </w:t>
            </w:r>
            <w:r w:rsidRPr="00D8383E">
              <w:rPr>
                <w:sz w:val="18"/>
                <w:szCs w:val="18"/>
              </w:rPr>
              <w:t>Improved mechanisms for promoting transparency and public participation.</w:t>
            </w:r>
          </w:p>
          <w:p w14:paraId="221CD914" w14:textId="77777777" w:rsidR="00A021BE" w:rsidRPr="00D8383E" w:rsidRDefault="00A021BE" w:rsidP="00126BEC">
            <w:pPr>
              <w:rPr>
                <w:sz w:val="18"/>
                <w:szCs w:val="18"/>
              </w:rPr>
            </w:pPr>
          </w:p>
          <w:p w14:paraId="47C09501" w14:textId="0ADDE3C8" w:rsidR="00A021BE" w:rsidRPr="00D8383E" w:rsidRDefault="00A021BE" w:rsidP="00126BEC">
            <w:pPr>
              <w:rPr>
                <w:sz w:val="18"/>
                <w:szCs w:val="18"/>
              </w:rPr>
            </w:pPr>
            <w:r w:rsidRPr="00D8383E">
              <w:rPr>
                <w:sz w:val="18"/>
                <w:szCs w:val="18"/>
              </w:rPr>
              <w:t>2.</w:t>
            </w:r>
            <w:r w:rsidR="0089186D" w:rsidRPr="00D8383E">
              <w:rPr>
                <w:sz w:val="18"/>
                <w:szCs w:val="18"/>
              </w:rPr>
              <w:t>3</w:t>
            </w:r>
            <w:r w:rsidRPr="00D8383E">
              <w:rPr>
                <w:sz w:val="18"/>
                <w:szCs w:val="18"/>
              </w:rPr>
              <w:t xml:space="preserve">.1. Number of </w:t>
            </w:r>
            <w:r w:rsidR="00FD3046">
              <w:rPr>
                <w:sz w:val="18"/>
                <w:szCs w:val="18"/>
              </w:rPr>
              <w:t>federal/provincial/local gove</w:t>
            </w:r>
            <w:r w:rsidR="005A25EC">
              <w:rPr>
                <w:sz w:val="18"/>
                <w:szCs w:val="18"/>
              </w:rPr>
              <w:t>r</w:t>
            </w:r>
            <w:r w:rsidR="00FD3046">
              <w:rPr>
                <w:sz w:val="18"/>
                <w:szCs w:val="18"/>
              </w:rPr>
              <w:t>nments</w:t>
            </w:r>
            <w:r w:rsidRPr="00D8383E">
              <w:rPr>
                <w:sz w:val="18"/>
                <w:szCs w:val="18"/>
              </w:rPr>
              <w:t xml:space="preserve"> improving access to information, including through digital tools</w:t>
            </w:r>
            <w:r w:rsidR="2BCBF56B" w:rsidRPr="00D8383E">
              <w:rPr>
                <w:sz w:val="18"/>
                <w:szCs w:val="18"/>
              </w:rPr>
              <w:t xml:space="preserve"> (</w:t>
            </w:r>
            <w:r w:rsidR="000811F9">
              <w:rPr>
                <w:sz w:val="18"/>
                <w:szCs w:val="18"/>
              </w:rPr>
              <w:t>IRFF</w:t>
            </w:r>
            <w:r w:rsidR="2BCBF56B" w:rsidRPr="00D8383E">
              <w:rPr>
                <w:sz w:val="18"/>
                <w:szCs w:val="18"/>
              </w:rPr>
              <w:t>-2.2.2)</w:t>
            </w:r>
          </w:p>
          <w:p w14:paraId="42211ECE" w14:textId="55AEA516" w:rsidR="00A021BE" w:rsidRPr="00D8383E" w:rsidRDefault="00A021BE" w:rsidP="00126BEC">
            <w:pPr>
              <w:rPr>
                <w:rFonts w:eastAsiaTheme="minorEastAsia"/>
                <w:sz w:val="18"/>
                <w:szCs w:val="18"/>
              </w:rPr>
            </w:pPr>
            <w:r w:rsidRPr="00D8383E">
              <w:rPr>
                <w:rFonts w:eastAsiaTheme="minorEastAsia"/>
                <w:sz w:val="18"/>
                <w:szCs w:val="18"/>
              </w:rPr>
              <w:t>Baseline</w:t>
            </w:r>
            <w:r w:rsidR="00DE0FA4" w:rsidRPr="00D8383E">
              <w:rPr>
                <w:rFonts w:eastAsiaTheme="minorEastAsia"/>
                <w:sz w:val="18"/>
                <w:szCs w:val="18"/>
              </w:rPr>
              <w:t xml:space="preserve"> (2022)</w:t>
            </w:r>
            <w:r w:rsidRPr="00D8383E">
              <w:rPr>
                <w:rFonts w:eastAsiaTheme="minorEastAsia"/>
                <w:sz w:val="18"/>
                <w:szCs w:val="18"/>
              </w:rPr>
              <w:t>: FG-0; PG-0; LG-0</w:t>
            </w:r>
          </w:p>
          <w:p w14:paraId="0BA79DB4" w14:textId="280015C9" w:rsidR="00A021BE" w:rsidRPr="00D8383E" w:rsidRDefault="00A021BE" w:rsidP="00126BEC">
            <w:pPr>
              <w:rPr>
                <w:rFonts w:eastAsiaTheme="minorEastAsia"/>
                <w:sz w:val="18"/>
                <w:szCs w:val="18"/>
              </w:rPr>
            </w:pPr>
            <w:r w:rsidRPr="00D8383E">
              <w:rPr>
                <w:rFonts w:eastAsiaTheme="minorEastAsia"/>
                <w:sz w:val="18"/>
                <w:szCs w:val="18"/>
              </w:rPr>
              <w:t>Target</w:t>
            </w:r>
            <w:r w:rsidR="00DE0FA4" w:rsidRPr="00D8383E">
              <w:rPr>
                <w:rFonts w:eastAsiaTheme="minorEastAsia"/>
                <w:sz w:val="18"/>
                <w:szCs w:val="18"/>
              </w:rPr>
              <w:t xml:space="preserve"> (2027)</w:t>
            </w:r>
            <w:r w:rsidRPr="00D8383E">
              <w:rPr>
                <w:rFonts w:eastAsiaTheme="minorEastAsia"/>
                <w:sz w:val="18"/>
                <w:szCs w:val="18"/>
              </w:rPr>
              <w:t>: FG-2; PG-5; LG-100</w:t>
            </w:r>
          </w:p>
          <w:p w14:paraId="3859C634" w14:textId="7D781771" w:rsidR="00A021BE" w:rsidRPr="00D8383E" w:rsidRDefault="00A021BE" w:rsidP="00126BEC">
            <w:pPr>
              <w:rPr>
                <w:sz w:val="18"/>
                <w:szCs w:val="18"/>
              </w:rPr>
            </w:pPr>
            <w:r w:rsidRPr="00D8383E">
              <w:rPr>
                <w:sz w:val="18"/>
                <w:szCs w:val="18"/>
              </w:rPr>
              <w:lastRenderedPageBreak/>
              <w:t xml:space="preserve">Source/Frequency: MoFAGA, </w:t>
            </w:r>
            <w:r w:rsidR="00FD3046">
              <w:rPr>
                <w:sz w:val="18"/>
                <w:szCs w:val="18"/>
              </w:rPr>
              <w:t>National Innovation Centre (</w:t>
            </w:r>
            <w:r w:rsidRPr="00D8383E">
              <w:rPr>
                <w:sz w:val="18"/>
                <w:szCs w:val="18"/>
              </w:rPr>
              <w:t>NIC</w:t>
            </w:r>
            <w:r w:rsidR="00FD3046">
              <w:rPr>
                <w:sz w:val="18"/>
                <w:szCs w:val="18"/>
              </w:rPr>
              <w:t>)</w:t>
            </w:r>
            <w:r w:rsidRPr="00D8383E">
              <w:rPr>
                <w:sz w:val="18"/>
                <w:szCs w:val="18"/>
              </w:rPr>
              <w:t xml:space="preserve">, </w:t>
            </w:r>
            <w:r w:rsidR="00FD3046" w:rsidRPr="00FD3046">
              <w:rPr>
                <w:sz w:val="18"/>
                <w:szCs w:val="18"/>
              </w:rPr>
              <w:t xml:space="preserve">Commission for the Investigation of Abuse of Authority </w:t>
            </w:r>
            <w:r w:rsidRPr="00D8383E">
              <w:rPr>
                <w:sz w:val="18"/>
                <w:szCs w:val="18"/>
              </w:rPr>
              <w:t xml:space="preserve">, </w:t>
            </w:r>
            <w:r w:rsidR="00A97098">
              <w:rPr>
                <w:sz w:val="18"/>
                <w:szCs w:val="18"/>
              </w:rPr>
              <w:t>provincial and local gove</w:t>
            </w:r>
            <w:r w:rsidR="0076732D">
              <w:rPr>
                <w:sz w:val="18"/>
                <w:szCs w:val="18"/>
              </w:rPr>
              <w:t>r</w:t>
            </w:r>
            <w:r w:rsidR="00A97098">
              <w:rPr>
                <w:sz w:val="18"/>
                <w:szCs w:val="18"/>
              </w:rPr>
              <w:t>nments</w:t>
            </w:r>
            <w:r w:rsidRPr="00D8383E">
              <w:rPr>
                <w:sz w:val="18"/>
                <w:szCs w:val="18"/>
              </w:rPr>
              <w:t>/Annual</w:t>
            </w:r>
          </w:p>
          <w:p w14:paraId="67157B20" w14:textId="77777777" w:rsidR="00A021BE" w:rsidRPr="00D8383E" w:rsidRDefault="00A021BE" w:rsidP="00126BEC">
            <w:pPr>
              <w:rPr>
                <w:sz w:val="18"/>
                <w:szCs w:val="18"/>
              </w:rPr>
            </w:pPr>
          </w:p>
          <w:p w14:paraId="3E216A58" w14:textId="70FFA96E" w:rsidR="00A021BE" w:rsidRPr="00D8383E" w:rsidRDefault="00A021BE" w:rsidP="00126BEC">
            <w:pPr>
              <w:rPr>
                <w:sz w:val="18"/>
                <w:szCs w:val="18"/>
              </w:rPr>
            </w:pPr>
            <w:r w:rsidRPr="00D8383E">
              <w:rPr>
                <w:sz w:val="18"/>
                <w:szCs w:val="18"/>
              </w:rPr>
              <w:t>2.</w:t>
            </w:r>
            <w:r w:rsidR="0089186D" w:rsidRPr="00D8383E">
              <w:rPr>
                <w:sz w:val="18"/>
                <w:szCs w:val="18"/>
              </w:rPr>
              <w:t>3</w:t>
            </w:r>
            <w:r w:rsidRPr="00D8383E">
              <w:rPr>
                <w:sz w:val="18"/>
                <w:szCs w:val="18"/>
              </w:rPr>
              <w:t>.2. Number of people (particularly marginalized groups) utilizing open forums for enhanced participation in decision-making processes</w:t>
            </w:r>
            <w:r w:rsidR="00A53E5D" w:rsidRPr="00D8383E">
              <w:rPr>
                <w:sz w:val="18"/>
                <w:szCs w:val="18"/>
              </w:rPr>
              <w:t xml:space="preserve"> (</w:t>
            </w:r>
            <w:r w:rsidR="000811F9">
              <w:rPr>
                <w:sz w:val="18"/>
                <w:szCs w:val="18"/>
              </w:rPr>
              <w:t>IRFF</w:t>
            </w:r>
            <w:r w:rsidR="00A53E5D" w:rsidRPr="00D8383E">
              <w:rPr>
                <w:sz w:val="18"/>
                <w:szCs w:val="18"/>
              </w:rPr>
              <w:t>-</w:t>
            </w:r>
            <w:r w:rsidR="00FB4852" w:rsidRPr="00D8383E">
              <w:rPr>
                <w:sz w:val="18"/>
                <w:szCs w:val="18"/>
              </w:rPr>
              <w:t>2.</w:t>
            </w:r>
            <w:r w:rsidR="00645A53" w:rsidRPr="00D8383E">
              <w:rPr>
                <w:sz w:val="18"/>
                <w:szCs w:val="18"/>
              </w:rPr>
              <w:t>4.5</w:t>
            </w:r>
            <w:r w:rsidR="00FB4852" w:rsidRPr="00D8383E">
              <w:rPr>
                <w:sz w:val="18"/>
                <w:szCs w:val="18"/>
              </w:rPr>
              <w:t>)</w:t>
            </w:r>
          </w:p>
          <w:p w14:paraId="22F98524" w14:textId="73C36B0D" w:rsidR="00A021BE" w:rsidRPr="00D8383E" w:rsidRDefault="00A021BE" w:rsidP="00126BEC">
            <w:pPr>
              <w:rPr>
                <w:rFonts w:eastAsiaTheme="minorEastAsia"/>
                <w:sz w:val="18"/>
                <w:szCs w:val="18"/>
              </w:rPr>
            </w:pPr>
            <w:r w:rsidRPr="00D8383E">
              <w:rPr>
                <w:rFonts w:eastAsiaTheme="minorEastAsia"/>
                <w:sz w:val="18"/>
                <w:szCs w:val="18"/>
              </w:rPr>
              <w:t>Baseline (202</w:t>
            </w:r>
            <w:r w:rsidR="001240CC" w:rsidRPr="00D8383E">
              <w:rPr>
                <w:rFonts w:eastAsiaTheme="minorEastAsia"/>
                <w:sz w:val="18"/>
                <w:szCs w:val="18"/>
              </w:rPr>
              <w:t>1</w:t>
            </w:r>
            <w:r w:rsidRPr="00D8383E">
              <w:rPr>
                <w:rFonts w:eastAsiaTheme="minorEastAsia"/>
                <w:sz w:val="18"/>
                <w:szCs w:val="18"/>
              </w:rPr>
              <w:t xml:space="preserve">): </w:t>
            </w:r>
            <w:r w:rsidR="00B26BFB" w:rsidRPr="00D8383E">
              <w:rPr>
                <w:rFonts w:eastAsiaTheme="minorEastAsia"/>
                <w:sz w:val="18"/>
                <w:szCs w:val="18"/>
              </w:rPr>
              <w:t>1,200 (</w:t>
            </w:r>
            <w:r w:rsidR="00374F51" w:rsidRPr="00D8383E">
              <w:rPr>
                <w:rFonts w:eastAsiaTheme="minorEastAsia"/>
                <w:sz w:val="18"/>
                <w:szCs w:val="18"/>
              </w:rPr>
              <w:t>25</w:t>
            </w:r>
            <w:r w:rsidR="00D973DB" w:rsidRPr="00D8383E">
              <w:rPr>
                <w:rFonts w:eastAsiaTheme="minorEastAsia"/>
                <w:sz w:val="18"/>
                <w:szCs w:val="18"/>
              </w:rPr>
              <w:t>%</w:t>
            </w:r>
            <w:r w:rsidR="00374F51" w:rsidRPr="00D8383E">
              <w:rPr>
                <w:rFonts w:eastAsiaTheme="minorEastAsia"/>
                <w:sz w:val="18"/>
                <w:szCs w:val="18"/>
              </w:rPr>
              <w:t xml:space="preserve"> </w:t>
            </w:r>
            <w:r w:rsidR="00CC66CF" w:rsidRPr="00D8383E">
              <w:rPr>
                <w:rFonts w:eastAsiaTheme="minorEastAsia"/>
                <w:sz w:val="18"/>
                <w:szCs w:val="18"/>
              </w:rPr>
              <w:t>women</w:t>
            </w:r>
            <w:r w:rsidR="00B26BFB" w:rsidRPr="00D8383E">
              <w:rPr>
                <w:rFonts w:eastAsiaTheme="minorEastAsia"/>
                <w:sz w:val="18"/>
                <w:szCs w:val="18"/>
              </w:rPr>
              <w:t>; 7% Dalit</w:t>
            </w:r>
            <w:r w:rsidR="006507FA" w:rsidRPr="00D8383E">
              <w:rPr>
                <w:rFonts w:eastAsiaTheme="minorEastAsia"/>
                <w:sz w:val="18"/>
                <w:szCs w:val="18"/>
              </w:rPr>
              <w:t>;</w:t>
            </w:r>
            <w:r w:rsidR="001E6A1D" w:rsidRPr="00D8383E">
              <w:rPr>
                <w:rFonts w:eastAsiaTheme="minorEastAsia"/>
                <w:sz w:val="18"/>
                <w:szCs w:val="18"/>
              </w:rPr>
              <w:t xml:space="preserve"> </w:t>
            </w:r>
            <w:r w:rsidR="00777C11" w:rsidRPr="00D8383E">
              <w:rPr>
                <w:rFonts w:eastAsiaTheme="minorEastAsia"/>
                <w:sz w:val="18"/>
                <w:szCs w:val="18"/>
              </w:rPr>
              <w:t xml:space="preserve">29% </w:t>
            </w:r>
            <w:r w:rsidR="00AA6D7D" w:rsidRPr="00D8383E">
              <w:rPr>
                <w:rFonts w:eastAsiaTheme="minorEastAsia"/>
                <w:sz w:val="18"/>
                <w:szCs w:val="18"/>
              </w:rPr>
              <w:t xml:space="preserve">ethnic communities; </w:t>
            </w:r>
            <w:r w:rsidR="00F078A2" w:rsidRPr="00D8383E">
              <w:rPr>
                <w:rFonts w:eastAsiaTheme="minorEastAsia"/>
                <w:sz w:val="18"/>
                <w:szCs w:val="18"/>
              </w:rPr>
              <w:t>35%</w:t>
            </w:r>
            <w:r w:rsidR="001E6A1D" w:rsidRPr="00D8383E">
              <w:rPr>
                <w:rFonts w:eastAsiaTheme="minorEastAsia"/>
                <w:sz w:val="18"/>
                <w:szCs w:val="18"/>
              </w:rPr>
              <w:t xml:space="preserve"> youth</w:t>
            </w:r>
            <w:r w:rsidR="00E41143" w:rsidRPr="00D8383E">
              <w:rPr>
                <w:rFonts w:eastAsiaTheme="minorEastAsia"/>
                <w:sz w:val="18"/>
                <w:szCs w:val="18"/>
              </w:rPr>
              <w:t xml:space="preserve">/volunteers) </w:t>
            </w:r>
          </w:p>
          <w:p w14:paraId="59758161" w14:textId="6D717F3E" w:rsidR="00A021BE" w:rsidRPr="00D8383E" w:rsidRDefault="00A021BE" w:rsidP="00126BEC">
            <w:pPr>
              <w:rPr>
                <w:rFonts w:eastAsiaTheme="minorEastAsia"/>
                <w:sz w:val="18"/>
                <w:szCs w:val="18"/>
              </w:rPr>
            </w:pPr>
            <w:r w:rsidRPr="00D8383E">
              <w:rPr>
                <w:rFonts w:eastAsiaTheme="minorEastAsia"/>
                <w:sz w:val="18"/>
                <w:szCs w:val="18"/>
              </w:rPr>
              <w:t xml:space="preserve">Target (2027): </w:t>
            </w:r>
            <w:r w:rsidR="1F8C4416" w:rsidRPr="00D8383E">
              <w:rPr>
                <w:rFonts w:eastAsiaTheme="minorEastAsia"/>
                <w:sz w:val="18"/>
                <w:szCs w:val="18"/>
              </w:rPr>
              <w:t>70</w:t>
            </w:r>
            <w:r w:rsidRPr="00D8383E">
              <w:rPr>
                <w:rFonts w:eastAsiaTheme="minorEastAsia"/>
                <w:sz w:val="18"/>
                <w:szCs w:val="18"/>
              </w:rPr>
              <w:t>,000</w:t>
            </w:r>
            <w:r w:rsidR="00AA6D7D" w:rsidRPr="00D8383E">
              <w:rPr>
                <w:rFonts w:eastAsiaTheme="minorEastAsia"/>
                <w:sz w:val="18"/>
                <w:szCs w:val="18"/>
              </w:rPr>
              <w:t xml:space="preserve"> (</w:t>
            </w:r>
            <w:r w:rsidR="00565D24" w:rsidRPr="00D8383E">
              <w:rPr>
                <w:rFonts w:eastAsiaTheme="minorEastAsia"/>
                <w:sz w:val="18"/>
                <w:szCs w:val="18"/>
              </w:rPr>
              <w:t xml:space="preserve">40% </w:t>
            </w:r>
            <w:r w:rsidR="00CC66CF" w:rsidRPr="00D8383E">
              <w:rPr>
                <w:rFonts w:eastAsiaTheme="minorEastAsia"/>
                <w:sz w:val="18"/>
                <w:szCs w:val="18"/>
              </w:rPr>
              <w:t>women</w:t>
            </w:r>
            <w:r w:rsidR="00C2666A" w:rsidRPr="00D8383E">
              <w:rPr>
                <w:rFonts w:eastAsiaTheme="minorEastAsia"/>
                <w:sz w:val="18"/>
                <w:szCs w:val="18"/>
              </w:rPr>
              <w:t xml:space="preserve">; </w:t>
            </w:r>
            <w:r w:rsidR="00BC4357" w:rsidRPr="00D8383E">
              <w:rPr>
                <w:rFonts w:eastAsiaTheme="minorEastAsia"/>
                <w:sz w:val="18"/>
                <w:szCs w:val="18"/>
              </w:rPr>
              <w:t>10% Dalit</w:t>
            </w:r>
            <w:r w:rsidR="003754DE" w:rsidRPr="00D8383E">
              <w:rPr>
                <w:rFonts w:eastAsiaTheme="minorEastAsia"/>
                <w:sz w:val="18"/>
                <w:szCs w:val="18"/>
              </w:rPr>
              <w:t>;</w:t>
            </w:r>
            <w:r w:rsidR="00D059A1" w:rsidRPr="00D8383E">
              <w:rPr>
                <w:rFonts w:eastAsiaTheme="minorEastAsia"/>
                <w:sz w:val="18"/>
                <w:szCs w:val="18"/>
              </w:rPr>
              <w:t xml:space="preserve"> </w:t>
            </w:r>
            <w:r w:rsidR="00C2666A" w:rsidRPr="00D8383E">
              <w:rPr>
                <w:rFonts w:eastAsiaTheme="minorEastAsia"/>
                <w:sz w:val="18"/>
                <w:szCs w:val="18"/>
              </w:rPr>
              <w:t xml:space="preserve">35% </w:t>
            </w:r>
            <w:r w:rsidR="00375B5A" w:rsidRPr="00D8383E">
              <w:rPr>
                <w:rFonts w:eastAsiaTheme="minorEastAsia"/>
                <w:sz w:val="18"/>
                <w:szCs w:val="18"/>
              </w:rPr>
              <w:t>E</w:t>
            </w:r>
            <w:r w:rsidR="00CB4F5F" w:rsidRPr="00D8383E">
              <w:rPr>
                <w:rFonts w:eastAsiaTheme="minorEastAsia"/>
                <w:sz w:val="18"/>
                <w:szCs w:val="18"/>
              </w:rPr>
              <w:t>thnic communities;</w:t>
            </w:r>
            <w:r w:rsidR="00D059A1" w:rsidRPr="00D8383E">
              <w:rPr>
                <w:rFonts w:eastAsiaTheme="minorEastAsia"/>
                <w:sz w:val="18"/>
                <w:szCs w:val="18"/>
              </w:rPr>
              <w:t xml:space="preserve"> </w:t>
            </w:r>
            <w:r w:rsidR="003754DE" w:rsidRPr="00D8383E">
              <w:rPr>
                <w:rFonts w:eastAsiaTheme="minorEastAsia"/>
                <w:sz w:val="18"/>
                <w:szCs w:val="18"/>
              </w:rPr>
              <w:t>40</w:t>
            </w:r>
            <w:r w:rsidR="00CB4F5F" w:rsidRPr="00D8383E">
              <w:rPr>
                <w:rFonts w:eastAsiaTheme="minorEastAsia"/>
                <w:sz w:val="18"/>
                <w:szCs w:val="18"/>
              </w:rPr>
              <w:t xml:space="preserve">% youth/volunteers) </w:t>
            </w:r>
          </w:p>
          <w:p w14:paraId="0BF15523" w14:textId="3B282BB5" w:rsidR="00A021BE" w:rsidRPr="00D8383E" w:rsidRDefault="00A021BE" w:rsidP="00126BEC">
            <w:pPr>
              <w:rPr>
                <w:rFonts w:eastAsiaTheme="minorEastAsia"/>
                <w:sz w:val="18"/>
                <w:szCs w:val="18"/>
              </w:rPr>
            </w:pPr>
            <w:r w:rsidRPr="00D8383E">
              <w:rPr>
                <w:rFonts w:eastAsiaTheme="minorEastAsia"/>
                <w:sz w:val="18"/>
                <w:szCs w:val="18"/>
              </w:rPr>
              <w:t>Source/Frequency: Parliaments</w:t>
            </w:r>
            <w:r w:rsidR="40059AC2" w:rsidRPr="00D8383E">
              <w:rPr>
                <w:rFonts w:eastAsiaTheme="minorEastAsia"/>
                <w:sz w:val="18"/>
                <w:szCs w:val="18"/>
              </w:rPr>
              <w:t>/</w:t>
            </w:r>
            <w:r w:rsidR="00A97098">
              <w:rPr>
                <w:rFonts w:eastAsiaTheme="minorEastAsia"/>
                <w:sz w:val="18"/>
                <w:szCs w:val="18"/>
              </w:rPr>
              <w:t>provincial and local governments</w:t>
            </w:r>
            <w:r w:rsidRPr="00D8383E">
              <w:rPr>
                <w:rFonts w:eastAsiaTheme="minorEastAsia"/>
                <w:sz w:val="18"/>
                <w:szCs w:val="18"/>
              </w:rPr>
              <w:t xml:space="preserve">/Annual </w:t>
            </w:r>
          </w:p>
          <w:p w14:paraId="445BCC99" w14:textId="77777777" w:rsidR="00A021BE" w:rsidRPr="00D8383E" w:rsidRDefault="00A021BE" w:rsidP="00126BEC">
            <w:pPr>
              <w:rPr>
                <w:rFonts w:eastAsiaTheme="minorEastAsia"/>
                <w:sz w:val="18"/>
                <w:szCs w:val="18"/>
                <w:highlight w:val="yellow"/>
              </w:rPr>
            </w:pPr>
          </w:p>
          <w:p w14:paraId="10C4DBDB" w14:textId="0015E1CF" w:rsidR="00A021BE" w:rsidRPr="00D8383E" w:rsidRDefault="00A021BE" w:rsidP="00126BEC">
            <w:pPr>
              <w:rPr>
                <w:sz w:val="18"/>
                <w:szCs w:val="18"/>
              </w:rPr>
            </w:pPr>
            <w:r w:rsidRPr="00D8383E">
              <w:rPr>
                <w:sz w:val="18"/>
                <w:szCs w:val="18"/>
              </w:rPr>
              <w:t>2.3.3. Number of complaints received and addressed by grievance handling systems</w:t>
            </w:r>
            <w:r w:rsidR="00FB4852" w:rsidRPr="00D8383E">
              <w:rPr>
                <w:sz w:val="18"/>
                <w:szCs w:val="18"/>
              </w:rPr>
              <w:t xml:space="preserve"> (IRRF-2.</w:t>
            </w:r>
            <w:r w:rsidR="00A10682" w:rsidRPr="00D8383E">
              <w:rPr>
                <w:sz w:val="18"/>
                <w:szCs w:val="18"/>
              </w:rPr>
              <w:t>3.2)</w:t>
            </w:r>
          </w:p>
          <w:p w14:paraId="6B3324F7" w14:textId="36B44F0F" w:rsidR="00A021BE" w:rsidRPr="00D8383E" w:rsidRDefault="00A021BE" w:rsidP="00126BEC">
            <w:pPr>
              <w:rPr>
                <w:sz w:val="18"/>
                <w:szCs w:val="18"/>
              </w:rPr>
            </w:pPr>
            <w:r w:rsidRPr="00D8383E">
              <w:rPr>
                <w:sz w:val="18"/>
                <w:szCs w:val="18"/>
              </w:rPr>
              <w:t>Baseline</w:t>
            </w:r>
            <w:r w:rsidR="00DF4E07" w:rsidRPr="00D8383E">
              <w:rPr>
                <w:sz w:val="18"/>
                <w:szCs w:val="18"/>
              </w:rPr>
              <w:t xml:space="preserve"> (2021)</w:t>
            </w:r>
            <w:r w:rsidRPr="00D8383E">
              <w:rPr>
                <w:sz w:val="18"/>
                <w:szCs w:val="18"/>
              </w:rPr>
              <w:t>: 43,645</w:t>
            </w:r>
            <w:r w:rsidR="00AA3EAA" w:rsidRPr="00D8383E">
              <w:rPr>
                <w:sz w:val="18"/>
                <w:szCs w:val="18"/>
              </w:rPr>
              <w:t xml:space="preserve">; </w:t>
            </w:r>
            <w:r w:rsidR="000B5E6C" w:rsidRPr="00D8383E">
              <w:rPr>
                <w:sz w:val="18"/>
                <w:szCs w:val="18"/>
              </w:rPr>
              <w:t>10%</w:t>
            </w:r>
            <w:r w:rsidR="004B4BD2" w:rsidRPr="00D8383E">
              <w:rPr>
                <w:sz w:val="18"/>
                <w:szCs w:val="18"/>
              </w:rPr>
              <w:t xml:space="preserve"> addressed</w:t>
            </w:r>
          </w:p>
          <w:p w14:paraId="241E11B7" w14:textId="3896877E" w:rsidR="00A021BE" w:rsidRPr="00D8383E" w:rsidRDefault="00A021BE" w:rsidP="00126BEC">
            <w:pPr>
              <w:rPr>
                <w:sz w:val="18"/>
                <w:szCs w:val="18"/>
              </w:rPr>
            </w:pPr>
            <w:r w:rsidRPr="00D8383E">
              <w:rPr>
                <w:sz w:val="18"/>
                <w:szCs w:val="18"/>
              </w:rPr>
              <w:t>Target</w:t>
            </w:r>
            <w:r w:rsidR="00DF4E07" w:rsidRPr="00D8383E">
              <w:rPr>
                <w:sz w:val="18"/>
                <w:szCs w:val="18"/>
              </w:rPr>
              <w:t xml:space="preserve"> (2027)</w:t>
            </w:r>
            <w:r w:rsidRPr="00D8383E">
              <w:rPr>
                <w:sz w:val="18"/>
                <w:szCs w:val="18"/>
              </w:rPr>
              <w:t xml:space="preserve">: </w:t>
            </w:r>
            <w:r w:rsidR="54BAF06E" w:rsidRPr="00D8383E">
              <w:rPr>
                <w:sz w:val="18"/>
                <w:szCs w:val="18"/>
              </w:rPr>
              <w:t>6</w:t>
            </w:r>
            <w:r w:rsidR="26A4A2F2" w:rsidRPr="00D8383E">
              <w:rPr>
                <w:sz w:val="18"/>
                <w:szCs w:val="18"/>
              </w:rPr>
              <w:t>0</w:t>
            </w:r>
            <w:r w:rsidRPr="00D8383E">
              <w:rPr>
                <w:sz w:val="18"/>
                <w:szCs w:val="18"/>
              </w:rPr>
              <w:t xml:space="preserve">,000; at least </w:t>
            </w:r>
            <w:r w:rsidR="35047CB8" w:rsidRPr="00D8383E">
              <w:rPr>
                <w:sz w:val="18"/>
                <w:szCs w:val="18"/>
              </w:rPr>
              <w:t>3</w:t>
            </w:r>
            <w:r w:rsidRPr="00D8383E">
              <w:rPr>
                <w:sz w:val="18"/>
                <w:szCs w:val="18"/>
              </w:rPr>
              <w:t xml:space="preserve">0% addressed </w:t>
            </w:r>
          </w:p>
          <w:p w14:paraId="2E9D759A" w14:textId="6284827C" w:rsidR="00A021BE" w:rsidRPr="00121289" w:rsidRDefault="00A021BE" w:rsidP="00126BEC">
            <w:pPr>
              <w:rPr>
                <w:sz w:val="18"/>
                <w:szCs w:val="18"/>
              </w:rPr>
            </w:pPr>
            <w:r w:rsidRPr="00D8383E">
              <w:rPr>
                <w:sz w:val="18"/>
                <w:szCs w:val="18"/>
              </w:rPr>
              <w:t>Source/Frequency: NIC</w:t>
            </w:r>
            <w:r w:rsidR="4802B5CA" w:rsidRPr="00D8383E">
              <w:rPr>
                <w:sz w:val="18"/>
                <w:szCs w:val="18"/>
              </w:rPr>
              <w:t>/</w:t>
            </w:r>
            <w:r w:rsidR="00A97098">
              <w:rPr>
                <w:sz w:val="18"/>
                <w:szCs w:val="18"/>
              </w:rPr>
              <w:t>provincial and local governments</w:t>
            </w:r>
            <w:r w:rsidRPr="00D8383E">
              <w:rPr>
                <w:sz w:val="18"/>
                <w:szCs w:val="18"/>
              </w:rPr>
              <w:t>/Annual</w:t>
            </w:r>
          </w:p>
        </w:tc>
        <w:tc>
          <w:tcPr>
            <w:tcW w:w="2222" w:type="dxa"/>
            <w:shd w:val="clear" w:color="auto" w:fill="auto"/>
            <w:tcMar>
              <w:top w:w="0" w:type="dxa"/>
              <w:left w:w="29" w:type="dxa"/>
              <w:bottom w:w="0" w:type="dxa"/>
              <w:right w:w="29" w:type="dxa"/>
            </w:tcMar>
          </w:tcPr>
          <w:p w14:paraId="69B56A70" w14:textId="1B24227E" w:rsidR="00A021BE" w:rsidRPr="00D8383E" w:rsidRDefault="00A021BE" w:rsidP="00126BEC">
            <w:pPr>
              <w:rPr>
                <w:rFonts w:eastAsiaTheme="minorEastAsia"/>
                <w:sz w:val="18"/>
                <w:szCs w:val="18"/>
              </w:rPr>
            </w:pPr>
            <w:r w:rsidRPr="00D8383E">
              <w:rPr>
                <w:rFonts w:eastAsiaTheme="minorEastAsia"/>
                <w:sz w:val="18"/>
                <w:szCs w:val="18"/>
              </w:rPr>
              <w:lastRenderedPageBreak/>
              <w:t>Parliaments</w:t>
            </w:r>
            <w:r w:rsidR="00DE52F0" w:rsidRPr="00D8383E">
              <w:rPr>
                <w:rFonts w:eastAsiaTheme="minorEastAsia"/>
                <w:sz w:val="18"/>
                <w:szCs w:val="18"/>
              </w:rPr>
              <w:t>,</w:t>
            </w:r>
          </w:p>
          <w:p w14:paraId="6FC12E31" w14:textId="30492A22" w:rsidR="00A021BE" w:rsidRPr="00D8383E" w:rsidRDefault="00A021BE" w:rsidP="00126BEC">
            <w:pPr>
              <w:rPr>
                <w:rFonts w:eastAsiaTheme="minorEastAsia"/>
                <w:sz w:val="18"/>
                <w:szCs w:val="18"/>
              </w:rPr>
            </w:pPr>
            <w:r w:rsidRPr="00D8383E">
              <w:rPr>
                <w:rFonts w:eastAsiaTheme="minorEastAsia"/>
                <w:sz w:val="18"/>
                <w:szCs w:val="18"/>
              </w:rPr>
              <w:t xml:space="preserve">Ministries: </w:t>
            </w:r>
            <w:r w:rsidR="008941D0">
              <w:rPr>
                <w:rFonts w:eastAsiaTheme="minorEastAsia"/>
                <w:sz w:val="18"/>
                <w:szCs w:val="18"/>
              </w:rPr>
              <w:t xml:space="preserve">of </w:t>
            </w:r>
            <w:r w:rsidRPr="00D8383E">
              <w:rPr>
                <w:rFonts w:eastAsiaTheme="minorEastAsia"/>
                <w:sz w:val="18"/>
                <w:szCs w:val="18"/>
              </w:rPr>
              <w:t>Law, Justice and Parliamentary Affairs (MoLJPA)</w:t>
            </w:r>
            <w:r w:rsidR="00DF7E80">
              <w:rPr>
                <w:rFonts w:eastAsiaTheme="minorEastAsia"/>
                <w:sz w:val="18"/>
                <w:szCs w:val="18"/>
              </w:rPr>
              <w:t>;</w:t>
            </w:r>
            <w:r w:rsidRPr="00D8383E">
              <w:rPr>
                <w:rFonts w:eastAsiaTheme="minorEastAsia"/>
                <w:sz w:val="18"/>
                <w:szCs w:val="18"/>
              </w:rPr>
              <w:t xml:space="preserve"> MoFAGA</w:t>
            </w:r>
            <w:r w:rsidR="00DF7E80">
              <w:rPr>
                <w:rFonts w:eastAsiaTheme="minorEastAsia"/>
                <w:sz w:val="18"/>
                <w:szCs w:val="18"/>
              </w:rPr>
              <w:t>;</w:t>
            </w:r>
            <w:r w:rsidRPr="00D8383E">
              <w:rPr>
                <w:rFonts w:eastAsiaTheme="minorEastAsia"/>
                <w:sz w:val="18"/>
                <w:szCs w:val="18"/>
              </w:rPr>
              <w:t xml:space="preserve"> </w:t>
            </w:r>
            <w:r w:rsidR="008941D0">
              <w:rPr>
                <w:rFonts w:eastAsiaTheme="minorEastAsia"/>
                <w:sz w:val="18"/>
                <w:szCs w:val="18"/>
              </w:rPr>
              <w:t xml:space="preserve">of </w:t>
            </w:r>
            <w:r w:rsidRPr="00D8383E">
              <w:rPr>
                <w:rFonts w:eastAsiaTheme="minorEastAsia"/>
                <w:sz w:val="18"/>
                <w:szCs w:val="18"/>
              </w:rPr>
              <w:t>Women, Children and Senior Citizens (MoWCSC)</w:t>
            </w:r>
            <w:r w:rsidR="00DF7E80">
              <w:rPr>
                <w:rFonts w:eastAsiaTheme="minorEastAsia"/>
                <w:sz w:val="18"/>
                <w:szCs w:val="18"/>
              </w:rPr>
              <w:t>;</w:t>
            </w:r>
            <w:r w:rsidRPr="00D8383E">
              <w:rPr>
                <w:rFonts w:eastAsiaTheme="minorEastAsia"/>
                <w:sz w:val="18"/>
                <w:szCs w:val="18"/>
              </w:rPr>
              <w:t xml:space="preserve"> MoLESS</w:t>
            </w:r>
            <w:r w:rsidR="00DF7E80">
              <w:rPr>
                <w:rFonts w:eastAsiaTheme="minorEastAsia"/>
                <w:sz w:val="18"/>
                <w:szCs w:val="18"/>
              </w:rPr>
              <w:t>;</w:t>
            </w:r>
          </w:p>
          <w:p w14:paraId="2C9126ED" w14:textId="388DB5C7" w:rsidR="00FD3046" w:rsidRDefault="00A97098" w:rsidP="00126BEC">
            <w:pPr>
              <w:rPr>
                <w:rFonts w:eastAsiaTheme="minorEastAsia"/>
                <w:sz w:val="18"/>
                <w:szCs w:val="18"/>
              </w:rPr>
            </w:pPr>
            <w:r>
              <w:rPr>
                <w:rFonts w:eastAsiaTheme="minorEastAsia"/>
                <w:sz w:val="18"/>
                <w:szCs w:val="18"/>
              </w:rPr>
              <w:t xml:space="preserve">provincial and local </w:t>
            </w:r>
            <w:r w:rsidR="00A07C18">
              <w:rPr>
                <w:rFonts w:eastAsiaTheme="minorEastAsia"/>
                <w:sz w:val="18"/>
                <w:szCs w:val="18"/>
              </w:rPr>
              <w:t>government</w:t>
            </w:r>
            <w:r w:rsidR="00DF7E80">
              <w:rPr>
                <w:rFonts w:eastAsiaTheme="minorEastAsia"/>
                <w:sz w:val="18"/>
                <w:szCs w:val="18"/>
              </w:rPr>
              <w:t>;</w:t>
            </w:r>
            <w:r w:rsidR="00396B39">
              <w:rPr>
                <w:rFonts w:eastAsiaTheme="minorEastAsia"/>
                <w:sz w:val="18"/>
                <w:szCs w:val="18"/>
              </w:rPr>
              <w:t xml:space="preserve"> </w:t>
            </w:r>
            <w:r w:rsidR="00A021BE" w:rsidRPr="00D8383E">
              <w:rPr>
                <w:rFonts w:eastAsiaTheme="minorEastAsia"/>
                <w:sz w:val="18"/>
                <w:szCs w:val="18"/>
              </w:rPr>
              <w:t>OPMCM/OCMCM</w:t>
            </w:r>
            <w:r w:rsidR="00DF7E80">
              <w:rPr>
                <w:rFonts w:eastAsiaTheme="minorEastAsia"/>
                <w:sz w:val="18"/>
                <w:szCs w:val="18"/>
              </w:rPr>
              <w:t>;</w:t>
            </w:r>
            <w:r w:rsidR="00A021BE" w:rsidRPr="00D8383E">
              <w:rPr>
                <w:rFonts w:eastAsiaTheme="minorEastAsia"/>
                <w:sz w:val="18"/>
                <w:szCs w:val="18"/>
              </w:rPr>
              <w:t xml:space="preserve"> </w:t>
            </w:r>
            <w:r w:rsidR="001160FA" w:rsidRPr="00D8383E">
              <w:rPr>
                <w:rFonts w:eastAsiaTheme="minorEastAsia"/>
                <w:sz w:val="18"/>
                <w:szCs w:val="18"/>
              </w:rPr>
              <w:t>Constitutional Commissions</w:t>
            </w:r>
            <w:r w:rsidR="009D2F2E">
              <w:rPr>
                <w:rFonts w:eastAsiaTheme="minorEastAsia"/>
                <w:sz w:val="18"/>
                <w:szCs w:val="18"/>
              </w:rPr>
              <w:t>;</w:t>
            </w:r>
            <w:r w:rsidR="001160FA" w:rsidRPr="00D8383E">
              <w:rPr>
                <w:rFonts w:eastAsiaTheme="minorEastAsia"/>
                <w:sz w:val="18"/>
                <w:szCs w:val="18"/>
              </w:rPr>
              <w:t xml:space="preserve"> </w:t>
            </w:r>
            <w:r w:rsidR="769156E2" w:rsidRPr="00D8383E">
              <w:rPr>
                <w:rFonts w:eastAsiaTheme="minorEastAsia"/>
                <w:sz w:val="18"/>
                <w:szCs w:val="18"/>
              </w:rPr>
              <w:t xml:space="preserve">Office of the Attorney </w:t>
            </w:r>
            <w:r w:rsidR="00484F84" w:rsidRPr="00D8383E">
              <w:rPr>
                <w:rFonts w:eastAsiaTheme="minorEastAsia"/>
                <w:sz w:val="18"/>
                <w:szCs w:val="18"/>
              </w:rPr>
              <w:t>General</w:t>
            </w:r>
            <w:r w:rsidR="009D2F2E">
              <w:rPr>
                <w:rFonts w:eastAsiaTheme="minorEastAsia"/>
                <w:sz w:val="18"/>
                <w:szCs w:val="18"/>
              </w:rPr>
              <w:t>;</w:t>
            </w:r>
            <w:r w:rsidR="769156E2" w:rsidRPr="00D8383E">
              <w:rPr>
                <w:rFonts w:eastAsiaTheme="minorEastAsia"/>
                <w:sz w:val="18"/>
                <w:szCs w:val="18"/>
              </w:rPr>
              <w:t xml:space="preserve"> </w:t>
            </w:r>
            <w:r w:rsidR="6D93EFBF" w:rsidRPr="00D8383E">
              <w:rPr>
                <w:rFonts w:eastAsiaTheme="minorEastAsia"/>
                <w:sz w:val="18"/>
                <w:szCs w:val="18"/>
              </w:rPr>
              <w:t xml:space="preserve">National Human Rights </w:t>
            </w:r>
            <w:r w:rsidR="41017BA0" w:rsidRPr="00D8383E">
              <w:rPr>
                <w:rFonts w:eastAsiaTheme="minorEastAsia"/>
                <w:sz w:val="18"/>
                <w:szCs w:val="18"/>
              </w:rPr>
              <w:t>Institutions</w:t>
            </w:r>
            <w:r w:rsidR="009D2F2E">
              <w:rPr>
                <w:rFonts w:eastAsiaTheme="minorEastAsia"/>
                <w:sz w:val="18"/>
                <w:szCs w:val="18"/>
              </w:rPr>
              <w:t>;</w:t>
            </w:r>
            <w:r w:rsidR="6D93EFBF" w:rsidRPr="00D8383E">
              <w:rPr>
                <w:rFonts w:eastAsiaTheme="minorEastAsia"/>
                <w:sz w:val="18"/>
                <w:szCs w:val="18"/>
              </w:rPr>
              <w:t xml:space="preserve"> </w:t>
            </w:r>
            <w:r w:rsidR="00A021BE" w:rsidRPr="00D8383E">
              <w:rPr>
                <w:rFonts w:eastAsiaTheme="minorEastAsia"/>
                <w:sz w:val="18"/>
                <w:szCs w:val="18"/>
              </w:rPr>
              <w:t>NPC</w:t>
            </w:r>
            <w:r w:rsidR="009D2F2E">
              <w:rPr>
                <w:rFonts w:eastAsiaTheme="minorEastAsia"/>
                <w:sz w:val="18"/>
                <w:szCs w:val="18"/>
              </w:rPr>
              <w:t>;</w:t>
            </w:r>
            <w:r w:rsidR="00A021BE" w:rsidRPr="00D8383E">
              <w:rPr>
                <w:rFonts w:eastAsiaTheme="minorEastAsia"/>
                <w:sz w:val="18"/>
                <w:szCs w:val="18"/>
              </w:rPr>
              <w:t xml:space="preserve"> Commission for the Investigation of Abuse of Authority</w:t>
            </w:r>
            <w:r w:rsidR="009D2F2E">
              <w:rPr>
                <w:rFonts w:eastAsiaTheme="minorEastAsia"/>
                <w:sz w:val="18"/>
                <w:szCs w:val="18"/>
              </w:rPr>
              <w:t xml:space="preserve">; </w:t>
            </w:r>
            <w:r w:rsidR="001E6AA3" w:rsidRPr="00D8383E">
              <w:rPr>
                <w:rFonts w:eastAsiaTheme="minorEastAsia"/>
                <w:sz w:val="18"/>
                <w:szCs w:val="18"/>
              </w:rPr>
              <w:t xml:space="preserve">UNCDF, </w:t>
            </w:r>
            <w:r w:rsidR="009A31F2" w:rsidRPr="00D8383E">
              <w:rPr>
                <w:rFonts w:eastAsiaTheme="minorEastAsia"/>
                <w:sz w:val="18"/>
                <w:szCs w:val="18"/>
              </w:rPr>
              <w:t xml:space="preserve">UNFPA, </w:t>
            </w:r>
            <w:r w:rsidR="001E6AA3" w:rsidRPr="00D8383E">
              <w:rPr>
                <w:rFonts w:eastAsiaTheme="minorEastAsia"/>
                <w:sz w:val="18"/>
                <w:szCs w:val="18"/>
              </w:rPr>
              <w:t xml:space="preserve">UNICEF, </w:t>
            </w:r>
            <w:r w:rsidR="004B45E4" w:rsidRPr="00D8383E">
              <w:rPr>
                <w:rFonts w:eastAsiaTheme="minorEastAsia"/>
                <w:sz w:val="18"/>
                <w:szCs w:val="18"/>
              </w:rPr>
              <w:t xml:space="preserve">UNV, </w:t>
            </w:r>
            <w:r w:rsidR="00A021BE" w:rsidRPr="00D8383E">
              <w:rPr>
                <w:rFonts w:eastAsiaTheme="minorEastAsia"/>
                <w:sz w:val="18"/>
                <w:szCs w:val="18"/>
              </w:rPr>
              <w:t>UN</w:t>
            </w:r>
            <w:r w:rsidR="0076732D">
              <w:rPr>
                <w:rFonts w:eastAsiaTheme="minorEastAsia"/>
                <w:sz w:val="18"/>
                <w:szCs w:val="18"/>
              </w:rPr>
              <w:t>-</w:t>
            </w:r>
            <w:r w:rsidR="00616C35" w:rsidRPr="00D8383E">
              <w:rPr>
                <w:rFonts w:eastAsiaTheme="minorEastAsia"/>
                <w:sz w:val="18"/>
                <w:szCs w:val="18"/>
              </w:rPr>
              <w:t xml:space="preserve">Women, </w:t>
            </w:r>
            <w:r w:rsidR="5AD32223" w:rsidRPr="00D8383E">
              <w:rPr>
                <w:rFonts w:eastAsiaTheme="minorEastAsia"/>
                <w:sz w:val="18"/>
                <w:szCs w:val="18"/>
              </w:rPr>
              <w:t>WFP</w:t>
            </w:r>
            <w:r w:rsidR="009D2F2E">
              <w:rPr>
                <w:rFonts w:eastAsiaTheme="minorEastAsia"/>
                <w:sz w:val="18"/>
                <w:szCs w:val="18"/>
              </w:rPr>
              <w:t>;</w:t>
            </w:r>
            <w:r w:rsidR="00D61085" w:rsidRPr="00D8383E">
              <w:rPr>
                <w:rFonts w:eastAsiaTheme="minorEastAsia"/>
                <w:sz w:val="18"/>
                <w:szCs w:val="18"/>
              </w:rPr>
              <w:t xml:space="preserve"> </w:t>
            </w:r>
          </w:p>
          <w:p w14:paraId="6115F008" w14:textId="67E3E33A" w:rsidR="00A021BE" w:rsidRPr="00D8383E" w:rsidRDefault="002A3C7B" w:rsidP="00126BEC">
            <w:pPr>
              <w:rPr>
                <w:rFonts w:eastAsiaTheme="minorEastAsia"/>
                <w:sz w:val="18"/>
                <w:szCs w:val="18"/>
              </w:rPr>
            </w:pPr>
            <w:r w:rsidRPr="00D8383E">
              <w:rPr>
                <w:rFonts w:eastAsiaTheme="minorEastAsia"/>
                <w:sz w:val="18"/>
                <w:szCs w:val="18"/>
              </w:rPr>
              <w:t>c</w:t>
            </w:r>
            <w:r w:rsidR="00D61085" w:rsidRPr="00D8383E">
              <w:rPr>
                <w:rFonts w:eastAsiaTheme="minorEastAsia"/>
                <w:sz w:val="18"/>
                <w:szCs w:val="18"/>
              </w:rPr>
              <w:t xml:space="preserve">ivil </w:t>
            </w:r>
            <w:r w:rsidRPr="00D8383E">
              <w:rPr>
                <w:rFonts w:eastAsiaTheme="minorEastAsia"/>
                <w:sz w:val="18"/>
                <w:szCs w:val="18"/>
              </w:rPr>
              <w:t>s</w:t>
            </w:r>
            <w:r w:rsidR="00D61085" w:rsidRPr="00D8383E">
              <w:rPr>
                <w:rFonts w:eastAsiaTheme="minorEastAsia"/>
                <w:sz w:val="18"/>
                <w:szCs w:val="18"/>
              </w:rPr>
              <w:t>ociety</w:t>
            </w:r>
            <w:r w:rsidRPr="00D8383E">
              <w:rPr>
                <w:rFonts w:eastAsiaTheme="minorEastAsia"/>
                <w:sz w:val="18"/>
                <w:szCs w:val="18"/>
              </w:rPr>
              <w:t xml:space="preserve"> / community-based organizations</w:t>
            </w:r>
          </w:p>
        </w:tc>
        <w:tc>
          <w:tcPr>
            <w:tcW w:w="1830" w:type="dxa"/>
            <w:shd w:val="clear" w:color="auto" w:fill="auto"/>
            <w:tcMar>
              <w:top w:w="15" w:type="dxa"/>
              <w:left w:w="108" w:type="dxa"/>
              <w:bottom w:w="0" w:type="dxa"/>
              <w:right w:w="108" w:type="dxa"/>
            </w:tcMar>
          </w:tcPr>
          <w:p w14:paraId="21A641D8" w14:textId="1D06306D" w:rsidR="00A021BE" w:rsidRPr="00D8383E" w:rsidRDefault="541C3D74" w:rsidP="00126BEC">
            <w:pPr>
              <w:rPr>
                <w:sz w:val="18"/>
                <w:szCs w:val="18"/>
              </w:rPr>
            </w:pPr>
            <w:r w:rsidRPr="00D8383E">
              <w:rPr>
                <w:sz w:val="18"/>
                <w:szCs w:val="18"/>
              </w:rPr>
              <w:t>Regular</w:t>
            </w:r>
            <w:r w:rsidR="0076792B">
              <w:rPr>
                <w:sz w:val="18"/>
                <w:szCs w:val="18"/>
              </w:rPr>
              <w:t>:</w:t>
            </w:r>
            <w:r w:rsidRPr="00D8383E">
              <w:rPr>
                <w:sz w:val="18"/>
                <w:szCs w:val="18"/>
              </w:rPr>
              <w:t xml:space="preserve"> </w:t>
            </w:r>
            <w:r w:rsidR="0076792B">
              <w:rPr>
                <w:sz w:val="18"/>
                <w:szCs w:val="18"/>
              </w:rPr>
              <w:t>$</w:t>
            </w:r>
            <w:r w:rsidRPr="00D8383E">
              <w:rPr>
                <w:sz w:val="18"/>
                <w:szCs w:val="18"/>
              </w:rPr>
              <w:t>8</w:t>
            </w:r>
            <w:r w:rsidR="3A1B265A" w:rsidRPr="00D8383E">
              <w:rPr>
                <w:sz w:val="18"/>
                <w:szCs w:val="18"/>
              </w:rPr>
              <w:t>,</w:t>
            </w:r>
            <w:r w:rsidRPr="00D8383E">
              <w:rPr>
                <w:sz w:val="18"/>
                <w:szCs w:val="18"/>
              </w:rPr>
              <w:t>000,000</w:t>
            </w:r>
          </w:p>
          <w:p w14:paraId="54686267" w14:textId="4D01A28F" w:rsidR="00A021BE" w:rsidRPr="00D8383E" w:rsidRDefault="00A021BE" w:rsidP="00126BEC">
            <w:pPr>
              <w:rPr>
                <w:sz w:val="18"/>
                <w:szCs w:val="18"/>
              </w:rPr>
            </w:pPr>
            <w:r w:rsidRPr="00D8383E">
              <w:rPr>
                <w:sz w:val="18"/>
                <w:szCs w:val="18"/>
              </w:rPr>
              <w:t>Other</w:t>
            </w:r>
            <w:r w:rsidR="0076792B">
              <w:rPr>
                <w:sz w:val="18"/>
                <w:szCs w:val="18"/>
              </w:rPr>
              <w:t>: $</w:t>
            </w:r>
            <w:r w:rsidRPr="00D8383E">
              <w:rPr>
                <w:sz w:val="18"/>
                <w:szCs w:val="18"/>
              </w:rPr>
              <w:t>27,356,449</w:t>
            </w:r>
          </w:p>
        </w:tc>
      </w:tr>
      <w:tr w:rsidR="00A021BE" w:rsidRPr="00D8383E" w14:paraId="204CB3C4" w14:textId="77777777" w:rsidTr="2A30F008">
        <w:trPr>
          <w:trHeight w:val="25"/>
        </w:trPr>
        <w:tc>
          <w:tcPr>
            <w:tcW w:w="12985" w:type="dxa"/>
            <w:gridSpan w:val="5"/>
            <w:shd w:val="clear" w:color="auto" w:fill="DBE5F1" w:themeFill="accent1" w:themeFillTint="33"/>
          </w:tcPr>
          <w:p w14:paraId="1D960BBB" w14:textId="77777777" w:rsidR="00A021BE" w:rsidRPr="00D8383E" w:rsidRDefault="00A021BE" w:rsidP="00126BEC">
            <w:pPr>
              <w:rPr>
                <w:rFonts w:eastAsia="Calibri"/>
                <w:sz w:val="18"/>
                <w:szCs w:val="18"/>
              </w:rPr>
            </w:pPr>
            <w:r w:rsidRPr="00D8383E">
              <w:rPr>
                <w:sz w:val="18"/>
                <w:szCs w:val="18"/>
              </w:rPr>
              <w:lastRenderedPageBreak/>
              <w:t xml:space="preserve">NATIONAL PRIORITY OR GOAL:  </w:t>
            </w:r>
            <w:r w:rsidRPr="00D8383E">
              <w:rPr>
                <w:rFonts w:eastAsia="Calibri"/>
                <w:sz w:val="18"/>
                <w:szCs w:val="18"/>
              </w:rPr>
              <w:t>Goal-7. A healthy and balanced environment.</w:t>
            </w:r>
          </w:p>
        </w:tc>
      </w:tr>
      <w:tr w:rsidR="00A021BE" w:rsidRPr="00D8383E" w14:paraId="44803718" w14:textId="77777777" w:rsidTr="2A30F008">
        <w:trPr>
          <w:trHeight w:val="124"/>
        </w:trPr>
        <w:tc>
          <w:tcPr>
            <w:tcW w:w="12985" w:type="dxa"/>
            <w:gridSpan w:val="5"/>
            <w:shd w:val="clear" w:color="auto" w:fill="DBE5F1" w:themeFill="accent1" w:themeFillTint="33"/>
          </w:tcPr>
          <w:p w14:paraId="39992DD6" w14:textId="2FE5E883" w:rsidR="00A021BE" w:rsidRPr="00D8383E" w:rsidRDefault="00A021BE" w:rsidP="00126BEC">
            <w:pPr>
              <w:rPr>
                <w:rFonts w:eastAsia="Calibri"/>
                <w:sz w:val="18"/>
                <w:szCs w:val="18"/>
              </w:rPr>
            </w:pPr>
            <w:r w:rsidRPr="00D8383E">
              <w:rPr>
                <w:sz w:val="18"/>
                <w:szCs w:val="18"/>
              </w:rPr>
              <w:t xml:space="preserve">COOPERATION FRAMEWORK (OR EQUIVALENT) OUTCOME INVOLVING UNDP #3: </w:t>
            </w:r>
            <w:r w:rsidRPr="00D8383E">
              <w:rPr>
                <w:rFonts w:eastAsia="Calibri"/>
                <w:sz w:val="18"/>
                <w:szCs w:val="18"/>
              </w:rPr>
              <w:t>By 2027, more people, especially women, youth, and the most marginalized and poor, increasingly benefit from and contribute to building an inclusive, sustainable, climate-resilient and green society and reduced impacts of disasters at federal, provincial</w:t>
            </w:r>
            <w:r w:rsidR="00A2025E">
              <w:rPr>
                <w:rFonts w:eastAsia="Calibri"/>
                <w:sz w:val="18"/>
                <w:szCs w:val="18"/>
              </w:rPr>
              <w:t xml:space="preserve"> and</w:t>
            </w:r>
            <w:r w:rsidRPr="00D8383E">
              <w:rPr>
                <w:rFonts w:eastAsia="Calibri"/>
                <w:sz w:val="18"/>
                <w:szCs w:val="18"/>
              </w:rPr>
              <w:t xml:space="preserve"> local levels.</w:t>
            </w:r>
          </w:p>
        </w:tc>
      </w:tr>
      <w:tr w:rsidR="00A021BE" w:rsidRPr="00D8383E" w14:paraId="5BD4F28B" w14:textId="77777777" w:rsidTr="2A30F008">
        <w:trPr>
          <w:trHeight w:val="124"/>
        </w:trPr>
        <w:tc>
          <w:tcPr>
            <w:tcW w:w="12985" w:type="dxa"/>
            <w:gridSpan w:val="5"/>
            <w:shd w:val="clear" w:color="auto" w:fill="DBE5F1" w:themeFill="accent1" w:themeFillTint="33"/>
          </w:tcPr>
          <w:p w14:paraId="05CE7115" w14:textId="77777777" w:rsidR="00A021BE" w:rsidRPr="00D8383E" w:rsidRDefault="00A021BE" w:rsidP="00126BEC">
            <w:pPr>
              <w:rPr>
                <w:sz w:val="18"/>
                <w:szCs w:val="18"/>
              </w:rPr>
            </w:pPr>
            <w:r w:rsidRPr="00D8383E">
              <w:rPr>
                <w:sz w:val="18"/>
                <w:szCs w:val="18"/>
              </w:rPr>
              <w:t>RELATED STRATEGIC PLAN OUTCOME: Outcome-3: Resilience built to respond to systemic uncertainty and risk.</w:t>
            </w:r>
          </w:p>
        </w:tc>
      </w:tr>
      <w:tr w:rsidR="00A021BE" w:rsidRPr="00D8383E" w14:paraId="01BD78D8" w14:textId="77777777" w:rsidTr="006F0C78">
        <w:trPr>
          <w:trHeight w:val="133"/>
        </w:trPr>
        <w:tc>
          <w:tcPr>
            <w:tcW w:w="2397" w:type="dxa"/>
            <w:shd w:val="clear" w:color="auto" w:fill="auto"/>
          </w:tcPr>
          <w:p w14:paraId="61B925CA" w14:textId="46931092" w:rsidR="00A021BE" w:rsidRPr="00D8383E" w:rsidRDefault="00A021BE" w:rsidP="00126BEC">
            <w:pPr>
              <w:rPr>
                <w:sz w:val="18"/>
                <w:szCs w:val="18"/>
              </w:rPr>
            </w:pPr>
            <w:r w:rsidRPr="00D8383E">
              <w:rPr>
                <w:sz w:val="18"/>
                <w:szCs w:val="18"/>
              </w:rPr>
              <w:t xml:space="preserve">3.1. </w:t>
            </w:r>
            <w:r w:rsidR="00A2025E">
              <w:rPr>
                <w:sz w:val="18"/>
                <w:szCs w:val="18"/>
              </w:rPr>
              <w:t>Greenhouse gas (</w:t>
            </w:r>
            <w:r w:rsidRPr="00D8383E">
              <w:rPr>
                <w:sz w:val="18"/>
                <w:szCs w:val="18"/>
              </w:rPr>
              <w:t>GHG</w:t>
            </w:r>
            <w:r w:rsidR="00A2025E">
              <w:rPr>
                <w:sz w:val="18"/>
                <w:szCs w:val="18"/>
              </w:rPr>
              <w:t>)</w:t>
            </w:r>
            <w:r w:rsidRPr="00D8383E">
              <w:rPr>
                <w:sz w:val="18"/>
                <w:szCs w:val="18"/>
              </w:rPr>
              <w:t xml:space="preserve"> emissions per capita and per unit of GDP. </w:t>
            </w:r>
          </w:p>
          <w:p w14:paraId="16EB988B" w14:textId="77777777" w:rsidR="00A021BE" w:rsidRPr="00D8383E" w:rsidRDefault="00A021BE" w:rsidP="00126BEC">
            <w:pPr>
              <w:rPr>
                <w:sz w:val="18"/>
                <w:szCs w:val="18"/>
              </w:rPr>
            </w:pPr>
            <w:r w:rsidRPr="00D8383E">
              <w:rPr>
                <w:sz w:val="18"/>
                <w:szCs w:val="18"/>
              </w:rPr>
              <w:t xml:space="preserve">Baseline (2011): </w:t>
            </w:r>
            <w:r w:rsidRPr="00D8383E">
              <w:rPr>
                <w:rFonts w:eastAsia="Calibri"/>
                <w:sz w:val="18"/>
                <w:szCs w:val="18"/>
              </w:rPr>
              <w:t>Net GHG emissions of 31,998.91 Gg CO</w:t>
            </w:r>
            <w:r w:rsidRPr="0055290F">
              <w:rPr>
                <w:rFonts w:eastAsia="Calibri"/>
                <w:sz w:val="18"/>
                <w:szCs w:val="18"/>
                <w:vertAlign w:val="subscript"/>
              </w:rPr>
              <w:t>2</w:t>
            </w:r>
            <w:r w:rsidRPr="00D8383E">
              <w:rPr>
                <w:rFonts w:eastAsia="Calibri"/>
                <w:sz w:val="18"/>
                <w:szCs w:val="18"/>
              </w:rPr>
              <w:t xml:space="preserve"> eq.</w:t>
            </w:r>
          </w:p>
          <w:p w14:paraId="6747BE06" w14:textId="77777777" w:rsidR="00A021BE" w:rsidRPr="00D8383E" w:rsidRDefault="00A021BE" w:rsidP="00126BEC">
            <w:pPr>
              <w:rPr>
                <w:sz w:val="18"/>
                <w:szCs w:val="18"/>
              </w:rPr>
            </w:pPr>
            <w:r w:rsidRPr="00D8383E">
              <w:rPr>
                <w:sz w:val="18"/>
                <w:szCs w:val="18"/>
              </w:rPr>
              <w:t xml:space="preserve">Target (2025): </w:t>
            </w:r>
            <w:r w:rsidRPr="00D8383E">
              <w:rPr>
                <w:rFonts w:eastAsia="Calibri"/>
                <w:sz w:val="18"/>
                <w:szCs w:val="18"/>
              </w:rPr>
              <w:t>GHG emission of 1,774 Gg CO</w:t>
            </w:r>
            <w:r w:rsidRPr="0055290F">
              <w:rPr>
                <w:rFonts w:eastAsia="Calibri"/>
                <w:sz w:val="18"/>
                <w:szCs w:val="18"/>
                <w:vertAlign w:val="subscript"/>
              </w:rPr>
              <w:t>2</w:t>
            </w:r>
            <w:r w:rsidRPr="00D8383E">
              <w:rPr>
                <w:rFonts w:eastAsia="Calibri"/>
                <w:sz w:val="18"/>
                <w:szCs w:val="18"/>
              </w:rPr>
              <w:t xml:space="preserve"> eq.</w:t>
            </w:r>
          </w:p>
          <w:p w14:paraId="4651C87E" w14:textId="77777777" w:rsidR="00A021BE" w:rsidRPr="00D8383E" w:rsidRDefault="00A021BE" w:rsidP="00126BEC">
            <w:pPr>
              <w:rPr>
                <w:sz w:val="18"/>
                <w:szCs w:val="18"/>
              </w:rPr>
            </w:pPr>
          </w:p>
          <w:p w14:paraId="4A855B38" w14:textId="77777777" w:rsidR="00A021BE" w:rsidRPr="00D8383E" w:rsidRDefault="00A021BE" w:rsidP="00126BEC">
            <w:pPr>
              <w:rPr>
                <w:sz w:val="18"/>
                <w:szCs w:val="18"/>
              </w:rPr>
            </w:pPr>
            <w:r w:rsidRPr="00D8383E">
              <w:rPr>
                <w:sz w:val="18"/>
                <w:szCs w:val="18"/>
              </w:rPr>
              <w:lastRenderedPageBreak/>
              <w:t>3.2. Ratio of renewable energy in total energy consumption (%)</w:t>
            </w:r>
          </w:p>
          <w:p w14:paraId="79095E30" w14:textId="77777777" w:rsidR="00A021BE" w:rsidRPr="00D8383E" w:rsidRDefault="00A021BE" w:rsidP="00126BEC">
            <w:pPr>
              <w:rPr>
                <w:sz w:val="18"/>
                <w:szCs w:val="18"/>
              </w:rPr>
            </w:pPr>
            <w:r w:rsidRPr="00D8383E">
              <w:rPr>
                <w:sz w:val="18"/>
                <w:szCs w:val="18"/>
              </w:rPr>
              <w:t>Baseline (2019): 5%</w:t>
            </w:r>
          </w:p>
          <w:p w14:paraId="776F5863" w14:textId="77777777" w:rsidR="00A021BE" w:rsidRPr="00D8383E" w:rsidRDefault="00A021BE" w:rsidP="00126BEC">
            <w:pPr>
              <w:rPr>
                <w:sz w:val="18"/>
                <w:szCs w:val="18"/>
              </w:rPr>
            </w:pPr>
            <w:r w:rsidRPr="00D8383E">
              <w:rPr>
                <w:sz w:val="18"/>
                <w:szCs w:val="18"/>
              </w:rPr>
              <w:t xml:space="preserve">Target (2025): 37.3% </w:t>
            </w:r>
          </w:p>
          <w:p w14:paraId="059EBF09" w14:textId="77777777" w:rsidR="00A021BE" w:rsidRPr="00D8383E" w:rsidRDefault="00A021BE" w:rsidP="00126BEC">
            <w:pPr>
              <w:rPr>
                <w:sz w:val="18"/>
                <w:szCs w:val="18"/>
              </w:rPr>
            </w:pPr>
          </w:p>
          <w:p w14:paraId="3613737E" w14:textId="0F39BC31" w:rsidR="00A021BE" w:rsidRPr="00D8383E" w:rsidRDefault="00A021BE" w:rsidP="00126BEC">
            <w:pPr>
              <w:rPr>
                <w:sz w:val="18"/>
                <w:szCs w:val="18"/>
              </w:rPr>
            </w:pPr>
            <w:r w:rsidRPr="00D8383E">
              <w:rPr>
                <w:sz w:val="18"/>
                <w:szCs w:val="18"/>
              </w:rPr>
              <w:t xml:space="preserve">3.3. Total area of the country under forest cover (%): </w:t>
            </w:r>
            <w:r w:rsidR="000811F9" w:rsidRPr="00D8383E">
              <w:rPr>
                <w:sz w:val="18"/>
                <w:szCs w:val="18"/>
              </w:rPr>
              <w:t xml:space="preserve">nationally determined contribution </w:t>
            </w:r>
            <w:r w:rsidRPr="00D8383E">
              <w:rPr>
                <w:sz w:val="18"/>
                <w:szCs w:val="18"/>
              </w:rPr>
              <w:t>(</w:t>
            </w:r>
            <w:r w:rsidR="00A2025E">
              <w:rPr>
                <w:sz w:val="18"/>
                <w:szCs w:val="18"/>
              </w:rPr>
              <w:t>second</w:t>
            </w:r>
            <w:r w:rsidRPr="00D8383E">
              <w:rPr>
                <w:sz w:val="18"/>
                <w:szCs w:val="18"/>
              </w:rPr>
              <w:t xml:space="preserve"> NDC), Area of wetlands (ha), area of degraded lands (ha)</w:t>
            </w:r>
          </w:p>
          <w:p w14:paraId="23427D98" w14:textId="77777777" w:rsidR="00A021BE" w:rsidRPr="00D8383E" w:rsidRDefault="00A021BE" w:rsidP="00126BEC">
            <w:pPr>
              <w:rPr>
                <w:sz w:val="18"/>
                <w:szCs w:val="18"/>
              </w:rPr>
            </w:pPr>
            <w:r w:rsidRPr="00D8383E">
              <w:rPr>
                <w:sz w:val="18"/>
                <w:szCs w:val="18"/>
              </w:rPr>
              <w:t>Baseline (2016): 40%</w:t>
            </w:r>
          </w:p>
          <w:p w14:paraId="48D8FB5F" w14:textId="77777777" w:rsidR="00A021BE" w:rsidRPr="00D8383E" w:rsidRDefault="00A021BE" w:rsidP="00126BEC">
            <w:pPr>
              <w:rPr>
                <w:sz w:val="18"/>
                <w:szCs w:val="18"/>
              </w:rPr>
            </w:pPr>
            <w:r w:rsidRPr="00D8383E">
              <w:rPr>
                <w:sz w:val="18"/>
                <w:szCs w:val="18"/>
              </w:rPr>
              <w:t>Target (2030): 45%</w:t>
            </w:r>
          </w:p>
          <w:p w14:paraId="47304C78" w14:textId="77777777" w:rsidR="00A021BE" w:rsidRPr="00D8383E" w:rsidRDefault="00A021BE" w:rsidP="00126BEC">
            <w:pPr>
              <w:rPr>
                <w:sz w:val="18"/>
                <w:szCs w:val="18"/>
              </w:rPr>
            </w:pPr>
          </w:p>
          <w:p w14:paraId="22F27315" w14:textId="77777777" w:rsidR="00A021BE" w:rsidRPr="00D8383E" w:rsidRDefault="00A021BE" w:rsidP="00126BEC">
            <w:pPr>
              <w:rPr>
                <w:sz w:val="18"/>
                <w:szCs w:val="18"/>
              </w:rPr>
            </w:pPr>
            <w:r w:rsidRPr="00D8383E">
              <w:rPr>
                <w:sz w:val="18"/>
                <w:szCs w:val="18"/>
              </w:rPr>
              <w:t>3.4. Reduction in annual loss of human life (deaths and missing persons) and directly affected persons attributed to disasters per 100,000 populations</w:t>
            </w:r>
          </w:p>
          <w:p w14:paraId="4A35BE27" w14:textId="77777777" w:rsidR="00A021BE" w:rsidRPr="00D8383E" w:rsidRDefault="00A021BE" w:rsidP="00126BEC">
            <w:pPr>
              <w:rPr>
                <w:sz w:val="18"/>
                <w:szCs w:val="18"/>
              </w:rPr>
            </w:pPr>
            <w:r w:rsidRPr="00D8383E">
              <w:rPr>
                <w:sz w:val="18"/>
                <w:szCs w:val="18"/>
              </w:rPr>
              <w:t>Baseline (2019): 1.6</w:t>
            </w:r>
          </w:p>
          <w:p w14:paraId="0ACCA9A0" w14:textId="77777777" w:rsidR="00A021BE" w:rsidRPr="00D8383E" w:rsidRDefault="00A021BE" w:rsidP="00126BEC">
            <w:pPr>
              <w:rPr>
                <w:sz w:val="18"/>
                <w:szCs w:val="18"/>
              </w:rPr>
            </w:pPr>
            <w:r w:rsidRPr="00D8383E">
              <w:rPr>
                <w:sz w:val="18"/>
                <w:szCs w:val="18"/>
              </w:rPr>
              <w:t>Target (2024): 1</w:t>
            </w:r>
          </w:p>
          <w:p w14:paraId="44583CB5" w14:textId="77777777" w:rsidR="00A021BE" w:rsidRPr="00D8383E" w:rsidRDefault="00A021BE" w:rsidP="00126BEC">
            <w:pPr>
              <w:rPr>
                <w:sz w:val="18"/>
                <w:szCs w:val="18"/>
              </w:rPr>
            </w:pPr>
          </w:p>
        </w:tc>
        <w:tc>
          <w:tcPr>
            <w:tcW w:w="2571" w:type="dxa"/>
            <w:shd w:val="clear" w:color="auto" w:fill="auto"/>
            <w:tcMar>
              <w:top w:w="0" w:type="dxa"/>
              <w:left w:w="29" w:type="dxa"/>
              <w:bottom w:w="0" w:type="dxa"/>
              <w:right w:w="29" w:type="dxa"/>
            </w:tcMar>
          </w:tcPr>
          <w:p w14:paraId="081DCF7D" w14:textId="74DA2AC1" w:rsidR="00A021BE" w:rsidRPr="00D8383E" w:rsidRDefault="00A021BE" w:rsidP="00126BEC">
            <w:pPr>
              <w:rPr>
                <w:rFonts w:eastAsiaTheme="minorEastAsia"/>
                <w:sz w:val="18"/>
                <w:szCs w:val="18"/>
              </w:rPr>
            </w:pPr>
            <w:r w:rsidRPr="00D8383E">
              <w:rPr>
                <w:rFonts w:eastAsiaTheme="minorEastAsia"/>
                <w:sz w:val="18"/>
                <w:szCs w:val="18"/>
              </w:rPr>
              <w:lastRenderedPageBreak/>
              <w:t>Source: UNFCCC National Communication Report</w:t>
            </w:r>
          </w:p>
          <w:p w14:paraId="7AAD98D1" w14:textId="77777777" w:rsidR="00A021BE" w:rsidRPr="00D8383E" w:rsidRDefault="00A021BE" w:rsidP="00126BEC">
            <w:pPr>
              <w:rPr>
                <w:rFonts w:eastAsiaTheme="minorHAnsi"/>
                <w:sz w:val="18"/>
                <w:szCs w:val="18"/>
              </w:rPr>
            </w:pPr>
            <w:r w:rsidRPr="00D8383E">
              <w:rPr>
                <w:rFonts w:eastAsiaTheme="minorHAnsi"/>
                <w:sz w:val="18"/>
                <w:szCs w:val="18"/>
              </w:rPr>
              <w:t xml:space="preserve">Frequency: TBC </w:t>
            </w:r>
          </w:p>
          <w:p w14:paraId="70CC82C8" w14:textId="77777777" w:rsidR="00A021BE" w:rsidRPr="00D8383E" w:rsidRDefault="00A021BE" w:rsidP="00126BEC">
            <w:pPr>
              <w:rPr>
                <w:rFonts w:eastAsiaTheme="minorHAnsi"/>
                <w:sz w:val="18"/>
                <w:szCs w:val="18"/>
              </w:rPr>
            </w:pPr>
            <w:r w:rsidRPr="00D8383E">
              <w:rPr>
                <w:rFonts w:eastAsiaTheme="minorHAnsi"/>
                <w:sz w:val="18"/>
                <w:szCs w:val="18"/>
              </w:rPr>
              <w:t>Responsibility: TBC</w:t>
            </w:r>
          </w:p>
          <w:p w14:paraId="70C23268" w14:textId="77777777" w:rsidR="00A021BE" w:rsidRPr="00D8383E" w:rsidRDefault="00A021BE" w:rsidP="00126BEC">
            <w:pPr>
              <w:rPr>
                <w:rFonts w:eastAsiaTheme="minorEastAsia"/>
                <w:sz w:val="18"/>
                <w:szCs w:val="18"/>
              </w:rPr>
            </w:pPr>
          </w:p>
          <w:p w14:paraId="6514B471" w14:textId="77777777" w:rsidR="00A021BE" w:rsidRPr="00D8383E" w:rsidRDefault="00A021BE" w:rsidP="00126BEC">
            <w:pPr>
              <w:rPr>
                <w:rFonts w:eastAsiaTheme="minorEastAsia"/>
                <w:sz w:val="18"/>
                <w:szCs w:val="18"/>
              </w:rPr>
            </w:pPr>
          </w:p>
          <w:p w14:paraId="665B4C35" w14:textId="77777777" w:rsidR="00A021BE" w:rsidRPr="00D8383E" w:rsidRDefault="00A021BE" w:rsidP="00126BEC">
            <w:pPr>
              <w:rPr>
                <w:rFonts w:eastAsiaTheme="minorHAnsi"/>
                <w:sz w:val="18"/>
                <w:szCs w:val="18"/>
              </w:rPr>
            </w:pPr>
          </w:p>
          <w:p w14:paraId="57878271" w14:textId="77777777" w:rsidR="00A021BE" w:rsidRPr="00D8383E" w:rsidRDefault="00A021BE" w:rsidP="00126BEC">
            <w:pPr>
              <w:rPr>
                <w:rFonts w:eastAsiaTheme="minorHAnsi"/>
                <w:sz w:val="18"/>
                <w:szCs w:val="18"/>
              </w:rPr>
            </w:pPr>
          </w:p>
          <w:p w14:paraId="04A40631" w14:textId="77777777" w:rsidR="00A021BE" w:rsidRPr="00D8383E" w:rsidRDefault="00A021BE" w:rsidP="00126BEC">
            <w:pPr>
              <w:rPr>
                <w:rFonts w:eastAsiaTheme="minorHAnsi"/>
                <w:sz w:val="18"/>
                <w:szCs w:val="18"/>
              </w:rPr>
            </w:pPr>
            <w:r w:rsidRPr="00D8383E">
              <w:rPr>
                <w:rFonts w:eastAsiaTheme="minorHAnsi"/>
                <w:sz w:val="18"/>
                <w:szCs w:val="18"/>
              </w:rPr>
              <w:t>Source: MIS, CBS</w:t>
            </w:r>
          </w:p>
          <w:p w14:paraId="238E30D0" w14:textId="77777777" w:rsidR="00A021BE" w:rsidRPr="00D8383E" w:rsidRDefault="00A021BE" w:rsidP="00126BEC">
            <w:pPr>
              <w:rPr>
                <w:rFonts w:eastAsiaTheme="minorHAnsi"/>
                <w:sz w:val="18"/>
                <w:szCs w:val="18"/>
              </w:rPr>
            </w:pPr>
            <w:r w:rsidRPr="00D8383E">
              <w:rPr>
                <w:rFonts w:eastAsiaTheme="minorHAnsi"/>
                <w:sz w:val="18"/>
                <w:szCs w:val="18"/>
              </w:rPr>
              <w:t xml:space="preserve">Frequency: TBC </w:t>
            </w:r>
          </w:p>
          <w:p w14:paraId="20F35915" w14:textId="77777777" w:rsidR="00A021BE" w:rsidRPr="00D8383E" w:rsidRDefault="00A021BE" w:rsidP="00126BEC">
            <w:pPr>
              <w:rPr>
                <w:rFonts w:eastAsiaTheme="minorHAnsi"/>
                <w:sz w:val="18"/>
                <w:szCs w:val="18"/>
              </w:rPr>
            </w:pPr>
            <w:r w:rsidRPr="00D8383E">
              <w:rPr>
                <w:rFonts w:eastAsiaTheme="minorHAnsi"/>
                <w:sz w:val="18"/>
                <w:szCs w:val="18"/>
              </w:rPr>
              <w:t>Responsibility: TBC</w:t>
            </w:r>
          </w:p>
          <w:p w14:paraId="32AD32FA" w14:textId="77777777" w:rsidR="00A021BE" w:rsidRPr="00D8383E" w:rsidRDefault="00A021BE" w:rsidP="00126BEC">
            <w:pPr>
              <w:rPr>
                <w:rFonts w:eastAsiaTheme="minorHAnsi"/>
                <w:sz w:val="18"/>
                <w:szCs w:val="18"/>
              </w:rPr>
            </w:pPr>
          </w:p>
          <w:p w14:paraId="39896B13" w14:textId="77777777" w:rsidR="00A021BE" w:rsidRPr="00D8383E" w:rsidRDefault="00A021BE" w:rsidP="00126BEC">
            <w:pPr>
              <w:rPr>
                <w:rFonts w:eastAsiaTheme="minorEastAsia"/>
                <w:sz w:val="18"/>
                <w:szCs w:val="18"/>
              </w:rPr>
            </w:pPr>
          </w:p>
          <w:p w14:paraId="67DD91F7" w14:textId="2F835B61" w:rsidR="00A021BE" w:rsidRPr="00D8383E" w:rsidRDefault="00A021BE" w:rsidP="00126BEC">
            <w:pPr>
              <w:rPr>
                <w:rFonts w:eastAsiaTheme="minorEastAsia"/>
                <w:sz w:val="18"/>
                <w:szCs w:val="18"/>
              </w:rPr>
            </w:pPr>
            <w:r w:rsidRPr="00D8383E">
              <w:rPr>
                <w:rFonts w:eastAsiaTheme="minorEastAsia"/>
                <w:sz w:val="18"/>
                <w:szCs w:val="18"/>
              </w:rPr>
              <w:t xml:space="preserve">Source: </w:t>
            </w:r>
            <w:r w:rsidR="005A25EC">
              <w:rPr>
                <w:rFonts w:eastAsiaTheme="minorEastAsia"/>
                <w:sz w:val="18"/>
                <w:szCs w:val="18"/>
              </w:rPr>
              <w:t>Government of Nepal</w:t>
            </w:r>
            <w:r w:rsidRPr="00D8383E">
              <w:rPr>
                <w:rFonts w:eastAsiaTheme="minorEastAsia"/>
                <w:sz w:val="18"/>
                <w:szCs w:val="18"/>
              </w:rPr>
              <w:t>, National Communication and Forestry Report</w:t>
            </w:r>
          </w:p>
          <w:p w14:paraId="3A35974F" w14:textId="77777777" w:rsidR="00A021BE" w:rsidRPr="00D8383E" w:rsidRDefault="00A021BE" w:rsidP="00126BEC">
            <w:pPr>
              <w:rPr>
                <w:rFonts w:eastAsiaTheme="minorHAnsi"/>
                <w:sz w:val="18"/>
                <w:szCs w:val="18"/>
              </w:rPr>
            </w:pPr>
            <w:r w:rsidRPr="00D8383E">
              <w:rPr>
                <w:rFonts w:eastAsiaTheme="minorHAnsi"/>
                <w:sz w:val="18"/>
                <w:szCs w:val="18"/>
              </w:rPr>
              <w:t xml:space="preserve">Frequency: TBC </w:t>
            </w:r>
          </w:p>
          <w:p w14:paraId="34FA7EBA" w14:textId="77777777" w:rsidR="00A021BE" w:rsidRPr="00D8383E" w:rsidRDefault="00A021BE" w:rsidP="00126BEC">
            <w:pPr>
              <w:rPr>
                <w:rFonts w:eastAsiaTheme="minorHAnsi"/>
                <w:sz w:val="18"/>
                <w:szCs w:val="18"/>
              </w:rPr>
            </w:pPr>
            <w:r w:rsidRPr="00D8383E">
              <w:rPr>
                <w:rFonts w:eastAsiaTheme="minorHAnsi"/>
                <w:sz w:val="18"/>
                <w:szCs w:val="18"/>
              </w:rPr>
              <w:t>Responsibility: TBC</w:t>
            </w:r>
          </w:p>
          <w:p w14:paraId="08DC74EC" w14:textId="77777777" w:rsidR="00A021BE" w:rsidRPr="00D8383E" w:rsidRDefault="00A021BE" w:rsidP="00126BEC">
            <w:pPr>
              <w:rPr>
                <w:rFonts w:eastAsiaTheme="minorHAnsi"/>
                <w:sz w:val="18"/>
                <w:szCs w:val="18"/>
              </w:rPr>
            </w:pPr>
          </w:p>
          <w:p w14:paraId="0C7E42ED" w14:textId="77777777" w:rsidR="00A021BE" w:rsidRPr="00D8383E" w:rsidRDefault="00A021BE" w:rsidP="00126BEC">
            <w:pPr>
              <w:rPr>
                <w:rFonts w:eastAsiaTheme="minorHAnsi"/>
                <w:sz w:val="18"/>
                <w:szCs w:val="18"/>
              </w:rPr>
            </w:pPr>
          </w:p>
          <w:p w14:paraId="62DA329F" w14:textId="77777777" w:rsidR="00A021BE" w:rsidRPr="00D8383E" w:rsidRDefault="00A021BE" w:rsidP="00126BEC">
            <w:pPr>
              <w:rPr>
                <w:rFonts w:eastAsiaTheme="minorEastAsia"/>
                <w:sz w:val="18"/>
                <w:szCs w:val="18"/>
              </w:rPr>
            </w:pPr>
          </w:p>
          <w:p w14:paraId="67D4E443" w14:textId="5D5558AD" w:rsidR="00A021BE" w:rsidRPr="00D8383E" w:rsidRDefault="00A021BE" w:rsidP="00126BEC">
            <w:pPr>
              <w:rPr>
                <w:rFonts w:eastAsiaTheme="minorHAnsi"/>
                <w:sz w:val="18"/>
                <w:szCs w:val="18"/>
              </w:rPr>
            </w:pPr>
            <w:r w:rsidRPr="00D8383E">
              <w:rPr>
                <w:rFonts w:eastAsiaTheme="minorHAnsi"/>
                <w:sz w:val="18"/>
                <w:szCs w:val="18"/>
              </w:rPr>
              <w:t xml:space="preserve">Source: </w:t>
            </w:r>
            <w:r w:rsidR="005A25EC">
              <w:rPr>
                <w:rFonts w:eastAsiaTheme="minorHAnsi"/>
                <w:sz w:val="18"/>
                <w:szCs w:val="18"/>
              </w:rPr>
              <w:t>Government of Nepal</w:t>
            </w:r>
            <w:r w:rsidRPr="00D8383E">
              <w:rPr>
                <w:rFonts w:eastAsiaTheme="minorHAnsi"/>
                <w:sz w:val="18"/>
                <w:szCs w:val="18"/>
              </w:rPr>
              <w:t>, DRR Portal</w:t>
            </w:r>
          </w:p>
          <w:p w14:paraId="6D45CAC2" w14:textId="77777777" w:rsidR="00A021BE" w:rsidRPr="00D8383E" w:rsidRDefault="00A021BE" w:rsidP="00126BEC">
            <w:pPr>
              <w:rPr>
                <w:rFonts w:eastAsiaTheme="minorHAnsi"/>
                <w:sz w:val="18"/>
                <w:szCs w:val="18"/>
              </w:rPr>
            </w:pPr>
            <w:r w:rsidRPr="00D8383E">
              <w:rPr>
                <w:rFonts w:eastAsiaTheme="minorHAnsi"/>
                <w:sz w:val="18"/>
                <w:szCs w:val="18"/>
              </w:rPr>
              <w:t xml:space="preserve">Frequency: TBC </w:t>
            </w:r>
          </w:p>
          <w:p w14:paraId="29806E50" w14:textId="77777777" w:rsidR="00A021BE" w:rsidRPr="00D8383E" w:rsidRDefault="00A021BE" w:rsidP="00126BEC">
            <w:pPr>
              <w:rPr>
                <w:rFonts w:eastAsiaTheme="minorHAnsi"/>
                <w:sz w:val="18"/>
                <w:szCs w:val="18"/>
              </w:rPr>
            </w:pPr>
            <w:r w:rsidRPr="00D8383E">
              <w:rPr>
                <w:rFonts w:eastAsiaTheme="minorHAnsi"/>
                <w:sz w:val="18"/>
                <w:szCs w:val="18"/>
              </w:rPr>
              <w:t>Responsibility: TBC</w:t>
            </w:r>
          </w:p>
          <w:p w14:paraId="184B3687" w14:textId="77777777" w:rsidR="00A021BE" w:rsidRPr="00D8383E" w:rsidRDefault="00A021BE" w:rsidP="00126BEC">
            <w:pPr>
              <w:rPr>
                <w:rFonts w:eastAsiaTheme="minorHAnsi"/>
                <w:sz w:val="18"/>
                <w:szCs w:val="18"/>
              </w:rPr>
            </w:pPr>
          </w:p>
        </w:tc>
        <w:tc>
          <w:tcPr>
            <w:tcW w:w="3965" w:type="dxa"/>
            <w:vAlign w:val="center"/>
          </w:tcPr>
          <w:p w14:paraId="78B5EA49" w14:textId="6F4BB0F7" w:rsidR="00A021BE" w:rsidRPr="00D8383E" w:rsidRDefault="00A021BE" w:rsidP="00126BEC">
            <w:pPr>
              <w:rPr>
                <w:sz w:val="18"/>
                <w:szCs w:val="18"/>
              </w:rPr>
            </w:pPr>
            <w:r w:rsidRPr="00D8383E">
              <w:rPr>
                <w:rFonts w:eastAsia="Calibri"/>
                <w:sz w:val="18"/>
                <w:szCs w:val="18"/>
              </w:rPr>
              <w:lastRenderedPageBreak/>
              <w:t xml:space="preserve">Output 3.1. </w:t>
            </w:r>
            <w:r w:rsidRPr="00D8383E">
              <w:rPr>
                <w:sz w:val="18"/>
                <w:szCs w:val="18"/>
              </w:rPr>
              <w:t>Innovative resilience-building solutions introduced at all levels to reduce risks from disasters and climate change.</w:t>
            </w:r>
          </w:p>
          <w:p w14:paraId="75E9F02C" w14:textId="77777777" w:rsidR="00A021BE" w:rsidRPr="00D8383E" w:rsidRDefault="00A021BE" w:rsidP="00126BEC">
            <w:pPr>
              <w:rPr>
                <w:sz w:val="18"/>
                <w:szCs w:val="18"/>
              </w:rPr>
            </w:pPr>
          </w:p>
          <w:p w14:paraId="2AAFB95A" w14:textId="6C654FAC" w:rsidR="00A021BE" w:rsidRPr="00D8383E" w:rsidRDefault="00A021BE" w:rsidP="00126BEC">
            <w:pPr>
              <w:rPr>
                <w:rFonts w:eastAsia="Calibri"/>
                <w:sz w:val="18"/>
                <w:szCs w:val="18"/>
              </w:rPr>
            </w:pPr>
            <w:r w:rsidRPr="00D8383E">
              <w:rPr>
                <w:rFonts w:eastAsia="Calibri"/>
                <w:sz w:val="18"/>
                <w:szCs w:val="18"/>
              </w:rPr>
              <w:t>3.</w:t>
            </w:r>
            <w:r w:rsidR="00686CAE" w:rsidRPr="00D8383E">
              <w:rPr>
                <w:rFonts w:eastAsia="Calibri"/>
                <w:sz w:val="18"/>
                <w:szCs w:val="18"/>
              </w:rPr>
              <w:t>1</w:t>
            </w:r>
            <w:r w:rsidRPr="00D8383E">
              <w:rPr>
                <w:rFonts w:eastAsia="Calibri"/>
                <w:sz w:val="18"/>
                <w:szCs w:val="18"/>
              </w:rPr>
              <w:t xml:space="preserve">.1. Number of </w:t>
            </w:r>
            <w:r w:rsidR="00A97098">
              <w:rPr>
                <w:rFonts w:eastAsia="Calibri"/>
                <w:sz w:val="18"/>
                <w:szCs w:val="18"/>
              </w:rPr>
              <w:t>provincial and local gove</w:t>
            </w:r>
            <w:r w:rsidR="000811F9">
              <w:rPr>
                <w:rFonts w:eastAsia="Calibri"/>
                <w:sz w:val="18"/>
                <w:szCs w:val="18"/>
              </w:rPr>
              <w:t>r</w:t>
            </w:r>
            <w:r w:rsidR="00A97098">
              <w:rPr>
                <w:rFonts w:eastAsia="Calibri"/>
                <w:sz w:val="18"/>
                <w:szCs w:val="18"/>
              </w:rPr>
              <w:t>nments</w:t>
            </w:r>
            <w:r w:rsidRPr="00D8383E">
              <w:rPr>
                <w:rFonts w:eastAsia="Calibri"/>
                <w:sz w:val="18"/>
                <w:szCs w:val="18"/>
              </w:rPr>
              <w:t xml:space="preserve"> </w:t>
            </w:r>
            <w:r w:rsidR="00B43A15" w:rsidRPr="00D8383E">
              <w:rPr>
                <w:rFonts w:eastAsia="Calibri"/>
                <w:sz w:val="18"/>
                <w:szCs w:val="18"/>
              </w:rPr>
              <w:t>utilizing</w:t>
            </w:r>
            <w:r w:rsidR="004C19A2" w:rsidRPr="00D8383E">
              <w:rPr>
                <w:rFonts w:eastAsia="Calibri"/>
                <w:sz w:val="18"/>
                <w:szCs w:val="18"/>
              </w:rPr>
              <w:t xml:space="preserve"> </w:t>
            </w:r>
            <w:r w:rsidR="00CC6252" w:rsidRPr="00D8383E">
              <w:rPr>
                <w:rFonts w:eastAsia="Calibri"/>
                <w:sz w:val="18"/>
                <w:szCs w:val="18"/>
              </w:rPr>
              <w:t xml:space="preserve">advanced </w:t>
            </w:r>
            <w:r w:rsidR="006D09A3" w:rsidRPr="00D8383E">
              <w:rPr>
                <w:rFonts w:eastAsia="Calibri"/>
                <w:sz w:val="18"/>
                <w:szCs w:val="18"/>
              </w:rPr>
              <w:t>Disaster R</w:t>
            </w:r>
            <w:r w:rsidR="00D203F0" w:rsidRPr="00D8383E">
              <w:rPr>
                <w:rFonts w:eastAsia="Calibri"/>
                <w:sz w:val="18"/>
                <w:szCs w:val="18"/>
              </w:rPr>
              <w:t xml:space="preserve">isk Management systems </w:t>
            </w:r>
            <w:r w:rsidR="00C10B7D" w:rsidRPr="00D8383E">
              <w:rPr>
                <w:rFonts w:eastAsia="Calibri"/>
                <w:sz w:val="18"/>
                <w:szCs w:val="18"/>
              </w:rPr>
              <w:t>(IRRF-3.1.2)</w:t>
            </w:r>
          </w:p>
          <w:p w14:paraId="326684CB" w14:textId="303D244E" w:rsidR="00A021BE" w:rsidRPr="00D8383E" w:rsidRDefault="00A021BE" w:rsidP="00126BEC">
            <w:pPr>
              <w:rPr>
                <w:rFonts w:eastAsia="Calibri"/>
                <w:sz w:val="18"/>
                <w:szCs w:val="18"/>
              </w:rPr>
            </w:pPr>
            <w:r w:rsidRPr="00D8383E">
              <w:rPr>
                <w:rFonts w:eastAsia="Calibri"/>
                <w:sz w:val="18"/>
                <w:szCs w:val="18"/>
              </w:rPr>
              <w:t>Baseline</w:t>
            </w:r>
            <w:r w:rsidR="003E669E" w:rsidRPr="00D8383E">
              <w:rPr>
                <w:rFonts w:eastAsia="Calibri"/>
                <w:sz w:val="18"/>
                <w:szCs w:val="18"/>
              </w:rPr>
              <w:t xml:space="preserve"> (2022)</w:t>
            </w:r>
            <w:r w:rsidRPr="00D8383E">
              <w:rPr>
                <w:rFonts w:eastAsia="Calibri"/>
                <w:sz w:val="18"/>
                <w:szCs w:val="18"/>
              </w:rPr>
              <w:t xml:space="preserve">: PG-3; LG-123 </w:t>
            </w:r>
          </w:p>
          <w:p w14:paraId="22012415" w14:textId="691157D6" w:rsidR="00A021BE" w:rsidRPr="00D8383E" w:rsidRDefault="00A021BE" w:rsidP="00126BEC">
            <w:pPr>
              <w:rPr>
                <w:rFonts w:eastAsia="Calibri"/>
                <w:sz w:val="18"/>
                <w:szCs w:val="18"/>
              </w:rPr>
            </w:pPr>
            <w:r w:rsidRPr="00D8383E">
              <w:rPr>
                <w:rFonts w:eastAsia="Calibri"/>
                <w:sz w:val="18"/>
                <w:szCs w:val="18"/>
              </w:rPr>
              <w:t>Target</w:t>
            </w:r>
            <w:r w:rsidR="003E669E" w:rsidRPr="00D8383E">
              <w:rPr>
                <w:rFonts w:eastAsia="Calibri"/>
                <w:sz w:val="18"/>
                <w:szCs w:val="18"/>
              </w:rPr>
              <w:t xml:space="preserve"> (2027)</w:t>
            </w:r>
            <w:r w:rsidRPr="00D8383E">
              <w:rPr>
                <w:rFonts w:eastAsia="Calibri"/>
                <w:sz w:val="18"/>
                <w:szCs w:val="18"/>
              </w:rPr>
              <w:t>: PG-</w:t>
            </w:r>
            <w:r w:rsidR="003E669E" w:rsidRPr="00D8383E">
              <w:rPr>
                <w:rFonts w:eastAsia="Calibri"/>
                <w:sz w:val="18"/>
                <w:szCs w:val="18"/>
              </w:rPr>
              <w:t>5</w:t>
            </w:r>
            <w:r w:rsidRPr="00D8383E">
              <w:rPr>
                <w:rFonts w:eastAsia="Calibri"/>
                <w:sz w:val="18"/>
                <w:szCs w:val="18"/>
              </w:rPr>
              <w:t>; LG-</w:t>
            </w:r>
            <w:r w:rsidR="004008E4" w:rsidRPr="00D8383E">
              <w:rPr>
                <w:rFonts w:eastAsia="Calibri"/>
                <w:sz w:val="18"/>
                <w:szCs w:val="18"/>
              </w:rPr>
              <w:t>143</w:t>
            </w:r>
          </w:p>
          <w:p w14:paraId="20D20648" w14:textId="77777777" w:rsidR="00A021BE" w:rsidRPr="00D8383E" w:rsidRDefault="00A021BE" w:rsidP="00126BEC">
            <w:pPr>
              <w:rPr>
                <w:rFonts w:eastAsia="Calibri"/>
                <w:sz w:val="18"/>
                <w:szCs w:val="18"/>
              </w:rPr>
            </w:pPr>
            <w:r w:rsidRPr="00D8383E">
              <w:rPr>
                <w:rFonts w:eastAsia="Calibri"/>
                <w:sz w:val="18"/>
                <w:szCs w:val="18"/>
              </w:rPr>
              <w:t>Source/Frequency: MoHA, NDRRMA/Annual</w:t>
            </w:r>
          </w:p>
          <w:p w14:paraId="3447CB07" w14:textId="77777777" w:rsidR="00A021BE" w:rsidRPr="00D8383E" w:rsidRDefault="00A021BE" w:rsidP="00126BEC">
            <w:pPr>
              <w:rPr>
                <w:sz w:val="18"/>
                <w:szCs w:val="18"/>
              </w:rPr>
            </w:pPr>
          </w:p>
          <w:p w14:paraId="4144A156" w14:textId="46712A92" w:rsidR="00A021BE" w:rsidRPr="00D8383E" w:rsidRDefault="00A021BE" w:rsidP="00126BEC">
            <w:pPr>
              <w:rPr>
                <w:rFonts w:eastAsia="Calibri"/>
                <w:sz w:val="18"/>
                <w:szCs w:val="18"/>
              </w:rPr>
            </w:pPr>
            <w:r w:rsidRPr="00D8383E">
              <w:rPr>
                <w:rFonts w:eastAsia="Calibri"/>
                <w:sz w:val="18"/>
                <w:szCs w:val="18"/>
              </w:rPr>
              <w:lastRenderedPageBreak/>
              <w:t>3.</w:t>
            </w:r>
            <w:r w:rsidR="00686CAE" w:rsidRPr="00D8383E">
              <w:rPr>
                <w:rFonts w:eastAsia="Calibri"/>
                <w:sz w:val="18"/>
                <w:szCs w:val="18"/>
              </w:rPr>
              <w:t>1</w:t>
            </w:r>
            <w:r w:rsidRPr="00D8383E">
              <w:rPr>
                <w:rFonts w:eastAsia="Calibri"/>
                <w:sz w:val="18"/>
                <w:szCs w:val="18"/>
              </w:rPr>
              <w:t xml:space="preserve">.2. Number of </w:t>
            </w:r>
            <w:r w:rsidR="000811F9">
              <w:rPr>
                <w:rFonts w:eastAsia="Calibri"/>
                <w:sz w:val="18"/>
                <w:szCs w:val="18"/>
              </w:rPr>
              <w:t xml:space="preserve">local governments </w:t>
            </w:r>
            <w:r w:rsidRPr="00D8383E">
              <w:rPr>
                <w:rFonts w:eastAsia="Calibri"/>
                <w:sz w:val="18"/>
                <w:szCs w:val="18"/>
              </w:rPr>
              <w:t xml:space="preserve">implementing </w:t>
            </w:r>
            <w:r w:rsidR="004676ED">
              <w:rPr>
                <w:rFonts w:eastAsia="Calibri"/>
                <w:sz w:val="18"/>
                <w:szCs w:val="18"/>
              </w:rPr>
              <w:t>electronic building permit systems</w:t>
            </w:r>
            <w:r w:rsidRPr="00D8383E">
              <w:rPr>
                <w:rFonts w:eastAsia="Calibri"/>
                <w:sz w:val="18"/>
                <w:szCs w:val="18"/>
              </w:rPr>
              <w:t>, climate-friendly, resilient (infrastructure) guidelines and (health) waste management initiatives</w:t>
            </w:r>
            <w:r w:rsidR="00820FF1" w:rsidRPr="00D8383E">
              <w:rPr>
                <w:rFonts w:eastAsia="Calibri"/>
                <w:sz w:val="18"/>
                <w:szCs w:val="18"/>
              </w:rPr>
              <w:t xml:space="preserve"> (IRRF</w:t>
            </w:r>
            <w:r w:rsidR="00735AA6" w:rsidRPr="00D8383E">
              <w:rPr>
                <w:rFonts w:eastAsia="Calibri"/>
                <w:sz w:val="18"/>
                <w:szCs w:val="18"/>
              </w:rPr>
              <w:t>-3.1.1)</w:t>
            </w:r>
          </w:p>
          <w:p w14:paraId="00EE3943" w14:textId="5963A0A8" w:rsidR="00A021BE" w:rsidRPr="00D8383E" w:rsidRDefault="00A021BE" w:rsidP="00126BEC">
            <w:pPr>
              <w:rPr>
                <w:rFonts w:eastAsia="Calibri"/>
                <w:sz w:val="18"/>
                <w:szCs w:val="18"/>
              </w:rPr>
            </w:pPr>
            <w:r w:rsidRPr="00D8383E">
              <w:rPr>
                <w:rFonts w:eastAsia="Calibri"/>
                <w:sz w:val="18"/>
                <w:szCs w:val="18"/>
              </w:rPr>
              <w:t xml:space="preserve">Baseline </w:t>
            </w:r>
            <w:r w:rsidR="004008E4" w:rsidRPr="00D8383E">
              <w:rPr>
                <w:rFonts w:eastAsia="Calibri"/>
                <w:sz w:val="18"/>
                <w:szCs w:val="18"/>
              </w:rPr>
              <w:t>(2021):</w:t>
            </w:r>
            <w:r w:rsidRPr="00D8383E">
              <w:rPr>
                <w:rFonts w:eastAsia="Calibri"/>
                <w:sz w:val="18"/>
                <w:szCs w:val="18"/>
              </w:rPr>
              <w:t xml:space="preserve"> 17 </w:t>
            </w:r>
          </w:p>
          <w:p w14:paraId="4E176AB9" w14:textId="3266DB30" w:rsidR="00A021BE" w:rsidRPr="00D8383E" w:rsidRDefault="00A021BE" w:rsidP="00126BEC">
            <w:pPr>
              <w:rPr>
                <w:rFonts w:eastAsia="Calibri"/>
                <w:sz w:val="18"/>
                <w:szCs w:val="18"/>
              </w:rPr>
            </w:pPr>
            <w:r w:rsidRPr="00D8383E">
              <w:rPr>
                <w:rFonts w:eastAsia="Calibri"/>
                <w:sz w:val="18"/>
                <w:szCs w:val="18"/>
              </w:rPr>
              <w:t>Targets</w:t>
            </w:r>
            <w:r w:rsidR="004008E4" w:rsidRPr="00D8383E">
              <w:rPr>
                <w:rFonts w:eastAsia="Calibri"/>
                <w:sz w:val="18"/>
                <w:szCs w:val="18"/>
              </w:rPr>
              <w:t xml:space="preserve"> (2027)</w:t>
            </w:r>
            <w:r w:rsidRPr="00D8383E">
              <w:rPr>
                <w:rFonts w:eastAsia="Calibri"/>
                <w:sz w:val="18"/>
                <w:szCs w:val="18"/>
              </w:rPr>
              <w:t xml:space="preserve">: </w:t>
            </w:r>
            <w:r w:rsidR="009B4000" w:rsidRPr="00D8383E">
              <w:rPr>
                <w:rFonts w:eastAsia="Calibri"/>
                <w:sz w:val="18"/>
                <w:szCs w:val="18"/>
              </w:rPr>
              <w:t xml:space="preserve">34 </w:t>
            </w:r>
          </w:p>
          <w:p w14:paraId="73661B90" w14:textId="77777777" w:rsidR="00A021BE" w:rsidRPr="00D8383E" w:rsidRDefault="00A021BE" w:rsidP="00126BEC">
            <w:pPr>
              <w:rPr>
                <w:rFonts w:eastAsia="Calibri"/>
                <w:sz w:val="18"/>
                <w:szCs w:val="18"/>
              </w:rPr>
            </w:pPr>
            <w:r w:rsidRPr="00D8383E">
              <w:rPr>
                <w:rFonts w:eastAsia="Calibri"/>
                <w:sz w:val="18"/>
                <w:szCs w:val="18"/>
              </w:rPr>
              <w:t>Source/Frequency: MoFAGA/Annual</w:t>
            </w:r>
          </w:p>
          <w:p w14:paraId="2F3C5F3F" w14:textId="77777777" w:rsidR="00A021BE" w:rsidRPr="00D8383E" w:rsidRDefault="00A021BE" w:rsidP="00126BEC">
            <w:pPr>
              <w:rPr>
                <w:rFonts w:eastAsia="Calibri"/>
                <w:sz w:val="18"/>
                <w:szCs w:val="18"/>
              </w:rPr>
            </w:pPr>
            <w:r w:rsidRPr="00D8383E">
              <w:rPr>
                <w:rFonts w:eastAsia="Calibri"/>
                <w:sz w:val="18"/>
                <w:szCs w:val="18"/>
              </w:rPr>
              <w:t xml:space="preserve"> </w:t>
            </w:r>
          </w:p>
          <w:p w14:paraId="3A1EB826" w14:textId="7E7B0BB6" w:rsidR="00A021BE" w:rsidRPr="00D8383E" w:rsidRDefault="00A021BE" w:rsidP="00126BEC">
            <w:pPr>
              <w:rPr>
                <w:rFonts w:eastAsia="Calibri"/>
                <w:sz w:val="18"/>
                <w:szCs w:val="18"/>
              </w:rPr>
            </w:pPr>
            <w:r w:rsidRPr="00D8383E">
              <w:rPr>
                <w:rFonts w:eastAsia="Calibri"/>
                <w:sz w:val="18"/>
                <w:szCs w:val="18"/>
              </w:rPr>
              <w:t>3.</w:t>
            </w:r>
            <w:r w:rsidR="00686CAE" w:rsidRPr="00D8383E">
              <w:rPr>
                <w:rFonts w:eastAsia="Calibri"/>
                <w:sz w:val="18"/>
                <w:szCs w:val="18"/>
              </w:rPr>
              <w:t>1</w:t>
            </w:r>
            <w:r w:rsidRPr="00D8383E">
              <w:rPr>
                <w:rFonts w:eastAsia="Calibri"/>
                <w:sz w:val="18"/>
                <w:szCs w:val="18"/>
              </w:rPr>
              <w:t xml:space="preserve">.3. Number of potentially dangerous Glacial Lakes with reduced risk of outburst flooding </w:t>
            </w:r>
            <w:r w:rsidR="0051606E" w:rsidRPr="00D8383E">
              <w:rPr>
                <w:rFonts w:eastAsia="Calibri"/>
                <w:sz w:val="18"/>
                <w:szCs w:val="18"/>
              </w:rPr>
              <w:t>and flood early warning systems in place</w:t>
            </w:r>
            <w:r w:rsidR="001C599A" w:rsidRPr="00D8383E">
              <w:rPr>
                <w:rFonts w:eastAsia="Calibri"/>
                <w:sz w:val="18"/>
                <w:szCs w:val="18"/>
              </w:rPr>
              <w:t xml:space="preserve"> (IRRF-</w:t>
            </w:r>
            <w:r w:rsidR="00AD6CF7" w:rsidRPr="00D8383E">
              <w:rPr>
                <w:rFonts w:eastAsia="Calibri"/>
                <w:sz w:val="18"/>
                <w:szCs w:val="18"/>
              </w:rPr>
              <w:t>3.1.2)</w:t>
            </w:r>
          </w:p>
          <w:p w14:paraId="478B4F7D" w14:textId="6E9DEC63" w:rsidR="00A021BE" w:rsidRPr="00D8383E" w:rsidRDefault="00A021BE" w:rsidP="00126BEC">
            <w:pPr>
              <w:rPr>
                <w:rFonts w:eastAsia="Calibri"/>
                <w:sz w:val="18"/>
                <w:szCs w:val="18"/>
              </w:rPr>
            </w:pPr>
            <w:r w:rsidRPr="00D8383E">
              <w:rPr>
                <w:rFonts w:eastAsia="Calibri"/>
                <w:sz w:val="18"/>
                <w:szCs w:val="18"/>
              </w:rPr>
              <w:t>Baseline</w:t>
            </w:r>
            <w:r w:rsidR="004008E4" w:rsidRPr="00D8383E">
              <w:rPr>
                <w:rFonts w:eastAsia="Calibri"/>
                <w:sz w:val="18"/>
                <w:szCs w:val="18"/>
              </w:rPr>
              <w:t xml:space="preserve"> (</w:t>
            </w:r>
            <w:r w:rsidR="00CA142F" w:rsidRPr="00D8383E">
              <w:rPr>
                <w:rFonts w:eastAsia="Calibri"/>
                <w:sz w:val="18"/>
                <w:szCs w:val="18"/>
              </w:rPr>
              <w:t>2016)</w:t>
            </w:r>
            <w:r w:rsidRPr="00D8383E">
              <w:rPr>
                <w:rFonts w:eastAsia="Calibri"/>
                <w:sz w:val="18"/>
                <w:szCs w:val="18"/>
              </w:rPr>
              <w:t>: 2</w:t>
            </w:r>
          </w:p>
          <w:p w14:paraId="46754567" w14:textId="2EF3915D" w:rsidR="00A021BE" w:rsidRPr="00D8383E" w:rsidRDefault="00A021BE" w:rsidP="00126BEC">
            <w:pPr>
              <w:rPr>
                <w:rFonts w:eastAsia="Calibri"/>
                <w:sz w:val="18"/>
                <w:szCs w:val="18"/>
              </w:rPr>
            </w:pPr>
            <w:r w:rsidRPr="00D8383E">
              <w:rPr>
                <w:rFonts w:eastAsia="Calibri"/>
                <w:sz w:val="18"/>
                <w:szCs w:val="18"/>
              </w:rPr>
              <w:t>Target</w:t>
            </w:r>
            <w:r w:rsidR="00CA142F" w:rsidRPr="00D8383E">
              <w:rPr>
                <w:rFonts w:eastAsia="Calibri"/>
                <w:sz w:val="18"/>
                <w:szCs w:val="18"/>
              </w:rPr>
              <w:t xml:space="preserve"> (2027)</w:t>
            </w:r>
            <w:r w:rsidRPr="00D8383E">
              <w:rPr>
                <w:rFonts w:eastAsia="Calibri"/>
                <w:sz w:val="18"/>
                <w:szCs w:val="18"/>
              </w:rPr>
              <w:t xml:space="preserve">: </w:t>
            </w:r>
            <w:r w:rsidR="00B6624C" w:rsidRPr="00D8383E">
              <w:rPr>
                <w:rFonts w:eastAsia="Calibri"/>
                <w:sz w:val="18"/>
                <w:szCs w:val="18"/>
              </w:rPr>
              <w:t>5</w:t>
            </w:r>
          </w:p>
          <w:p w14:paraId="1BF455D7" w14:textId="77777777" w:rsidR="00A021BE" w:rsidRPr="00D8383E" w:rsidRDefault="00A021BE" w:rsidP="00126BEC">
            <w:pPr>
              <w:rPr>
                <w:rFonts w:eastAsia="Calibri"/>
                <w:sz w:val="18"/>
                <w:szCs w:val="18"/>
              </w:rPr>
            </w:pPr>
            <w:r w:rsidRPr="00D8383E">
              <w:rPr>
                <w:rFonts w:eastAsia="Calibri"/>
                <w:sz w:val="18"/>
                <w:szCs w:val="18"/>
              </w:rPr>
              <w:t xml:space="preserve">Source/Frequency: Dept. of Hydrology/Meteorology/Biennial  </w:t>
            </w:r>
          </w:p>
          <w:p w14:paraId="0E874696" w14:textId="77777777" w:rsidR="00A021BE" w:rsidRPr="00D8383E" w:rsidRDefault="00A021BE" w:rsidP="00126BEC">
            <w:pPr>
              <w:rPr>
                <w:rFonts w:eastAsia="Calibri"/>
                <w:sz w:val="18"/>
                <w:szCs w:val="18"/>
                <w:highlight w:val="yellow"/>
              </w:rPr>
            </w:pPr>
          </w:p>
          <w:p w14:paraId="76AB90A7" w14:textId="456F6BA1" w:rsidR="00A021BE" w:rsidRPr="00D8383E" w:rsidRDefault="00A021BE" w:rsidP="00126BEC">
            <w:pPr>
              <w:rPr>
                <w:sz w:val="18"/>
                <w:szCs w:val="18"/>
              </w:rPr>
            </w:pPr>
            <w:r w:rsidRPr="00D8383E">
              <w:rPr>
                <w:sz w:val="18"/>
                <w:szCs w:val="18"/>
              </w:rPr>
              <w:t>Output 3.</w:t>
            </w:r>
            <w:r w:rsidR="00DD7528" w:rsidRPr="00D8383E">
              <w:rPr>
                <w:sz w:val="18"/>
                <w:szCs w:val="18"/>
              </w:rPr>
              <w:t>2</w:t>
            </w:r>
            <w:r w:rsidRPr="00D8383E">
              <w:rPr>
                <w:sz w:val="18"/>
                <w:szCs w:val="18"/>
              </w:rPr>
              <w:t>.</w:t>
            </w:r>
            <w:r w:rsidR="00715058" w:rsidRPr="00D8383E">
              <w:rPr>
                <w:sz w:val="18"/>
                <w:szCs w:val="18"/>
              </w:rPr>
              <w:t xml:space="preserve"> </w:t>
            </w:r>
            <w:r w:rsidR="005F6E36" w:rsidRPr="00D8383E">
              <w:rPr>
                <w:sz w:val="18"/>
                <w:szCs w:val="18"/>
              </w:rPr>
              <w:t>Environmental g</w:t>
            </w:r>
            <w:r w:rsidR="00715058" w:rsidRPr="00D8383E">
              <w:rPr>
                <w:sz w:val="18"/>
                <w:szCs w:val="18"/>
              </w:rPr>
              <w:t>overnance</w:t>
            </w:r>
            <w:r w:rsidR="005F6E36" w:rsidRPr="00D8383E">
              <w:rPr>
                <w:sz w:val="18"/>
                <w:szCs w:val="18"/>
              </w:rPr>
              <w:t xml:space="preserve"> strengthened</w:t>
            </w:r>
            <w:r w:rsidR="00715058" w:rsidRPr="00D8383E">
              <w:rPr>
                <w:sz w:val="18"/>
                <w:szCs w:val="18"/>
              </w:rPr>
              <w:t xml:space="preserve"> at all three levels for c</w:t>
            </w:r>
            <w:r w:rsidR="008C4CB2" w:rsidRPr="00D8383E">
              <w:rPr>
                <w:sz w:val="18"/>
                <w:szCs w:val="18"/>
              </w:rPr>
              <w:t>limate</w:t>
            </w:r>
            <w:r w:rsidR="00A2025E">
              <w:rPr>
                <w:sz w:val="18"/>
                <w:szCs w:val="18"/>
              </w:rPr>
              <w:t>-</w:t>
            </w:r>
            <w:r w:rsidR="008C4CB2" w:rsidRPr="00D8383E">
              <w:rPr>
                <w:sz w:val="18"/>
                <w:szCs w:val="18"/>
              </w:rPr>
              <w:t>change adaptation</w:t>
            </w:r>
            <w:r w:rsidR="00882CB4" w:rsidRPr="00D8383E">
              <w:rPr>
                <w:sz w:val="18"/>
                <w:szCs w:val="18"/>
              </w:rPr>
              <w:t xml:space="preserve"> and </w:t>
            </w:r>
            <w:r w:rsidR="008C4CB2" w:rsidRPr="00D8383E">
              <w:rPr>
                <w:sz w:val="18"/>
                <w:szCs w:val="18"/>
              </w:rPr>
              <w:t>mitigation</w:t>
            </w:r>
            <w:r w:rsidR="003F7743" w:rsidRPr="00D8383E">
              <w:rPr>
                <w:sz w:val="18"/>
                <w:szCs w:val="18"/>
              </w:rPr>
              <w:t xml:space="preserve">, </w:t>
            </w:r>
            <w:r w:rsidR="008C4CB2" w:rsidRPr="00D8383E">
              <w:rPr>
                <w:sz w:val="18"/>
                <w:szCs w:val="18"/>
              </w:rPr>
              <w:t>s</w:t>
            </w:r>
            <w:r w:rsidRPr="00D8383E">
              <w:rPr>
                <w:sz w:val="18"/>
                <w:szCs w:val="18"/>
              </w:rPr>
              <w:t>ustainable watershed</w:t>
            </w:r>
            <w:r w:rsidR="00FA7B3E" w:rsidRPr="00D8383E">
              <w:rPr>
                <w:sz w:val="18"/>
                <w:szCs w:val="18"/>
              </w:rPr>
              <w:t xml:space="preserve">, </w:t>
            </w:r>
            <w:r w:rsidRPr="00D8383E">
              <w:rPr>
                <w:sz w:val="18"/>
                <w:szCs w:val="18"/>
              </w:rPr>
              <w:t xml:space="preserve">ecosystem </w:t>
            </w:r>
            <w:r w:rsidR="00FA7B3E" w:rsidRPr="00D8383E">
              <w:rPr>
                <w:sz w:val="18"/>
                <w:szCs w:val="18"/>
              </w:rPr>
              <w:t xml:space="preserve">and </w:t>
            </w:r>
            <w:r w:rsidR="005F6E36" w:rsidRPr="00D8383E">
              <w:rPr>
                <w:sz w:val="18"/>
                <w:szCs w:val="18"/>
              </w:rPr>
              <w:t>biodiversity</w:t>
            </w:r>
            <w:r w:rsidR="00FA7B3E" w:rsidRPr="00D8383E">
              <w:rPr>
                <w:sz w:val="18"/>
                <w:szCs w:val="18"/>
              </w:rPr>
              <w:t xml:space="preserve"> </w:t>
            </w:r>
            <w:r w:rsidRPr="00D8383E">
              <w:rPr>
                <w:sz w:val="18"/>
                <w:szCs w:val="18"/>
              </w:rPr>
              <w:t>management</w:t>
            </w:r>
          </w:p>
          <w:p w14:paraId="2ED93E4C" w14:textId="77777777" w:rsidR="00A021BE" w:rsidRPr="00D8383E" w:rsidRDefault="00A021BE" w:rsidP="00126BEC">
            <w:pPr>
              <w:rPr>
                <w:sz w:val="18"/>
                <w:szCs w:val="18"/>
              </w:rPr>
            </w:pPr>
          </w:p>
          <w:p w14:paraId="5F37A52D" w14:textId="480F7AA7" w:rsidR="00A021BE" w:rsidRPr="00D8383E" w:rsidRDefault="00A021BE" w:rsidP="00126BEC">
            <w:pPr>
              <w:rPr>
                <w:sz w:val="18"/>
                <w:szCs w:val="18"/>
              </w:rPr>
            </w:pPr>
            <w:r w:rsidRPr="00D8383E">
              <w:rPr>
                <w:sz w:val="18"/>
                <w:szCs w:val="18"/>
              </w:rPr>
              <w:t>3.</w:t>
            </w:r>
            <w:r w:rsidR="005A0310" w:rsidRPr="00D8383E">
              <w:rPr>
                <w:sz w:val="18"/>
                <w:szCs w:val="18"/>
              </w:rPr>
              <w:t>2</w:t>
            </w:r>
            <w:r w:rsidRPr="00D8383E">
              <w:rPr>
                <w:sz w:val="18"/>
                <w:szCs w:val="18"/>
              </w:rPr>
              <w:t>.1. Number of</w:t>
            </w:r>
            <w:r w:rsidR="002F294D" w:rsidRPr="00D8383E">
              <w:rPr>
                <w:sz w:val="18"/>
                <w:szCs w:val="18"/>
              </w:rPr>
              <w:t xml:space="preserve"> </w:t>
            </w:r>
            <w:r w:rsidR="00625E2F" w:rsidRPr="00D8383E">
              <w:rPr>
                <w:sz w:val="18"/>
                <w:szCs w:val="18"/>
              </w:rPr>
              <w:t>watershed</w:t>
            </w:r>
            <w:r w:rsidR="009D7720" w:rsidRPr="00D8383E">
              <w:rPr>
                <w:sz w:val="18"/>
                <w:szCs w:val="18"/>
              </w:rPr>
              <w:t xml:space="preserve">s </w:t>
            </w:r>
            <w:r w:rsidR="000464B2" w:rsidRPr="00D8383E">
              <w:rPr>
                <w:sz w:val="18"/>
                <w:szCs w:val="18"/>
              </w:rPr>
              <w:t xml:space="preserve">incorporating </w:t>
            </w:r>
            <w:r w:rsidR="00696A76" w:rsidRPr="00D8383E">
              <w:rPr>
                <w:sz w:val="18"/>
                <w:szCs w:val="18"/>
              </w:rPr>
              <w:t xml:space="preserve">integrated </w:t>
            </w:r>
            <w:r w:rsidR="0041720A" w:rsidRPr="00D8383E">
              <w:rPr>
                <w:sz w:val="18"/>
                <w:szCs w:val="18"/>
              </w:rPr>
              <w:t>nature</w:t>
            </w:r>
            <w:r w:rsidR="00A2025E">
              <w:rPr>
                <w:sz w:val="18"/>
                <w:szCs w:val="18"/>
              </w:rPr>
              <w:t>-</w:t>
            </w:r>
            <w:r w:rsidR="0041720A" w:rsidRPr="00D8383E">
              <w:rPr>
                <w:sz w:val="18"/>
                <w:szCs w:val="18"/>
              </w:rPr>
              <w:t xml:space="preserve">based and climate adaptation </w:t>
            </w:r>
            <w:r w:rsidR="00FC78B0" w:rsidRPr="00D8383E" w:rsidDel="0041720A">
              <w:rPr>
                <w:sz w:val="18"/>
                <w:szCs w:val="18"/>
              </w:rPr>
              <w:t>measures</w:t>
            </w:r>
            <w:r w:rsidR="00FC78B0" w:rsidRPr="00D8383E">
              <w:rPr>
                <w:sz w:val="18"/>
                <w:szCs w:val="18"/>
              </w:rPr>
              <w:t xml:space="preserve"> </w:t>
            </w:r>
            <w:r w:rsidR="007F140B" w:rsidRPr="00D8383E">
              <w:rPr>
                <w:sz w:val="18"/>
                <w:szCs w:val="18"/>
              </w:rPr>
              <w:t>(IRRF-4</w:t>
            </w:r>
            <w:r w:rsidR="007F585B" w:rsidRPr="00D8383E">
              <w:rPr>
                <w:sz w:val="18"/>
                <w:szCs w:val="18"/>
              </w:rPr>
              <w:t>.</w:t>
            </w:r>
            <w:r w:rsidR="006A33A9" w:rsidRPr="00D8383E">
              <w:rPr>
                <w:sz w:val="18"/>
                <w:szCs w:val="18"/>
              </w:rPr>
              <w:t>1</w:t>
            </w:r>
            <w:r w:rsidR="007F585B" w:rsidRPr="00D8383E">
              <w:rPr>
                <w:sz w:val="18"/>
                <w:szCs w:val="18"/>
              </w:rPr>
              <w:t>.2)</w:t>
            </w:r>
          </w:p>
          <w:p w14:paraId="74C898B2" w14:textId="07EC6A42" w:rsidR="00A021BE" w:rsidRPr="00D8383E" w:rsidRDefault="00A021BE" w:rsidP="00126BEC">
            <w:pPr>
              <w:rPr>
                <w:sz w:val="18"/>
                <w:szCs w:val="18"/>
              </w:rPr>
            </w:pPr>
            <w:r w:rsidRPr="00D8383E">
              <w:rPr>
                <w:sz w:val="18"/>
                <w:szCs w:val="18"/>
              </w:rPr>
              <w:t>Baseline (2021): 12 sub</w:t>
            </w:r>
            <w:r w:rsidR="005A25EC">
              <w:rPr>
                <w:sz w:val="18"/>
                <w:szCs w:val="18"/>
              </w:rPr>
              <w:t>-</w:t>
            </w:r>
            <w:r w:rsidRPr="00D8383E">
              <w:rPr>
                <w:sz w:val="18"/>
                <w:szCs w:val="18"/>
              </w:rPr>
              <w:t xml:space="preserve">watersheds </w:t>
            </w:r>
          </w:p>
          <w:p w14:paraId="4E96CD57" w14:textId="70F05C5B" w:rsidR="00A021BE" w:rsidRPr="00D8383E" w:rsidRDefault="00A021BE" w:rsidP="00126BEC">
            <w:pPr>
              <w:rPr>
                <w:sz w:val="18"/>
                <w:szCs w:val="18"/>
              </w:rPr>
            </w:pPr>
            <w:r w:rsidRPr="00D8383E">
              <w:rPr>
                <w:sz w:val="18"/>
                <w:szCs w:val="18"/>
              </w:rPr>
              <w:t>Target</w:t>
            </w:r>
            <w:r w:rsidR="00DB0CD2" w:rsidRPr="00D8383E">
              <w:rPr>
                <w:sz w:val="18"/>
                <w:szCs w:val="18"/>
              </w:rPr>
              <w:t xml:space="preserve"> (2027)</w:t>
            </w:r>
            <w:r w:rsidRPr="00D8383E">
              <w:rPr>
                <w:sz w:val="18"/>
                <w:szCs w:val="18"/>
              </w:rPr>
              <w:t xml:space="preserve">: </w:t>
            </w:r>
            <w:r w:rsidR="007760FF" w:rsidRPr="00D8383E">
              <w:rPr>
                <w:sz w:val="18"/>
                <w:szCs w:val="18"/>
              </w:rPr>
              <w:t>2</w:t>
            </w:r>
            <w:r w:rsidR="00DB0CD2" w:rsidRPr="00D8383E">
              <w:rPr>
                <w:sz w:val="18"/>
                <w:szCs w:val="18"/>
              </w:rPr>
              <w:t>5</w:t>
            </w:r>
            <w:r w:rsidRPr="00D8383E">
              <w:rPr>
                <w:sz w:val="18"/>
                <w:szCs w:val="18"/>
              </w:rPr>
              <w:t xml:space="preserve"> sub</w:t>
            </w:r>
            <w:r w:rsidR="005A25EC">
              <w:rPr>
                <w:sz w:val="18"/>
                <w:szCs w:val="18"/>
              </w:rPr>
              <w:t>-</w:t>
            </w:r>
            <w:r w:rsidRPr="00D8383E">
              <w:rPr>
                <w:sz w:val="18"/>
                <w:szCs w:val="18"/>
              </w:rPr>
              <w:t>watersheds</w:t>
            </w:r>
          </w:p>
          <w:p w14:paraId="0A505302" w14:textId="05F2A0D2" w:rsidR="00A021BE" w:rsidRPr="00D8383E" w:rsidRDefault="00A021BE" w:rsidP="00126BEC">
            <w:pPr>
              <w:rPr>
                <w:sz w:val="18"/>
                <w:szCs w:val="18"/>
              </w:rPr>
            </w:pPr>
            <w:r w:rsidRPr="00D8383E">
              <w:rPr>
                <w:sz w:val="18"/>
                <w:szCs w:val="18"/>
              </w:rPr>
              <w:t xml:space="preserve">Source/Frequency: MoFE, </w:t>
            </w:r>
            <w:r w:rsidRPr="00D8383E">
              <w:rPr>
                <w:rFonts w:eastAsia="Calibri"/>
                <w:sz w:val="18"/>
                <w:szCs w:val="18"/>
              </w:rPr>
              <w:t>MoHA/Annual</w:t>
            </w:r>
            <w:r w:rsidRPr="00D8383E">
              <w:rPr>
                <w:sz w:val="18"/>
                <w:szCs w:val="18"/>
              </w:rPr>
              <w:t xml:space="preserve"> </w:t>
            </w:r>
          </w:p>
          <w:p w14:paraId="468D2362" w14:textId="77777777" w:rsidR="00A021BE" w:rsidRPr="00D8383E" w:rsidRDefault="00A021BE" w:rsidP="00126BEC">
            <w:pPr>
              <w:rPr>
                <w:sz w:val="18"/>
                <w:szCs w:val="18"/>
              </w:rPr>
            </w:pPr>
          </w:p>
          <w:p w14:paraId="2F932E29" w14:textId="2381DC74" w:rsidR="00A021BE" w:rsidRPr="00D8383E" w:rsidRDefault="00A021BE" w:rsidP="00126BEC">
            <w:pPr>
              <w:rPr>
                <w:sz w:val="18"/>
                <w:szCs w:val="18"/>
              </w:rPr>
            </w:pPr>
            <w:r w:rsidRPr="00D8383E">
              <w:rPr>
                <w:rFonts w:eastAsia="Calibri"/>
                <w:sz w:val="18"/>
                <w:szCs w:val="18"/>
              </w:rPr>
              <w:t xml:space="preserve">3.2.2. </w:t>
            </w:r>
            <w:r w:rsidRPr="00D8383E">
              <w:rPr>
                <w:sz w:val="18"/>
                <w:szCs w:val="18"/>
              </w:rPr>
              <w:t xml:space="preserve">Number of people directly benefiting from enhanced management of natural resources, biodiversity, and watersheds </w:t>
            </w:r>
            <w:r w:rsidR="00CC437D" w:rsidRPr="00D8383E">
              <w:rPr>
                <w:sz w:val="18"/>
                <w:szCs w:val="18"/>
              </w:rPr>
              <w:t>(IRRF</w:t>
            </w:r>
            <w:r w:rsidR="00F80234" w:rsidRPr="00D8383E">
              <w:rPr>
                <w:sz w:val="18"/>
                <w:szCs w:val="18"/>
              </w:rPr>
              <w:t>-4.</w:t>
            </w:r>
            <w:r w:rsidR="00772281" w:rsidRPr="00D8383E">
              <w:rPr>
                <w:sz w:val="18"/>
                <w:szCs w:val="18"/>
              </w:rPr>
              <w:t>2</w:t>
            </w:r>
            <w:r w:rsidR="00F80234" w:rsidRPr="00D8383E">
              <w:rPr>
                <w:sz w:val="18"/>
                <w:szCs w:val="18"/>
              </w:rPr>
              <w:t>.1)</w:t>
            </w:r>
          </w:p>
          <w:p w14:paraId="3C5EA047" w14:textId="359E7072" w:rsidR="00A021BE" w:rsidRPr="00D8383E" w:rsidRDefault="00A021BE" w:rsidP="00126BEC">
            <w:pPr>
              <w:rPr>
                <w:sz w:val="18"/>
                <w:szCs w:val="18"/>
              </w:rPr>
            </w:pPr>
            <w:r w:rsidRPr="00D8383E">
              <w:rPr>
                <w:sz w:val="18"/>
                <w:szCs w:val="18"/>
              </w:rPr>
              <w:t>Baseline</w:t>
            </w:r>
            <w:r w:rsidR="00E2755C" w:rsidRPr="00D8383E">
              <w:rPr>
                <w:sz w:val="18"/>
                <w:szCs w:val="18"/>
              </w:rPr>
              <w:t xml:space="preserve"> (2021)</w:t>
            </w:r>
            <w:r w:rsidRPr="00D8383E">
              <w:rPr>
                <w:sz w:val="18"/>
                <w:szCs w:val="18"/>
              </w:rPr>
              <w:t>: 9,000 (</w:t>
            </w:r>
            <w:r w:rsidR="00E2755C" w:rsidRPr="00D8383E">
              <w:rPr>
                <w:sz w:val="18"/>
                <w:szCs w:val="18"/>
              </w:rPr>
              <w:t xml:space="preserve">40% </w:t>
            </w:r>
            <w:r w:rsidR="002C1769" w:rsidRPr="00D8383E">
              <w:rPr>
                <w:sz w:val="18"/>
                <w:szCs w:val="18"/>
              </w:rPr>
              <w:t>women</w:t>
            </w:r>
            <w:r w:rsidRPr="00D8383E">
              <w:rPr>
                <w:sz w:val="18"/>
                <w:szCs w:val="18"/>
              </w:rPr>
              <w:t>)</w:t>
            </w:r>
          </w:p>
          <w:p w14:paraId="1537A547" w14:textId="1A4C925E" w:rsidR="00A021BE" w:rsidRPr="00D8383E" w:rsidRDefault="00A021BE" w:rsidP="00126BEC">
            <w:pPr>
              <w:rPr>
                <w:sz w:val="18"/>
                <w:szCs w:val="18"/>
              </w:rPr>
            </w:pPr>
            <w:r w:rsidRPr="00D8383E">
              <w:rPr>
                <w:sz w:val="18"/>
                <w:szCs w:val="18"/>
              </w:rPr>
              <w:t>Target</w:t>
            </w:r>
            <w:r w:rsidR="002C1769" w:rsidRPr="00D8383E">
              <w:rPr>
                <w:sz w:val="18"/>
                <w:szCs w:val="18"/>
              </w:rPr>
              <w:t xml:space="preserve"> (2027)</w:t>
            </w:r>
            <w:r w:rsidRPr="00D8383E">
              <w:rPr>
                <w:sz w:val="18"/>
                <w:szCs w:val="18"/>
              </w:rPr>
              <w:t>: 400,000 (50% women)</w:t>
            </w:r>
          </w:p>
          <w:p w14:paraId="12CC5456" w14:textId="77777777" w:rsidR="00A021BE" w:rsidRPr="00D8383E" w:rsidRDefault="00A021BE" w:rsidP="00126BEC">
            <w:pPr>
              <w:rPr>
                <w:sz w:val="18"/>
                <w:szCs w:val="18"/>
              </w:rPr>
            </w:pPr>
            <w:r w:rsidRPr="00D8383E">
              <w:rPr>
                <w:sz w:val="18"/>
                <w:szCs w:val="18"/>
              </w:rPr>
              <w:t>Source/Frequency: UNDP/Annuals</w:t>
            </w:r>
          </w:p>
          <w:p w14:paraId="43CC1BEB" w14:textId="77777777" w:rsidR="00A021BE" w:rsidRPr="00D8383E" w:rsidRDefault="00A021BE" w:rsidP="00126BEC">
            <w:pPr>
              <w:rPr>
                <w:sz w:val="18"/>
                <w:szCs w:val="18"/>
              </w:rPr>
            </w:pPr>
          </w:p>
          <w:p w14:paraId="1326D9E4" w14:textId="75BE5B6B" w:rsidR="00C5782C" w:rsidRPr="00D8383E" w:rsidRDefault="00C5782C" w:rsidP="00C5782C">
            <w:pPr>
              <w:rPr>
                <w:sz w:val="18"/>
                <w:szCs w:val="18"/>
              </w:rPr>
            </w:pPr>
            <w:r w:rsidRPr="00D8383E">
              <w:rPr>
                <w:sz w:val="18"/>
                <w:szCs w:val="18"/>
              </w:rPr>
              <w:t>3.</w:t>
            </w:r>
            <w:r w:rsidR="005A0310" w:rsidRPr="00D8383E">
              <w:rPr>
                <w:sz w:val="18"/>
                <w:szCs w:val="18"/>
              </w:rPr>
              <w:t>2</w:t>
            </w:r>
            <w:r w:rsidR="00E43D92" w:rsidRPr="00D8383E">
              <w:rPr>
                <w:sz w:val="18"/>
                <w:szCs w:val="18"/>
              </w:rPr>
              <w:t>.3.</w:t>
            </w:r>
            <w:r w:rsidRPr="00D8383E">
              <w:rPr>
                <w:sz w:val="18"/>
                <w:szCs w:val="18"/>
              </w:rPr>
              <w:t xml:space="preserve"> Number of </w:t>
            </w:r>
            <w:r w:rsidR="00A43B3E">
              <w:rPr>
                <w:sz w:val="18"/>
                <w:szCs w:val="18"/>
              </w:rPr>
              <w:t xml:space="preserve">federal, provincial and local governments </w:t>
            </w:r>
            <w:r w:rsidRPr="00D8383E">
              <w:rPr>
                <w:sz w:val="18"/>
                <w:szCs w:val="18"/>
              </w:rPr>
              <w:t xml:space="preserve">s integrating </w:t>
            </w:r>
            <w:r w:rsidR="007F2289" w:rsidRPr="00D8383E">
              <w:rPr>
                <w:sz w:val="18"/>
                <w:szCs w:val="18"/>
              </w:rPr>
              <w:t>climate</w:t>
            </w:r>
            <w:r w:rsidR="00A2025E">
              <w:rPr>
                <w:sz w:val="18"/>
                <w:szCs w:val="18"/>
              </w:rPr>
              <w:t>-</w:t>
            </w:r>
            <w:r w:rsidR="007F2289" w:rsidRPr="00D8383E">
              <w:rPr>
                <w:sz w:val="18"/>
                <w:szCs w:val="18"/>
              </w:rPr>
              <w:t>change adaptation</w:t>
            </w:r>
            <w:r w:rsidRPr="00D8383E">
              <w:rPr>
                <w:sz w:val="18"/>
                <w:szCs w:val="18"/>
              </w:rPr>
              <w:t xml:space="preserve"> </w:t>
            </w:r>
            <w:r w:rsidR="00A43B3E">
              <w:rPr>
                <w:sz w:val="18"/>
                <w:szCs w:val="18"/>
              </w:rPr>
              <w:t xml:space="preserve">responding to </w:t>
            </w:r>
            <w:r w:rsidR="00A43B3E" w:rsidRPr="00A43B3E">
              <w:rPr>
                <w:sz w:val="18"/>
                <w:szCs w:val="18"/>
              </w:rPr>
              <w:t xml:space="preserve">gender equality and social inclusion </w:t>
            </w:r>
            <w:r w:rsidRPr="00D8383E">
              <w:rPr>
                <w:sz w:val="18"/>
                <w:szCs w:val="18"/>
              </w:rPr>
              <w:t>in plans based on NPC mainstreaming guideline (2019)</w:t>
            </w:r>
            <w:r w:rsidR="004E7F14" w:rsidRPr="00D8383E">
              <w:rPr>
                <w:sz w:val="18"/>
                <w:szCs w:val="18"/>
              </w:rPr>
              <w:t xml:space="preserve"> (IRRF-4.2.1)</w:t>
            </w:r>
            <w:r w:rsidR="00A43B3E" w:rsidRPr="00D8383E">
              <w:rPr>
                <w:sz w:val="18"/>
                <w:szCs w:val="18"/>
              </w:rPr>
              <w:t xml:space="preserve"> </w:t>
            </w:r>
          </w:p>
          <w:p w14:paraId="5481B5C7" w14:textId="77777777" w:rsidR="00C5782C" w:rsidRPr="00D8383E" w:rsidRDefault="00C5782C" w:rsidP="00C5782C">
            <w:pPr>
              <w:rPr>
                <w:sz w:val="18"/>
                <w:szCs w:val="18"/>
              </w:rPr>
            </w:pPr>
            <w:r w:rsidRPr="00D8383E">
              <w:rPr>
                <w:sz w:val="18"/>
                <w:szCs w:val="18"/>
              </w:rPr>
              <w:t>Baseline (2022): 280</w:t>
            </w:r>
          </w:p>
          <w:p w14:paraId="0F2764BE" w14:textId="77777777" w:rsidR="00C5782C" w:rsidRPr="00D8383E" w:rsidRDefault="00C5782C" w:rsidP="00C5782C">
            <w:pPr>
              <w:rPr>
                <w:sz w:val="18"/>
                <w:szCs w:val="18"/>
              </w:rPr>
            </w:pPr>
            <w:r w:rsidRPr="00D8383E">
              <w:rPr>
                <w:sz w:val="18"/>
                <w:szCs w:val="18"/>
              </w:rPr>
              <w:t>Target (2027): 424</w:t>
            </w:r>
          </w:p>
          <w:p w14:paraId="75509181" w14:textId="77777777" w:rsidR="00C5782C" w:rsidRPr="00D8383E" w:rsidRDefault="00C5782C" w:rsidP="00C5782C">
            <w:pPr>
              <w:rPr>
                <w:sz w:val="18"/>
                <w:szCs w:val="18"/>
              </w:rPr>
            </w:pPr>
            <w:r w:rsidRPr="00D8383E">
              <w:rPr>
                <w:sz w:val="18"/>
                <w:szCs w:val="18"/>
              </w:rPr>
              <w:t xml:space="preserve">Source/Frequency: NPC, MoFE/Biennial </w:t>
            </w:r>
          </w:p>
          <w:p w14:paraId="6C63FFED" w14:textId="77777777" w:rsidR="00A021BE" w:rsidRPr="00D8383E" w:rsidRDefault="00A021BE" w:rsidP="00126BEC">
            <w:pPr>
              <w:rPr>
                <w:sz w:val="18"/>
                <w:szCs w:val="18"/>
              </w:rPr>
            </w:pPr>
          </w:p>
          <w:p w14:paraId="535E06A1" w14:textId="5E613139" w:rsidR="00A021BE" w:rsidRPr="00D8383E" w:rsidRDefault="00A021BE" w:rsidP="00126BEC">
            <w:pPr>
              <w:rPr>
                <w:sz w:val="18"/>
                <w:szCs w:val="18"/>
              </w:rPr>
            </w:pPr>
            <w:r w:rsidRPr="00D8383E">
              <w:rPr>
                <w:sz w:val="18"/>
                <w:szCs w:val="18"/>
              </w:rPr>
              <w:t>Output 3.</w:t>
            </w:r>
            <w:r w:rsidR="00DD7528" w:rsidRPr="00D8383E">
              <w:rPr>
                <w:sz w:val="18"/>
                <w:szCs w:val="18"/>
              </w:rPr>
              <w:t>3</w:t>
            </w:r>
            <w:r w:rsidRPr="00D8383E">
              <w:rPr>
                <w:sz w:val="18"/>
                <w:szCs w:val="18"/>
              </w:rPr>
              <w:t>. Reliable, affordable</w:t>
            </w:r>
            <w:r w:rsidR="00A2025E">
              <w:rPr>
                <w:sz w:val="18"/>
                <w:szCs w:val="18"/>
              </w:rPr>
              <w:t xml:space="preserve"> and</w:t>
            </w:r>
            <w:r w:rsidRPr="00D8383E">
              <w:rPr>
                <w:sz w:val="18"/>
                <w:szCs w:val="18"/>
              </w:rPr>
              <w:t xml:space="preserve"> efficient clean energy solutions promoted</w:t>
            </w:r>
          </w:p>
          <w:p w14:paraId="59313F1B" w14:textId="77777777" w:rsidR="00A021BE" w:rsidRPr="00D8383E" w:rsidRDefault="00A021BE" w:rsidP="00126BEC">
            <w:pPr>
              <w:rPr>
                <w:rFonts w:eastAsiaTheme="minorHAnsi"/>
                <w:sz w:val="18"/>
                <w:szCs w:val="18"/>
              </w:rPr>
            </w:pPr>
          </w:p>
          <w:p w14:paraId="514EC8DF" w14:textId="6DF3F1A8" w:rsidR="00A021BE" w:rsidRPr="00D8383E" w:rsidRDefault="00A021BE" w:rsidP="00126BEC">
            <w:pPr>
              <w:rPr>
                <w:rFonts w:eastAsiaTheme="minorEastAsia"/>
                <w:sz w:val="18"/>
                <w:szCs w:val="18"/>
              </w:rPr>
            </w:pPr>
            <w:r w:rsidRPr="00D8383E">
              <w:rPr>
                <w:rFonts w:eastAsiaTheme="minorEastAsia"/>
                <w:sz w:val="18"/>
                <w:szCs w:val="18"/>
              </w:rPr>
              <w:t>3.</w:t>
            </w:r>
            <w:r w:rsidR="005A0310" w:rsidRPr="00D8383E">
              <w:rPr>
                <w:rFonts w:eastAsiaTheme="minorEastAsia"/>
                <w:sz w:val="18"/>
                <w:szCs w:val="18"/>
              </w:rPr>
              <w:t>3</w:t>
            </w:r>
            <w:r w:rsidRPr="00D8383E">
              <w:rPr>
                <w:rFonts w:eastAsiaTheme="minorEastAsia"/>
                <w:sz w:val="18"/>
                <w:szCs w:val="18"/>
              </w:rPr>
              <w:t>.1. Number of men and women with access to clean, affordable and sustainable energy</w:t>
            </w:r>
            <w:r w:rsidR="009E7C4F" w:rsidRPr="00D8383E">
              <w:rPr>
                <w:rFonts w:eastAsiaTheme="minorEastAsia"/>
                <w:sz w:val="18"/>
                <w:szCs w:val="18"/>
              </w:rPr>
              <w:t xml:space="preserve"> (IRRF-</w:t>
            </w:r>
            <w:r w:rsidR="004F2D0A" w:rsidRPr="00D8383E">
              <w:rPr>
                <w:rFonts w:eastAsiaTheme="minorEastAsia"/>
                <w:sz w:val="18"/>
                <w:szCs w:val="18"/>
              </w:rPr>
              <w:t>5.1.1)</w:t>
            </w:r>
            <w:r w:rsidRPr="00D8383E">
              <w:rPr>
                <w:rFonts w:eastAsiaTheme="minorEastAsia"/>
                <w:sz w:val="18"/>
                <w:szCs w:val="18"/>
              </w:rPr>
              <w:t xml:space="preserve"> </w:t>
            </w:r>
          </w:p>
          <w:p w14:paraId="567CF996" w14:textId="55874B07" w:rsidR="00A021BE" w:rsidRPr="00D8383E" w:rsidRDefault="00A021BE" w:rsidP="00126BEC">
            <w:pPr>
              <w:rPr>
                <w:rFonts w:eastAsiaTheme="minorEastAsia"/>
                <w:sz w:val="18"/>
                <w:szCs w:val="18"/>
              </w:rPr>
            </w:pPr>
            <w:r w:rsidRPr="00D8383E">
              <w:rPr>
                <w:rFonts w:eastAsiaTheme="minorEastAsia"/>
                <w:sz w:val="18"/>
                <w:szCs w:val="18"/>
              </w:rPr>
              <w:t xml:space="preserve">Baseline (2022): 610,708 </w:t>
            </w:r>
            <w:r w:rsidR="00D20ECF" w:rsidRPr="00D8383E">
              <w:rPr>
                <w:rFonts w:eastAsiaTheme="minorEastAsia"/>
                <w:sz w:val="18"/>
                <w:szCs w:val="18"/>
              </w:rPr>
              <w:t>(</w:t>
            </w:r>
            <w:r w:rsidR="002264F0" w:rsidRPr="00D8383E">
              <w:rPr>
                <w:rFonts w:eastAsiaTheme="minorEastAsia"/>
                <w:sz w:val="18"/>
                <w:szCs w:val="18"/>
              </w:rPr>
              <w:t>50% women)</w:t>
            </w:r>
          </w:p>
          <w:p w14:paraId="137FE2E3" w14:textId="0F182C7D" w:rsidR="00A021BE" w:rsidRPr="00D8383E" w:rsidRDefault="00A021BE" w:rsidP="00126BEC">
            <w:pPr>
              <w:rPr>
                <w:rFonts w:eastAsiaTheme="minorEastAsia"/>
                <w:sz w:val="18"/>
                <w:szCs w:val="18"/>
              </w:rPr>
            </w:pPr>
            <w:r w:rsidRPr="00D8383E">
              <w:rPr>
                <w:rFonts w:eastAsiaTheme="minorEastAsia"/>
                <w:sz w:val="18"/>
                <w:szCs w:val="18"/>
              </w:rPr>
              <w:t>Target</w:t>
            </w:r>
            <w:r w:rsidR="000C3956" w:rsidRPr="00D8383E">
              <w:rPr>
                <w:rFonts w:eastAsiaTheme="minorEastAsia"/>
                <w:sz w:val="18"/>
                <w:szCs w:val="18"/>
              </w:rPr>
              <w:t xml:space="preserve"> (2027)</w:t>
            </w:r>
            <w:r w:rsidRPr="00D8383E">
              <w:rPr>
                <w:rFonts w:eastAsiaTheme="minorEastAsia"/>
                <w:sz w:val="18"/>
                <w:szCs w:val="18"/>
              </w:rPr>
              <w:t xml:space="preserve">: </w:t>
            </w:r>
            <w:r w:rsidR="002264F0" w:rsidRPr="00D8383E">
              <w:rPr>
                <w:rFonts w:eastAsiaTheme="minorEastAsia"/>
                <w:sz w:val="18"/>
                <w:szCs w:val="18"/>
              </w:rPr>
              <w:t>760,708</w:t>
            </w:r>
            <w:r w:rsidRPr="00D8383E">
              <w:rPr>
                <w:rFonts w:eastAsiaTheme="minorEastAsia"/>
                <w:sz w:val="18"/>
                <w:szCs w:val="18"/>
              </w:rPr>
              <w:t xml:space="preserve"> (</w:t>
            </w:r>
            <w:r w:rsidR="000C3956" w:rsidRPr="00D8383E">
              <w:rPr>
                <w:rFonts w:eastAsiaTheme="minorEastAsia"/>
                <w:sz w:val="18"/>
                <w:szCs w:val="18"/>
              </w:rPr>
              <w:t>50% women</w:t>
            </w:r>
            <w:r w:rsidRPr="00D8383E">
              <w:rPr>
                <w:rFonts w:eastAsiaTheme="minorEastAsia"/>
                <w:sz w:val="18"/>
                <w:szCs w:val="18"/>
              </w:rPr>
              <w:t xml:space="preserve">) </w:t>
            </w:r>
          </w:p>
          <w:p w14:paraId="2C2FC774" w14:textId="5AA2BE15" w:rsidR="00A021BE" w:rsidRPr="00D8383E" w:rsidRDefault="00A021BE" w:rsidP="00126BEC">
            <w:pPr>
              <w:rPr>
                <w:rFonts w:eastAsiaTheme="minorEastAsia"/>
                <w:sz w:val="18"/>
                <w:szCs w:val="18"/>
              </w:rPr>
            </w:pPr>
            <w:r w:rsidRPr="00D8383E">
              <w:rPr>
                <w:rFonts w:eastAsiaTheme="minorEastAsia"/>
                <w:sz w:val="18"/>
                <w:szCs w:val="18"/>
              </w:rPr>
              <w:t>Source/Frequency:</w:t>
            </w:r>
            <w:r w:rsidR="005A25EC">
              <w:t xml:space="preserve"> </w:t>
            </w:r>
            <w:r w:rsidR="005A25EC" w:rsidRPr="005A25EC">
              <w:rPr>
                <w:rFonts w:eastAsiaTheme="minorEastAsia"/>
                <w:sz w:val="18"/>
                <w:szCs w:val="18"/>
              </w:rPr>
              <w:t>Alternative Energy Promotion Centre</w:t>
            </w:r>
            <w:r w:rsidRPr="00D8383E">
              <w:rPr>
                <w:rFonts w:eastAsiaTheme="minorEastAsia"/>
                <w:sz w:val="18"/>
                <w:szCs w:val="18"/>
              </w:rPr>
              <w:t xml:space="preserve"> </w:t>
            </w:r>
            <w:r w:rsidR="005A25EC">
              <w:rPr>
                <w:rFonts w:eastAsiaTheme="minorEastAsia"/>
                <w:sz w:val="18"/>
                <w:szCs w:val="18"/>
              </w:rPr>
              <w:t>(</w:t>
            </w:r>
            <w:r w:rsidRPr="00D8383E">
              <w:rPr>
                <w:rFonts w:eastAsiaTheme="minorEastAsia"/>
                <w:sz w:val="18"/>
                <w:szCs w:val="18"/>
              </w:rPr>
              <w:t>AEPC</w:t>
            </w:r>
            <w:r w:rsidR="005A25EC">
              <w:rPr>
                <w:rFonts w:eastAsiaTheme="minorEastAsia"/>
                <w:sz w:val="18"/>
                <w:szCs w:val="18"/>
              </w:rPr>
              <w:t>)</w:t>
            </w:r>
            <w:r w:rsidRPr="00D8383E">
              <w:rPr>
                <w:rFonts w:eastAsiaTheme="minorEastAsia"/>
                <w:sz w:val="18"/>
                <w:szCs w:val="18"/>
              </w:rPr>
              <w:t>/Annual</w:t>
            </w:r>
          </w:p>
          <w:p w14:paraId="40036E54" w14:textId="77777777" w:rsidR="00A021BE" w:rsidRPr="00D8383E" w:rsidRDefault="00A021BE" w:rsidP="00126BEC">
            <w:pPr>
              <w:rPr>
                <w:rFonts w:eastAsiaTheme="minorHAnsi"/>
                <w:sz w:val="18"/>
                <w:szCs w:val="18"/>
              </w:rPr>
            </w:pPr>
          </w:p>
          <w:p w14:paraId="5EAC6767" w14:textId="5F707D9C" w:rsidR="00A021BE" w:rsidRPr="00D8383E" w:rsidRDefault="00A021BE" w:rsidP="00126BEC">
            <w:pPr>
              <w:rPr>
                <w:rFonts w:eastAsiaTheme="minorEastAsia"/>
                <w:sz w:val="18"/>
                <w:szCs w:val="18"/>
              </w:rPr>
            </w:pPr>
            <w:r w:rsidRPr="00D8383E">
              <w:rPr>
                <w:rFonts w:eastAsiaTheme="minorEastAsia"/>
                <w:sz w:val="18"/>
                <w:szCs w:val="18"/>
              </w:rPr>
              <w:t>3.</w:t>
            </w:r>
            <w:r w:rsidR="005A0310" w:rsidRPr="00D8383E">
              <w:rPr>
                <w:rFonts w:eastAsiaTheme="minorEastAsia"/>
                <w:sz w:val="18"/>
                <w:szCs w:val="18"/>
              </w:rPr>
              <w:t>3</w:t>
            </w:r>
            <w:r w:rsidRPr="00D8383E">
              <w:rPr>
                <w:rFonts w:eastAsiaTheme="minorEastAsia"/>
                <w:sz w:val="18"/>
                <w:szCs w:val="18"/>
              </w:rPr>
              <w:t>.2. Number of renewable energy-based businesses operational</w:t>
            </w:r>
            <w:r w:rsidRPr="00D8383E" w:rsidDel="00BA05BF">
              <w:rPr>
                <w:rFonts w:eastAsiaTheme="minorEastAsia"/>
                <w:sz w:val="18"/>
                <w:szCs w:val="18"/>
              </w:rPr>
              <w:t>,</w:t>
            </w:r>
            <w:r w:rsidRPr="00D8383E">
              <w:rPr>
                <w:rFonts w:eastAsiaTheme="minorEastAsia"/>
                <w:sz w:val="18"/>
                <w:szCs w:val="18"/>
              </w:rPr>
              <w:t xml:space="preserve"> including women-owned</w:t>
            </w:r>
            <w:r w:rsidR="005E760B" w:rsidRPr="00D8383E">
              <w:rPr>
                <w:rFonts w:eastAsiaTheme="minorEastAsia"/>
                <w:sz w:val="18"/>
                <w:szCs w:val="18"/>
              </w:rPr>
              <w:t xml:space="preserve"> (</w:t>
            </w:r>
            <w:r w:rsidR="000811F9">
              <w:rPr>
                <w:rFonts w:eastAsiaTheme="minorEastAsia"/>
                <w:sz w:val="18"/>
                <w:szCs w:val="18"/>
              </w:rPr>
              <w:t>IRFF</w:t>
            </w:r>
            <w:r w:rsidR="009E3BD8" w:rsidRPr="00D8383E">
              <w:rPr>
                <w:rFonts w:eastAsiaTheme="minorEastAsia"/>
                <w:sz w:val="18"/>
                <w:szCs w:val="18"/>
              </w:rPr>
              <w:t>-</w:t>
            </w:r>
            <w:r w:rsidR="00D7300B" w:rsidRPr="00D8383E">
              <w:rPr>
                <w:rFonts w:eastAsiaTheme="minorEastAsia"/>
                <w:sz w:val="18"/>
                <w:szCs w:val="18"/>
              </w:rPr>
              <w:t>5.1.2)</w:t>
            </w:r>
          </w:p>
          <w:p w14:paraId="1707C0EC" w14:textId="6EC5B7EA" w:rsidR="00A021BE" w:rsidRPr="00D8383E" w:rsidRDefault="00A021BE" w:rsidP="00126BEC">
            <w:pPr>
              <w:rPr>
                <w:rFonts w:eastAsiaTheme="minorEastAsia"/>
                <w:sz w:val="18"/>
                <w:szCs w:val="18"/>
              </w:rPr>
            </w:pPr>
            <w:r w:rsidRPr="00D8383E">
              <w:rPr>
                <w:rFonts w:eastAsiaTheme="minorEastAsia"/>
                <w:sz w:val="18"/>
                <w:szCs w:val="18"/>
              </w:rPr>
              <w:t>Baseline</w:t>
            </w:r>
            <w:r w:rsidR="000C3956" w:rsidRPr="00D8383E">
              <w:rPr>
                <w:rFonts w:eastAsiaTheme="minorEastAsia"/>
                <w:sz w:val="18"/>
                <w:szCs w:val="18"/>
              </w:rPr>
              <w:t xml:space="preserve"> (202</w:t>
            </w:r>
            <w:r w:rsidR="00EC08E6" w:rsidRPr="00D8383E">
              <w:rPr>
                <w:rFonts w:eastAsiaTheme="minorEastAsia"/>
                <w:sz w:val="18"/>
                <w:szCs w:val="18"/>
              </w:rPr>
              <w:t>2</w:t>
            </w:r>
            <w:r w:rsidR="000C3956" w:rsidRPr="00D8383E">
              <w:rPr>
                <w:rFonts w:eastAsiaTheme="minorEastAsia"/>
                <w:sz w:val="18"/>
                <w:szCs w:val="18"/>
              </w:rPr>
              <w:t>)</w:t>
            </w:r>
            <w:r w:rsidRPr="00D8383E">
              <w:rPr>
                <w:rFonts w:eastAsiaTheme="minorEastAsia"/>
                <w:sz w:val="18"/>
                <w:szCs w:val="18"/>
              </w:rPr>
              <w:t xml:space="preserve">: 1,640 </w:t>
            </w:r>
            <w:r w:rsidR="005A180E" w:rsidRPr="00D8383E">
              <w:rPr>
                <w:rFonts w:eastAsiaTheme="minorEastAsia"/>
                <w:sz w:val="18"/>
                <w:szCs w:val="18"/>
              </w:rPr>
              <w:t>(</w:t>
            </w:r>
            <w:r w:rsidR="00982E52" w:rsidRPr="00D8383E">
              <w:rPr>
                <w:rFonts w:eastAsiaTheme="minorEastAsia"/>
                <w:sz w:val="18"/>
                <w:szCs w:val="18"/>
              </w:rPr>
              <w:t>30% owned by women/marginalized groups)</w:t>
            </w:r>
          </w:p>
          <w:p w14:paraId="1F80E3CB" w14:textId="59FE97B8" w:rsidR="00A021BE" w:rsidRPr="00D8383E" w:rsidRDefault="00A021BE" w:rsidP="00126BEC">
            <w:pPr>
              <w:rPr>
                <w:rFonts w:eastAsiaTheme="minorEastAsia"/>
                <w:sz w:val="18"/>
                <w:szCs w:val="18"/>
              </w:rPr>
            </w:pPr>
            <w:r w:rsidRPr="00D8383E">
              <w:rPr>
                <w:rFonts w:eastAsiaTheme="minorEastAsia"/>
                <w:sz w:val="18"/>
                <w:szCs w:val="18"/>
              </w:rPr>
              <w:t>Target</w:t>
            </w:r>
            <w:r w:rsidR="00E04F32" w:rsidRPr="00D8383E">
              <w:rPr>
                <w:rFonts w:eastAsiaTheme="minorEastAsia"/>
                <w:sz w:val="18"/>
                <w:szCs w:val="18"/>
              </w:rPr>
              <w:t xml:space="preserve"> (2027)</w:t>
            </w:r>
            <w:r w:rsidRPr="00D8383E">
              <w:rPr>
                <w:rFonts w:eastAsiaTheme="minorEastAsia"/>
                <w:sz w:val="18"/>
                <w:szCs w:val="18"/>
              </w:rPr>
              <w:t xml:space="preserve">: </w:t>
            </w:r>
            <w:r w:rsidR="00E04F32" w:rsidRPr="00D8383E">
              <w:rPr>
                <w:rFonts w:eastAsiaTheme="minorEastAsia"/>
                <w:sz w:val="18"/>
                <w:szCs w:val="18"/>
              </w:rPr>
              <w:t>2,060</w:t>
            </w:r>
            <w:r w:rsidR="00BD7915" w:rsidRPr="00D8383E">
              <w:rPr>
                <w:rFonts w:eastAsiaTheme="minorEastAsia"/>
                <w:sz w:val="18"/>
                <w:szCs w:val="18"/>
              </w:rPr>
              <w:t xml:space="preserve"> </w:t>
            </w:r>
            <w:r w:rsidRPr="00D8383E">
              <w:rPr>
                <w:rFonts w:eastAsiaTheme="minorEastAsia"/>
                <w:sz w:val="18"/>
                <w:szCs w:val="18"/>
              </w:rPr>
              <w:t>(</w:t>
            </w:r>
            <w:r w:rsidR="00982E52" w:rsidRPr="00D8383E">
              <w:rPr>
                <w:rFonts w:eastAsiaTheme="minorEastAsia"/>
                <w:sz w:val="18"/>
                <w:szCs w:val="18"/>
              </w:rPr>
              <w:t>3</w:t>
            </w:r>
            <w:r w:rsidRPr="00D8383E">
              <w:rPr>
                <w:rFonts w:eastAsiaTheme="minorEastAsia"/>
                <w:sz w:val="18"/>
                <w:szCs w:val="18"/>
              </w:rPr>
              <w:t>0% owned by women/marginalized groups)</w:t>
            </w:r>
          </w:p>
          <w:p w14:paraId="2EAFB638" w14:textId="77777777" w:rsidR="00A021BE" w:rsidRPr="00D8383E" w:rsidRDefault="00A021BE" w:rsidP="00126BEC">
            <w:pPr>
              <w:rPr>
                <w:rFonts w:eastAsiaTheme="minorEastAsia"/>
                <w:sz w:val="18"/>
                <w:szCs w:val="18"/>
              </w:rPr>
            </w:pPr>
            <w:r w:rsidRPr="00D8383E">
              <w:rPr>
                <w:rFonts w:eastAsiaTheme="minorEastAsia"/>
                <w:sz w:val="18"/>
                <w:szCs w:val="18"/>
              </w:rPr>
              <w:t>Source/Frequency: AEPC/Annual</w:t>
            </w:r>
          </w:p>
          <w:p w14:paraId="25EE4329" w14:textId="77777777" w:rsidR="00A021BE" w:rsidRPr="00D8383E" w:rsidRDefault="00A021BE" w:rsidP="00126BEC">
            <w:pPr>
              <w:rPr>
                <w:rFonts w:eastAsiaTheme="minorHAnsi"/>
                <w:sz w:val="18"/>
                <w:szCs w:val="18"/>
              </w:rPr>
            </w:pPr>
          </w:p>
          <w:p w14:paraId="409333F1" w14:textId="674B68FA" w:rsidR="00A021BE" w:rsidRPr="00D8383E" w:rsidRDefault="00A021BE" w:rsidP="00126BEC">
            <w:pPr>
              <w:rPr>
                <w:rFonts w:eastAsiaTheme="minorEastAsia"/>
                <w:sz w:val="18"/>
                <w:szCs w:val="18"/>
              </w:rPr>
            </w:pPr>
            <w:r w:rsidRPr="00D8383E">
              <w:rPr>
                <w:rFonts w:eastAsiaTheme="minorEastAsia"/>
                <w:sz w:val="18"/>
                <w:szCs w:val="18"/>
              </w:rPr>
              <w:t>3.3.3. Increase (kilowatt) in installed renewable energy capacity per technology</w:t>
            </w:r>
            <w:r w:rsidR="005C7E74" w:rsidRPr="00D8383E">
              <w:rPr>
                <w:rFonts w:eastAsiaTheme="minorEastAsia"/>
                <w:sz w:val="18"/>
                <w:szCs w:val="18"/>
              </w:rPr>
              <w:t xml:space="preserve"> (</w:t>
            </w:r>
            <w:r w:rsidR="000811F9">
              <w:rPr>
                <w:rFonts w:eastAsiaTheme="minorEastAsia"/>
                <w:sz w:val="18"/>
                <w:szCs w:val="18"/>
              </w:rPr>
              <w:t>IRFF</w:t>
            </w:r>
            <w:r w:rsidR="005C7E74" w:rsidRPr="00D8383E">
              <w:rPr>
                <w:rFonts w:eastAsiaTheme="minorEastAsia"/>
                <w:sz w:val="18"/>
                <w:szCs w:val="18"/>
              </w:rPr>
              <w:t>-5.2.1)</w:t>
            </w:r>
          </w:p>
          <w:p w14:paraId="6A3C794B" w14:textId="4A8C82F9" w:rsidR="00A021BE" w:rsidRPr="00D8383E" w:rsidRDefault="00A021BE" w:rsidP="00126BEC">
            <w:pPr>
              <w:rPr>
                <w:sz w:val="18"/>
                <w:szCs w:val="18"/>
              </w:rPr>
            </w:pPr>
            <w:r w:rsidRPr="00D8383E">
              <w:rPr>
                <w:rFonts w:eastAsiaTheme="minorEastAsia"/>
                <w:sz w:val="18"/>
                <w:szCs w:val="18"/>
              </w:rPr>
              <w:t>Baseline</w:t>
            </w:r>
            <w:r w:rsidR="00982E52" w:rsidRPr="00D8383E">
              <w:rPr>
                <w:rFonts w:eastAsiaTheme="minorEastAsia"/>
                <w:sz w:val="18"/>
                <w:szCs w:val="18"/>
              </w:rPr>
              <w:t xml:space="preserve"> (2021)</w:t>
            </w:r>
            <w:r w:rsidRPr="00D8383E">
              <w:rPr>
                <w:rFonts w:eastAsiaTheme="minorEastAsia"/>
                <w:sz w:val="18"/>
                <w:szCs w:val="18"/>
              </w:rPr>
              <w:t>: Solar-565 KW; Micro-Hydro-12 MW</w:t>
            </w:r>
          </w:p>
          <w:p w14:paraId="2D061CCC" w14:textId="43299DD8" w:rsidR="00A021BE" w:rsidRPr="00D8383E" w:rsidRDefault="00A021BE" w:rsidP="00126BEC">
            <w:pPr>
              <w:rPr>
                <w:rFonts w:eastAsiaTheme="minorEastAsia"/>
                <w:sz w:val="18"/>
                <w:szCs w:val="18"/>
                <w:lang w:val="sv-SE"/>
              </w:rPr>
            </w:pPr>
            <w:r w:rsidRPr="00D8383E">
              <w:rPr>
                <w:rFonts w:eastAsiaTheme="minorEastAsia"/>
                <w:sz w:val="18"/>
                <w:szCs w:val="18"/>
                <w:lang w:val="sv-SE"/>
              </w:rPr>
              <w:t>Target</w:t>
            </w:r>
            <w:r w:rsidR="00622D03" w:rsidRPr="00D8383E">
              <w:rPr>
                <w:rFonts w:eastAsiaTheme="minorEastAsia"/>
                <w:sz w:val="18"/>
                <w:szCs w:val="18"/>
                <w:lang w:val="sv-SE"/>
              </w:rPr>
              <w:t xml:space="preserve"> (20</w:t>
            </w:r>
            <w:r w:rsidR="008C5FF8" w:rsidRPr="00D8383E">
              <w:rPr>
                <w:rFonts w:eastAsiaTheme="minorEastAsia"/>
                <w:sz w:val="18"/>
                <w:szCs w:val="18"/>
                <w:lang w:val="sv-SE"/>
              </w:rPr>
              <w:t>2</w:t>
            </w:r>
            <w:r w:rsidR="00622D03" w:rsidRPr="00D8383E">
              <w:rPr>
                <w:rFonts w:eastAsiaTheme="minorEastAsia"/>
                <w:sz w:val="18"/>
                <w:szCs w:val="18"/>
                <w:lang w:val="sv-SE"/>
              </w:rPr>
              <w:t>7)</w:t>
            </w:r>
            <w:r w:rsidRPr="00D8383E">
              <w:rPr>
                <w:rFonts w:eastAsiaTheme="minorEastAsia"/>
                <w:sz w:val="18"/>
                <w:szCs w:val="18"/>
                <w:lang w:val="sv-SE"/>
              </w:rPr>
              <w:t>: Solar-</w:t>
            </w:r>
            <w:r w:rsidR="00616D33" w:rsidRPr="00D8383E">
              <w:rPr>
                <w:rFonts w:eastAsiaTheme="minorEastAsia"/>
                <w:sz w:val="18"/>
                <w:szCs w:val="18"/>
                <w:lang w:val="sv-SE"/>
              </w:rPr>
              <w:t>685</w:t>
            </w:r>
            <w:r w:rsidRPr="00D8383E">
              <w:rPr>
                <w:rFonts w:eastAsiaTheme="minorEastAsia"/>
                <w:sz w:val="18"/>
                <w:szCs w:val="18"/>
                <w:lang w:val="sv-SE"/>
              </w:rPr>
              <w:t xml:space="preserve"> KW; Micro-Hydro-</w:t>
            </w:r>
            <w:r w:rsidR="002C2C2D" w:rsidRPr="00D8383E">
              <w:rPr>
                <w:rFonts w:eastAsiaTheme="minorEastAsia"/>
                <w:sz w:val="18"/>
                <w:szCs w:val="18"/>
                <w:lang w:val="sv-SE"/>
              </w:rPr>
              <w:t xml:space="preserve"> 16</w:t>
            </w:r>
            <w:r w:rsidRPr="00D8383E">
              <w:rPr>
                <w:rFonts w:eastAsiaTheme="minorEastAsia"/>
                <w:sz w:val="18"/>
                <w:szCs w:val="18"/>
                <w:lang w:val="sv-SE"/>
              </w:rPr>
              <w:t>.75 MW</w:t>
            </w:r>
          </w:p>
          <w:p w14:paraId="5E8B7CD3" w14:textId="77777777" w:rsidR="00A021BE" w:rsidRPr="00D8383E" w:rsidDel="00846DAB" w:rsidRDefault="00A021BE" w:rsidP="00126BEC">
            <w:pPr>
              <w:rPr>
                <w:rFonts w:eastAsiaTheme="minorEastAsia"/>
                <w:sz w:val="18"/>
                <w:szCs w:val="18"/>
              </w:rPr>
            </w:pPr>
            <w:r w:rsidRPr="00D8383E">
              <w:rPr>
                <w:rFonts w:eastAsiaTheme="minorEastAsia"/>
                <w:sz w:val="18"/>
                <w:szCs w:val="18"/>
              </w:rPr>
              <w:t>Source/Frequency AEPC/Annual</w:t>
            </w:r>
          </w:p>
        </w:tc>
        <w:tc>
          <w:tcPr>
            <w:tcW w:w="2222" w:type="dxa"/>
            <w:shd w:val="clear" w:color="auto" w:fill="auto"/>
            <w:tcMar>
              <w:top w:w="0" w:type="dxa"/>
              <w:left w:w="29" w:type="dxa"/>
              <w:bottom w:w="0" w:type="dxa"/>
              <w:right w:w="29" w:type="dxa"/>
            </w:tcMar>
          </w:tcPr>
          <w:p w14:paraId="4E58853F" w14:textId="71477EB2" w:rsidR="00A021BE" w:rsidRPr="00D8383E" w:rsidRDefault="00A021BE" w:rsidP="00D64A3A">
            <w:pPr>
              <w:rPr>
                <w:rFonts w:eastAsiaTheme="minorEastAsia"/>
                <w:sz w:val="18"/>
                <w:szCs w:val="18"/>
              </w:rPr>
            </w:pPr>
            <w:r w:rsidRPr="00D8383E">
              <w:rPr>
                <w:rFonts w:eastAsiaTheme="minorEastAsia"/>
                <w:sz w:val="18"/>
                <w:szCs w:val="18"/>
              </w:rPr>
              <w:lastRenderedPageBreak/>
              <w:t xml:space="preserve">Ministries: </w:t>
            </w:r>
            <w:r w:rsidR="00203980">
              <w:rPr>
                <w:rFonts w:eastAsiaTheme="minorEastAsia"/>
                <w:sz w:val="18"/>
                <w:szCs w:val="18"/>
              </w:rPr>
              <w:t xml:space="preserve">of </w:t>
            </w:r>
            <w:r w:rsidRPr="00D8383E">
              <w:rPr>
                <w:rFonts w:eastAsiaTheme="minorEastAsia"/>
                <w:sz w:val="18"/>
                <w:szCs w:val="18"/>
              </w:rPr>
              <w:t>Home Affairs (MoHA)</w:t>
            </w:r>
            <w:r w:rsidR="00203980">
              <w:rPr>
                <w:rFonts w:eastAsiaTheme="minorEastAsia"/>
                <w:sz w:val="18"/>
                <w:szCs w:val="18"/>
              </w:rPr>
              <w:t>;</w:t>
            </w:r>
            <w:r w:rsidRPr="00D8383E">
              <w:rPr>
                <w:rFonts w:eastAsiaTheme="minorEastAsia"/>
                <w:sz w:val="18"/>
                <w:szCs w:val="18"/>
              </w:rPr>
              <w:t xml:space="preserve"> </w:t>
            </w:r>
            <w:r w:rsidR="00D64A3A" w:rsidRPr="00D8383E">
              <w:rPr>
                <w:rFonts w:eastAsiaTheme="minorEastAsia"/>
                <w:sz w:val="18"/>
                <w:szCs w:val="18"/>
              </w:rPr>
              <w:t>MoFAGA</w:t>
            </w:r>
            <w:r w:rsidR="00203980">
              <w:rPr>
                <w:rFonts w:eastAsiaTheme="minorEastAsia"/>
                <w:sz w:val="18"/>
                <w:szCs w:val="18"/>
              </w:rPr>
              <w:t>;</w:t>
            </w:r>
            <w:r w:rsidR="00D64A3A" w:rsidRPr="00D8383E">
              <w:rPr>
                <w:rFonts w:eastAsiaTheme="minorEastAsia"/>
                <w:sz w:val="18"/>
                <w:szCs w:val="18"/>
              </w:rPr>
              <w:t xml:space="preserve"> MoF</w:t>
            </w:r>
            <w:r w:rsidR="00203980">
              <w:rPr>
                <w:rFonts w:eastAsiaTheme="minorEastAsia"/>
                <w:sz w:val="18"/>
                <w:szCs w:val="18"/>
              </w:rPr>
              <w:t>;</w:t>
            </w:r>
            <w:r w:rsidR="00D64A3A" w:rsidRPr="00D8383E">
              <w:rPr>
                <w:rFonts w:eastAsiaTheme="minorEastAsia"/>
                <w:sz w:val="18"/>
                <w:szCs w:val="18"/>
              </w:rPr>
              <w:t xml:space="preserve"> MoFE</w:t>
            </w:r>
            <w:r w:rsidR="00203980">
              <w:rPr>
                <w:rFonts w:eastAsiaTheme="minorEastAsia"/>
                <w:sz w:val="18"/>
                <w:szCs w:val="18"/>
              </w:rPr>
              <w:t>;</w:t>
            </w:r>
            <w:r w:rsidRPr="00D8383E">
              <w:rPr>
                <w:rFonts w:eastAsiaTheme="minorEastAsia"/>
                <w:sz w:val="18"/>
                <w:szCs w:val="18"/>
              </w:rPr>
              <w:t xml:space="preserve"> </w:t>
            </w:r>
            <w:r w:rsidR="00203980">
              <w:rPr>
                <w:rFonts w:eastAsiaTheme="minorEastAsia"/>
                <w:sz w:val="18"/>
                <w:szCs w:val="18"/>
              </w:rPr>
              <w:t xml:space="preserve">of </w:t>
            </w:r>
            <w:r w:rsidRPr="00D8383E">
              <w:rPr>
                <w:rFonts w:eastAsiaTheme="minorEastAsia"/>
                <w:sz w:val="18"/>
                <w:szCs w:val="18"/>
              </w:rPr>
              <w:t>Health</w:t>
            </w:r>
            <w:r w:rsidR="00203980">
              <w:rPr>
                <w:rFonts w:eastAsiaTheme="minorEastAsia"/>
                <w:sz w:val="18"/>
                <w:szCs w:val="18"/>
              </w:rPr>
              <w:t xml:space="preserve"> and </w:t>
            </w:r>
            <w:r w:rsidRPr="00D8383E">
              <w:rPr>
                <w:rFonts w:eastAsiaTheme="minorEastAsia"/>
                <w:sz w:val="18"/>
                <w:szCs w:val="18"/>
              </w:rPr>
              <w:t>Population</w:t>
            </w:r>
            <w:r w:rsidR="00203980">
              <w:rPr>
                <w:rFonts w:eastAsiaTheme="minorEastAsia"/>
                <w:sz w:val="18"/>
                <w:szCs w:val="18"/>
              </w:rPr>
              <w:t>;</w:t>
            </w:r>
            <w:r w:rsidRPr="00D8383E">
              <w:rPr>
                <w:rFonts w:eastAsiaTheme="minorEastAsia"/>
                <w:sz w:val="18"/>
                <w:szCs w:val="18"/>
              </w:rPr>
              <w:t xml:space="preserve"> </w:t>
            </w:r>
            <w:r w:rsidR="00864447" w:rsidRPr="00D8383E">
              <w:rPr>
                <w:rFonts w:eastAsiaTheme="minorEastAsia"/>
                <w:sz w:val="18"/>
                <w:szCs w:val="18"/>
              </w:rPr>
              <w:t>MoUD</w:t>
            </w:r>
            <w:r w:rsidR="00203980">
              <w:rPr>
                <w:rFonts w:eastAsiaTheme="minorEastAsia"/>
                <w:sz w:val="18"/>
                <w:szCs w:val="18"/>
              </w:rPr>
              <w:t>; of</w:t>
            </w:r>
            <w:r w:rsidRPr="00D8383E">
              <w:rPr>
                <w:rFonts w:eastAsiaTheme="minorEastAsia"/>
                <w:sz w:val="18"/>
                <w:szCs w:val="18"/>
              </w:rPr>
              <w:t xml:space="preserve"> Energy</w:t>
            </w:r>
            <w:r w:rsidR="00203980">
              <w:rPr>
                <w:rFonts w:eastAsiaTheme="minorEastAsia"/>
                <w:sz w:val="18"/>
                <w:szCs w:val="18"/>
              </w:rPr>
              <w:t>;</w:t>
            </w:r>
            <w:r w:rsidRPr="00D8383E">
              <w:rPr>
                <w:rFonts w:eastAsiaTheme="minorEastAsia"/>
                <w:sz w:val="18"/>
                <w:szCs w:val="18"/>
              </w:rPr>
              <w:t xml:space="preserve"> </w:t>
            </w:r>
            <w:r w:rsidR="00D64A3A" w:rsidRPr="00D8383E">
              <w:rPr>
                <w:rFonts w:eastAsiaTheme="minorEastAsia"/>
                <w:sz w:val="18"/>
                <w:szCs w:val="18"/>
              </w:rPr>
              <w:t>MoWCSC</w:t>
            </w:r>
            <w:r w:rsidR="00203980">
              <w:rPr>
                <w:rFonts w:eastAsiaTheme="minorEastAsia"/>
                <w:sz w:val="18"/>
                <w:szCs w:val="18"/>
              </w:rPr>
              <w:t>;</w:t>
            </w:r>
            <w:r w:rsidR="00D64A3A" w:rsidRPr="00D8383E">
              <w:rPr>
                <w:rFonts w:eastAsiaTheme="minorEastAsia"/>
                <w:sz w:val="18"/>
                <w:szCs w:val="18"/>
              </w:rPr>
              <w:t xml:space="preserve"> MoISC</w:t>
            </w:r>
            <w:r w:rsidR="00203980">
              <w:rPr>
                <w:rFonts w:eastAsiaTheme="minorEastAsia"/>
                <w:sz w:val="18"/>
                <w:szCs w:val="18"/>
              </w:rPr>
              <w:t>;</w:t>
            </w:r>
            <w:r w:rsidR="00D64A3A" w:rsidRPr="00D8383E">
              <w:rPr>
                <w:rFonts w:eastAsiaTheme="minorEastAsia"/>
                <w:sz w:val="18"/>
                <w:szCs w:val="18"/>
              </w:rPr>
              <w:t xml:space="preserve"> </w:t>
            </w:r>
            <w:r w:rsidRPr="00D8383E">
              <w:rPr>
                <w:rFonts w:eastAsiaTheme="minorEastAsia"/>
                <w:sz w:val="18"/>
                <w:szCs w:val="18"/>
              </w:rPr>
              <w:t>National Disaster Risk Reduction and Management Authority</w:t>
            </w:r>
            <w:r w:rsidR="00203980">
              <w:rPr>
                <w:rFonts w:eastAsiaTheme="minorEastAsia"/>
                <w:sz w:val="18"/>
                <w:szCs w:val="18"/>
              </w:rPr>
              <w:t>;</w:t>
            </w:r>
            <w:r w:rsidRPr="00D8383E">
              <w:rPr>
                <w:rFonts w:eastAsiaTheme="minorEastAsia"/>
                <w:sz w:val="18"/>
                <w:szCs w:val="18"/>
              </w:rPr>
              <w:t xml:space="preserve"> Alternate Energy Promotion Centre</w:t>
            </w:r>
            <w:r w:rsidR="00203980">
              <w:rPr>
                <w:rFonts w:eastAsiaTheme="minorEastAsia"/>
                <w:sz w:val="18"/>
                <w:szCs w:val="18"/>
              </w:rPr>
              <w:t>;</w:t>
            </w:r>
            <w:r w:rsidRPr="00D8383E">
              <w:rPr>
                <w:rFonts w:eastAsiaTheme="minorEastAsia"/>
                <w:sz w:val="18"/>
                <w:szCs w:val="18"/>
              </w:rPr>
              <w:t xml:space="preserve"> </w:t>
            </w:r>
            <w:r w:rsidR="00F93F20" w:rsidRPr="00D8383E">
              <w:rPr>
                <w:rFonts w:eastAsiaTheme="minorEastAsia"/>
                <w:sz w:val="18"/>
                <w:szCs w:val="18"/>
              </w:rPr>
              <w:t>Asia</w:t>
            </w:r>
            <w:r w:rsidR="00264DF5" w:rsidRPr="00D8383E">
              <w:rPr>
                <w:rFonts w:eastAsiaTheme="minorEastAsia"/>
                <w:sz w:val="18"/>
                <w:szCs w:val="18"/>
              </w:rPr>
              <w:t>n</w:t>
            </w:r>
            <w:r w:rsidR="00F93F20" w:rsidRPr="00D8383E">
              <w:rPr>
                <w:rFonts w:eastAsiaTheme="minorEastAsia"/>
                <w:sz w:val="18"/>
                <w:szCs w:val="18"/>
              </w:rPr>
              <w:t xml:space="preserve"> Development </w:t>
            </w:r>
            <w:r w:rsidR="00467B96" w:rsidRPr="00D8383E">
              <w:rPr>
                <w:rFonts w:eastAsiaTheme="minorEastAsia"/>
                <w:sz w:val="18"/>
                <w:szCs w:val="18"/>
              </w:rPr>
              <w:t>Bank</w:t>
            </w:r>
            <w:r w:rsidR="00203980">
              <w:rPr>
                <w:rFonts w:eastAsiaTheme="minorEastAsia"/>
                <w:sz w:val="18"/>
                <w:szCs w:val="18"/>
              </w:rPr>
              <w:t>;</w:t>
            </w:r>
            <w:r w:rsidR="00467B96" w:rsidRPr="00D8383E">
              <w:rPr>
                <w:rFonts w:eastAsiaTheme="minorEastAsia"/>
                <w:sz w:val="18"/>
                <w:szCs w:val="18"/>
              </w:rPr>
              <w:t xml:space="preserve"> </w:t>
            </w:r>
            <w:r w:rsidRPr="00D8383E">
              <w:rPr>
                <w:rFonts w:eastAsiaTheme="minorEastAsia"/>
                <w:sz w:val="18"/>
                <w:szCs w:val="18"/>
              </w:rPr>
              <w:t>Private sector</w:t>
            </w:r>
            <w:r w:rsidR="00203980">
              <w:rPr>
                <w:rFonts w:eastAsiaTheme="minorEastAsia"/>
                <w:sz w:val="18"/>
                <w:szCs w:val="18"/>
              </w:rPr>
              <w:t>;</w:t>
            </w:r>
            <w:r w:rsidRPr="00D8383E">
              <w:rPr>
                <w:rFonts w:eastAsiaTheme="minorEastAsia"/>
                <w:sz w:val="18"/>
                <w:szCs w:val="18"/>
              </w:rPr>
              <w:t xml:space="preserve"> Academia</w:t>
            </w:r>
            <w:r w:rsidR="00203980">
              <w:rPr>
                <w:rFonts w:eastAsiaTheme="minorEastAsia"/>
                <w:sz w:val="18"/>
                <w:szCs w:val="18"/>
              </w:rPr>
              <w:t>;</w:t>
            </w:r>
            <w:r w:rsidR="00E27FE8" w:rsidRPr="00D8383E">
              <w:rPr>
                <w:rFonts w:eastAsiaTheme="minorEastAsia"/>
                <w:sz w:val="18"/>
                <w:szCs w:val="18"/>
              </w:rPr>
              <w:t xml:space="preserve"> </w:t>
            </w:r>
            <w:r w:rsidR="005023EE" w:rsidRPr="00D8383E">
              <w:rPr>
                <w:rFonts w:eastAsiaTheme="minorEastAsia"/>
                <w:sz w:val="18"/>
                <w:szCs w:val="18"/>
              </w:rPr>
              <w:t xml:space="preserve">FAO, UNEP, UN-Habitat, </w:t>
            </w:r>
            <w:r w:rsidR="0080597B" w:rsidRPr="00D8383E">
              <w:rPr>
                <w:rFonts w:eastAsiaTheme="minorEastAsia"/>
                <w:sz w:val="18"/>
                <w:szCs w:val="18"/>
              </w:rPr>
              <w:lastRenderedPageBreak/>
              <w:t>UNICEF, UN</w:t>
            </w:r>
            <w:r w:rsidR="000811F9">
              <w:rPr>
                <w:rFonts w:eastAsiaTheme="minorEastAsia"/>
                <w:sz w:val="18"/>
                <w:szCs w:val="18"/>
              </w:rPr>
              <w:t>-</w:t>
            </w:r>
            <w:r w:rsidR="0080597B" w:rsidRPr="00D8383E">
              <w:rPr>
                <w:rFonts w:eastAsiaTheme="minorEastAsia"/>
                <w:sz w:val="18"/>
                <w:szCs w:val="18"/>
              </w:rPr>
              <w:t xml:space="preserve">Women, </w:t>
            </w:r>
            <w:r w:rsidR="00E50CFD" w:rsidRPr="00D8383E">
              <w:rPr>
                <w:rFonts w:eastAsiaTheme="minorEastAsia"/>
                <w:sz w:val="18"/>
                <w:szCs w:val="18"/>
              </w:rPr>
              <w:t>WFP,</w:t>
            </w:r>
            <w:r w:rsidR="007E6D6F" w:rsidRPr="00D8383E">
              <w:rPr>
                <w:rFonts w:eastAsiaTheme="minorEastAsia"/>
                <w:sz w:val="18"/>
                <w:szCs w:val="18"/>
              </w:rPr>
              <w:t xml:space="preserve"> WHO</w:t>
            </w:r>
            <w:r w:rsidR="008941D0">
              <w:rPr>
                <w:rFonts w:eastAsiaTheme="minorEastAsia"/>
                <w:sz w:val="18"/>
                <w:szCs w:val="18"/>
              </w:rPr>
              <w:t>;</w:t>
            </w:r>
            <w:r w:rsidR="00D61085" w:rsidRPr="00D8383E">
              <w:rPr>
                <w:rFonts w:eastAsiaTheme="minorEastAsia"/>
                <w:sz w:val="18"/>
                <w:szCs w:val="18"/>
              </w:rPr>
              <w:t xml:space="preserve"> </w:t>
            </w:r>
            <w:r w:rsidR="002A3C7B" w:rsidRPr="00D8383E">
              <w:rPr>
                <w:rFonts w:eastAsiaTheme="minorEastAsia"/>
                <w:sz w:val="18"/>
                <w:szCs w:val="18"/>
              </w:rPr>
              <w:t>civil society / community-based organizations</w:t>
            </w:r>
          </w:p>
        </w:tc>
        <w:tc>
          <w:tcPr>
            <w:tcW w:w="1830" w:type="dxa"/>
            <w:shd w:val="clear" w:color="auto" w:fill="auto"/>
            <w:tcMar>
              <w:top w:w="15" w:type="dxa"/>
              <w:left w:w="108" w:type="dxa"/>
              <w:bottom w:w="0" w:type="dxa"/>
              <w:right w:w="108" w:type="dxa"/>
            </w:tcMar>
          </w:tcPr>
          <w:p w14:paraId="34FCA1F2" w14:textId="3420354E" w:rsidR="00A021BE" w:rsidRPr="00D8383E" w:rsidRDefault="00A021BE" w:rsidP="00126BEC">
            <w:pPr>
              <w:rPr>
                <w:sz w:val="18"/>
                <w:szCs w:val="18"/>
              </w:rPr>
            </w:pPr>
            <w:r w:rsidRPr="00D8383E">
              <w:rPr>
                <w:sz w:val="18"/>
                <w:szCs w:val="18"/>
              </w:rPr>
              <w:lastRenderedPageBreak/>
              <w:t>Regular</w:t>
            </w:r>
            <w:r w:rsidR="00C132D2">
              <w:rPr>
                <w:sz w:val="18"/>
                <w:szCs w:val="18"/>
              </w:rPr>
              <w:t>: $</w:t>
            </w:r>
            <w:r w:rsidRPr="00D8383E">
              <w:rPr>
                <w:sz w:val="18"/>
                <w:szCs w:val="18"/>
              </w:rPr>
              <w:t>8,303,000</w:t>
            </w:r>
          </w:p>
          <w:p w14:paraId="5ADD9582" w14:textId="419B9571" w:rsidR="00A021BE" w:rsidRPr="00D8383E" w:rsidRDefault="00A021BE" w:rsidP="00126BEC">
            <w:pPr>
              <w:rPr>
                <w:sz w:val="18"/>
                <w:szCs w:val="18"/>
              </w:rPr>
            </w:pPr>
            <w:r w:rsidRPr="00D8383E">
              <w:rPr>
                <w:sz w:val="18"/>
                <w:szCs w:val="18"/>
              </w:rPr>
              <w:t>Other</w:t>
            </w:r>
            <w:r w:rsidR="00C132D2">
              <w:rPr>
                <w:sz w:val="18"/>
                <w:szCs w:val="18"/>
              </w:rPr>
              <w:t>: $</w:t>
            </w:r>
            <w:r w:rsidRPr="00D8383E">
              <w:rPr>
                <w:sz w:val="18"/>
                <w:szCs w:val="18"/>
              </w:rPr>
              <w:t>56,421,099</w:t>
            </w:r>
          </w:p>
        </w:tc>
      </w:tr>
      <w:tr w:rsidR="00A021BE" w:rsidRPr="00D8383E" w14:paraId="3D7DE75B" w14:textId="77777777" w:rsidTr="006F0C78">
        <w:trPr>
          <w:trHeight w:val="133"/>
        </w:trPr>
        <w:tc>
          <w:tcPr>
            <w:tcW w:w="2397" w:type="dxa"/>
            <w:shd w:val="clear" w:color="auto" w:fill="auto"/>
          </w:tcPr>
          <w:p w14:paraId="5CD19710" w14:textId="77777777" w:rsidR="00A021BE" w:rsidRPr="00D8383E" w:rsidRDefault="00A021BE" w:rsidP="00126BEC">
            <w:pPr>
              <w:rPr>
                <w:sz w:val="18"/>
                <w:szCs w:val="18"/>
              </w:rPr>
            </w:pPr>
          </w:p>
        </w:tc>
        <w:tc>
          <w:tcPr>
            <w:tcW w:w="2571" w:type="dxa"/>
            <w:shd w:val="clear" w:color="auto" w:fill="auto"/>
            <w:tcMar>
              <w:top w:w="0" w:type="dxa"/>
              <w:left w:w="29" w:type="dxa"/>
              <w:bottom w:w="0" w:type="dxa"/>
              <w:right w:w="29" w:type="dxa"/>
            </w:tcMar>
          </w:tcPr>
          <w:p w14:paraId="6F9D1B2D" w14:textId="77777777" w:rsidR="00A021BE" w:rsidRPr="00D8383E" w:rsidRDefault="00A021BE" w:rsidP="00126BEC">
            <w:pPr>
              <w:rPr>
                <w:sz w:val="18"/>
                <w:szCs w:val="18"/>
              </w:rPr>
            </w:pPr>
          </w:p>
        </w:tc>
        <w:tc>
          <w:tcPr>
            <w:tcW w:w="3965" w:type="dxa"/>
            <w:shd w:val="clear" w:color="auto" w:fill="auto"/>
          </w:tcPr>
          <w:p w14:paraId="7928806F" w14:textId="77777777" w:rsidR="00A021BE" w:rsidRPr="00D8383E" w:rsidRDefault="00A021BE" w:rsidP="00126BEC">
            <w:pPr>
              <w:rPr>
                <w:sz w:val="18"/>
                <w:szCs w:val="18"/>
              </w:rPr>
            </w:pPr>
          </w:p>
        </w:tc>
        <w:tc>
          <w:tcPr>
            <w:tcW w:w="2222" w:type="dxa"/>
            <w:shd w:val="clear" w:color="auto" w:fill="auto"/>
            <w:tcMar>
              <w:top w:w="0" w:type="dxa"/>
              <w:left w:w="29" w:type="dxa"/>
              <w:bottom w:w="0" w:type="dxa"/>
              <w:right w:w="29" w:type="dxa"/>
            </w:tcMar>
          </w:tcPr>
          <w:p w14:paraId="21D42287" w14:textId="77777777" w:rsidR="00A021BE" w:rsidRPr="00D8383E" w:rsidRDefault="00A021BE" w:rsidP="00126BEC">
            <w:pPr>
              <w:rPr>
                <w:sz w:val="18"/>
                <w:szCs w:val="18"/>
              </w:rPr>
            </w:pPr>
          </w:p>
        </w:tc>
        <w:tc>
          <w:tcPr>
            <w:tcW w:w="1830" w:type="dxa"/>
            <w:shd w:val="clear" w:color="auto" w:fill="auto"/>
            <w:tcMar>
              <w:top w:w="15" w:type="dxa"/>
              <w:left w:w="108" w:type="dxa"/>
              <w:bottom w:w="0" w:type="dxa"/>
              <w:right w:w="108" w:type="dxa"/>
            </w:tcMar>
          </w:tcPr>
          <w:p w14:paraId="623D66CA" w14:textId="20772381" w:rsidR="00A021BE" w:rsidRPr="00D8383E" w:rsidRDefault="00A021BE" w:rsidP="00126BEC">
            <w:pPr>
              <w:rPr>
                <w:sz w:val="18"/>
                <w:szCs w:val="18"/>
              </w:rPr>
            </w:pPr>
            <w:r w:rsidRPr="00D8383E">
              <w:rPr>
                <w:sz w:val="18"/>
                <w:szCs w:val="18"/>
              </w:rPr>
              <w:t xml:space="preserve">Regular: </w:t>
            </w:r>
            <w:r w:rsidR="00D8383E">
              <w:rPr>
                <w:sz w:val="18"/>
                <w:szCs w:val="18"/>
              </w:rPr>
              <w:t>$</w:t>
            </w:r>
            <w:r w:rsidRPr="00D8383E">
              <w:rPr>
                <w:sz w:val="18"/>
                <w:szCs w:val="18"/>
              </w:rPr>
              <w:t>24,103,000</w:t>
            </w:r>
          </w:p>
          <w:p w14:paraId="689D33BD" w14:textId="3F8FC0F8" w:rsidR="00A021BE" w:rsidRPr="00D8383E" w:rsidRDefault="00A021BE" w:rsidP="00126BEC">
            <w:pPr>
              <w:rPr>
                <w:sz w:val="18"/>
                <w:szCs w:val="18"/>
              </w:rPr>
            </w:pPr>
            <w:r w:rsidRPr="00D8383E">
              <w:rPr>
                <w:sz w:val="18"/>
                <w:szCs w:val="18"/>
              </w:rPr>
              <w:t xml:space="preserve">Other: </w:t>
            </w:r>
            <w:r w:rsidR="00C132D2">
              <w:rPr>
                <w:sz w:val="18"/>
                <w:szCs w:val="18"/>
              </w:rPr>
              <w:t>$</w:t>
            </w:r>
            <w:r w:rsidRPr="00D8383E">
              <w:rPr>
                <w:sz w:val="18"/>
                <w:szCs w:val="18"/>
              </w:rPr>
              <w:t>99,187,138</w:t>
            </w:r>
          </w:p>
          <w:p w14:paraId="71D6CA20" w14:textId="77777777" w:rsidR="00A021BE" w:rsidRPr="00D8383E" w:rsidRDefault="00A021BE" w:rsidP="00126BEC">
            <w:pPr>
              <w:rPr>
                <w:sz w:val="18"/>
                <w:szCs w:val="18"/>
              </w:rPr>
            </w:pPr>
          </w:p>
          <w:p w14:paraId="5815201D" w14:textId="55746D14" w:rsidR="00A021BE" w:rsidRPr="00D8383E" w:rsidRDefault="00A021BE" w:rsidP="00126BEC">
            <w:pPr>
              <w:rPr>
                <w:sz w:val="18"/>
                <w:szCs w:val="18"/>
              </w:rPr>
            </w:pPr>
            <w:r w:rsidRPr="00D8383E">
              <w:rPr>
                <w:sz w:val="18"/>
                <w:szCs w:val="18"/>
              </w:rPr>
              <w:t xml:space="preserve">Total: </w:t>
            </w:r>
            <w:r w:rsidR="00C132D2">
              <w:rPr>
                <w:sz w:val="18"/>
                <w:szCs w:val="18"/>
              </w:rPr>
              <w:t>$</w:t>
            </w:r>
            <w:r w:rsidRPr="00D8383E">
              <w:rPr>
                <w:sz w:val="18"/>
                <w:szCs w:val="18"/>
              </w:rPr>
              <w:t>123,290,138</w:t>
            </w:r>
          </w:p>
        </w:tc>
      </w:tr>
    </w:tbl>
    <w:p w14:paraId="0C129783" w14:textId="77777777" w:rsidR="00A021BE" w:rsidRPr="00A021BE" w:rsidRDefault="00A021BE" w:rsidP="00A021BE"/>
    <w:p w14:paraId="2440D471" w14:textId="36361642" w:rsidR="00785474" w:rsidRPr="003C26C1" w:rsidRDefault="0076792B" w:rsidP="0076792B">
      <w:pPr>
        <w:jc w:val="center"/>
        <w:rPr>
          <w:color w:val="000000"/>
        </w:rPr>
      </w:pPr>
      <w:r>
        <w:rPr>
          <w:noProof/>
          <w:color w:val="000000"/>
        </w:rPr>
        <w:drawing>
          <wp:inline distT="0" distB="0" distL="0" distR="0" wp14:anchorId="055D613A" wp14:editId="750404B9">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785474" w:rsidRPr="003C26C1" w:rsidSect="00860266">
      <w:headerReference w:type="even" r:id="rId21"/>
      <w:headerReference w:type="default" r:id="rId22"/>
      <w:footerReference w:type="even" r:id="rId23"/>
      <w:foot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FC05" w14:textId="77777777" w:rsidR="0088113D" w:rsidRDefault="0088113D" w:rsidP="00441061">
      <w:r>
        <w:separator/>
      </w:r>
    </w:p>
  </w:endnote>
  <w:endnote w:type="continuationSeparator" w:id="0">
    <w:p w14:paraId="617D8ECC" w14:textId="77777777" w:rsidR="0088113D" w:rsidRDefault="0088113D" w:rsidP="00441061">
      <w:r>
        <w:continuationSeparator/>
      </w:r>
    </w:p>
  </w:endnote>
  <w:endnote w:type="continuationNotice" w:id="1">
    <w:p w14:paraId="1C9F694E" w14:textId="77777777" w:rsidR="0088113D" w:rsidRDefault="00881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3D3682" w:rsidRPr="005841A3" w:rsidRDefault="003D3682" w:rsidP="00DE260B">
    <w:pPr>
      <w:pStyle w:val="Footer"/>
      <w:ind w:firstLine="90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64B67BB9" w:rsidR="003D3682" w:rsidRPr="00DE260B" w:rsidRDefault="003D3682" w:rsidP="00DE260B">
    <w:pPr>
      <w:pStyle w:val="Footer"/>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AE37" w14:textId="77777777" w:rsidR="00C657A1" w:rsidRPr="005841A3" w:rsidRDefault="00C657A1" w:rsidP="00C657A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7DC6" w14:textId="77777777" w:rsidR="0014000A" w:rsidRPr="00DE260B" w:rsidRDefault="0014000A" w:rsidP="0014000A">
    <w:pPr>
      <w:pStyle w:val="Footer"/>
      <w:ind w:right="57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C231" w14:textId="77777777" w:rsidR="0088113D" w:rsidRDefault="0088113D" w:rsidP="00441061">
      <w:r>
        <w:separator/>
      </w:r>
    </w:p>
  </w:footnote>
  <w:footnote w:type="continuationSeparator" w:id="0">
    <w:p w14:paraId="2FBE5D25" w14:textId="77777777" w:rsidR="0088113D" w:rsidRDefault="0088113D" w:rsidP="00441061">
      <w:r>
        <w:continuationSeparator/>
      </w:r>
    </w:p>
  </w:footnote>
  <w:footnote w:type="continuationNotice" w:id="1">
    <w:p w14:paraId="11132950" w14:textId="77777777" w:rsidR="0088113D" w:rsidRDefault="0088113D"/>
  </w:footnote>
  <w:footnote w:id="2">
    <w:p w14:paraId="299FE227" w14:textId="718D53AA" w:rsidR="007F3A66" w:rsidRDefault="007F3A66">
      <w:pPr>
        <w:pStyle w:val="FootnoteText"/>
      </w:pPr>
      <w:r>
        <w:rPr>
          <w:rStyle w:val="FootnoteReference"/>
        </w:rPr>
        <w:footnoteRef/>
      </w:r>
      <w:r>
        <w:t xml:space="preserve"> </w:t>
      </w:r>
      <w:r w:rsidRPr="002D3D86">
        <w:rPr>
          <w:rFonts w:ascii="Times New Roman" w:hAnsi="Times New Roman"/>
          <w:sz w:val="18"/>
          <w:szCs w:val="18"/>
        </w:rPr>
        <w:t xml:space="preserve">Government of Nepal (2021), </w:t>
      </w:r>
      <w:hyperlink r:id="rId1" w:history="1">
        <w:r w:rsidRPr="00566A8F">
          <w:rPr>
            <w:rStyle w:val="Hyperlink"/>
            <w:rFonts w:ascii="Times New Roman" w:hAnsi="Times New Roman"/>
            <w:sz w:val="18"/>
            <w:szCs w:val="18"/>
          </w:rPr>
          <w:t xml:space="preserve">Multidimensional Poverty Index: Analysis Towards Action, </w:t>
        </w:r>
        <w:r w:rsidR="00566A8F" w:rsidRPr="00566A8F">
          <w:rPr>
            <w:rStyle w:val="Hyperlink"/>
            <w:rFonts w:ascii="Times New Roman" w:hAnsi="Times New Roman"/>
            <w:sz w:val="18"/>
            <w:szCs w:val="18"/>
          </w:rPr>
          <w:t>2021</w:t>
        </w:r>
      </w:hyperlink>
      <w:r w:rsidR="00566A8F">
        <w:rPr>
          <w:rFonts w:ascii="Times New Roman" w:hAnsi="Times New Roman"/>
          <w:sz w:val="18"/>
          <w:szCs w:val="18"/>
        </w:rPr>
        <w:t xml:space="preserve">. </w:t>
      </w:r>
    </w:p>
  </w:footnote>
  <w:footnote w:id="3">
    <w:p w14:paraId="08A63852" w14:textId="3B641BEE" w:rsidR="00BF579C" w:rsidRDefault="00BF579C">
      <w:pPr>
        <w:pStyle w:val="FootnoteText"/>
      </w:pPr>
      <w:r>
        <w:rPr>
          <w:rStyle w:val="FootnoteReference"/>
        </w:rPr>
        <w:footnoteRef/>
      </w:r>
      <w:r>
        <w:t xml:space="preserve"> </w:t>
      </w:r>
      <w:r w:rsidR="00566A8F">
        <w:rPr>
          <w:rFonts w:ascii="Times New Roman" w:hAnsi="Times New Roman"/>
          <w:sz w:val="18"/>
          <w:szCs w:val="18"/>
        </w:rPr>
        <w:t>UNDP</w:t>
      </w:r>
      <w:r w:rsidR="00CC5C07">
        <w:rPr>
          <w:rFonts w:ascii="Times New Roman" w:hAnsi="Times New Roman"/>
          <w:sz w:val="18"/>
          <w:szCs w:val="18"/>
        </w:rPr>
        <w:t>.</w:t>
      </w:r>
      <w:r w:rsidRPr="002D3D86">
        <w:rPr>
          <w:rFonts w:ascii="Times New Roman" w:hAnsi="Times New Roman"/>
          <w:sz w:val="18"/>
          <w:szCs w:val="18"/>
        </w:rPr>
        <w:t xml:space="preserve"> 2022</w:t>
      </w:r>
      <w:r w:rsidR="00CC5C07">
        <w:rPr>
          <w:rFonts w:ascii="Times New Roman" w:hAnsi="Times New Roman"/>
          <w:sz w:val="18"/>
          <w:szCs w:val="18"/>
        </w:rPr>
        <w:t>.</w:t>
      </w:r>
      <w:r w:rsidR="00CC5C07" w:rsidRPr="00CC5C07">
        <w:rPr>
          <w:rFonts w:ascii="Times New Roman" w:hAnsi="Times New Roman"/>
          <w:sz w:val="18"/>
          <w:szCs w:val="18"/>
        </w:rPr>
        <w:t xml:space="preserve"> </w:t>
      </w:r>
      <w:hyperlink r:id="rId2" w:history="1">
        <w:r w:rsidR="00CC5C07" w:rsidRPr="007703BE">
          <w:rPr>
            <w:rStyle w:val="Hyperlink"/>
            <w:rFonts w:ascii="Times New Roman" w:hAnsi="Times New Roman"/>
            <w:sz w:val="18"/>
            <w:szCs w:val="18"/>
          </w:rPr>
          <w:t>Human Development Report 2021-22: Uncertain Times, Unsettled Lives: Shaping our Future in a Transforming World.</w:t>
        </w:r>
      </w:hyperlink>
      <w:r w:rsidR="00CC5C07" w:rsidRPr="00CC5C07">
        <w:rPr>
          <w:rFonts w:ascii="Times New Roman" w:hAnsi="Times New Roman"/>
          <w:sz w:val="18"/>
          <w:szCs w:val="18"/>
        </w:rPr>
        <w:t xml:space="preserve"> New York. </w:t>
      </w:r>
    </w:p>
  </w:footnote>
  <w:footnote w:id="4">
    <w:p w14:paraId="583B9473" w14:textId="51AA3B96" w:rsidR="00610BBC" w:rsidRPr="00B408EB" w:rsidRDefault="00610BBC" w:rsidP="00CC5C07">
      <w:pPr>
        <w:pStyle w:val="FootnoteText"/>
        <w:rPr>
          <w:rFonts w:ascii="Times" w:hAnsi="Times"/>
          <w:sz w:val="18"/>
          <w:szCs w:val="18"/>
        </w:rPr>
      </w:pPr>
      <w:r w:rsidRPr="00B408EB">
        <w:rPr>
          <w:rStyle w:val="FootnoteReference"/>
          <w:rFonts w:ascii="Times" w:hAnsi="Times"/>
          <w:sz w:val="18"/>
          <w:szCs w:val="18"/>
        </w:rPr>
        <w:footnoteRef/>
      </w:r>
      <w:r w:rsidRPr="00B408EB">
        <w:rPr>
          <w:rFonts w:ascii="Times" w:hAnsi="Times"/>
          <w:sz w:val="18"/>
          <w:szCs w:val="18"/>
        </w:rPr>
        <w:t xml:space="preserve"> </w:t>
      </w:r>
      <w:r w:rsidR="0079115C">
        <w:rPr>
          <w:rFonts w:ascii="Times" w:hAnsi="Times"/>
          <w:sz w:val="18"/>
          <w:szCs w:val="18"/>
        </w:rPr>
        <w:t xml:space="preserve">Oxford Poverty &amp; Human Development Initiative, </w:t>
      </w:r>
      <w:r w:rsidR="00B408EB" w:rsidRPr="00B408EB">
        <w:rPr>
          <w:rFonts w:ascii="Times" w:hAnsi="Times"/>
          <w:sz w:val="18"/>
          <w:szCs w:val="18"/>
        </w:rPr>
        <w:t>UNDP</w:t>
      </w:r>
      <w:r w:rsidR="0079115C">
        <w:rPr>
          <w:rFonts w:ascii="Times" w:hAnsi="Times"/>
          <w:sz w:val="18"/>
          <w:szCs w:val="18"/>
        </w:rPr>
        <w:t xml:space="preserve"> </w:t>
      </w:r>
      <w:r w:rsidR="00B408EB" w:rsidRPr="00B408EB">
        <w:rPr>
          <w:rFonts w:ascii="Times" w:hAnsi="Times"/>
          <w:sz w:val="18"/>
          <w:szCs w:val="18"/>
        </w:rPr>
        <w:t>(2022)</w:t>
      </w:r>
      <w:r w:rsidR="0079115C">
        <w:rPr>
          <w:rFonts w:ascii="Times" w:hAnsi="Times"/>
          <w:sz w:val="18"/>
          <w:szCs w:val="18"/>
        </w:rPr>
        <w:t>,</w:t>
      </w:r>
      <w:r w:rsidR="00B408EB" w:rsidRPr="00B408EB">
        <w:rPr>
          <w:rFonts w:ascii="Times" w:hAnsi="Times"/>
          <w:sz w:val="18"/>
          <w:szCs w:val="18"/>
        </w:rPr>
        <w:t xml:space="preserve"> </w:t>
      </w:r>
      <w:hyperlink r:id="rId3" w:history="1">
        <w:r w:rsidR="00B408EB" w:rsidRPr="0079115C">
          <w:rPr>
            <w:rStyle w:val="Hyperlink"/>
            <w:rFonts w:ascii="Times" w:hAnsi="Times"/>
            <w:sz w:val="18"/>
            <w:szCs w:val="18"/>
          </w:rPr>
          <w:t>Global Multidimensional Poverty Index: Unpacking deprivation bundles to reduce multidimensional poverty</w:t>
        </w:r>
      </w:hyperlink>
      <w:r w:rsidR="00E417FD">
        <w:rPr>
          <w:rFonts w:ascii="Times" w:hAnsi="Times"/>
          <w:sz w:val="18"/>
          <w:szCs w:val="18"/>
        </w:rPr>
        <w:t>.</w:t>
      </w:r>
    </w:p>
  </w:footnote>
  <w:footnote w:id="5">
    <w:p w14:paraId="3503D938" w14:textId="092B3355" w:rsidR="008A5A32" w:rsidRDefault="008A5A32">
      <w:pPr>
        <w:pStyle w:val="FootnoteText"/>
      </w:pPr>
      <w:r>
        <w:rPr>
          <w:rStyle w:val="FootnoteReference"/>
        </w:rPr>
        <w:footnoteRef/>
      </w:r>
      <w:r>
        <w:t xml:space="preserve"> </w:t>
      </w:r>
      <w:r w:rsidRPr="008A5A32">
        <w:rPr>
          <w:rFonts w:ascii="Times New Roman" w:hAnsi="Times New Roman"/>
          <w:sz w:val="18"/>
          <w:szCs w:val="18"/>
        </w:rPr>
        <w:t>Government of Nepal, Ministry of Finance, Budget Speech of Fiscal Year 2022/23</w:t>
      </w:r>
      <w:r w:rsidR="00CC5C07">
        <w:rPr>
          <w:rFonts w:ascii="Times New Roman" w:hAnsi="Times New Roman"/>
          <w:sz w:val="18"/>
          <w:szCs w:val="18"/>
        </w:rPr>
        <w:t>.</w:t>
      </w:r>
    </w:p>
  </w:footnote>
  <w:footnote w:id="6">
    <w:p w14:paraId="50CCEB22" w14:textId="377157CC" w:rsidR="006D0197" w:rsidRDefault="006D0197">
      <w:pPr>
        <w:pStyle w:val="FootnoteText"/>
      </w:pPr>
      <w:r>
        <w:rPr>
          <w:rStyle w:val="FootnoteReference"/>
        </w:rPr>
        <w:footnoteRef/>
      </w:r>
      <w:r>
        <w:t xml:space="preserve"> </w:t>
      </w:r>
      <w:r w:rsidR="00BF579C">
        <w:rPr>
          <w:rFonts w:ascii="Times New Roman" w:hAnsi="Times New Roman"/>
          <w:sz w:val="18"/>
          <w:szCs w:val="18"/>
        </w:rPr>
        <w:t xml:space="preserve">Ibid. </w:t>
      </w:r>
    </w:p>
  </w:footnote>
  <w:footnote w:id="7">
    <w:p w14:paraId="0383451F" w14:textId="1BFD32BC" w:rsidR="00DE2EAA" w:rsidRPr="002D3D86" w:rsidRDefault="00DE2EAA" w:rsidP="00DE2EAA">
      <w:pPr>
        <w:pStyle w:val="CommentText"/>
        <w:rPr>
          <w:sz w:val="18"/>
          <w:szCs w:val="18"/>
        </w:rPr>
      </w:pPr>
      <w:r w:rsidRPr="002D3D86">
        <w:rPr>
          <w:rStyle w:val="FootnoteReference"/>
          <w:sz w:val="18"/>
          <w:szCs w:val="18"/>
        </w:rPr>
        <w:footnoteRef/>
      </w:r>
      <w:r w:rsidRPr="002D3D86">
        <w:rPr>
          <w:sz w:val="18"/>
          <w:szCs w:val="18"/>
        </w:rPr>
        <w:t xml:space="preserve"> </w:t>
      </w:r>
      <w:r w:rsidR="00B1454D" w:rsidRPr="002D3D86">
        <w:rPr>
          <w:sz w:val="18"/>
          <w:szCs w:val="18"/>
        </w:rPr>
        <w:t>World Economic Forum</w:t>
      </w:r>
      <w:r w:rsidR="00B1454D">
        <w:rPr>
          <w:sz w:val="18"/>
          <w:szCs w:val="18"/>
        </w:rPr>
        <w:t xml:space="preserve">, 2021, </w:t>
      </w:r>
      <w:hyperlink r:id="rId4" w:history="1">
        <w:r w:rsidRPr="00D56B73">
          <w:rPr>
            <w:rStyle w:val="Hyperlink"/>
            <w:sz w:val="18"/>
            <w:szCs w:val="18"/>
          </w:rPr>
          <w:t>Global Gender Gap Report 2021</w:t>
        </w:r>
      </w:hyperlink>
      <w:r w:rsidRPr="002D3D86">
        <w:rPr>
          <w:sz w:val="18"/>
          <w:szCs w:val="18"/>
        </w:rPr>
        <w:t xml:space="preserve">, </w:t>
      </w:r>
      <w:r w:rsidR="00B1454D">
        <w:rPr>
          <w:sz w:val="18"/>
          <w:szCs w:val="18"/>
        </w:rPr>
        <w:t>Geneva.</w:t>
      </w:r>
    </w:p>
  </w:footnote>
  <w:footnote w:id="8">
    <w:p w14:paraId="282CA47E" w14:textId="2DCC3109" w:rsidR="00DE2EAA" w:rsidRPr="002D3D86" w:rsidRDefault="00DE2EAA" w:rsidP="00DE2EAA">
      <w:pPr>
        <w:pStyle w:val="FootnoteText"/>
        <w:rPr>
          <w:rFonts w:ascii="Times New Roman" w:hAnsi="Times New Roman"/>
          <w:sz w:val="18"/>
          <w:szCs w:val="18"/>
        </w:rPr>
      </w:pPr>
      <w:r w:rsidRPr="002D3D86">
        <w:rPr>
          <w:rStyle w:val="FootnoteReference"/>
          <w:rFonts w:ascii="Times New Roman" w:hAnsi="Times New Roman"/>
          <w:sz w:val="18"/>
          <w:szCs w:val="18"/>
        </w:rPr>
        <w:footnoteRef/>
      </w:r>
      <w:r w:rsidRPr="002D3D86">
        <w:rPr>
          <w:rFonts w:ascii="Times New Roman" w:hAnsi="Times New Roman"/>
          <w:sz w:val="18"/>
          <w:szCs w:val="18"/>
        </w:rPr>
        <w:t xml:space="preserve"> UNDP</w:t>
      </w:r>
      <w:r w:rsidR="001D42C1">
        <w:rPr>
          <w:rFonts w:ascii="Times New Roman" w:hAnsi="Times New Roman"/>
          <w:sz w:val="18"/>
          <w:szCs w:val="18"/>
        </w:rPr>
        <w:t>.</w:t>
      </w:r>
      <w:r w:rsidRPr="002D3D86">
        <w:rPr>
          <w:rFonts w:ascii="Times New Roman" w:hAnsi="Times New Roman"/>
          <w:sz w:val="18"/>
          <w:szCs w:val="18"/>
        </w:rPr>
        <w:t xml:space="preserve"> 2020</w:t>
      </w:r>
      <w:r w:rsidR="001D42C1">
        <w:rPr>
          <w:rFonts w:ascii="Times New Roman" w:hAnsi="Times New Roman"/>
          <w:sz w:val="18"/>
          <w:szCs w:val="18"/>
        </w:rPr>
        <w:t>.</w:t>
      </w:r>
      <w:r w:rsidRPr="002D3D86">
        <w:rPr>
          <w:rFonts w:ascii="Times New Roman" w:hAnsi="Times New Roman"/>
          <w:sz w:val="18"/>
          <w:szCs w:val="18"/>
        </w:rPr>
        <w:t xml:space="preserve"> </w:t>
      </w:r>
      <w:r w:rsidR="001D42C1">
        <w:rPr>
          <w:rFonts w:ascii="Times New Roman" w:hAnsi="Times New Roman"/>
          <w:sz w:val="18"/>
          <w:szCs w:val="18"/>
        </w:rPr>
        <w:t>National</w:t>
      </w:r>
      <w:r w:rsidRPr="002D3D86">
        <w:rPr>
          <w:rFonts w:ascii="Times New Roman" w:hAnsi="Times New Roman"/>
          <w:sz w:val="18"/>
          <w:szCs w:val="18"/>
        </w:rPr>
        <w:t xml:space="preserve"> Human Development Report</w:t>
      </w:r>
      <w:r w:rsidR="001D42C1">
        <w:rPr>
          <w:rFonts w:ascii="Times New Roman" w:hAnsi="Times New Roman"/>
          <w:sz w:val="18"/>
          <w:szCs w:val="18"/>
        </w:rPr>
        <w:t xml:space="preserve"> 2020: Nepal: </w:t>
      </w:r>
      <w:r w:rsidR="001D42C1" w:rsidRPr="001D42C1">
        <w:rPr>
          <w:rFonts w:ascii="Times New Roman" w:hAnsi="Times New Roman"/>
          <w:sz w:val="18"/>
          <w:szCs w:val="18"/>
        </w:rPr>
        <w:t>Beyond Graduation: Productive Transformation and Prosperity. New York.</w:t>
      </w:r>
    </w:p>
  </w:footnote>
  <w:footnote w:id="9">
    <w:p w14:paraId="04F329B7" w14:textId="4FCF3DE5" w:rsidR="00DE2EAA" w:rsidRPr="002D3D86" w:rsidRDefault="00DE2EAA" w:rsidP="0096191F">
      <w:pPr>
        <w:pStyle w:val="FootnoteText"/>
        <w:rPr>
          <w:rFonts w:ascii="Times New Roman" w:hAnsi="Times New Roman"/>
          <w:sz w:val="18"/>
          <w:szCs w:val="18"/>
        </w:rPr>
      </w:pPr>
      <w:r w:rsidRPr="002D3D86">
        <w:rPr>
          <w:rStyle w:val="FootnoteReference"/>
          <w:rFonts w:ascii="Times New Roman" w:hAnsi="Times New Roman"/>
          <w:sz w:val="18"/>
          <w:szCs w:val="18"/>
        </w:rPr>
        <w:footnoteRef/>
      </w:r>
      <w:r w:rsidRPr="002D3D86">
        <w:rPr>
          <w:rFonts w:ascii="Times New Roman" w:hAnsi="Times New Roman"/>
          <w:sz w:val="18"/>
          <w:szCs w:val="18"/>
        </w:rPr>
        <w:t xml:space="preserve"> </w:t>
      </w:r>
      <w:r w:rsidR="001D42C1">
        <w:rPr>
          <w:rFonts w:ascii="Times New Roman" w:hAnsi="Times New Roman"/>
          <w:sz w:val="18"/>
          <w:szCs w:val="18"/>
        </w:rPr>
        <w:t xml:space="preserve"> </w:t>
      </w:r>
      <w:r w:rsidR="001D42C1" w:rsidRPr="001D42C1">
        <w:rPr>
          <w:rFonts w:ascii="Times New Roman" w:hAnsi="Times New Roman"/>
          <w:sz w:val="18"/>
          <w:szCs w:val="18"/>
        </w:rPr>
        <w:t>Andrew Young School of Public Policy at</w:t>
      </w:r>
      <w:r w:rsidR="00EF0444">
        <w:rPr>
          <w:rFonts w:ascii="Times New Roman" w:hAnsi="Times New Roman"/>
          <w:sz w:val="18"/>
          <w:szCs w:val="18"/>
        </w:rPr>
        <w:t xml:space="preserve"> </w:t>
      </w:r>
      <w:r w:rsidR="001D42C1" w:rsidRPr="001D42C1">
        <w:rPr>
          <w:rFonts w:ascii="Times New Roman" w:hAnsi="Times New Roman"/>
          <w:sz w:val="18"/>
          <w:szCs w:val="18"/>
        </w:rPr>
        <w:t>the Georgia State University and the Nepal Administrative Staff College</w:t>
      </w:r>
      <w:r w:rsidR="0096191F">
        <w:rPr>
          <w:rFonts w:ascii="Times New Roman" w:hAnsi="Times New Roman"/>
          <w:sz w:val="18"/>
          <w:szCs w:val="18"/>
        </w:rPr>
        <w:t>.</w:t>
      </w:r>
      <w:r w:rsidR="001D42C1">
        <w:rPr>
          <w:rFonts w:ascii="Times New Roman" w:hAnsi="Times New Roman"/>
          <w:sz w:val="18"/>
          <w:szCs w:val="18"/>
        </w:rPr>
        <w:t xml:space="preserve"> </w:t>
      </w:r>
      <w:r w:rsidR="0096191F">
        <w:rPr>
          <w:rFonts w:ascii="Times New Roman" w:hAnsi="Times New Roman"/>
          <w:sz w:val="18"/>
          <w:szCs w:val="18"/>
        </w:rPr>
        <w:t xml:space="preserve">2019. Nepal: </w:t>
      </w:r>
      <w:r w:rsidR="0096191F" w:rsidRPr="0096191F">
        <w:rPr>
          <w:rFonts w:ascii="Times New Roman" w:hAnsi="Times New Roman"/>
          <w:sz w:val="18"/>
          <w:szCs w:val="18"/>
        </w:rPr>
        <w:t>Capacity Needs</w:t>
      </w:r>
      <w:r w:rsidR="0096191F">
        <w:rPr>
          <w:rFonts w:ascii="Times New Roman" w:hAnsi="Times New Roman"/>
          <w:sz w:val="18"/>
          <w:szCs w:val="18"/>
        </w:rPr>
        <w:t xml:space="preserve"> </w:t>
      </w:r>
      <w:r w:rsidR="0096191F" w:rsidRPr="0096191F">
        <w:rPr>
          <w:rFonts w:ascii="Times New Roman" w:hAnsi="Times New Roman"/>
          <w:sz w:val="18"/>
          <w:szCs w:val="18"/>
        </w:rPr>
        <w:t>Assessment for the</w:t>
      </w:r>
      <w:r w:rsidR="0096191F">
        <w:rPr>
          <w:rFonts w:ascii="Times New Roman" w:hAnsi="Times New Roman"/>
          <w:sz w:val="18"/>
          <w:szCs w:val="18"/>
        </w:rPr>
        <w:t xml:space="preserve"> </w:t>
      </w:r>
      <w:r w:rsidR="0096191F" w:rsidRPr="0096191F">
        <w:rPr>
          <w:rFonts w:ascii="Times New Roman" w:hAnsi="Times New Roman"/>
          <w:sz w:val="18"/>
          <w:szCs w:val="18"/>
        </w:rPr>
        <w:t>Transition to Federalism</w:t>
      </w:r>
      <w:r w:rsidR="0096191F">
        <w:rPr>
          <w:rFonts w:ascii="Times New Roman" w:hAnsi="Times New Roman"/>
          <w:sz w:val="18"/>
          <w:szCs w:val="18"/>
        </w:rPr>
        <w:t>. 10 July 2019.</w:t>
      </w:r>
      <w:r w:rsidR="0096191F" w:rsidRPr="0096191F">
        <w:rPr>
          <w:rFonts w:ascii="Times New Roman" w:hAnsi="Times New Roman"/>
          <w:sz w:val="18"/>
          <w:szCs w:val="18"/>
        </w:rPr>
        <w:cr/>
      </w:r>
      <w:r w:rsidR="0096191F">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E86177" w:rsidRPr="005F4DB1" w14:paraId="4BF12606" w14:textId="77777777" w:rsidTr="0024476E">
      <w:trPr>
        <w:trHeight w:hRule="exact" w:val="864"/>
      </w:trPr>
      <w:tc>
        <w:tcPr>
          <w:tcW w:w="3948" w:type="dxa"/>
          <w:shd w:val="clear" w:color="auto" w:fill="auto"/>
          <w:vAlign w:val="bottom"/>
        </w:tcPr>
        <w:p w14:paraId="4F1D77BF" w14:textId="77777777" w:rsidR="00E86177" w:rsidRPr="005F4DB1" w:rsidRDefault="00E86177" w:rsidP="00E86177">
          <w:pPr>
            <w:tabs>
              <w:tab w:val="center" w:pos="4320"/>
              <w:tab w:val="right" w:pos="8640"/>
            </w:tabs>
            <w:spacing w:after="80"/>
            <w:rPr>
              <w:b/>
              <w:noProof/>
              <w:sz w:val="17"/>
            </w:rPr>
          </w:pPr>
        </w:p>
      </w:tc>
      <w:tc>
        <w:tcPr>
          <w:tcW w:w="4422" w:type="dxa"/>
          <w:shd w:val="clear" w:color="auto" w:fill="auto"/>
          <w:vAlign w:val="bottom"/>
        </w:tcPr>
        <w:p w14:paraId="3887C72F" w14:textId="2D12EFFC" w:rsidR="00E86177" w:rsidRPr="005F4DB1" w:rsidRDefault="00E86177" w:rsidP="00E86177">
          <w:pPr>
            <w:tabs>
              <w:tab w:val="center" w:pos="4320"/>
              <w:tab w:val="right" w:pos="8640"/>
            </w:tabs>
            <w:jc w:val="right"/>
            <w:rPr>
              <w:b/>
              <w:noProof/>
              <w:sz w:val="17"/>
            </w:rPr>
          </w:pPr>
          <w:r w:rsidRPr="005F4DB1">
            <w:rPr>
              <w:b/>
              <w:noProof/>
              <w:sz w:val="17"/>
            </w:rPr>
            <w:t>DP/DCP/</w:t>
          </w:r>
          <w:r>
            <w:rPr>
              <w:b/>
              <w:noProof/>
              <w:sz w:val="17"/>
            </w:rPr>
            <w:t>NPL</w:t>
          </w:r>
          <w:r w:rsidRPr="005F4DB1">
            <w:rPr>
              <w:b/>
              <w:noProof/>
              <w:sz w:val="17"/>
            </w:rPr>
            <w:t>/4</w:t>
          </w:r>
        </w:p>
      </w:tc>
    </w:tr>
  </w:tbl>
  <w:p w14:paraId="17B0E5E7" w14:textId="77777777" w:rsidR="00E86177" w:rsidRPr="00E86177" w:rsidRDefault="00E8617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D3682" w14:paraId="2440D55B" w14:textId="77777777">
      <w:trPr>
        <w:trHeight w:hRule="exact" w:val="864"/>
      </w:trPr>
      <w:tc>
        <w:tcPr>
          <w:tcW w:w="1267" w:type="dxa"/>
          <w:tcBorders>
            <w:top w:val="nil"/>
            <w:left w:val="nil"/>
            <w:bottom w:val="nil"/>
            <w:right w:val="nil"/>
          </w:tcBorders>
          <w:vAlign w:val="bottom"/>
        </w:tcPr>
        <w:p w14:paraId="2440D557" w14:textId="77777777" w:rsidR="003D3682" w:rsidRPr="007C6F85" w:rsidRDefault="003D3682">
          <w:pPr>
            <w:pStyle w:val="Header"/>
            <w:spacing w:after="120"/>
            <w:rPr>
              <w:lang w:val="en-US" w:eastAsia="en-US"/>
            </w:rPr>
          </w:pPr>
        </w:p>
      </w:tc>
      <w:tc>
        <w:tcPr>
          <w:tcW w:w="1872" w:type="dxa"/>
          <w:tcBorders>
            <w:top w:val="nil"/>
            <w:left w:val="nil"/>
            <w:bottom w:val="nil"/>
            <w:right w:val="nil"/>
          </w:tcBorders>
          <w:vAlign w:val="bottom"/>
        </w:tcPr>
        <w:p w14:paraId="2440D558" w14:textId="77777777" w:rsidR="003D3682" w:rsidRDefault="003D3682">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3D3682" w:rsidRPr="007C6F85" w:rsidRDefault="003D3682">
          <w:pPr>
            <w:pStyle w:val="Header"/>
            <w:spacing w:after="120"/>
            <w:rPr>
              <w:lang w:val="en-US" w:eastAsia="en-US"/>
            </w:rPr>
          </w:pPr>
        </w:p>
      </w:tc>
      <w:tc>
        <w:tcPr>
          <w:tcW w:w="6876" w:type="dxa"/>
          <w:gridSpan w:val="3"/>
          <w:tcBorders>
            <w:top w:val="nil"/>
            <w:left w:val="nil"/>
            <w:bottom w:val="nil"/>
            <w:right w:val="nil"/>
          </w:tcBorders>
          <w:vAlign w:val="bottom"/>
        </w:tcPr>
        <w:p w14:paraId="2440D55A" w14:textId="6F9842D0" w:rsidR="003D3682" w:rsidRDefault="003D3682" w:rsidP="00441061">
          <w:pPr>
            <w:spacing w:after="80"/>
            <w:jc w:val="center"/>
            <w:rPr>
              <w:position w:val="-4"/>
            </w:rPr>
          </w:pPr>
          <w:r>
            <w:rPr>
              <w:position w:val="-4"/>
              <w:sz w:val="40"/>
            </w:rPr>
            <w:t xml:space="preserve">                         DP</w:t>
          </w:r>
          <w:r>
            <w:rPr>
              <w:position w:val="-4"/>
            </w:rPr>
            <w:t>/DCP/</w:t>
          </w:r>
          <w:r w:rsidR="00DE260B">
            <w:rPr>
              <w:position w:val="-4"/>
            </w:rPr>
            <w:t>NPL/4</w:t>
          </w:r>
        </w:p>
      </w:tc>
    </w:tr>
    <w:tr w:rsidR="003D3682"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3D3682" w:rsidRPr="007C6F85" w:rsidRDefault="003D3682">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3D3682" w:rsidRPr="007C6F85" w:rsidRDefault="003D3682">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3D3682" w:rsidRDefault="003D3682">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3D3682" w:rsidRPr="007C6F85" w:rsidRDefault="003D3682">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3D3682" w:rsidRDefault="003D3682">
          <w:pPr>
            <w:spacing w:before="240"/>
          </w:pPr>
          <w:r>
            <w:t>Distr.: General</w:t>
          </w:r>
        </w:p>
        <w:p w14:paraId="2440D561" w14:textId="6BA6B1B8" w:rsidR="003D3682" w:rsidRDefault="00FC69E0" w:rsidP="00441061">
          <w:r>
            <w:t>7 November</w:t>
          </w:r>
          <w:r w:rsidR="00DE260B">
            <w:t xml:space="preserve"> 2022</w:t>
          </w:r>
        </w:p>
        <w:p w14:paraId="2440D562" w14:textId="77777777" w:rsidR="003D3682" w:rsidRDefault="003D3682"/>
        <w:p w14:paraId="2440D563" w14:textId="21DBD854" w:rsidR="003D3682" w:rsidRDefault="003D3682">
          <w:r>
            <w:t xml:space="preserve">Original: </w:t>
          </w:r>
          <w:r w:rsidR="00DE260B">
            <w:t>English</w:t>
          </w:r>
        </w:p>
      </w:tc>
    </w:tr>
  </w:tbl>
  <w:p w14:paraId="2440D565" w14:textId="77777777" w:rsidR="003D3682" w:rsidRDefault="003D368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E86177" w:rsidRPr="007E4997" w14:paraId="7800E61D" w14:textId="77777777" w:rsidTr="0014000A">
      <w:trPr>
        <w:trHeight w:hRule="exact" w:val="864"/>
      </w:trPr>
      <w:tc>
        <w:tcPr>
          <w:tcW w:w="4128" w:type="dxa"/>
          <w:shd w:val="clear" w:color="auto" w:fill="auto"/>
          <w:vAlign w:val="bottom"/>
        </w:tcPr>
        <w:p w14:paraId="65BF8974" w14:textId="4E9F6FAA" w:rsidR="00E86177" w:rsidRPr="007E4997" w:rsidRDefault="00E86177" w:rsidP="00E86177">
          <w:pPr>
            <w:tabs>
              <w:tab w:val="center" w:pos="4320"/>
              <w:tab w:val="right" w:pos="8640"/>
            </w:tabs>
            <w:spacing w:after="80"/>
            <w:rPr>
              <w:b/>
              <w:noProof/>
              <w:sz w:val="17"/>
            </w:rPr>
          </w:pPr>
          <w:bookmarkStart w:id="5" w:name="_Hlk72161445"/>
          <w:r w:rsidRPr="007E4997">
            <w:rPr>
              <w:b/>
              <w:noProof/>
              <w:sz w:val="17"/>
            </w:rPr>
            <w:t>DP/DCP/</w:t>
          </w:r>
          <w:r>
            <w:rPr>
              <w:b/>
              <w:noProof/>
              <w:sz w:val="17"/>
            </w:rPr>
            <w:t>NPL</w:t>
          </w:r>
          <w:r w:rsidRPr="007E4997">
            <w:rPr>
              <w:b/>
              <w:noProof/>
              <w:sz w:val="17"/>
            </w:rPr>
            <w:t>/4</w:t>
          </w:r>
        </w:p>
      </w:tc>
      <w:tc>
        <w:tcPr>
          <w:tcW w:w="4512" w:type="dxa"/>
          <w:shd w:val="clear" w:color="auto" w:fill="auto"/>
          <w:vAlign w:val="bottom"/>
        </w:tcPr>
        <w:p w14:paraId="00091896" w14:textId="77777777" w:rsidR="00E86177" w:rsidRPr="007E4997" w:rsidRDefault="00E86177" w:rsidP="00E86177">
          <w:pPr>
            <w:tabs>
              <w:tab w:val="center" w:pos="4320"/>
              <w:tab w:val="right" w:pos="8640"/>
            </w:tabs>
            <w:jc w:val="right"/>
            <w:rPr>
              <w:b/>
              <w:noProof/>
              <w:sz w:val="17"/>
            </w:rPr>
          </w:pPr>
        </w:p>
      </w:tc>
    </w:tr>
    <w:bookmarkEnd w:id="5"/>
  </w:tbl>
  <w:p w14:paraId="3C10A610" w14:textId="77777777" w:rsidR="00E86177" w:rsidRPr="00E86177" w:rsidRDefault="00E86177">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6BCCBDDF">
              <wp:simplePos x="0" y="0"/>
              <wp:positionH relativeFrom="column">
                <wp:posOffset>-7619</wp:posOffset>
              </wp:positionH>
              <wp:positionV relativeFrom="paragraph">
                <wp:posOffset>-304800</wp:posOffset>
              </wp:positionV>
              <wp:extent cx="82550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1366A613"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C657A1">
                                  <w:rPr>
                                    <w:rFonts w:ascii="Times New Roman" w:hAnsi="Times New Roman"/>
                                    <w:b/>
                                    <w:sz w:val="17"/>
                                    <w:szCs w:val="17"/>
                                    <w:lang w:val="en-US" w:eastAsia="en-US"/>
                                  </w:rPr>
                                  <w:t>NPL/4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6pt;margin-top:-24pt;width:650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1366A613"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C657A1">
                            <w:rPr>
                              <w:rFonts w:ascii="Times New Roman" w:hAnsi="Times New Roman"/>
                              <w:b/>
                              <w:sz w:val="17"/>
                              <w:szCs w:val="17"/>
                              <w:lang w:val="en-US" w:eastAsia="en-US"/>
                            </w:rPr>
                            <w:t>NPL/4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292"/>
    </w:tblGrid>
    <w:tr w:rsidR="00C657A1" w:rsidRPr="005F4DB1" w14:paraId="2F3131B7" w14:textId="77777777" w:rsidTr="0014000A">
      <w:trPr>
        <w:trHeight w:hRule="exact" w:val="864"/>
      </w:trPr>
      <w:tc>
        <w:tcPr>
          <w:tcW w:w="4668" w:type="dxa"/>
          <w:shd w:val="clear" w:color="auto" w:fill="auto"/>
          <w:vAlign w:val="bottom"/>
        </w:tcPr>
        <w:p w14:paraId="41CE8785" w14:textId="77777777" w:rsidR="00C657A1" w:rsidRPr="005F4DB1" w:rsidRDefault="00C657A1" w:rsidP="00E86177">
          <w:pPr>
            <w:tabs>
              <w:tab w:val="center" w:pos="4320"/>
              <w:tab w:val="right" w:pos="8640"/>
            </w:tabs>
            <w:spacing w:after="80"/>
            <w:rPr>
              <w:b/>
              <w:noProof/>
              <w:sz w:val="17"/>
            </w:rPr>
          </w:pPr>
        </w:p>
      </w:tc>
      <w:tc>
        <w:tcPr>
          <w:tcW w:w="8292" w:type="dxa"/>
          <w:shd w:val="clear" w:color="auto" w:fill="auto"/>
          <w:vAlign w:val="bottom"/>
        </w:tcPr>
        <w:p w14:paraId="2B31C3CC" w14:textId="77777777" w:rsidR="00C657A1" w:rsidRPr="005F4DB1" w:rsidRDefault="00C657A1" w:rsidP="00E86177">
          <w:pPr>
            <w:tabs>
              <w:tab w:val="center" w:pos="4320"/>
              <w:tab w:val="right" w:pos="8640"/>
            </w:tabs>
            <w:jc w:val="right"/>
            <w:rPr>
              <w:b/>
              <w:noProof/>
              <w:sz w:val="17"/>
            </w:rPr>
          </w:pPr>
          <w:r w:rsidRPr="005F4DB1">
            <w:rPr>
              <w:b/>
              <w:noProof/>
              <w:sz w:val="17"/>
            </w:rPr>
            <w:t>DP/DCP/</w:t>
          </w:r>
          <w:r>
            <w:rPr>
              <w:b/>
              <w:noProof/>
              <w:sz w:val="17"/>
            </w:rPr>
            <w:t>NPL</w:t>
          </w:r>
          <w:r w:rsidRPr="005F4DB1">
            <w:rPr>
              <w:b/>
              <w:noProof/>
              <w:sz w:val="17"/>
            </w:rPr>
            <w:t>/4</w:t>
          </w:r>
        </w:p>
      </w:tc>
    </w:tr>
  </w:tbl>
  <w:p w14:paraId="0D4D13B3" w14:textId="77777777" w:rsidR="00C657A1" w:rsidRPr="00E86177" w:rsidRDefault="00C657A1">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02"/>
    <w:multiLevelType w:val="hybridMultilevel"/>
    <w:tmpl w:val="FE9673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0"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15:restartNumberingAfterBreak="0">
    <w:nsid w:val="57AB728D"/>
    <w:multiLevelType w:val="hybridMultilevel"/>
    <w:tmpl w:val="41107EB6"/>
    <w:lvl w:ilvl="0" w:tplc="9DF409D2">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F5A41"/>
    <w:multiLevelType w:val="hybridMultilevel"/>
    <w:tmpl w:val="45506698"/>
    <w:lvl w:ilvl="0" w:tplc="59F0E4A8">
      <w:start w:val="1"/>
      <w:numFmt w:val="decimal"/>
      <w:lvlText w:val="%1."/>
      <w:lvlJc w:val="left"/>
      <w:pPr>
        <w:ind w:left="1070" w:hanging="360"/>
      </w:pPr>
      <w:rPr>
        <w:rFonts w:hint="default"/>
        <w:i w:val="0"/>
        <w:iCs w:val="0"/>
        <w:sz w:val="20"/>
        <w:szCs w:val="20"/>
      </w:rPr>
    </w:lvl>
    <w:lvl w:ilvl="1" w:tplc="FFFFFFFF">
      <w:start w:val="1"/>
      <w:numFmt w:val="decimal"/>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5"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6"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8"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0"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2"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3"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36"/>
  </w:num>
  <w:num w:numId="3">
    <w:abstractNumId w:val="28"/>
  </w:num>
  <w:num w:numId="4">
    <w:abstractNumId w:val="41"/>
  </w:num>
  <w:num w:numId="5">
    <w:abstractNumId w:val="29"/>
  </w:num>
  <w:num w:numId="6">
    <w:abstractNumId w:val="1"/>
  </w:num>
  <w:num w:numId="7">
    <w:abstractNumId w:val="17"/>
  </w:num>
  <w:num w:numId="8">
    <w:abstractNumId w:val="37"/>
  </w:num>
  <w:num w:numId="9">
    <w:abstractNumId w:val="49"/>
  </w:num>
  <w:num w:numId="10">
    <w:abstractNumId w:val="40"/>
  </w:num>
  <w:num w:numId="11">
    <w:abstractNumId w:val="48"/>
  </w:num>
  <w:num w:numId="12">
    <w:abstractNumId w:val="25"/>
  </w:num>
  <w:num w:numId="13">
    <w:abstractNumId w:val="8"/>
  </w:num>
  <w:num w:numId="14">
    <w:abstractNumId w:val="16"/>
  </w:num>
  <w:num w:numId="15">
    <w:abstractNumId w:val="44"/>
  </w:num>
  <w:num w:numId="16">
    <w:abstractNumId w:val="11"/>
  </w:num>
  <w:num w:numId="17">
    <w:abstractNumId w:val="14"/>
  </w:num>
  <w:num w:numId="18">
    <w:abstractNumId w:val="19"/>
  </w:num>
  <w:num w:numId="19">
    <w:abstractNumId w:val="47"/>
  </w:num>
  <w:num w:numId="20">
    <w:abstractNumId w:val="10"/>
  </w:num>
  <w:num w:numId="21">
    <w:abstractNumId w:val="9"/>
  </w:num>
  <w:num w:numId="22">
    <w:abstractNumId w:val="45"/>
  </w:num>
  <w:num w:numId="23">
    <w:abstractNumId w:val="15"/>
  </w:num>
  <w:num w:numId="24">
    <w:abstractNumId w:val="4"/>
  </w:num>
  <w:num w:numId="25">
    <w:abstractNumId w:val="42"/>
  </w:num>
  <w:num w:numId="26">
    <w:abstractNumId w:val="39"/>
  </w:num>
  <w:num w:numId="27">
    <w:abstractNumId w:val="33"/>
  </w:num>
  <w:num w:numId="28">
    <w:abstractNumId w:val="2"/>
  </w:num>
  <w:num w:numId="29">
    <w:abstractNumId w:val="26"/>
  </w:num>
  <w:num w:numId="30">
    <w:abstractNumId w:val="32"/>
  </w:num>
  <w:num w:numId="31">
    <w:abstractNumId w:val="13"/>
  </w:num>
  <w:num w:numId="32">
    <w:abstractNumId w:val="5"/>
  </w:num>
  <w:num w:numId="33">
    <w:abstractNumId w:val="23"/>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7"/>
  </w:num>
  <w:num w:numId="37">
    <w:abstractNumId w:val="30"/>
  </w:num>
  <w:num w:numId="38">
    <w:abstractNumId w:val="12"/>
  </w:num>
  <w:num w:numId="39">
    <w:abstractNumId w:val="3"/>
  </w:num>
  <w:num w:numId="40">
    <w:abstractNumId w:val="21"/>
  </w:num>
  <w:num w:numId="41">
    <w:abstractNumId w:val="6"/>
  </w:num>
  <w:num w:numId="42">
    <w:abstractNumId w:val="18"/>
  </w:num>
  <w:num w:numId="43">
    <w:abstractNumId w:val="43"/>
  </w:num>
  <w:num w:numId="44">
    <w:abstractNumId w:val="38"/>
  </w:num>
  <w:num w:numId="45">
    <w:abstractNumId w:val="27"/>
  </w:num>
  <w:num w:numId="46">
    <w:abstractNumId w:val="46"/>
  </w:num>
  <w:num w:numId="47">
    <w:abstractNumId w:val="34"/>
  </w:num>
  <w:num w:numId="48">
    <w:abstractNumId w:val="0"/>
  </w:num>
  <w:num w:numId="49">
    <w:abstractNumId w:val="24"/>
  </w:num>
  <w:num w:numId="5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457"/>
    <w:rsid w:val="000027D2"/>
    <w:rsid w:val="0000312F"/>
    <w:rsid w:val="00003E8B"/>
    <w:rsid w:val="00005E26"/>
    <w:rsid w:val="00006E59"/>
    <w:rsid w:val="00006EE1"/>
    <w:rsid w:val="000114A7"/>
    <w:rsid w:val="00012B15"/>
    <w:rsid w:val="00012B1D"/>
    <w:rsid w:val="0001309E"/>
    <w:rsid w:val="0001337B"/>
    <w:rsid w:val="00013460"/>
    <w:rsid w:val="000153EB"/>
    <w:rsid w:val="00015DDC"/>
    <w:rsid w:val="00015FDE"/>
    <w:rsid w:val="00016217"/>
    <w:rsid w:val="00016861"/>
    <w:rsid w:val="00017D05"/>
    <w:rsid w:val="00017D82"/>
    <w:rsid w:val="000200CF"/>
    <w:rsid w:val="000205F1"/>
    <w:rsid w:val="000206BC"/>
    <w:rsid w:val="00021748"/>
    <w:rsid w:val="00022047"/>
    <w:rsid w:val="00023515"/>
    <w:rsid w:val="00023AEE"/>
    <w:rsid w:val="0002426A"/>
    <w:rsid w:val="00024A2B"/>
    <w:rsid w:val="0002585E"/>
    <w:rsid w:val="00026EE1"/>
    <w:rsid w:val="000274B9"/>
    <w:rsid w:val="0002758B"/>
    <w:rsid w:val="000276A0"/>
    <w:rsid w:val="00031ACF"/>
    <w:rsid w:val="00031EB2"/>
    <w:rsid w:val="0003257C"/>
    <w:rsid w:val="000330DB"/>
    <w:rsid w:val="000332AD"/>
    <w:rsid w:val="0003429F"/>
    <w:rsid w:val="000346C0"/>
    <w:rsid w:val="0003562A"/>
    <w:rsid w:val="00036095"/>
    <w:rsid w:val="0003654A"/>
    <w:rsid w:val="000367E0"/>
    <w:rsid w:val="00036AF4"/>
    <w:rsid w:val="00040826"/>
    <w:rsid w:val="000409DB"/>
    <w:rsid w:val="00041C10"/>
    <w:rsid w:val="00043804"/>
    <w:rsid w:val="000441A1"/>
    <w:rsid w:val="000464B2"/>
    <w:rsid w:val="0005083C"/>
    <w:rsid w:val="00050869"/>
    <w:rsid w:val="000508EB"/>
    <w:rsid w:val="00051E3C"/>
    <w:rsid w:val="00054A4A"/>
    <w:rsid w:val="00055596"/>
    <w:rsid w:val="00056014"/>
    <w:rsid w:val="000561C1"/>
    <w:rsid w:val="00056204"/>
    <w:rsid w:val="000570D1"/>
    <w:rsid w:val="000571A9"/>
    <w:rsid w:val="00060290"/>
    <w:rsid w:val="0006093C"/>
    <w:rsid w:val="000611AB"/>
    <w:rsid w:val="0006132A"/>
    <w:rsid w:val="00062023"/>
    <w:rsid w:val="0006295B"/>
    <w:rsid w:val="00063E24"/>
    <w:rsid w:val="00065D1C"/>
    <w:rsid w:val="000672C1"/>
    <w:rsid w:val="000702CF"/>
    <w:rsid w:val="00071749"/>
    <w:rsid w:val="00072229"/>
    <w:rsid w:val="000728F8"/>
    <w:rsid w:val="0007341B"/>
    <w:rsid w:val="00073CF1"/>
    <w:rsid w:val="00074078"/>
    <w:rsid w:val="00074B63"/>
    <w:rsid w:val="00074BD0"/>
    <w:rsid w:val="00074D9A"/>
    <w:rsid w:val="00074DB9"/>
    <w:rsid w:val="000753C4"/>
    <w:rsid w:val="00075DF0"/>
    <w:rsid w:val="000762CA"/>
    <w:rsid w:val="000803A4"/>
    <w:rsid w:val="000806E3"/>
    <w:rsid w:val="000811F9"/>
    <w:rsid w:val="00081CD5"/>
    <w:rsid w:val="00082A89"/>
    <w:rsid w:val="00082C29"/>
    <w:rsid w:val="00082CD5"/>
    <w:rsid w:val="0008339E"/>
    <w:rsid w:val="00083418"/>
    <w:rsid w:val="00083F11"/>
    <w:rsid w:val="00085439"/>
    <w:rsid w:val="00085C3A"/>
    <w:rsid w:val="0008709D"/>
    <w:rsid w:val="00087B57"/>
    <w:rsid w:val="00090098"/>
    <w:rsid w:val="00090990"/>
    <w:rsid w:val="00090AD1"/>
    <w:rsid w:val="00090F4F"/>
    <w:rsid w:val="00091476"/>
    <w:rsid w:val="00091984"/>
    <w:rsid w:val="00092879"/>
    <w:rsid w:val="000949C7"/>
    <w:rsid w:val="00094CE0"/>
    <w:rsid w:val="00094E87"/>
    <w:rsid w:val="00095321"/>
    <w:rsid w:val="00097FB2"/>
    <w:rsid w:val="000A151D"/>
    <w:rsid w:val="000A18E2"/>
    <w:rsid w:val="000A215C"/>
    <w:rsid w:val="000A23F7"/>
    <w:rsid w:val="000A24C5"/>
    <w:rsid w:val="000A2967"/>
    <w:rsid w:val="000A2ABD"/>
    <w:rsid w:val="000A30A1"/>
    <w:rsid w:val="000A3692"/>
    <w:rsid w:val="000A3A38"/>
    <w:rsid w:val="000A3A6C"/>
    <w:rsid w:val="000A3E9A"/>
    <w:rsid w:val="000A3F7F"/>
    <w:rsid w:val="000A47FD"/>
    <w:rsid w:val="000A4DB4"/>
    <w:rsid w:val="000A7192"/>
    <w:rsid w:val="000A78F1"/>
    <w:rsid w:val="000B0228"/>
    <w:rsid w:val="000B0254"/>
    <w:rsid w:val="000B2E16"/>
    <w:rsid w:val="000B3066"/>
    <w:rsid w:val="000B3690"/>
    <w:rsid w:val="000B3A13"/>
    <w:rsid w:val="000B4BB2"/>
    <w:rsid w:val="000B5E6C"/>
    <w:rsid w:val="000B6379"/>
    <w:rsid w:val="000B673A"/>
    <w:rsid w:val="000B71C0"/>
    <w:rsid w:val="000B79C2"/>
    <w:rsid w:val="000C3956"/>
    <w:rsid w:val="000C4E54"/>
    <w:rsid w:val="000C6856"/>
    <w:rsid w:val="000C6E4A"/>
    <w:rsid w:val="000C7211"/>
    <w:rsid w:val="000C76B0"/>
    <w:rsid w:val="000C7BBE"/>
    <w:rsid w:val="000D0F95"/>
    <w:rsid w:val="000D1A1D"/>
    <w:rsid w:val="000D2475"/>
    <w:rsid w:val="000D36BF"/>
    <w:rsid w:val="000D434F"/>
    <w:rsid w:val="000D442C"/>
    <w:rsid w:val="000D49B2"/>
    <w:rsid w:val="000D4DC4"/>
    <w:rsid w:val="000D50DF"/>
    <w:rsid w:val="000D5157"/>
    <w:rsid w:val="000D5385"/>
    <w:rsid w:val="000D6521"/>
    <w:rsid w:val="000D7EC5"/>
    <w:rsid w:val="000E0235"/>
    <w:rsid w:val="000E0761"/>
    <w:rsid w:val="000E08C9"/>
    <w:rsid w:val="000E10E5"/>
    <w:rsid w:val="000E2ED5"/>
    <w:rsid w:val="000E3C12"/>
    <w:rsid w:val="000E51A8"/>
    <w:rsid w:val="000E55D6"/>
    <w:rsid w:val="000E612D"/>
    <w:rsid w:val="000E675E"/>
    <w:rsid w:val="000E69EB"/>
    <w:rsid w:val="000E6AB1"/>
    <w:rsid w:val="000E745A"/>
    <w:rsid w:val="000E7E9E"/>
    <w:rsid w:val="000F0044"/>
    <w:rsid w:val="000F0EFD"/>
    <w:rsid w:val="000F14CE"/>
    <w:rsid w:val="000F2400"/>
    <w:rsid w:val="000F4407"/>
    <w:rsid w:val="000F5541"/>
    <w:rsid w:val="000F5EEA"/>
    <w:rsid w:val="000F703B"/>
    <w:rsid w:val="000F72ED"/>
    <w:rsid w:val="000F7A4C"/>
    <w:rsid w:val="0010169F"/>
    <w:rsid w:val="00101839"/>
    <w:rsid w:val="001028CE"/>
    <w:rsid w:val="00103698"/>
    <w:rsid w:val="0010406D"/>
    <w:rsid w:val="00104A93"/>
    <w:rsid w:val="00106EF8"/>
    <w:rsid w:val="001079CD"/>
    <w:rsid w:val="001101A2"/>
    <w:rsid w:val="00110BBE"/>
    <w:rsid w:val="00111489"/>
    <w:rsid w:val="00111792"/>
    <w:rsid w:val="00111797"/>
    <w:rsid w:val="00111B19"/>
    <w:rsid w:val="00113D50"/>
    <w:rsid w:val="00114A64"/>
    <w:rsid w:val="0011595B"/>
    <w:rsid w:val="0011599E"/>
    <w:rsid w:val="00115F59"/>
    <w:rsid w:val="001160FA"/>
    <w:rsid w:val="001165F0"/>
    <w:rsid w:val="00116988"/>
    <w:rsid w:val="00116C1A"/>
    <w:rsid w:val="00116D90"/>
    <w:rsid w:val="00116F17"/>
    <w:rsid w:val="00121049"/>
    <w:rsid w:val="00121289"/>
    <w:rsid w:val="00121554"/>
    <w:rsid w:val="00121F3E"/>
    <w:rsid w:val="0012229E"/>
    <w:rsid w:val="00122D7F"/>
    <w:rsid w:val="001234A2"/>
    <w:rsid w:val="00123849"/>
    <w:rsid w:val="00123A5E"/>
    <w:rsid w:val="001240CC"/>
    <w:rsid w:val="00124FD1"/>
    <w:rsid w:val="00125010"/>
    <w:rsid w:val="001250C4"/>
    <w:rsid w:val="001251C8"/>
    <w:rsid w:val="00125266"/>
    <w:rsid w:val="00125B82"/>
    <w:rsid w:val="00126A66"/>
    <w:rsid w:val="00126BEC"/>
    <w:rsid w:val="00127FC9"/>
    <w:rsid w:val="001305E6"/>
    <w:rsid w:val="001315CD"/>
    <w:rsid w:val="001320FE"/>
    <w:rsid w:val="0013239A"/>
    <w:rsid w:val="00132D93"/>
    <w:rsid w:val="001334D3"/>
    <w:rsid w:val="00133EA4"/>
    <w:rsid w:val="001345F3"/>
    <w:rsid w:val="00135F73"/>
    <w:rsid w:val="0013761A"/>
    <w:rsid w:val="0014000A"/>
    <w:rsid w:val="00143766"/>
    <w:rsid w:val="0014410A"/>
    <w:rsid w:val="0014423A"/>
    <w:rsid w:val="00145FC4"/>
    <w:rsid w:val="00147042"/>
    <w:rsid w:val="001471A7"/>
    <w:rsid w:val="001506F6"/>
    <w:rsid w:val="001508E6"/>
    <w:rsid w:val="00154032"/>
    <w:rsid w:val="001547D3"/>
    <w:rsid w:val="001559BD"/>
    <w:rsid w:val="00156708"/>
    <w:rsid w:val="00157F09"/>
    <w:rsid w:val="00157F79"/>
    <w:rsid w:val="00161668"/>
    <w:rsid w:val="00161709"/>
    <w:rsid w:val="001623CF"/>
    <w:rsid w:val="00162468"/>
    <w:rsid w:val="00163C40"/>
    <w:rsid w:val="00163E84"/>
    <w:rsid w:val="001645EB"/>
    <w:rsid w:val="00164B37"/>
    <w:rsid w:val="00165A12"/>
    <w:rsid w:val="001668AA"/>
    <w:rsid w:val="001670E0"/>
    <w:rsid w:val="001675B1"/>
    <w:rsid w:val="0016789D"/>
    <w:rsid w:val="0016799E"/>
    <w:rsid w:val="00167C87"/>
    <w:rsid w:val="00170680"/>
    <w:rsid w:val="00170F59"/>
    <w:rsid w:val="001717B1"/>
    <w:rsid w:val="00171F01"/>
    <w:rsid w:val="00172EE3"/>
    <w:rsid w:val="00174165"/>
    <w:rsid w:val="00174F19"/>
    <w:rsid w:val="0017719F"/>
    <w:rsid w:val="00177E7E"/>
    <w:rsid w:val="001805BF"/>
    <w:rsid w:val="00180BB5"/>
    <w:rsid w:val="00182A2E"/>
    <w:rsid w:val="0018356F"/>
    <w:rsid w:val="0018650D"/>
    <w:rsid w:val="0018720B"/>
    <w:rsid w:val="001874A7"/>
    <w:rsid w:val="001876C5"/>
    <w:rsid w:val="00187D68"/>
    <w:rsid w:val="00190155"/>
    <w:rsid w:val="001906B5"/>
    <w:rsid w:val="00190DDC"/>
    <w:rsid w:val="001913A7"/>
    <w:rsid w:val="00192198"/>
    <w:rsid w:val="00192495"/>
    <w:rsid w:val="00192D96"/>
    <w:rsid w:val="001932F6"/>
    <w:rsid w:val="00194163"/>
    <w:rsid w:val="00194359"/>
    <w:rsid w:val="00194FEB"/>
    <w:rsid w:val="001962C8"/>
    <w:rsid w:val="001963A8"/>
    <w:rsid w:val="001966C6"/>
    <w:rsid w:val="0019694C"/>
    <w:rsid w:val="001970A4"/>
    <w:rsid w:val="0019758B"/>
    <w:rsid w:val="00197AD1"/>
    <w:rsid w:val="00197E3E"/>
    <w:rsid w:val="001A1191"/>
    <w:rsid w:val="001A17DA"/>
    <w:rsid w:val="001A4CBA"/>
    <w:rsid w:val="001A4EC8"/>
    <w:rsid w:val="001A79C0"/>
    <w:rsid w:val="001B0020"/>
    <w:rsid w:val="001B26DC"/>
    <w:rsid w:val="001B2BC3"/>
    <w:rsid w:val="001B3D8C"/>
    <w:rsid w:val="001B3F87"/>
    <w:rsid w:val="001B4026"/>
    <w:rsid w:val="001B598C"/>
    <w:rsid w:val="001B6419"/>
    <w:rsid w:val="001B76A6"/>
    <w:rsid w:val="001C024C"/>
    <w:rsid w:val="001C05F9"/>
    <w:rsid w:val="001C07F8"/>
    <w:rsid w:val="001C1147"/>
    <w:rsid w:val="001C263F"/>
    <w:rsid w:val="001C2D7D"/>
    <w:rsid w:val="001C2F59"/>
    <w:rsid w:val="001C3C55"/>
    <w:rsid w:val="001C4DD9"/>
    <w:rsid w:val="001C599A"/>
    <w:rsid w:val="001C6C08"/>
    <w:rsid w:val="001D0646"/>
    <w:rsid w:val="001D174E"/>
    <w:rsid w:val="001D1B55"/>
    <w:rsid w:val="001D2056"/>
    <w:rsid w:val="001D220F"/>
    <w:rsid w:val="001D3015"/>
    <w:rsid w:val="001D3776"/>
    <w:rsid w:val="001D42C1"/>
    <w:rsid w:val="001D42D1"/>
    <w:rsid w:val="001D547F"/>
    <w:rsid w:val="001D5D49"/>
    <w:rsid w:val="001D5F99"/>
    <w:rsid w:val="001D64E5"/>
    <w:rsid w:val="001D6585"/>
    <w:rsid w:val="001D6EB8"/>
    <w:rsid w:val="001E05EC"/>
    <w:rsid w:val="001E0F8D"/>
    <w:rsid w:val="001E1497"/>
    <w:rsid w:val="001E2165"/>
    <w:rsid w:val="001E3356"/>
    <w:rsid w:val="001E366C"/>
    <w:rsid w:val="001E450A"/>
    <w:rsid w:val="001E4809"/>
    <w:rsid w:val="001E4F4F"/>
    <w:rsid w:val="001E56E2"/>
    <w:rsid w:val="001E665A"/>
    <w:rsid w:val="001E6A1D"/>
    <w:rsid w:val="001E6AA3"/>
    <w:rsid w:val="001E7285"/>
    <w:rsid w:val="001F0D5A"/>
    <w:rsid w:val="001F27F4"/>
    <w:rsid w:val="001F2CF6"/>
    <w:rsid w:val="001F33D4"/>
    <w:rsid w:val="001F37DA"/>
    <w:rsid w:val="001F3DC0"/>
    <w:rsid w:val="001F4C5A"/>
    <w:rsid w:val="001F4EA9"/>
    <w:rsid w:val="001F4F73"/>
    <w:rsid w:val="001F602F"/>
    <w:rsid w:val="001F6425"/>
    <w:rsid w:val="001F6507"/>
    <w:rsid w:val="001F6772"/>
    <w:rsid w:val="001F7421"/>
    <w:rsid w:val="00200195"/>
    <w:rsid w:val="002003D6"/>
    <w:rsid w:val="00200B5F"/>
    <w:rsid w:val="00201EEF"/>
    <w:rsid w:val="00202476"/>
    <w:rsid w:val="00202B58"/>
    <w:rsid w:val="00203980"/>
    <w:rsid w:val="002047C8"/>
    <w:rsid w:val="002052B3"/>
    <w:rsid w:val="00205453"/>
    <w:rsid w:val="002058F9"/>
    <w:rsid w:val="0020650A"/>
    <w:rsid w:val="00207F32"/>
    <w:rsid w:val="00210331"/>
    <w:rsid w:val="002107C0"/>
    <w:rsid w:val="002112BD"/>
    <w:rsid w:val="00212B1F"/>
    <w:rsid w:val="00213340"/>
    <w:rsid w:val="0021366B"/>
    <w:rsid w:val="002139F5"/>
    <w:rsid w:val="00213D7C"/>
    <w:rsid w:val="00214513"/>
    <w:rsid w:val="002155B7"/>
    <w:rsid w:val="002171AC"/>
    <w:rsid w:val="0021766A"/>
    <w:rsid w:val="0021768E"/>
    <w:rsid w:val="00217BAE"/>
    <w:rsid w:val="00220C88"/>
    <w:rsid w:val="00221AA1"/>
    <w:rsid w:val="002225D3"/>
    <w:rsid w:val="00222A35"/>
    <w:rsid w:val="0022301D"/>
    <w:rsid w:val="0022365A"/>
    <w:rsid w:val="002236F0"/>
    <w:rsid w:val="00223A56"/>
    <w:rsid w:val="00224B2C"/>
    <w:rsid w:val="002264F0"/>
    <w:rsid w:val="00226F3A"/>
    <w:rsid w:val="002272E2"/>
    <w:rsid w:val="002276BD"/>
    <w:rsid w:val="00227E55"/>
    <w:rsid w:val="00227E8C"/>
    <w:rsid w:val="0023081C"/>
    <w:rsid w:val="00231D84"/>
    <w:rsid w:val="00232AA0"/>
    <w:rsid w:val="00234CDF"/>
    <w:rsid w:val="00236279"/>
    <w:rsid w:val="00236B91"/>
    <w:rsid w:val="00236BF6"/>
    <w:rsid w:val="00236C06"/>
    <w:rsid w:val="00237753"/>
    <w:rsid w:val="00237AC6"/>
    <w:rsid w:val="00241C0F"/>
    <w:rsid w:val="002424C0"/>
    <w:rsid w:val="0024251C"/>
    <w:rsid w:val="00242617"/>
    <w:rsid w:val="00242CAA"/>
    <w:rsid w:val="00244255"/>
    <w:rsid w:val="0024503B"/>
    <w:rsid w:val="002453AD"/>
    <w:rsid w:val="0024573D"/>
    <w:rsid w:val="00245D74"/>
    <w:rsid w:val="00246D03"/>
    <w:rsid w:val="00246DDF"/>
    <w:rsid w:val="00247041"/>
    <w:rsid w:val="00247EBF"/>
    <w:rsid w:val="00250CDF"/>
    <w:rsid w:val="00251B05"/>
    <w:rsid w:val="0025383B"/>
    <w:rsid w:val="00254186"/>
    <w:rsid w:val="00254552"/>
    <w:rsid w:val="00256D76"/>
    <w:rsid w:val="002573CC"/>
    <w:rsid w:val="0025741A"/>
    <w:rsid w:val="00260FAA"/>
    <w:rsid w:val="00261A24"/>
    <w:rsid w:val="00262338"/>
    <w:rsid w:val="00262BE7"/>
    <w:rsid w:val="00262E2F"/>
    <w:rsid w:val="00263694"/>
    <w:rsid w:val="00263938"/>
    <w:rsid w:val="002646D7"/>
    <w:rsid w:val="00264990"/>
    <w:rsid w:val="00264DF5"/>
    <w:rsid w:val="002671D7"/>
    <w:rsid w:val="00268C48"/>
    <w:rsid w:val="002710B5"/>
    <w:rsid w:val="0027193A"/>
    <w:rsid w:val="00272431"/>
    <w:rsid w:val="0027259C"/>
    <w:rsid w:val="00273543"/>
    <w:rsid w:val="00274C82"/>
    <w:rsid w:val="0027654D"/>
    <w:rsid w:val="00280441"/>
    <w:rsid w:val="0028063D"/>
    <w:rsid w:val="002810DF"/>
    <w:rsid w:val="002812AB"/>
    <w:rsid w:val="002816D8"/>
    <w:rsid w:val="00281F8F"/>
    <w:rsid w:val="002820EC"/>
    <w:rsid w:val="00282A8C"/>
    <w:rsid w:val="00284939"/>
    <w:rsid w:val="002854EE"/>
    <w:rsid w:val="0028565C"/>
    <w:rsid w:val="00286599"/>
    <w:rsid w:val="00286ACF"/>
    <w:rsid w:val="002875DE"/>
    <w:rsid w:val="002876C5"/>
    <w:rsid w:val="00287E07"/>
    <w:rsid w:val="00290EB3"/>
    <w:rsid w:val="00292846"/>
    <w:rsid w:val="00292A90"/>
    <w:rsid w:val="00294649"/>
    <w:rsid w:val="002966B2"/>
    <w:rsid w:val="002971D6"/>
    <w:rsid w:val="00297326"/>
    <w:rsid w:val="002A1E42"/>
    <w:rsid w:val="002A21AE"/>
    <w:rsid w:val="002A2F08"/>
    <w:rsid w:val="002A3641"/>
    <w:rsid w:val="002A3C7B"/>
    <w:rsid w:val="002A4667"/>
    <w:rsid w:val="002A495F"/>
    <w:rsid w:val="002A4CE1"/>
    <w:rsid w:val="002A706F"/>
    <w:rsid w:val="002A70EA"/>
    <w:rsid w:val="002A7363"/>
    <w:rsid w:val="002A7F43"/>
    <w:rsid w:val="002B108C"/>
    <w:rsid w:val="002B14C0"/>
    <w:rsid w:val="002B2FB7"/>
    <w:rsid w:val="002B365E"/>
    <w:rsid w:val="002B3E6C"/>
    <w:rsid w:val="002B439D"/>
    <w:rsid w:val="002B489A"/>
    <w:rsid w:val="002B6341"/>
    <w:rsid w:val="002B64BA"/>
    <w:rsid w:val="002B6BDB"/>
    <w:rsid w:val="002B736B"/>
    <w:rsid w:val="002C031A"/>
    <w:rsid w:val="002C0526"/>
    <w:rsid w:val="002C1769"/>
    <w:rsid w:val="002C27A8"/>
    <w:rsid w:val="002C2C2D"/>
    <w:rsid w:val="002C333E"/>
    <w:rsid w:val="002C36C8"/>
    <w:rsid w:val="002C3CFD"/>
    <w:rsid w:val="002C4FDB"/>
    <w:rsid w:val="002C5147"/>
    <w:rsid w:val="002C51A0"/>
    <w:rsid w:val="002C57E0"/>
    <w:rsid w:val="002C6B71"/>
    <w:rsid w:val="002C71CC"/>
    <w:rsid w:val="002C7971"/>
    <w:rsid w:val="002D0481"/>
    <w:rsid w:val="002D0584"/>
    <w:rsid w:val="002D0EDD"/>
    <w:rsid w:val="002D2E2A"/>
    <w:rsid w:val="002D3D86"/>
    <w:rsid w:val="002D4274"/>
    <w:rsid w:val="002D4F19"/>
    <w:rsid w:val="002D5295"/>
    <w:rsid w:val="002D52BF"/>
    <w:rsid w:val="002D5E93"/>
    <w:rsid w:val="002D6630"/>
    <w:rsid w:val="002D68FA"/>
    <w:rsid w:val="002D7ECA"/>
    <w:rsid w:val="002E0141"/>
    <w:rsid w:val="002E0B5D"/>
    <w:rsid w:val="002E0B76"/>
    <w:rsid w:val="002E0C85"/>
    <w:rsid w:val="002E1495"/>
    <w:rsid w:val="002E2466"/>
    <w:rsid w:val="002E2900"/>
    <w:rsid w:val="002E3C0D"/>
    <w:rsid w:val="002E43EC"/>
    <w:rsid w:val="002E4883"/>
    <w:rsid w:val="002E5B3C"/>
    <w:rsid w:val="002E6F00"/>
    <w:rsid w:val="002E77A1"/>
    <w:rsid w:val="002E7A79"/>
    <w:rsid w:val="002E7DBD"/>
    <w:rsid w:val="002F11DF"/>
    <w:rsid w:val="002F1D9E"/>
    <w:rsid w:val="002F294D"/>
    <w:rsid w:val="002F2C6E"/>
    <w:rsid w:val="002F329F"/>
    <w:rsid w:val="002F3961"/>
    <w:rsid w:val="002F3C88"/>
    <w:rsid w:val="002F4067"/>
    <w:rsid w:val="002F459C"/>
    <w:rsid w:val="002F47EB"/>
    <w:rsid w:val="002F7339"/>
    <w:rsid w:val="002F7461"/>
    <w:rsid w:val="002F7569"/>
    <w:rsid w:val="002F777E"/>
    <w:rsid w:val="002FA292"/>
    <w:rsid w:val="00300C3E"/>
    <w:rsid w:val="00300CBB"/>
    <w:rsid w:val="003025E2"/>
    <w:rsid w:val="00303098"/>
    <w:rsid w:val="00303CB0"/>
    <w:rsid w:val="00304750"/>
    <w:rsid w:val="00304BD4"/>
    <w:rsid w:val="003061C6"/>
    <w:rsid w:val="00306D24"/>
    <w:rsid w:val="00307384"/>
    <w:rsid w:val="00307712"/>
    <w:rsid w:val="00311982"/>
    <w:rsid w:val="00313290"/>
    <w:rsid w:val="0031404A"/>
    <w:rsid w:val="00314B7C"/>
    <w:rsid w:val="00314E49"/>
    <w:rsid w:val="00315445"/>
    <w:rsid w:val="00315520"/>
    <w:rsid w:val="003159F9"/>
    <w:rsid w:val="00317183"/>
    <w:rsid w:val="003204AE"/>
    <w:rsid w:val="003208EF"/>
    <w:rsid w:val="00321C8A"/>
    <w:rsid w:val="00323D35"/>
    <w:rsid w:val="00324846"/>
    <w:rsid w:val="00324ABD"/>
    <w:rsid w:val="00324D9B"/>
    <w:rsid w:val="003272A6"/>
    <w:rsid w:val="003272DF"/>
    <w:rsid w:val="003273CB"/>
    <w:rsid w:val="003303A5"/>
    <w:rsid w:val="0033125E"/>
    <w:rsid w:val="003316D5"/>
    <w:rsid w:val="00331D8A"/>
    <w:rsid w:val="00332ED2"/>
    <w:rsid w:val="0033325E"/>
    <w:rsid w:val="00333E4D"/>
    <w:rsid w:val="00333EA8"/>
    <w:rsid w:val="00334AB1"/>
    <w:rsid w:val="00335C99"/>
    <w:rsid w:val="00336913"/>
    <w:rsid w:val="0033718C"/>
    <w:rsid w:val="00337407"/>
    <w:rsid w:val="00337BB8"/>
    <w:rsid w:val="00340E02"/>
    <w:rsid w:val="003411B0"/>
    <w:rsid w:val="00341F33"/>
    <w:rsid w:val="0034233B"/>
    <w:rsid w:val="00342410"/>
    <w:rsid w:val="00342E94"/>
    <w:rsid w:val="00343E6E"/>
    <w:rsid w:val="00343E9A"/>
    <w:rsid w:val="003450C8"/>
    <w:rsid w:val="00345BA7"/>
    <w:rsid w:val="00346905"/>
    <w:rsid w:val="0034782B"/>
    <w:rsid w:val="00351E5C"/>
    <w:rsid w:val="00351F5A"/>
    <w:rsid w:val="003538F7"/>
    <w:rsid w:val="003545F9"/>
    <w:rsid w:val="00354904"/>
    <w:rsid w:val="0035500A"/>
    <w:rsid w:val="0035551F"/>
    <w:rsid w:val="0035580F"/>
    <w:rsid w:val="00356DF3"/>
    <w:rsid w:val="00357CB4"/>
    <w:rsid w:val="003604EE"/>
    <w:rsid w:val="00361421"/>
    <w:rsid w:val="0036286B"/>
    <w:rsid w:val="00363371"/>
    <w:rsid w:val="00364989"/>
    <w:rsid w:val="00365A40"/>
    <w:rsid w:val="003664C0"/>
    <w:rsid w:val="00366769"/>
    <w:rsid w:val="00367A28"/>
    <w:rsid w:val="00367E04"/>
    <w:rsid w:val="0037099B"/>
    <w:rsid w:val="00371134"/>
    <w:rsid w:val="00372B01"/>
    <w:rsid w:val="00372CD1"/>
    <w:rsid w:val="00372F97"/>
    <w:rsid w:val="00374D30"/>
    <w:rsid w:val="00374F51"/>
    <w:rsid w:val="00374F60"/>
    <w:rsid w:val="003754DE"/>
    <w:rsid w:val="00375A58"/>
    <w:rsid w:val="00375B5A"/>
    <w:rsid w:val="003761F2"/>
    <w:rsid w:val="00376A05"/>
    <w:rsid w:val="00376BEF"/>
    <w:rsid w:val="00376D5F"/>
    <w:rsid w:val="003774FE"/>
    <w:rsid w:val="003811F2"/>
    <w:rsid w:val="003815EB"/>
    <w:rsid w:val="00381BFD"/>
    <w:rsid w:val="00383814"/>
    <w:rsid w:val="00383922"/>
    <w:rsid w:val="00384C53"/>
    <w:rsid w:val="00386C06"/>
    <w:rsid w:val="00386D84"/>
    <w:rsid w:val="00387651"/>
    <w:rsid w:val="00387D82"/>
    <w:rsid w:val="00390E30"/>
    <w:rsid w:val="00391134"/>
    <w:rsid w:val="0039150D"/>
    <w:rsid w:val="00392823"/>
    <w:rsid w:val="003938AC"/>
    <w:rsid w:val="00393ABE"/>
    <w:rsid w:val="0039458D"/>
    <w:rsid w:val="00394D61"/>
    <w:rsid w:val="00395201"/>
    <w:rsid w:val="003964A0"/>
    <w:rsid w:val="00396B39"/>
    <w:rsid w:val="00397BB6"/>
    <w:rsid w:val="003A05FC"/>
    <w:rsid w:val="003A1F5A"/>
    <w:rsid w:val="003A20C4"/>
    <w:rsid w:val="003A23B9"/>
    <w:rsid w:val="003A290F"/>
    <w:rsid w:val="003A2ECE"/>
    <w:rsid w:val="003A2EEC"/>
    <w:rsid w:val="003A4252"/>
    <w:rsid w:val="003A45B3"/>
    <w:rsid w:val="003A539A"/>
    <w:rsid w:val="003A62A4"/>
    <w:rsid w:val="003A6559"/>
    <w:rsid w:val="003A7476"/>
    <w:rsid w:val="003A74CA"/>
    <w:rsid w:val="003A7D86"/>
    <w:rsid w:val="003B0AA1"/>
    <w:rsid w:val="003B150B"/>
    <w:rsid w:val="003B1902"/>
    <w:rsid w:val="003B1A6F"/>
    <w:rsid w:val="003B1E54"/>
    <w:rsid w:val="003B243D"/>
    <w:rsid w:val="003B304F"/>
    <w:rsid w:val="003B361F"/>
    <w:rsid w:val="003B4273"/>
    <w:rsid w:val="003B5D18"/>
    <w:rsid w:val="003B795D"/>
    <w:rsid w:val="003C07CC"/>
    <w:rsid w:val="003C190E"/>
    <w:rsid w:val="003C24F5"/>
    <w:rsid w:val="003C26A6"/>
    <w:rsid w:val="003C26C1"/>
    <w:rsid w:val="003C2FE9"/>
    <w:rsid w:val="003C3173"/>
    <w:rsid w:val="003C3B24"/>
    <w:rsid w:val="003C47F5"/>
    <w:rsid w:val="003C4E25"/>
    <w:rsid w:val="003C5C11"/>
    <w:rsid w:val="003C6A5A"/>
    <w:rsid w:val="003C6AAD"/>
    <w:rsid w:val="003C6F75"/>
    <w:rsid w:val="003C76E4"/>
    <w:rsid w:val="003D02A5"/>
    <w:rsid w:val="003D048C"/>
    <w:rsid w:val="003D0C20"/>
    <w:rsid w:val="003D18A5"/>
    <w:rsid w:val="003D1D4D"/>
    <w:rsid w:val="003D283C"/>
    <w:rsid w:val="003D2D68"/>
    <w:rsid w:val="003D3682"/>
    <w:rsid w:val="003D37DD"/>
    <w:rsid w:val="003D3B8D"/>
    <w:rsid w:val="003D45DF"/>
    <w:rsid w:val="003D47C6"/>
    <w:rsid w:val="003D4F61"/>
    <w:rsid w:val="003D5755"/>
    <w:rsid w:val="003D6D9E"/>
    <w:rsid w:val="003D7E38"/>
    <w:rsid w:val="003D7EAC"/>
    <w:rsid w:val="003E0C5D"/>
    <w:rsid w:val="003E1AFA"/>
    <w:rsid w:val="003E1BA9"/>
    <w:rsid w:val="003E1EA3"/>
    <w:rsid w:val="003E375F"/>
    <w:rsid w:val="003E379A"/>
    <w:rsid w:val="003E52B0"/>
    <w:rsid w:val="003E5F76"/>
    <w:rsid w:val="003E64DC"/>
    <w:rsid w:val="003E669E"/>
    <w:rsid w:val="003E6ADE"/>
    <w:rsid w:val="003E7A43"/>
    <w:rsid w:val="003F0B58"/>
    <w:rsid w:val="003F0D40"/>
    <w:rsid w:val="003F11D1"/>
    <w:rsid w:val="003F2236"/>
    <w:rsid w:val="003F27B7"/>
    <w:rsid w:val="003F4051"/>
    <w:rsid w:val="003F5812"/>
    <w:rsid w:val="003F5869"/>
    <w:rsid w:val="003F625A"/>
    <w:rsid w:val="003F6AA4"/>
    <w:rsid w:val="003F6EA1"/>
    <w:rsid w:val="003F7743"/>
    <w:rsid w:val="003F7AE6"/>
    <w:rsid w:val="003F7C66"/>
    <w:rsid w:val="00400821"/>
    <w:rsid w:val="004008E4"/>
    <w:rsid w:val="00400E4A"/>
    <w:rsid w:val="00401CD4"/>
    <w:rsid w:val="004028E7"/>
    <w:rsid w:val="00402D79"/>
    <w:rsid w:val="00402E9A"/>
    <w:rsid w:val="00403585"/>
    <w:rsid w:val="00403FA8"/>
    <w:rsid w:val="00404040"/>
    <w:rsid w:val="00404213"/>
    <w:rsid w:val="004048AC"/>
    <w:rsid w:val="00404B8E"/>
    <w:rsid w:val="00405FD8"/>
    <w:rsid w:val="00406115"/>
    <w:rsid w:val="004068C2"/>
    <w:rsid w:val="00406E61"/>
    <w:rsid w:val="00407100"/>
    <w:rsid w:val="00407DD6"/>
    <w:rsid w:val="00410EC3"/>
    <w:rsid w:val="00412559"/>
    <w:rsid w:val="00412B4C"/>
    <w:rsid w:val="00413AD8"/>
    <w:rsid w:val="004145F0"/>
    <w:rsid w:val="00415E7F"/>
    <w:rsid w:val="0041720A"/>
    <w:rsid w:val="00420288"/>
    <w:rsid w:val="00421C78"/>
    <w:rsid w:val="004224CE"/>
    <w:rsid w:val="0042399D"/>
    <w:rsid w:val="00423A21"/>
    <w:rsid w:val="00423CC7"/>
    <w:rsid w:val="00423D5E"/>
    <w:rsid w:val="00424A78"/>
    <w:rsid w:val="004254DB"/>
    <w:rsid w:val="004259BA"/>
    <w:rsid w:val="00425BC3"/>
    <w:rsid w:val="00427EEA"/>
    <w:rsid w:val="004313AC"/>
    <w:rsid w:val="00431443"/>
    <w:rsid w:val="00431836"/>
    <w:rsid w:val="004321E6"/>
    <w:rsid w:val="0043278E"/>
    <w:rsid w:val="004332A4"/>
    <w:rsid w:val="00433710"/>
    <w:rsid w:val="004337C2"/>
    <w:rsid w:val="0043392C"/>
    <w:rsid w:val="00433AD3"/>
    <w:rsid w:val="004360AC"/>
    <w:rsid w:val="00436B83"/>
    <w:rsid w:val="004379A2"/>
    <w:rsid w:val="00441061"/>
    <w:rsid w:val="00441131"/>
    <w:rsid w:val="0044560C"/>
    <w:rsid w:val="004501C9"/>
    <w:rsid w:val="00450C70"/>
    <w:rsid w:val="004515BD"/>
    <w:rsid w:val="00453344"/>
    <w:rsid w:val="00454E76"/>
    <w:rsid w:val="004565F3"/>
    <w:rsid w:val="00457080"/>
    <w:rsid w:val="00457DB0"/>
    <w:rsid w:val="00460891"/>
    <w:rsid w:val="0046293B"/>
    <w:rsid w:val="00462DCC"/>
    <w:rsid w:val="004642CD"/>
    <w:rsid w:val="004649DA"/>
    <w:rsid w:val="00464FB2"/>
    <w:rsid w:val="00465B83"/>
    <w:rsid w:val="004662A8"/>
    <w:rsid w:val="00466CDC"/>
    <w:rsid w:val="0046745E"/>
    <w:rsid w:val="004676ED"/>
    <w:rsid w:val="00467B96"/>
    <w:rsid w:val="004701BC"/>
    <w:rsid w:val="004725ED"/>
    <w:rsid w:val="00472A95"/>
    <w:rsid w:val="004736BE"/>
    <w:rsid w:val="0047544A"/>
    <w:rsid w:val="0047556D"/>
    <w:rsid w:val="00475789"/>
    <w:rsid w:val="00476170"/>
    <w:rsid w:val="004801D4"/>
    <w:rsid w:val="00480284"/>
    <w:rsid w:val="004807CF"/>
    <w:rsid w:val="00481A3F"/>
    <w:rsid w:val="004820B0"/>
    <w:rsid w:val="00482117"/>
    <w:rsid w:val="00482519"/>
    <w:rsid w:val="00482E2F"/>
    <w:rsid w:val="00483FBB"/>
    <w:rsid w:val="00484BAE"/>
    <w:rsid w:val="00484BE0"/>
    <w:rsid w:val="00484F84"/>
    <w:rsid w:val="004853DC"/>
    <w:rsid w:val="004859B4"/>
    <w:rsid w:val="004861A7"/>
    <w:rsid w:val="00486ACD"/>
    <w:rsid w:val="00490B8D"/>
    <w:rsid w:val="0049255A"/>
    <w:rsid w:val="00492C65"/>
    <w:rsid w:val="00492E3C"/>
    <w:rsid w:val="00492E75"/>
    <w:rsid w:val="0049403F"/>
    <w:rsid w:val="00494323"/>
    <w:rsid w:val="00494349"/>
    <w:rsid w:val="00494485"/>
    <w:rsid w:val="00494755"/>
    <w:rsid w:val="004952BC"/>
    <w:rsid w:val="0049682B"/>
    <w:rsid w:val="0049701A"/>
    <w:rsid w:val="00497474"/>
    <w:rsid w:val="0049762B"/>
    <w:rsid w:val="00497710"/>
    <w:rsid w:val="00497D81"/>
    <w:rsid w:val="004A0EB4"/>
    <w:rsid w:val="004A0F27"/>
    <w:rsid w:val="004A0F37"/>
    <w:rsid w:val="004A0F68"/>
    <w:rsid w:val="004A19C3"/>
    <w:rsid w:val="004A3608"/>
    <w:rsid w:val="004A39FB"/>
    <w:rsid w:val="004A3F5D"/>
    <w:rsid w:val="004A444A"/>
    <w:rsid w:val="004A4FBD"/>
    <w:rsid w:val="004A6770"/>
    <w:rsid w:val="004A679D"/>
    <w:rsid w:val="004A706B"/>
    <w:rsid w:val="004A76FF"/>
    <w:rsid w:val="004A7810"/>
    <w:rsid w:val="004A7E93"/>
    <w:rsid w:val="004B021E"/>
    <w:rsid w:val="004B1D81"/>
    <w:rsid w:val="004B2DFA"/>
    <w:rsid w:val="004B3CFB"/>
    <w:rsid w:val="004B45E4"/>
    <w:rsid w:val="004B48AE"/>
    <w:rsid w:val="004B4BD2"/>
    <w:rsid w:val="004B5130"/>
    <w:rsid w:val="004B5D6B"/>
    <w:rsid w:val="004B62A5"/>
    <w:rsid w:val="004B76F8"/>
    <w:rsid w:val="004C19A2"/>
    <w:rsid w:val="004C1B58"/>
    <w:rsid w:val="004C1FA6"/>
    <w:rsid w:val="004C2869"/>
    <w:rsid w:val="004C5CFD"/>
    <w:rsid w:val="004D12C0"/>
    <w:rsid w:val="004D18EA"/>
    <w:rsid w:val="004D2B29"/>
    <w:rsid w:val="004D3713"/>
    <w:rsid w:val="004D6254"/>
    <w:rsid w:val="004D70FD"/>
    <w:rsid w:val="004D7E99"/>
    <w:rsid w:val="004E00CE"/>
    <w:rsid w:val="004E178E"/>
    <w:rsid w:val="004E2319"/>
    <w:rsid w:val="004E29EE"/>
    <w:rsid w:val="004E2BDB"/>
    <w:rsid w:val="004E307B"/>
    <w:rsid w:val="004E35F9"/>
    <w:rsid w:val="004E7F14"/>
    <w:rsid w:val="004F002A"/>
    <w:rsid w:val="004F0966"/>
    <w:rsid w:val="004F125E"/>
    <w:rsid w:val="004F2D0A"/>
    <w:rsid w:val="004F371F"/>
    <w:rsid w:val="004F50AF"/>
    <w:rsid w:val="004F681D"/>
    <w:rsid w:val="004F6E14"/>
    <w:rsid w:val="0050228C"/>
    <w:rsid w:val="005023EE"/>
    <w:rsid w:val="00502857"/>
    <w:rsid w:val="005033C3"/>
    <w:rsid w:val="005044A9"/>
    <w:rsid w:val="00504F68"/>
    <w:rsid w:val="005052A5"/>
    <w:rsid w:val="005054DC"/>
    <w:rsid w:val="00505994"/>
    <w:rsid w:val="00505FD4"/>
    <w:rsid w:val="005062F0"/>
    <w:rsid w:val="005063CE"/>
    <w:rsid w:val="005064F7"/>
    <w:rsid w:val="00506E25"/>
    <w:rsid w:val="00507FA3"/>
    <w:rsid w:val="0051033B"/>
    <w:rsid w:val="005107BA"/>
    <w:rsid w:val="0051132C"/>
    <w:rsid w:val="00511569"/>
    <w:rsid w:val="005119D0"/>
    <w:rsid w:val="00512952"/>
    <w:rsid w:val="00513483"/>
    <w:rsid w:val="00514468"/>
    <w:rsid w:val="00514A55"/>
    <w:rsid w:val="00514EF5"/>
    <w:rsid w:val="0051606E"/>
    <w:rsid w:val="005163EB"/>
    <w:rsid w:val="0051782D"/>
    <w:rsid w:val="0052087E"/>
    <w:rsid w:val="005209B5"/>
    <w:rsid w:val="00521FD7"/>
    <w:rsid w:val="005223BC"/>
    <w:rsid w:val="0052315E"/>
    <w:rsid w:val="00523A1A"/>
    <w:rsid w:val="00523B57"/>
    <w:rsid w:val="00523B73"/>
    <w:rsid w:val="00523F48"/>
    <w:rsid w:val="00525128"/>
    <w:rsid w:val="00530ED3"/>
    <w:rsid w:val="00532D58"/>
    <w:rsid w:val="00533D2D"/>
    <w:rsid w:val="0053438E"/>
    <w:rsid w:val="005343E5"/>
    <w:rsid w:val="005346B7"/>
    <w:rsid w:val="00534C68"/>
    <w:rsid w:val="005355EE"/>
    <w:rsid w:val="00535B16"/>
    <w:rsid w:val="005366D0"/>
    <w:rsid w:val="00537E27"/>
    <w:rsid w:val="00540B4D"/>
    <w:rsid w:val="00540FFA"/>
    <w:rsid w:val="00542930"/>
    <w:rsid w:val="005435B3"/>
    <w:rsid w:val="00545568"/>
    <w:rsid w:val="005459AD"/>
    <w:rsid w:val="00550207"/>
    <w:rsid w:val="0055024B"/>
    <w:rsid w:val="00550849"/>
    <w:rsid w:val="00550866"/>
    <w:rsid w:val="0055290F"/>
    <w:rsid w:val="005539D5"/>
    <w:rsid w:val="00554BF3"/>
    <w:rsid w:val="00556275"/>
    <w:rsid w:val="0055655F"/>
    <w:rsid w:val="0055657D"/>
    <w:rsid w:val="005579B9"/>
    <w:rsid w:val="00560D0D"/>
    <w:rsid w:val="005632BF"/>
    <w:rsid w:val="005632F1"/>
    <w:rsid w:val="005644AD"/>
    <w:rsid w:val="00564916"/>
    <w:rsid w:val="005657D5"/>
    <w:rsid w:val="00565D24"/>
    <w:rsid w:val="00565FB1"/>
    <w:rsid w:val="005662FB"/>
    <w:rsid w:val="00566A8F"/>
    <w:rsid w:val="00567429"/>
    <w:rsid w:val="00567781"/>
    <w:rsid w:val="00567DA0"/>
    <w:rsid w:val="00567ECC"/>
    <w:rsid w:val="0057019C"/>
    <w:rsid w:val="00570AA5"/>
    <w:rsid w:val="00570EDE"/>
    <w:rsid w:val="005713B1"/>
    <w:rsid w:val="005725A7"/>
    <w:rsid w:val="0057363E"/>
    <w:rsid w:val="005754AA"/>
    <w:rsid w:val="00575C08"/>
    <w:rsid w:val="0057624B"/>
    <w:rsid w:val="0057644D"/>
    <w:rsid w:val="0057649A"/>
    <w:rsid w:val="00577314"/>
    <w:rsid w:val="00577615"/>
    <w:rsid w:val="005777D0"/>
    <w:rsid w:val="00580820"/>
    <w:rsid w:val="0058109E"/>
    <w:rsid w:val="0058129C"/>
    <w:rsid w:val="00583090"/>
    <w:rsid w:val="00583280"/>
    <w:rsid w:val="005835F4"/>
    <w:rsid w:val="00583EFE"/>
    <w:rsid w:val="00584076"/>
    <w:rsid w:val="005841A3"/>
    <w:rsid w:val="0058451A"/>
    <w:rsid w:val="005859D2"/>
    <w:rsid w:val="005859D5"/>
    <w:rsid w:val="00586D9A"/>
    <w:rsid w:val="005872F7"/>
    <w:rsid w:val="00590EAE"/>
    <w:rsid w:val="0059112A"/>
    <w:rsid w:val="0059116B"/>
    <w:rsid w:val="00591B65"/>
    <w:rsid w:val="00592019"/>
    <w:rsid w:val="00592114"/>
    <w:rsid w:val="00592A14"/>
    <w:rsid w:val="00593216"/>
    <w:rsid w:val="00594566"/>
    <w:rsid w:val="00594BC3"/>
    <w:rsid w:val="00595C0B"/>
    <w:rsid w:val="00596CA7"/>
    <w:rsid w:val="00596DC8"/>
    <w:rsid w:val="00596E16"/>
    <w:rsid w:val="00597A78"/>
    <w:rsid w:val="00597DC7"/>
    <w:rsid w:val="005A0310"/>
    <w:rsid w:val="005A16A3"/>
    <w:rsid w:val="005A180E"/>
    <w:rsid w:val="005A199F"/>
    <w:rsid w:val="005A1C48"/>
    <w:rsid w:val="005A253A"/>
    <w:rsid w:val="005A25EC"/>
    <w:rsid w:val="005A2AD8"/>
    <w:rsid w:val="005A3152"/>
    <w:rsid w:val="005A40AF"/>
    <w:rsid w:val="005A422A"/>
    <w:rsid w:val="005A4A30"/>
    <w:rsid w:val="005A64BF"/>
    <w:rsid w:val="005A6AD0"/>
    <w:rsid w:val="005A7539"/>
    <w:rsid w:val="005B0565"/>
    <w:rsid w:val="005B255A"/>
    <w:rsid w:val="005B4421"/>
    <w:rsid w:val="005B4D3B"/>
    <w:rsid w:val="005B513F"/>
    <w:rsid w:val="005B52B9"/>
    <w:rsid w:val="005B5A67"/>
    <w:rsid w:val="005B65A4"/>
    <w:rsid w:val="005B7483"/>
    <w:rsid w:val="005B7929"/>
    <w:rsid w:val="005B7DD7"/>
    <w:rsid w:val="005C0049"/>
    <w:rsid w:val="005C0643"/>
    <w:rsid w:val="005C23AF"/>
    <w:rsid w:val="005C24C3"/>
    <w:rsid w:val="005C25D1"/>
    <w:rsid w:val="005C35A9"/>
    <w:rsid w:val="005C464B"/>
    <w:rsid w:val="005C4CA6"/>
    <w:rsid w:val="005C4E5F"/>
    <w:rsid w:val="005C74A0"/>
    <w:rsid w:val="005C7E74"/>
    <w:rsid w:val="005D052C"/>
    <w:rsid w:val="005D16FE"/>
    <w:rsid w:val="005D4084"/>
    <w:rsid w:val="005D4777"/>
    <w:rsid w:val="005D4C2B"/>
    <w:rsid w:val="005D5784"/>
    <w:rsid w:val="005D5FEB"/>
    <w:rsid w:val="005D7313"/>
    <w:rsid w:val="005D77E4"/>
    <w:rsid w:val="005E19FF"/>
    <w:rsid w:val="005E22CD"/>
    <w:rsid w:val="005E28D9"/>
    <w:rsid w:val="005E2F89"/>
    <w:rsid w:val="005E39A1"/>
    <w:rsid w:val="005E4B4B"/>
    <w:rsid w:val="005E4EED"/>
    <w:rsid w:val="005E52BD"/>
    <w:rsid w:val="005E665D"/>
    <w:rsid w:val="005E6B93"/>
    <w:rsid w:val="005E760B"/>
    <w:rsid w:val="005E7953"/>
    <w:rsid w:val="005E7E82"/>
    <w:rsid w:val="005F256F"/>
    <w:rsid w:val="005F282A"/>
    <w:rsid w:val="005F2C42"/>
    <w:rsid w:val="005F3B36"/>
    <w:rsid w:val="005F4EF3"/>
    <w:rsid w:val="005F4FD7"/>
    <w:rsid w:val="005F5FB7"/>
    <w:rsid w:val="005F675A"/>
    <w:rsid w:val="005F6BAB"/>
    <w:rsid w:val="005F6C28"/>
    <w:rsid w:val="005F6E36"/>
    <w:rsid w:val="005F7AB6"/>
    <w:rsid w:val="005F7E3C"/>
    <w:rsid w:val="00600FA8"/>
    <w:rsid w:val="00601F7A"/>
    <w:rsid w:val="0060407F"/>
    <w:rsid w:val="00605133"/>
    <w:rsid w:val="0060580B"/>
    <w:rsid w:val="00605BEE"/>
    <w:rsid w:val="00605FD0"/>
    <w:rsid w:val="006063DA"/>
    <w:rsid w:val="006064A6"/>
    <w:rsid w:val="006068B4"/>
    <w:rsid w:val="00606989"/>
    <w:rsid w:val="00606CD0"/>
    <w:rsid w:val="00606CE3"/>
    <w:rsid w:val="00610BBC"/>
    <w:rsid w:val="00611DD3"/>
    <w:rsid w:val="00611EF0"/>
    <w:rsid w:val="00612219"/>
    <w:rsid w:val="006124F3"/>
    <w:rsid w:val="00612E04"/>
    <w:rsid w:val="006131F2"/>
    <w:rsid w:val="00613C6F"/>
    <w:rsid w:val="0061625F"/>
    <w:rsid w:val="00616C35"/>
    <w:rsid w:val="00616D33"/>
    <w:rsid w:val="006173A4"/>
    <w:rsid w:val="006175C6"/>
    <w:rsid w:val="00617C44"/>
    <w:rsid w:val="00620086"/>
    <w:rsid w:val="00622074"/>
    <w:rsid w:val="0062244D"/>
    <w:rsid w:val="00622A7A"/>
    <w:rsid w:val="00622CE4"/>
    <w:rsid w:val="00622D03"/>
    <w:rsid w:val="006234A7"/>
    <w:rsid w:val="00623BE2"/>
    <w:rsid w:val="00623F8E"/>
    <w:rsid w:val="00624730"/>
    <w:rsid w:val="00625917"/>
    <w:rsid w:val="00625E2F"/>
    <w:rsid w:val="0062789F"/>
    <w:rsid w:val="006301BE"/>
    <w:rsid w:val="0063096E"/>
    <w:rsid w:val="00631415"/>
    <w:rsid w:val="00632DB2"/>
    <w:rsid w:val="00633349"/>
    <w:rsid w:val="006337AF"/>
    <w:rsid w:val="00633D61"/>
    <w:rsid w:val="00633F8B"/>
    <w:rsid w:val="0063402B"/>
    <w:rsid w:val="00634BE7"/>
    <w:rsid w:val="00636373"/>
    <w:rsid w:val="00636570"/>
    <w:rsid w:val="0063761B"/>
    <w:rsid w:val="00637859"/>
    <w:rsid w:val="00637901"/>
    <w:rsid w:val="006379F1"/>
    <w:rsid w:val="00637E1B"/>
    <w:rsid w:val="00637F32"/>
    <w:rsid w:val="006402DF"/>
    <w:rsid w:val="00640F0E"/>
    <w:rsid w:val="0064164B"/>
    <w:rsid w:val="006436F5"/>
    <w:rsid w:val="0064416A"/>
    <w:rsid w:val="00644468"/>
    <w:rsid w:val="00645A53"/>
    <w:rsid w:val="00645F5E"/>
    <w:rsid w:val="0064630E"/>
    <w:rsid w:val="00647B1E"/>
    <w:rsid w:val="00647C55"/>
    <w:rsid w:val="0065008B"/>
    <w:rsid w:val="0065060C"/>
    <w:rsid w:val="0065063C"/>
    <w:rsid w:val="006507FA"/>
    <w:rsid w:val="00650C72"/>
    <w:rsid w:val="006517AA"/>
    <w:rsid w:val="00653721"/>
    <w:rsid w:val="00653A3B"/>
    <w:rsid w:val="00653FD9"/>
    <w:rsid w:val="006543A2"/>
    <w:rsid w:val="00654D42"/>
    <w:rsid w:val="00656328"/>
    <w:rsid w:val="00656A30"/>
    <w:rsid w:val="00656E74"/>
    <w:rsid w:val="00660279"/>
    <w:rsid w:val="00660A94"/>
    <w:rsid w:val="00660FC0"/>
    <w:rsid w:val="00661733"/>
    <w:rsid w:val="006622B9"/>
    <w:rsid w:val="00662E1E"/>
    <w:rsid w:val="0066371E"/>
    <w:rsid w:val="00663B40"/>
    <w:rsid w:val="0066455B"/>
    <w:rsid w:val="0066592A"/>
    <w:rsid w:val="0066617F"/>
    <w:rsid w:val="00666325"/>
    <w:rsid w:val="006671AD"/>
    <w:rsid w:val="00670BC4"/>
    <w:rsid w:val="00670FBF"/>
    <w:rsid w:val="006718ED"/>
    <w:rsid w:val="00672469"/>
    <w:rsid w:val="006724AD"/>
    <w:rsid w:val="00672681"/>
    <w:rsid w:val="006728A4"/>
    <w:rsid w:val="00672B09"/>
    <w:rsid w:val="00672BAB"/>
    <w:rsid w:val="0067314A"/>
    <w:rsid w:val="0067358A"/>
    <w:rsid w:val="00673D1E"/>
    <w:rsid w:val="0067557E"/>
    <w:rsid w:val="00675E9D"/>
    <w:rsid w:val="00676A61"/>
    <w:rsid w:val="00676B34"/>
    <w:rsid w:val="006777E9"/>
    <w:rsid w:val="006779CF"/>
    <w:rsid w:val="00677A8F"/>
    <w:rsid w:val="00677D16"/>
    <w:rsid w:val="00677D63"/>
    <w:rsid w:val="00677E3D"/>
    <w:rsid w:val="00677F8A"/>
    <w:rsid w:val="006821E3"/>
    <w:rsid w:val="00682756"/>
    <w:rsid w:val="00682766"/>
    <w:rsid w:val="00682D9F"/>
    <w:rsid w:val="00683AD6"/>
    <w:rsid w:val="006842AE"/>
    <w:rsid w:val="006846ED"/>
    <w:rsid w:val="00686CAE"/>
    <w:rsid w:val="006870E8"/>
    <w:rsid w:val="006875BA"/>
    <w:rsid w:val="00687783"/>
    <w:rsid w:val="006879CC"/>
    <w:rsid w:val="006901D8"/>
    <w:rsid w:val="0069097D"/>
    <w:rsid w:val="0069112B"/>
    <w:rsid w:val="006916B6"/>
    <w:rsid w:val="00693FEA"/>
    <w:rsid w:val="00694C68"/>
    <w:rsid w:val="0069528B"/>
    <w:rsid w:val="00696A76"/>
    <w:rsid w:val="006A33A9"/>
    <w:rsid w:val="006A5773"/>
    <w:rsid w:val="006A5804"/>
    <w:rsid w:val="006A58F0"/>
    <w:rsid w:val="006A61C7"/>
    <w:rsid w:val="006A6262"/>
    <w:rsid w:val="006A7839"/>
    <w:rsid w:val="006B0372"/>
    <w:rsid w:val="006B0764"/>
    <w:rsid w:val="006B081C"/>
    <w:rsid w:val="006B0CFF"/>
    <w:rsid w:val="006B1136"/>
    <w:rsid w:val="006B1819"/>
    <w:rsid w:val="006B4467"/>
    <w:rsid w:val="006B5922"/>
    <w:rsid w:val="006B6905"/>
    <w:rsid w:val="006B6C46"/>
    <w:rsid w:val="006B6E78"/>
    <w:rsid w:val="006B7970"/>
    <w:rsid w:val="006B7B4A"/>
    <w:rsid w:val="006B7CCA"/>
    <w:rsid w:val="006C0039"/>
    <w:rsid w:val="006C0136"/>
    <w:rsid w:val="006C0EEA"/>
    <w:rsid w:val="006C1927"/>
    <w:rsid w:val="006C1E9C"/>
    <w:rsid w:val="006C2585"/>
    <w:rsid w:val="006C27FC"/>
    <w:rsid w:val="006C2F4C"/>
    <w:rsid w:val="006C3D72"/>
    <w:rsid w:val="006C4008"/>
    <w:rsid w:val="006C4387"/>
    <w:rsid w:val="006C4E2C"/>
    <w:rsid w:val="006C5931"/>
    <w:rsid w:val="006C6006"/>
    <w:rsid w:val="006C73EF"/>
    <w:rsid w:val="006C781B"/>
    <w:rsid w:val="006D011B"/>
    <w:rsid w:val="006D0197"/>
    <w:rsid w:val="006D09A3"/>
    <w:rsid w:val="006D1723"/>
    <w:rsid w:val="006D3E4E"/>
    <w:rsid w:val="006D5D3F"/>
    <w:rsid w:val="006D60ED"/>
    <w:rsid w:val="006D6A96"/>
    <w:rsid w:val="006D6E6D"/>
    <w:rsid w:val="006D6E7F"/>
    <w:rsid w:val="006D7894"/>
    <w:rsid w:val="006E00DA"/>
    <w:rsid w:val="006E1166"/>
    <w:rsid w:val="006E1A43"/>
    <w:rsid w:val="006E1E09"/>
    <w:rsid w:val="006E24D9"/>
    <w:rsid w:val="006E25BA"/>
    <w:rsid w:val="006E29CB"/>
    <w:rsid w:val="006E3C9E"/>
    <w:rsid w:val="006E54C0"/>
    <w:rsid w:val="006E596E"/>
    <w:rsid w:val="006E65E0"/>
    <w:rsid w:val="006E6D4C"/>
    <w:rsid w:val="006E6EF9"/>
    <w:rsid w:val="006F033F"/>
    <w:rsid w:val="006F0C78"/>
    <w:rsid w:val="006F108E"/>
    <w:rsid w:val="006F24D8"/>
    <w:rsid w:val="006F33B8"/>
    <w:rsid w:val="006F4C9C"/>
    <w:rsid w:val="006F5B26"/>
    <w:rsid w:val="006F5E8D"/>
    <w:rsid w:val="006F640F"/>
    <w:rsid w:val="006F6D64"/>
    <w:rsid w:val="006F762A"/>
    <w:rsid w:val="0070127D"/>
    <w:rsid w:val="007014E2"/>
    <w:rsid w:val="00701B6B"/>
    <w:rsid w:val="00701CE8"/>
    <w:rsid w:val="007026CB"/>
    <w:rsid w:val="00702D07"/>
    <w:rsid w:val="0070384F"/>
    <w:rsid w:val="00703A9E"/>
    <w:rsid w:val="00703D6D"/>
    <w:rsid w:val="00704095"/>
    <w:rsid w:val="00704152"/>
    <w:rsid w:val="007042AF"/>
    <w:rsid w:val="00704FB5"/>
    <w:rsid w:val="00706B71"/>
    <w:rsid w:val="00707D1A"/>
    <w:rsid w:val="00710047"/>
    <w:rsid w:val="0071022A"/>
    <w:rsid w:val="00710C51"/>
    <w:rsid w:val="007118E3"/>
    <w:rsid w:val="00711BD1"/>
    <w:rsid w:val="0071277A"/>
    <w:rsid w:val="00712D44"/>
    <w:rsid w:val="00712EE5"/>
    <w:rsid w:val="00713493"/>
    <w:rsid w:val="00713494"/>
    <w:rsid w:val="00713EA7"/>
    <w:rsid w:val="00714031"/>
    <w:rsid w:val="0071466E"/>
    <w:rsid w:val="00714A6C"/>
    <w:rsid w:val="00714CD3"/>
    <w:rsid w:val="00715058"/>
    <w:rsid w:val="0071582C"/>
    <w:rsid w:val="00716174"/>
    <w:rsid w:val="007178E9"/>
    <w:rsid w:val="00717D3B"/>
    <w:rsid w:val="007203D8"/>
    <w:rsid w:val="007206A8"/>
    <w:rsid w:val="0072070F"/>
    <w:rsid w:val="0072116D"/>
    <w:rsid w:val="0072226F"/>
    <w:rsid w:val="00725B78"/>
    <w:rsid w:val="00727082"/>
    <w:rsid w:val="0073233C"/>
    <w:rsid w:val="007326DC"/>
    <w:rsid w:val="00732AA2"/>
    <w:rsid w:val="00732D0C"/>
    <w:rsid w:val="00732DB5"/>
    <w:rsid w:val="00733EAD"/>
    <w:rsid w:val="007342A3"/>
    <w:rsid w:val="007348FC"/>
    <w:rsid w:val="00734936"/>
    <w:rsid w:val="00734F54"/>
    <w:rsid w:val="00735AA6"/>
    <w:rsid w:val="00736D93"/>
    <w:rsid w:val="00737BDD"/>
    <w:rsid w:val="00737C04"/>
    <w:rsid w:val="00737F64"/>
    <w:rsid w:val="007422C9"/>
    <w:rsid w:val="00742E0A"/>
    <w:rsid w:val="00744110"/>
    <w:rsid w:val="00744595"/>
    <w:rsid w:val="00745FCE"/>
    <w:rsid w:val="0074695A"/>
    <w:rsid w:val="00747A52"/>
    <w:rsid w:val="00747A5A"/>
    <w:rsid w:val="00747C3A"/>
    <w:rsid w:val="00747EAE"/>
    <w:rsid w:val="00750F1E"/>
    <w:rsid w:val="00751C12"/>
    <w:rsid w:val="00752691"/>
    <w:rsid w:val="007528F2"/>
    <w:rsid w:val="00753562"/>
    <w:rsid w:val="00753D86"/>
    <w:rsid w:val="00753E5A"/>
    <w:rsid w:val="00755704"/>
    <w:rsid w:val="0075649D"/>
    <w:rsid w:val="007575C4"/>
    <w:rsid w:val="00757D63"/>
    <w:rsid w:val="00761C14"/>
    <w:rsid w:val="00762A1B"/>
    <w:rsid w:val="00762D6D"/>
    <w:rsid w:val="00763700"/>
    <w:rsid w:val="0076427C"/>
    <w:rsid w:val="00764DCC"/>
    <w:rsid w:val="00765217"/>
    <w:rsid w:val="007659AA"/>
    <w:rsid w:val="00766334"/>
    <w:rsid w:val="00766EF2"/>
    <w:rsid w:val="0076732D"/>
    <w:rsid w:val="00767690"/>
    <w:rsid w:val="0076792B"/>
    <w:rsid w:val="007703BE"/>
    <w:rsid w:val="00771C07"/>
    <w:rsid w:val="00772281"/>
    <w:rsid w:val="0077266C"/>
    <w:rsid w:val="00772802"/>
    <w:rsid w:val="00772A6A"/>
    <w:rsid w:val="00772AE7"/>
    <w:rsid w:val="00775066"/>
    <w:rsid w:val="00775BDF"/>
    <w:rsid w:val="007760FF"/>
    <w:rsid w:val="00776406"/>
    <w:rsid w:val="00776EF6"/>
    <w:rsid w:val="00777C11"/>
    <w:rsid w:val="0078005A"/>
    <w:rsid w:val="00781388"/>
    <w:rsid w:val="00781B6F"/>
    <w:rsid w:val="00781E59"/>
    <w:rsid w:val="00781F9C"/>
    <w:rsid w:val="007820ED"/>
    <w:rsid w:val="00782DFD"/>
    <w:rsid w:val="0078407B"/>
    <w:rsid w:val="00784424"/>
    <w:rsid w:val="007844E4"/>
    <w:rsid w:val="00785474"/>
    <w:rsid w:val="00785C87"/>
    <w:rsid w:val="00786B8B"/>
    <w:rsid w:val="007876CE"/>
    <w:rsid w:val="0078772C"/>
    <w:rsid w:val="00787B99"/>
    <w:rsid w:val="00787F8A"/>
    <w:rsid w:val="007907C8"/>
    <w:rsid w:val="0079115C"/>
    <w:rsid w:val="007925B6"/>
    <w:rsid w:val="007934F5"/>
    <w:rsid w:val="0079421C"/>
    <w:rsid w:val="00794700"/>
    <w:rsid w:val="007949A4"/>
    <w:rsid w:val="0079526D"/>
    <w:rsid w:val="00795A2C"/>
    <w:rsid w:val="007963F4"/>
    <w:rsid w:val="00797309"/>
    <w:rsid w:val="00797390"/>
    <w:rsid w:val="007979EB"/>
    <w:rsid w:val="007A03DD"/>
    <w:rsid w:val="007A05B6"/>
    <w:rsid w:val="007A1C0A"/>
    <w:rsid w:val="007A1C59"/>
    <w:rsid w:val="007A2061"/>
    <w:rsid w:val="007A39C0"/>
    <w:rsid w:val="007A3AD7"/>
    <w:rsid w:val="007A4397"/>
    <w:rsid w:val="007A43D9"/>
    <w:rsid w:val="007A5B41"/>
    <w:rsid w:val="007A5E2D"/>
    <w:rsid w:val="007B0C64"/>
    <w:rsid w:val="007B3A76"/>
    <w:rsid w:val="007B489F"/>
    <w:rsid w:val="007B5792"/>
    <w:rsid w:val="007B6481"/>
    <w:rsid w:val="007B6AEB"/>
    <w:rsid w:val="007C0427"/>
    <w:rsid w:val="007C2905"/>
    <w:rsid w:val="007C2934"/>
    <w:rsid w:val="007C31E2"/>
    <w:rsid w:val="007C5CE1"/>
    <w:rsid w:val="007C6ADD"/>
    <w:rsid w:val="007C6E55"/>
    <w:rsid w:val="007C6F85"/>
    <w:rsid w:val="007C7A2E"/>
    <w:rsid w:val="007D0569"/>
    <w:rsid w:val="007D16B1"/>
    <w:rsid w:val="007D17DC"/>
    <w:rsid w:val="007D192D"/>
    <w:rsid w:val="007D19E4"/>
    <w:rsid w:val="007D2001"/>
    <w:rsid w:val="007D2D8D"/>
    <w:rsid w:val="007D473B"/>
    <w:rsid w:val="007D57FE"/>
    <w:rsid w:val="007D68F7"/>
    <w:rsid w:val="007D6A82"/>
    <w:rsid w:val="007D7400"/>
    <w:rsid w:val="007D7761"/>
    <w:rsid w:val="007D79FF"/>
    <w:rsid w:val="007E02A7"/>
    <w:rsid w:val="007E17AC"/>
    <w:rsid w:val="007E4059"/>
    <w:rsid w:val="007E468A"/>
    <w:rsid w:val="007E4699"/>
    <w:rsid w:val="007E46A4"/>
    <w:rsid w:val="007E51A5"/>
    <w:rsid w:val="007E53AA"/>
    <w:rsid w:val="007E5629"/>
    <w:rsid w:val="007E6D6F"/>
    <w:rsid w:val="007E7F4C"/>
    <w:rsid w:val="007F1015"/>
    <w:rsid w:val="007F140B"/>
    <w:rsid w:val="007F208D"/>
    <w:rsid w:val="007F2289"/>
    <w:rsid w:val="007F2EC6"/>
    <w:rsid w:val="007F3018"/>
    <w:rsid w:val="007F3A66"/>
    <w:rsid w:val="007F47BC"/>
    <w:rsid w:val="007F4B07"/>
    <w:rsid w:val="007F4D18"/>
    <w:rsid w:val="007F585B"/>
    <w:rsid w:val="007F6862"/>
    <w:rsid w:val="008013FC"/>
    <w:rsid w:val="008046FA"/>
    <w:rsid w:val="0080597B"/>
    <w:rsid w:val="008060C3"/>
    <w:rsid w:val="008063A1"/>
    <w:rsid w:val="00807F00"/>
    <w:rsid w:val="00812095"/>
    <w:rsid w:val="00812891"/>
    <w:rsid w:val="008134BD"/>
    <w:rsid w:val="008139A5"/>
    <w:rsid w:val="00814656"/>
    <w:rsid w:val="00814D2A"/>
    <w:rsid w:val="00814E39"/>
    <w:rsid w:val="00817B87"/>
    <w:rsid w:val="00820E45"/>
    <w:rsid w:val="00820FF1"/>
    <w:rsid w:val="008219B0"/>
    <w:rsid w:val="00821E2C"/>
    <w:rsid w:val="00822835"/>
    <w:rsid w:val="0082459B"/>
    <w:rsid w:val="00826758"/>
    <w:rsid w:val="00826FDA"/>
    <w:rsid w:val="00830635"/>
    <w:rsid w:val="008313D1"/>
    <w:rsid w:val="00831810"/>
    <w:rsid w:val="00833261"/>
    <w:rsid w:val="00834A7F"/>
    <w:rsid w:val="00834B1B"/>
    <w:rsid w:val="008353E0"/>
    <w:rsid w:val="00835752"/>
    <w:rsid w:val="00835770"/>
    <w:rsid w:val="008365F0"/>
    <w:rsid w:val="00836AF0"/>
    <w:rsid w:val="00837932"/>
    <w:rsid w:val="00837C80"/>
    <w:rsid w:val="00841534"/>
    <w:rsid w:val="00842BC4"/>
    <w:rsid w:val="00843CB3"/>
    <w:rsid w:val="008462F1"/>
    <w:rsid w:val="00846930"/>
    <w:rsid w:val="008500D0"/>
    <w:rsid w:val="00850F03"/>
    <w:rsid w:val="00850FDE"/>
    <w:rsid w:val="00852876"/>
    <w:rsid w:val="008543F5"/>
    <w:rsid w:val="00855004"/>
    <w:rsid w:val="008572C4"/>
    <w:rsid w:val="0085733E"/>
    <w:rsid w:val="0085765A"/>
    <w:rsid w:val="00857B58"/>
    <w:rsid w:val="00860266"/>
    <w:rsid w:val="008604A8"/>
    <w:rsid w:val="00860E64"/>
    <w:rsid w:val="008616F7"/>
    <w:rsid w:val="00861AFA"/>
    <w:rsid w:val="00862A8F"/>
    <w:rsid w:val="0086302A"/>
    <w:rsid w:val="008637B4"/>
    <w:rsid w:val="00863C61"/>
    <w:rsid w:val="00864447"/>
    <w:rsid w:val="00864FDB"/>
    <w:rsid w:val="00865522"/>
    <w:rsid w:val="00865A02"/>
    <w:rsid w:val="00865ADF"/>
    <w:rsid w:val="0086644C"/>
    <w:rsid w:val="008666B5"/>
    <w:rsid w:val="00866F51"/>
    <w:rsid w:val="00867452"/>
    <w:rsid w:val="00867EFB"/>
    <w:rsid w:val="00870331"/>
    <w:rsid w:val="008703B3"/>
    <w:rsid w:val="00871F13"/>
    <w:rsid w:val="00872BC1"/>
    <w:rsid w:val="00875BFC"/>
    <w:rsid w:val="00876985"/>
    <w:rsid w:val="008771AF"/>
    <w:rsid w:val="00877D0D"/>
    <w:rsid w:val="008807A5"/>
    <w:rsid w:val="008808E6"/>
    <w:rsid w:val="00880A07"/>
    <w:rsid w:val="0088113D"/>
    <w:rsid w:val="008815E1"/>
    <w:rsid w:val="00882907"/>
    <w:rsid w:val="00882CB4"/>
    <w:rsid w:val="008834EB"/>
    <w:rsid w:val="00883780"/>
    <w:rsid w:val="0088381C"/>
    <w:rsid w:val="00883B99"/>
    <w:rsid w:val="008843AC"/>
    <w:rsid w:val="00885066"/>
    <w:rsid w:val="00885128"/>
    <w:rsid w:val="00885F85"/>
    <w:rsid w:val="008860CB"/>
    <w:rsid w:val="0088665E"/>
    <w:rsid w:val="00887F48"/>
    <w:rsid w:val="00890368"/>
    <w:rsid w:val="0089186D"/>
    <w:rsid w:val="008923C8"/>
    <w:rsid w:val="00892480"/>
    <w:rsid w:val="008924B5"/>
    <w:rsid w:val="00893260"/>
    <w:rsid w:val="008932A8"/>
    <w:rsid w:val="00893756"/>
    <w:rsid w:val="00894082"/>
    <w:rsid w:val="008941D0"/>
    <w:rsid w:val="00894A9E"/>
    <w:rsid w:val="008950F6"/>
    <w:rsid w:val="00895175"/>
    <w:rsid w:val="00896815"/>
    <w:rsid w:val="008A033A"/>
    <w:rsid w:val="008A0744"/>
    <w:rsid w:val="008A0A6E"/>
    <w:rsid w:val="008A0D0F"/>
    <w:rsid w:val="008A1C2A"/>
    <w:rsid w:val="008A2FB3"/>
    <w:rsid w:val="008A34DE"/>
    <w:rsid w:val="008A398B"/>
    <w:rsid w:val="008A3EBC"/>
    <w:rsid w:val="008A454C"/>
    <w:rsid w:val="008A4934"/>
    <w:rsid w:val="008A5601"/>
    <w:rsid w:val="008A5665"/>
    <w:rsid w:val="008A56DC"/>
    <w:rsid w:val="008A59AD"/>
    <w:rsid w:val="008A5A32"/>
    <w:rsid w:val="008A5CE3"/>
    <w:rsid w:val="008A7BD4"/>
    <w:rsid w:val="008B0EEB"/>
    <w:rsid w:val="008B1CAA"/>
    <w:rsid w:val="008B2221"/>
    <w:rsid w:val="008B431D"/>
    <w:rsid w:val="008B4D50"/>
    <w:rsid w:val="008B51FD"/>
    <w:rsid w:val="008B6269"/>
    <w:rsid w:val="008B6766"/>
    <w:rsid w:val="008B70F5"/>
    <w:rsid w:val="008B7186"/>
    <w:rsid w:val="008B7192"/>
    <w:rsid w:val="008C05D0"/>
    <w:rsid w:val="008C1939"/>
    <w:rsid w:val="008C28A4"/>
    <w:rsid w:val="008C3396"/>
    <w:rsid w:val="008C3FAD"/>
    <w:rsid w:val="008C4290"/>
    <w:rsid w:val="008C4CB2"/>
    <w:rsid w:val="008C5E5D"/>
    <w:rsid w:val="008C5FF8"/>
    <w:rsid w:val="008C621C"/>
    <w:rsid w:val="008C697C"/>
    <w:rsid w:val="008C7448"/>
    <w:rsid w:val="008C75ED"/>
    <w:rsid w:val="008C7649"/>
    <w:rsid w:val="008D27B5"/>
    <w:rsid w:val="008D3DD7"/>
    <w:rsid w:val="008D5AB2"/>
    <w:rsid w:val="008E0348"/>
    <w:rsid w:val="008E03B0"/>
    <w:rsid w:val="008E0991"/>
    <w:rsid w:val="008E1F4D"/>
    <w:rsid w:val="008E338E"/>
    <w:rsid w:val="008E3E60"/>
    <w:rsid w:val="008E4444"/>
    <w:rsid w:val="008E52FF"/>
    <w:rsid w:val="008E57FE"/>
    <w:rsid w:val="008F1818"/>
    <w:rsid w:val="008F2665"/>
    <w:rsid w:val="008F507E"/>
    <w:rsid w:val="008F5251"/>
    <w:rsid w:val="008F6170"/>
    <w:rsid w:val="008F6376"/>
    <w:rsid w:val="00900CC2"/>
    <w:rsid w:val="00900F1C"/>
    <w:rsid w:val="00901770"/>
    <w:rsid w:val="009019FB"/>
    <w:rsid w:val="00901B92"/>
    <w:rsid w:val="00902AA5"/>
    <w:rsid w:val="00902D70"/>
    <w:rsid w:val="00904513"/>
    <w:rsid w:val="009052B7"/>
    <w:rsid w:val="00905B05"/>
    <w:rsid w:val="00906356"/>
    <w:rsid w:val="0090730A"/>
    <w:rsid w:val="0090753C"/>
    <w:rsid w:val="0090759D"/>
    <w:rsid w:val="009077B5"/>
    <w:rsid w:val="0091156F"/>
    <w:rsid w:val="00911B66"/>
    <w:rsid w:val="00912A7E"/>
    <w:rsid w:val="00914185"/>
    <w:rsid w:val="0091475C"/>
    <w:rsid w:val="00914A19"/>
    <w:rsid w:val="00914A25"/>
    <w:rsid w:val="00914FB8"/>
    <w:rsid w:val="00915330"/>
    <w:rsid w:val="00916E69"/>
    <w:rsid w:val="00917525"/>
    <w:rsid w:val="0091777D"/>
    <w:rsid w:val="00917C39"/>
    <w:rsid w:val="0092057D"/>
    <w:rsid w:val="0092113B"/>
    <w:rsid w:val="009218DE"/>
    <w:rsid w:val="00921925"/>
    <w:rsid w:val="00921A64"/>
    <w:rsid w:val="00922AB8"/>
    <w:rsid w:val="00922D00"/>
    <w:rsid w:val="009233CC"/>
    <w:rsid w:val="00923F17"/>
    <w:rsid w:val="0092464A"/>
    <w:rsid w:val="0092592F"/>
    <w:rsid w:val="009266DA"/>
    <w:rsid w:val="00927F35"/>
    <w:rsid w:val="0093076C"/>
    <w:rsid w:val="00930DE8"/>
    <w:rsid w:val="009318DD"/>
    <w:rsid w:val="00932CE0"/>
    <w:rsid w:val="00933D46"/>
    <w:rsid w:val="00934390"/>
    <w:rsid w:val="009352C3"/>
    <w:rsid w:val="00935413"/>
    <w:rsid w:val="00935B3F"/>
    <w:rsid w:val="00935F5D"/>
    <w:rsid w:val="0093669F"/>
    <w:rsid w:val="009368E0"/>
    <w:rsid w:val="009409F1"/>
    <w:rsid w:val="00940C1E"/>
    <w:rsid w:val="00942014"/>
    <w:rsid w:val="0094260B"/>
    <w:rsid w:val="00942661"/>
    <w:rsid w:val="0094374F"/>
    <w:rsid w:val="00945307"/>
    <w:rsid w:val="0094558D"/>
    <w:rsid w:val="00945FA5"/>
    <w:rsid w:val="0094697C"/>
    <w:rsid w:val="00946FCE"/>
    <w:rsid w:val="009501FA"/>
    <w:rsid w:val="009503B4"/>
    <w:rsid w:val="009513BF"/>
    <w:rsid w:val="009515BC"/>
    <w:rsid w:val="009517B3"/>
    <w:rsid w:val="009523E7"/>
    <w:rsid w:val="0095349A"/>
    <w:rsid w:val="00953B5B"/>
    <w:rsid w:val="00953ED0"/>
    <w:rsid w:val="0095492E"/>
    <w:rsid w:val="00955F7D"/>
    <w:rsid w:val="00956FC4"/>
    <w:rsid w:val="0096191F"/>
    <w:rsid w:val="0096229F"/>
    <w:rsid w:val="009623F6"/>
    <w:rsid w:val="0096242F"/>
    <w:rsid w:val="00962543"/>
    <w:rsid w:val="00962E29"/>
    <w:rsid w:val="00962E3B"/>
    <w:rsid w:val="00962FF5"/>
    <w:rsid w:val="00963476"/>
    <w:rsid w:val="009643FF"/>
    <w:rsid w:val="00964A4E"/>
    <w:rsid w:val="00965B02"/>
    <w:rsid w:val="00965C07"/>
    <w:rsid w:val="00965D2D"/>
    <w:rsid w:val="00967384"/>
    <w:rsid w:val="00967652"/>
    <w:rsid w:val="00967927"/>
    <w:rsid w:val="00967C86"/>
    <w:rsid w:val="00970A16"/>
    <w:rsid w:val="00971847"/>
    <w:rsid w:val="00972964"/>
    <w:rsid w:val="00973147"/>
    <w:rsid w:val="00974225"/>
    <w:rsid w:val="00974880"/>
    <w:rsid w:val="009768BF"/>
    <w:rsid w:val="0097762F"/>
    <w:rsid w:val="00977C0A"/>
    <w:rsid w:val="00980EF9"/>
    <w:rsid w:val="009816B8"/>
    <w:rsid w:val="00982E52"/>
    <w:rsid w:val="00983B45"/>
    <w:rsid w:val="00983B5C"/>
    <w:rsid w:val="009851CF"/>
    <w:rsid w:val="00985261"/>
    <w:rsid w:val="00986055"/>
    <w:rsid w:val="009860B2"/>
    <w:rsid w:val="0098766F"/>
    <w:rsid w:val="00987700"/>
    <w:rsid w:val="00987CC4"/>
    <w:rsid w:val="00990C88"/>
    <w:rsid w:val="00992246"/>
    <w:rsid w:val="00992E72"/>
    <w:rsid w:val="0099324F"/>
    <w:rsid w:val="00993912"/>
    <w:rsid w:val="00994050"/>
    <w:rsid w:val="00995D0A"/>
    <w:rsid w:val="009962CF"/>
    <w:rsid w:val="009969D6"/>
    <w:rsid w:val="009A0079"/>
    <w:rsid w:val="009A0F1C"/>
    <w:rsid w:val="009A12FE"/>
    <w:rsid w:val="009A206A"/>
    <w:rsid w:val="009A2398"/>
    <w:rsid w:val="009A31F2"/>
    <w:rsid w:val="009A4543"/>
    <w:rsid w:val="009A4C07"/>
    <w:rsid w:val="009A5DB1"/>
    <w:rsid w:val="009A63CB"/>
    <w:rsid w:val="009A7C5A"/>
    <w:rsid w:val="009A7E51"/>
    <w:rsid w:val="009B21B9"/>
    <w:rsid w:val="009B2FAD"/>
    <w:rsid w:val="009B3252"/>
    <w:rsid w:val="009B4000"/>
    <w:rsid w:val="009B4CD0"/>
    <w:rsid w:val="009B4DA7"/>
    <w:rsid w:val="009B5293"/>
    <w:rsid w:val="009B5E5A"/>
    <w:rsid w:val="009C0A1C"/>
    <w:rsid w:val="009C21C6"/>
    <w:rsid w:val="009C263D"/>
    <w:rsid w:val="009C3787"/>
    <w:rsid w:val="009C383B"/>
    <w:rsid w:val="009C3A80"/>
    <w:rsid w:val="009C41EC"/>
    <w:rsid w:val="009C5238"/>
    <w:rsid w:val="009C5B3D"/>
    <w:rsid w:val="009C68E7"/>
    <w:rsid w:val="009D12B4"/>
    <w:rsid w:val="009D1E70"/>
    <w:rsid w:val="009D2135"/>
    <w:rsid w:val="009D21BB"/>
    <w:rsid w:val="009D2F2E"/>
    <w:rsid w:val="009D2FA7"/>
    <w:rsid w:val="009D3673"/>
    <w:rsid w:val="009D3D8D"/>
    <w:rsid w:val="009D414E"/>
    <w:rsid w:val="009D4166"/>
    <w:rsid w:val="009D4CAE"/>
    <w:rsid w:val="009D54E0"/>
    <w:rsid w:val="009D54EB"/>
    <w:rsid w:val="009D55F9"/>
    <w:rsid w:val="009D5837"/>
    <w:rsid w:val="009D5885"/>
    <w:rsid w:val="009D5A11"/>
    <w:rsid w:val="009D765F"/>
    <w:rsid w:val="009D7720"/>
    <w:rsid w:val="009D7760"/>
    <w:rsid w:val="009E0F65"/>
    <w:rsid w:val="009E1251"/>
    <w:rsid w:val="009E16E6"/>
    <w:rsid w:val="009E1C0D"/>
    <w:rsid w:val="009E1E62"/>
    <w:rsid w:val="009E2187"/>
    <w:rsid w:val="009E2953"/>
    <w:rsid w:val="009E30CE"/>
    <w:rsid w:val="009E3BD8"/>
    <w:rsid w:val="009E4514"/>
    <w:rsid w:val="009E4571"/>
    <w:rsid w:val="009E4BA2"/>
    <w:rsid w:val="009E4CDF"/>
    <w:rsid w:val="009E5C30"/>
    <w:rsid w:val="009E738D"/>
    <w:rsid w:val="009E7923"/>
    <w:rsid w:val="009E7C4F"/>
    <w:rsid w:val="009E7CBC"/>
    <w:rsid w:val="009F04C3"/>
    <w:rsid w:val="009F0760"/>
    <w:rsid w:val="009F0962"/>
    <w:rsid w:val="009F2F66"/>
    <w:rsid w:val="009F3B29"/>
    <w:rsid w:val="009F42EB"/>
    <w:rsid w:val="009F4860"/>
    <w:rsid w:val="009F5855"/>
    <w:rsid w:val="009F5D2C"/>
    <w:rsid w:val="009F66ED"/>
    <w:rsid w:val="009F6F08"/>
    <w:rsid w:val="009F7E62"/>
    <w:rsid w:val="00A00057"/>
    <w:rsid w:val="00A00485"/>
    <w:rsid w:val="00A01A5F"/>
    <w:rsid w:val="00A01EC7"/>
    <w:rsid w:val="00A021BE"/>
    <w:rsid w:val="00A025AC"/>
    <w:rsid w:val="00A02C96"/>
    <w:rsid w:val="00A02E65"/>
    <w:rsid w:val="00A0340A"/>
    <w:rsid w:val="00A0352F"/>
    <w:rsid w:val="00A04257"/>
    <w:rsid w:val="00A0440C"/>
    <w:rsid w:val="00A044C3"/>
    <w:rsid w:val="00A047AE"/>
    <w:rsid w:val="00A04C82"/>
    <w:rsid w:val="00A0585F"/>
    <w:rsid w:val="00A059F7"/>
    <w:rsid w:val="00A06460"/>
    <w:rsid w:val="00A0694A"/>
    <w:rsid w:val="00A073A5"/>
    <w:rsid w:val="00A077AC"/>
    <w:rsid w:val="00A07A33"/>
    <w:rsid w:val="00A07C18"/>
    <w:rsid w:val="00A10682"/>
    <w:rsid w:val="00A10A30"/>
    <w:rsid w:val="00A11005"/>
    <w:rsid w:val="00A111C8"/>
    <w:rsid w:val="00A1137C"/>
    <w:rsid w:val="00A113D7"/>
    <w:rsid w:val="00A11F0F"/>
    <w:rsid w:val="00A15DC1"/>
    <w:rsid w:val="00A15FEF"/>
    <w:rsid w:val="00A16126"/>
    <w:rsid w:val="00A165DB"/>
    <w:rsid w:val="00A20043"/>
    <w:rsid w:val="00A2025E"/>
    <w:rsid w:val="00A2083D"/>
    <w:rsid w:val="00A209D2"/>
    <w:rsid w:val="00A20F0F"/>
    <w:rsid w:val="00A21C6C"/>
    <w:rsid w:val="00A22522"/>
    <w:rsid w:val="00A2365A"/>
    <w:rsid w:val="00A24133"/>
    <w:rsid w:val="00A242C2"/>
    <w:rsid w:val="00A24B81"/>
    <w:rsid w:val="00A262BF"/>
    <w:rsid w:val="00A27091"/>
    <w:rsid w:val="00A27185"/>
    <w:rsid w:val="00A27809"/>
    <w:rsid w:val="00A30533"/>
    <w:rsid w:val="00A317B0"/>
    <w:rsid w:val="00A31BF6"/>
    <w:rsid w:val="00A329F3"/>
    <w:rsid w:val="00A338CF"/>
    <w:rsid w:val="00A3423B"/>
    <w:rsid w:val="00A34591"/>
    <w:rsid w:val="00A34E44"/>
    <w:rsid w:val="00A35B8F"/>
    <w:rsid w:val="00A35FB9"/>
    <w:rsid w:val="00A3640F"/>
    <w:rsid w:val="00A36C5D"/>
    <w:rsid w:val="00A37ECF"/>
    <w:rsid w:val="00A40CE2"/>
    <w:rsid w:val="00A41063"/>
    <w:rsid w:val="00A410C2"/>
    <w:rsid w:val="00A420AE"/>
    <w:rsid w:val="00A42FAE"/>
    <w:rsid w:val="00A43553"/>
    <w:rsid w:val="00A43B3E"/>
    <w:rsid w:val="00A43B4F"/>
    <w:rsid w:val="00A46261"/>
    <w:rsid w:val="00A47176"/>
    <w:rsid w:val="00A4746E"/>
    <w:rsid w:val="00A475C5"/>
    <w:rsid w:val="00A4768C"/>
    <w:rsid w:val="00A50921"/>
    <w:rsid w:val="00A50A68"/>
    <w:rsid w:val="00A50D3B"/>
    <w:rsid w:val="00A50E38"/>
    <w:rsid w:val="00A510C6"/>
    <w:rsid w:val="00A518AA"/>
    <w:rsid w:val="00A525E7"/>
    <w:rsid w:val="00A52F9E"/>
    <w:rsid w:val="00A539ED"/>
    <w:rsid w:val="00A53E5D"/>
    <w:rsid w:val="00A55EFA"/>
    <w:rsid w:val="00A5625E"/>
    <w:rsid w:val="00A56348"/>
    <w:rsid w:val="00A5703F"/>
    <w:rsid w:val="00A57D39"/>
    <w:rsid w:val="00A60E12"/>
    <w:rsid w:val="00A61825"/>
    <w:rsid w:val="00A6316B"/>
    <w:rsid w:val="00A65316"/>
    <w:rsid w:val="00A6629E"/>
    <w:rsid w:val="00A666B0"/>
    <w:rsid w:val="00A674FF"/>
    <w:rsid w:val="00A70F69"/>
    <w:rsid w:val="00A72611"/>
    <w:rsid w:val="00A72F8A"/>
    <w:rsid w:val="00A73ABB"/>
    <w:rsid w:val="00A751A1"/>
    <w:rsid w:val="00A7657E"/>
    <w:rsid w:val="00A76D2C"/>
    <w:rsid w:val="00A77746"/>
    <w:rsid w:val="00A77B02"/>
    <w:rsid w:val="00A806AA"/>
    <w:rsid w:val="00A80FE1"/>
    <w:rsid w:val="00A83BF6"/>
    <w:rsid w:val="00A8420A"/>
    <w:rsid w:val="00A84BAC"/>
    <w:rsid w:val="00A84C83"/>
    <w:rsid w:val="00A85C23"/>
    <w:rsid w:val="00A876DB"/>
    <w:rsid w:val="00A87B4F"/>
    <w:rsid w:val="00A87C4C"/>
    <w:rsid w:val="00A87F31"/>
    <w:rsid w:val="00A90D27"/>
    <w:rsid w:val="00A9103B"/>
    <w:rsid w:val="00A91284"/>
    <w:rsid w:val="00A918A7"/>
    <w:rsid w:val="00A924F0"/>
    <w:rsid w:val="00A92871"/>
    <w:rsid w:val="00A93D9F"/>
    <w:rsid w:val="00A952CD"/>
    <w:rsid w:val="00A955EB"/>
    <w:rsid w:val="00A9591E"/>
    <w:rsid w:val="00A9681F"/>
    <w:rsid w:val="00A97098"/>
    <w:rsid w:val="00AA0B96"/>
    <w:rsid w:val="00AA1C83"/>
    <w:rsid w:val="00AA1E3D"/>
    <w:rsid w:val="00AA1F49"/>
    <w:rsid w:val="00AA2375"/>
    <w:rsid w:val="00AA34AA"/>
    <w:rsid w:val="00AA3A2E"/>
    <w:rsid w:val="00AA3B49"/>
    <w:rsid w:val="00AA3CC7"/>
    <w:rsid w:val="00AA3EAA"/>
    <w:rsid w:val="00AA4099"/>
    <w:rsid w:val="00AA4464"/>
    <w:rsid w:val="00AA4D5A"/>
    <w:rsid w:val="00AA51BD"/>
    <w:rsid w:val="00AA6913"/>
    <w:rsid w:val="00AA6D7D"/>
    <w:rsid w:val="00AA7D12"/>
    <w:rsid w:val="00AB2190"/>
    <w:rsid w:val="00AB2830"/>
    <w:rsid w:val="00AB39EB"/>
    <w:rsid w:val="00AB3F27"/>
    <w:rsid w:val="00AB3FD9"/>
    <w:rsid w:val="00AB7B7F"/>
    <w:rsid w:val="00AB7C04"/>
    <w:rsid w:val="00AB7DE7"/>
    <w:rsid w:val="00AC012F"/>
    <w:rsid w:val="00AC01D4"/>
    <w:rsid w:val="00AC03AB"/>
    <w:rsid w:val="00AC0472"/>
    <w:rsid w:val="00AC0650"/>
    <w:rsid w:val="00AC06FE"/>
    <w:rsid w:val="00AC1BE7"/>
    <w:rsid w:val="00AC262F"/>
    <w:rsid w:val="00AC275F"/>
    <w:rsid w:val="00AC3EE4"/>
    <w:rsid w:val="00AC4D72"/>
    <w:rsid w:val="00AC50A4"/>
    <w:rsid w:val="00AC5A95"/>
    <w:rsid w:val="00AC6074"/>
    <w:rsid w:val="00AC6471"/>
    <w:rsid w:val="00AC6A14"/>
    <w:rsid w:val="00AD1751"/>
    <w:rsid w:val="00AD2B6E"/>
    <w:rsid w:val="00AD340D"/>
    <w:rsid w:val="00AD3443"/>
    <w:rsid w:val="00AD3B83"/>
    <w:rsid w:val="00AD3E9B"/>
    <w:rsid w:val="00AD4B3C"/>
    <w:rsid w:val="00AD5F9A"/>
    <w:rsid w:val="00AD66C0"/>
    <w:rsid w:val="00AD68A5"/>
    <w:rsid w:val="00AD6CF7"/>
    <w:rsid w:val="00AD6DD4"/>
    <w:rsid w:val="00AE0B2D"/>
    <w:rsid w:val="00AE147F"/>
    <w:rsid w:val="00AE185D"/>
    <w:rsid w:val="00AE1BFE"/>
    <w:rsid w:val="00AE22F5"/>
    <w:rsid w:val="00AE340F"/>
    <w:rsid w:val="00AE3842"/>
    <w:rsid w:val="00AE3D83"/>
    <w:rsid w:val="00AE3FFF"/>
    <w:rsid w:val="00AE4374"/>
    <w:rsid w:val="00AE466A"/>
    <w:rsid w:val="00AE47E9"/>
    <w:rsid w:val="00AE485C"/>
    <w:rsid w:val="00AE4C8F"/>
    <w:rsid w:val="00AE61DF"/>
    <w:rsid w:val="00AE7D4F"/>
    <w:rsid w:val="00AE7E0E"/>
    <w:rsid w:val="00AE7FE4"/>
    <w:rsid w:val="00AF0117"/>
    <w:rsid w:val="00AF011B"/>
    <w:rsid w:val="00AF17D3"/>
    <w:rsid w:val="00AF1D77"/>
    <w:rsid w:val="00AF1E50"/>
    <w:rsid w:val="00AF1F25"/>
    <w:rsid w:val="00AF38BA"/>
    <w:rsid w:val="00AF4035"/>
    <w:rsid w:val="00AF4F67"/>
    <w:rsid w:val="00AF5811"/>
    <w:rsid w:val="00AF6509"/>
    <w:rsid w:val="00B007E6"/>
    <w:rsid w:val="00B00BBE"/>
    <w:rsid w:val="00B01372"/>
    <w:rsid w:val="00B02CDD"/>
    <w:rsid w:val="00B0359A"/>
    <w:rsid w:val="00B0456E"/>
    <w:rsid w:val="00B04C8F"/>
    <w:rsid w:val="00B06A05"/>
    <w:rsid w:val="00B06BF6"/>
    <w:rsid w:val="00B06F7F"/>
    <w:rsid w:val="00B0717C"/>
    <w:rsid w:val="00B100F0"/>
    <w:rsid w:val="00B1056A"/>
    <w:rsid w:val="00B109FE"/>
    <w:rsid w:val="00B13576"/>
    <w:rsid w:val="00B138DC"/>
    <w:rsid w:val="00B1402E"/>
    <w:rsid w:val="00B1419D"/>
    <w:rsid w:val="00B142FD"/>
    <w:rsid w:val="00B1454D"/>
    <w:rsid w:val="00B14865"/>
    <w:rsid w:val="00B16200"/>
    <w:rsid w:val="00B17280"/>
    <w:rsid w:val="00B17B23"/>
    <w:rsid w:val="00B21D50"/>
    <w:rsid w:val="00B21E3B"/>
    <w:rsid w:val="00B227E5"/>
    <w:rsid w:val="00B229BE"/>
    <w:rsid w:val="00B22F9B"/>
    <w:rsid w:val="00B23747"/>
    <w:rsid w:val="00B23E0A"/>
    <w:rsid w:val="00B24090"/>
    <w:rsid w:val="00B257E3"/>
    <w:rsid w:val="00B260C7"/>
    <w:rsid w:val="00B266D3"/>
    <w:rsid w:val="00B26BFB"/>
    <w:rsid w:val="00B27494"/>
    <w:rsid w:val="00B279B9"/>
    <w:rsid w:val="00B27BFD"/>
    <w:rsid w:val="00B307CA"/>
    <w:rsid w:val="00B30DA5"/>
    <w:rsid w:val="00B30FD0"/>
    <w:rsid w:val="00B3178A"/>
    <w:rsid w:val="00B34F48"/>
    <w:rsid w:val="00B363F2"/>
    <w:rsid w:val="00B3782E"/>
    <w:rsid w:val="00B408EB"/>
    <w:rsid w:val="00B41597"/>
    <w:rsid w:val="00B41D76"/>
    <w:rsid w:val="00B42E94"/>
    <w:rsid w:val="00B42F67"/>
    <w:rsid w:val="00B43A15"/>
    <w:rsid w:val="00B4579E"/>
    <w:rsid w:val="00B45DF2"/>
    <w:rsid w:val="00B467DE"/>
    <w:rsid w:val="00B473DB"/>
    <w:rsid w:val="00B47A77"/>
    <w:rsid w:val="00B51BA0"/>
    <w:rsid w:val="00B535BD"/>
    <w:rsid w:val="00B53701"/>
    <w:rsid w:val="00B5509D"/>
    <w:rsid w:val="00B561FF"/>
    <w:rsid w:val="00B56A26"/>
    <w:rsid w:val="00B573E6"/>
    <w:rsid w:val="00B574B9"/>
    <w:rsid w:val="00B57E77"/>
    <w:rsid w:val="00B6110A"/>
    <w:rsid w:val="00B6176A"/>
    <w:rsid w:val="00B6230E"/>
    <w:rsid w:val="00B6301A"/>
    <w:rsid w:val="00B637AA"/>
    <w:rsid w:val="00B639B3"/>
    <w:rsid w:val="00B64799"/>
    <w:rsid w:val="00B64CAD"/>
    <w:rsid w:val="00B64E18"/>
    <w:rsid w:val="00B651FA"/>
    <w:rsid w:val="00B65B80"/>
    <w:rsid w:val="00B6624C"/>
    <w:rsid w:val="00B662F5"/>
    <w:rsid w:val="00B66751"/>
    <w:rsid w:val="00B66B7C"/>
    <w:rsid w:val="00B66CD7"/>
    <w:rsid w:val="00B676D4"/>
    <w:rsid w:val="00B67AA6"/>
    <w:rsid w:val="00B7018C"/>
    <w:rsid w:val="00B7029D"/>
    <w:rsid w:val="00B7061C"/>
    <w:rsid w:val="00B7066C"/>
    <w:rsid w:val="00B70901"/>
    <w:rsid w:val="00B71244"/>
    <w:rsid w:val="00B717D8"/>
    <w:rsid w:val="00B71876"/>
    <w:rsid w:val="00B718E0"/>
    <w:rsid w:val="00B72DF3"/>
    <w:rsid w:val="00B74146"/>
    <w:rsid w:val="00B747A3"/>
    <w:rsid w:val="00B7481E"/>
    <w:rsid w:val="00B75A27"/>
    <w:rsid w:val="00B75E52"/>
    <w:rsid w:val="00B769BC"/>
    <w:rsid w:val="00B76F6C"/>
    <w:rsid w:val="00B778F8"/>
    <w:rsid w:val="00B77F63"/>
    <w:rsid w:val="00B8080B"/>
    <w:rsid w:val="00B811EF"/>
    <w:rsid w:val="00B81568"/>
    <w:rsid w:val="00B825FD"/>
    <w:rsid w:val="00B8310D"/>
    <w:rsid w:val="00B83157"/>
    <w:rsid w:val="00B831B9"/>
    <w:rsid w:val="00B851E9"/>
    <w:rsid w:val="00B86EF1"/>
    <w:rsid w:val="00B86FF3"/>
    <w:rsid w:val="00B870B0"/>
    <w:rsid w:val="00B90674"/>
    <w:rsid w:val="00B91751"/>
    <w:rsid w:val="00B91F77"/>
    <w:rsid w:val="00B91FFF"/>
    <w:rsid w:val="00B934E3"/>
    <w:rsid w:val="00B94323"/>
    <w:rsid w:val="00B94444"/>
    <w:rsid w:val="00B95370"/>
    <w:rsid w:val="00B9566B"/>
    <w:rsid w:val="00B95F32"/>
    <w:rsid w:val="00B95F92"/>
    <w:rsid w:val="00B961B7"/>
    <w:rsid w:val="00B962EA"/>
    <w:rsid w:val="00B963D4"/>
    <w:rsid w:val="00B9772B"/>
    <w:rsid w:val="00B97990"/>
    <w:rsid w:val="00B97B9D"/>
    <w:rsid w:val="00BA0BE5"/>
    <w:rsid w:val="00BA2DEF"/>
    <w:rsid w:val="00BA35F2"/>
    <w:rsid w:val="00BA42FB"/>
    <w:rsid w:val="00BA4768"/>
    <w:rsid w:val="00BA4861"/>
    <w:rsid w:val="00BA4A92"/>
    <w:rsid w:val="00BA516F"/>
    <w:rsid w:val="00BA628C"/>
    <w:rsid w:val="00BA7059"/>
    <w:rsid w:val="00BB0051"/>
    <w:rsid w:val="00BB02C6"/>
    <w:rsid w:val="00BB1082"/>
    <w:rsid w:val="00BB2127"/>
    <w:rsid w:val="00BB2B24"/>
    <w:rsid w:val="00BB3805"/>
    <w:rsid w:val="00BB4589"/>
    <w:rsid w:val="00BB52A5"/>
    <w:rsid w:val="00BB5893"/>
    <w:rsid w:val="00BB6285"/>
    <w:rsid w:val="00BB6740"/>
    <w:rsid w:val="00BB7EA1"/>
    <w:rsid w:val="00BB7F81"/>
    <w:rsid w:val="00BC269B"/>
    <w:rsid w:val="00BC275A"/>
    <w:rsid w:val="00BC27D2"/>
    <w:rsid w:val="00BC299D"/>
    <w:rsid w:val="00BC2E7E"/>
    <w:rsid w:val="00BC2ECD"/>
    <w:rsid w:val="00BC3C60"/>
    <w:rsid w:val="00BC4357"/>
    <w:rsid w:val="00BC484E"/>
    <w:rsid w:val="00BC4F48"/>
    <w:rsid w:val="00BC6D0F"/>
    <w:rsid w:val="00BC6FF0"/>
    <w:rsid w:val="00BD03F5"/>
    <w:rsid w:val="00BD05FD"/>
    <w:rsid w:val="00BD10DA"/>
    <w:rsid w:val="00BD35E1"/>
    <w:rsid w:val="00BD3A56"/>
    <w:rsid w:val="00BD54FC"/>
    <w:rsid w:val="00BD63C3"/>
    <w:rsid w:val="00BD65FD"/>
    <w:rsid w:val="00BD67CE"/>
    <w:rsid w:val="00BD6B31"/>
    <w:rsid w:val="00BD6D63"/>
    <w:rsid w:val="00BD76A4"/>
    <w:rsid w:val="00BD7915"/>
    <w:rsid w:val="00BE00E9"/>
    <w:rsid w:val="00BE0186"/>
    <w:rsid w:val="00BE07CE"/>
    <w:rsid w:val="00BE1C8A"/>
    <w:rsid w:val="00BE4857"/>
    <w:rsid w:val="00BE5847"/>
    <w:rsid w:val="00BE5BE0"/>
    <w:rsid w:val="00BE5D1D"/>
    <w:rsid w:val="00BE697B"/>
    <w:rsid w:val="00BE6A6D"/>
    <w:rsid w:val="00BE70E8"/>
    <w:rsid w:val="00BE7164"/>
    <w:rsid w:val="00BE7493"/>
    <w:rsid w:val="00BF0E76"/>
    <w:rsid w:val="00BF19DC"/>
    <w:rsid w:val="00BF1AA9"/>
    <w:rsid w:val="00BF2B3E"/>
    <w:rsid w:val="00BF2DAF"/>
    <w:rsid w:val="00BF3400"/>
    <w:rsid w:val="00BF3B48"/>
    <w:rsid w:val="00BF4E1B"/>
    <w:rsid w:val="00BF579C"/>
    <w:rsid w:val="00BF5AB9"/>
    <w:rsid w:val="00BF60D6"/>
    <w:rsid w:val="00BF7C80"/>
    <w:rsid w:val="00C0081F"/>
    <w:rsid w:val="00C01083"/>
    <w:rsid w:val="00C01C8E"/>
    <w:rsid w:val="00C0480F"/>
    <w:rsid w:val="00C04C9A"/>
    <w:rsid w:val="00C05E12"/>
    <w:rsid w:val="00C1043C"/>
    <w:rsid w:val="00C10B7D"/>
    <w:rsid w:val="00C10D90"/>
    <w:rsid w:val="00C12A51"/>
    <w:rsid w:val="00C12C65"/>
    <w:rsid w:val="00C12CD1"/>
    <w:rsid w:val="00C12CE9"/>
    <w:rsid w:val="00C12D39"/>
    <w:rsid w:val="00C132D2"/>
    <w:rsid w:val="00C13720"/>
    <w:rsid w:val="00C13821"/>
    <w:rsid w:val="00C13BC3"/>
    <w:rsid w:val="00C13DF8"/>
    <w:rsid w:val="00C1419F"/>
    <w:rsid w:val="00C141AF"/>
    <w:rsid w:val="00C14530"/>
    <w:rsid w:val="00C1591E"/>
    <w:rsid w:val="00C15C7F"/>
    <w:rsid w:val="00C166A0"/>
    <w:rsid w:val="00C173EE"/>
    <w:rsid w:val="00C20BAC"/>
    <w:rsid w:val="00C20D36"/>
    <w:rsid w:val="00C21038"/>
    <w:rsid w:val="00C2286B"/>
    <w:rsid w:val="00C2396B"/>
    <w:rsid w:val="00C23AD8"/>
    <w:rsid w:val="00C2666A"/>
    <w:rsid w:val="00C26865"/>
    <w:rsid w:val="00C2785F"/>
    <w:rsid w:val="00C27980"/>
    <w:rsid w:val="00C27ACE"/>
    <w:rsid w:val="00C30BA6"/>
    <w:rsid w:val="00C31467"/>
    <w:rsid w:val="00C331A8"/>
    <w:rsid w:val="00C3321B"/>
    <w:rsid w:val="00C33F0C"/>
    <w:rsid w:val="00C34CCB"/>
    <w:rsid w:val="00C34D57"/>
    <w:rsid w:val="00C35515"/>
    <w:rsid w:val="00C35807"/>
    <w:rsid w:val="00C35A4B"/>
    <w:rsid w:val="00C36404"/>
    <w:rsid w:val="00C36696"/>
    <w:rsid w:val="00C36720"/>
    <w:rsid w:val="00C36777"/>
    <w:rsid w:val="00C372CE"/>
    <w:rsid w:val="00C37518"/>
    <w:rsid w:val="00C37F00"/>
    <w:rsid w:val="00C4172D"/>
    <w:rsid w:val="00C42034"/>
    <w:rsid w:val="00C421C9"/>
    <w:rsid w:val="00C42A3A"/>
    <w:rsid w:val="00C42C4A"/>
    <w:rsid w:val="00C43610"/>
    <w:rsid w:val="00C437C6"/>
    <w:rsid w:val="00C4517F"/>
    <w:rsid w:val="00C45232"/>
    <w:rsid w:val="00C464D6"/>
    <w:rsid w:val="00C46646"/>
    <w:rsid w:val="00C46E94"/>
    <w:rsid w:val="00C4713F"/>
    <w:rsid w:val="00C47942"/>
    <w:rsid w:val="00C51509"/>
    <w:rsid w:val="00C52097"/>
    <w:rsid w:val="00C520CF"/>
    <w:rsid w:val="00C52BA5"/>
    <w:rsid w:val="00C52F47"/>
    <w:rsid w:val="00C531FF"/>
    <w:rsid w:val="00C53323"/>
    <w:rsid w:val="00C533EE"/>
    <w:rsid w:val="00C54D8C"/>
    <w:rsid w:val="00C567E5"/>
    <w:rsid w:val="00C57493"/>
    <w:rsid w:val="00C5782C"/>
    <w:rsid w:val="00C60272"/>
    <w:rsid w:val="00C605E6"/>
    <w:rsid w:val="00C60B30"/>
    <w:rsid w:val="00C61645"/>
    <w:rsid w:val="00C64D07"/>
    <w:rsid w:val="00C657A1"/>
    <w:rsid w:val="00C65CDC"/>
    <w:rsid w:val="00C6654F"/>
    <w:rsid w:val="00C66CEF"/>
    <w:rsid w:val="00C670FE"/>
    <w:rsid w:val="00C7033A"/>
    <w:rsid w:val="00C70CCE"/>
    <w:rsid w:val="00C71087"/>
    <w:rsid w:val="00C71E3C"/>
    <w:rsid w:val="00C73C17"/>
    <w:rsid w:val="00C74567"/>
    <w:rsid w:val="00C75492"/>
    <w:rsid w:val="00C757C6"/>
    <w:rsid w:val="00C77287"/>
    <w:rsid w:val="00C77C78"/>
    <w:rsid w:val="00C8146C"/>
    <w:rsid w:val="00C8170F"/>
    <w:rsid w:val="00C8231E"/>
    <w:rsid w:val="00C83974"/>
    <w:rsid w:val="00C846DD"/>
    <w:rsid w:val="00C85CA6"/>
    <w:rsid w:val="00C85D38"/>
    <w:rsid w:val="00C873DA"/>
    <w:rsid w:val="00C903EE"/>
    <w:rsid w:val="00C90A7F"/>
    <w:rsid w:val="00C9147E"/>
    <w:rsid w:val="00C923EC"/>
    <w:rsid w:val="00C925ED"/>
    <w:rsid w:val="00C9339F"/>
    <w:rsid w:val="00C9397E"/>
    <w:rsid w:val="00C940E3"/>
    <w:rsid w:val="00C95536"/>
    <w:rsid w:val="00C95976"/>
    <w:rsid w:val="00C96618"/>
    <w:rsid w:val="00C96A10"/>
    <w:rsid w:val="00C9753B"/>
    <w:rsid w:val="00CA0492"/>
    <w:rsid w:val="00CA0C87"/>
    <w:rsid w:val="00CA0F29"/>
    <w:rsid w:val="00CA12DE"/>
    <w:rsid w:val="00CA142F"/>
    <w:rsid w:val="00CA19CD"/>
    <w:rsid w:val="00CA1F28"/>
    <w:rsid w:val="00CA20F3"/>
    <w:rsid w:val="00CA23B8"/>
    <w:rsid w:val="00CA2747"/>
    <w:rsid w:val="00CA2B90"/>
    <w:rsid w:val="00CA2C36"/>
    <w:rsid w:val="00CA4403"/>
    <w:rsid w:val="00CA4A62"/>
    <w:rsid w:val="00CA561E"/>
    <w:rsid w:val="00CA5B58"/>
    <w:rsid w:val="00CA5F6C"/>
    <w:rsid w:val="00CA659E"/>
    <w:rsid w:val="00CA6A39"/>
    <w:rsid w:val="00CA6DC8"/>
    <w:rsid w:val="00CA7453"/>
    <w:rsid w:val="00CA75E0"/>
    <w:rsid w:val="00CA7DAD"/>
    <w:rsid w:val="00CB0ADF"/>
    <w:rsid w:val="00CB23DD"/>
    <w:rsid w:val="00CB2757"/>
    <w:rsid w:val="00CB2FE7"/>
    <w:rsid w:val="00CB3B57"/>
    <w:rsid w:val="00CB42AE"/>
    <w:rsid w:val="00CB4F5F"/>
    <w:rsid w:val="00CB5100"/>
    <w:rsid w:val="00CB5CDE"/>
    <w:rsid w:val="00CB6768"/>
    <w:rsid w:val="00CB704F"/>
    <w:rsid w:val="00CB768F"/>
    <w:rsid w:val="00CB7C3C"/>
    <w:rsid w:val="00CC0848"/>
    <w:rsid w:val="00CC15C6"/>
    <w:rsid w:val="00CC17DB"/>
    <w:rsid w:val="00CC2CF9"/>
    <w:rsid w:val="00CC2F01"/>
    <w:rsid w:val="00CC34BE"/>
    <w:rsid w:val="00CC38CC"/>
    <w:rsid w:val="00CC437D"/>
    <w:rsid w:val="00CC586C"/>
    <w:rsid w:val="00CC5C07"/>
    <w:rsid w:val="00CC6252"/>
    <w:rsid w:val="00CC6453"/>
    <w:rsid w:val="00CC66CF"/>
    <w:rsid w:val="00CC861C"/>
    <w:rsid w:val="00CD086B"/>
    <w:rsid w:val="00CD1049"/>
    <w:rsid w:val="00CD10F5"/>
    <w:rsid w:val="00CD160D"/>
    <w:rsid w:val="00CD1E86"/>
    <w:rsid w:val="00CD21A4"/>
    <w:rsid w:val="00CD22CB"/>
    <w:rsid w:val="00CD25E8"/>
    <w:rsid w:val="00CD2D44"/>
    <w:rsid w:val="00CD2D8A"/>
    <w:rsid w:val="00CD31EA"/>
    <w:rsid w:val="00CD4B6F"/>
    <w:rsid w:val="00CD53A5"/>
    <w:rsid w:val="00CD5AE4"/>
    <w:rsid w:val="00CD692F"/>
    <w:rsid w:val="00CE0022"/>
    <w:rsid w:val="00CE0392"/>
    <w:rsid w:val="00CE05C2"/>
    <w:rsid w:val="00CE06E9"/>
    <w:rsid w:val="00CE1722"/>
    <w:rsid w:val="00CE2303"/>
    <w:rsid w:val="00CE2CC7"/>
    <w:rsid w:val="00CE3278"/>
    <w:rsid w:val="00CE4C85"/>
    <w:rsid w:val="00CE4FF0"/>
    <w:rsid w:val="00CE5481"/>
    <w:rsid w:val="00CE5866"/>
    <w:rsid w:val="00CF003F"/>
    <w:rsid w:val="00CF0045"/>
    <w:rsid w:val="00CF17A9"/>
    <w:rsid w:val="00CF33F7"/>
    <w:rsid w:val="00CF5A79"/>
    <w:rsid w:val="00CF662A"/>
    <w:rsid w:val="00CF6A36"/>
    <w:rsid w:val="00CF7194"/>
    <w:rsid w:val="00CF74AE"/>
    <w:rsid w:val="00CF7C90"/>
    <w:rsid w:val="00CF7EA0"/>
    <w:rsid w:val="00D00600"/>
    <w:rsid w:val="00D00A29"/>
    <w:rsid w:val="00D02612"/>
    <w:rsid w:val="00D0329F"/>
    <w:rsid w:val="00D04372"/>
    <w:rsid w:val="00D0469D"/>
    <w:rsid w:val="00D04E52"/>
    <w:rsid w:val="00D04F9C"/>
    <w:rsid w:val="00D059A1"/>
    <w:rsid w:val="00D05DB1"/>
    <w:rsid w:val="00D06299"/>
    <w:rsid w:val="00D071D8"/>
    <w:rsid w:val="00D074C3"/>
    <w:rsid w:val="00D1045D"/>
    <w:rsid w:val="00D10798"/>
    <w:rsid w:val="00D12A3D"/>
    <w:rsid w:val="00D13203"/>
    <w:rsid w:val="00D133AA"/>
    <w:rsid w:val="00D136BB"/>
    <w:rsid w:val="00D13B0B"/>
    <w:rsid w:val="00D13CCF"/>
    <w:rsid w:val="00D14CF7"/>
    <w:rsid w:val="00D1576E"/>
    <w:rsid w:val="00D15BBC"/>
    <w:rsid w:val="00D15C30"/>
    <w:rsid w:val="00D15E67"/>
    <w:rsid w:val="00D1753F"/>
    <w:rsid w:val="00D20392"/>
    <w:rsid w:val="00D203F0"/>
    <w:rsid w:val="00D20ABB"/>
    <w:rsid w:val="00D20E71"/>
    <w:rsid w:val="00D20ECF"/>
    <w:rsid w:val="00D21659"/>
    <w:rsid w:val="00D2257C"/>
    <w:rsid w:val="00D225B6"/>
    <w:rsid w:val="00D22A55"/>
    <w:rsid w:val="00D23463"/>
    <w:rsid w:val="00D24567"/>
    <w:rsid w:val="00D24AEE"/>
    <w:rsid w:val="00D25315"/>
    <w:rsid w:val="00D26A33"/>
    <w:rsid w:val="00D26B73"/>
    <w:rsid w:val="00D277EF"/>
    <w:rsid w:val="00D3073E"/>
    <w:rsid w:val="00D308DB"/>
    <w:rsid w:val="00D31676"/>
    <w:rsid w:val="00D316C8"/>
    <w:rsid w:val="00D331A8"/>
    <w:rsid w:val="00D337D5"/>
    <w:rsid w:val="00D33FB9"/>
    <w:rsid w:val="00D34807"/>
    <w:rsid w:val="00D34817"/>
    <w:rsid w:val="00D351F2"/>
    <w:rsid w:val="00D3562D"/>
    <w:rsid w:val="00D3566B"/>
    <w:rsid w:val="00D35984"/>
    <w:rsid w:val="00D365BB"/>
    <w:rsid w:val="00D3795A"/>
    <w:rsid w:val="00D37AB5"/>
    <w:rsid w:val="00D40332"/>
    <w:rsid w:val="00D408E0"/>
    <w:rsid w:val="00D40A87"/>
    <w:rsid w:val="00D40C74"/>
    <w:rsid w:val="00D40F9B"/>
    <w:rsid w:val="00D43282"/>
    <w:rsid w:val="00D43EA4"/>
    <w:rsid w:val="00D44180"/>
    <w:rsid w:val="00D44508"/>
    <w:rsid w:val="00D460C3"/>
    <w:rsid w:val="00D476E4"/>
    <w:rsid w:val="00D47810"/>
    <w:rsid w:val="00D50696"/>
    <w:rsid w:val="00D5128E"/>
    <w:rsid w:val="00D52FD0"/>
    <w:rsid w:val="00D535E4"/>
    <w:rsid w:val="00D53ED2"/>
    <w:rsid w:val="00D54385"/>
    <w:rsid w:val="00D56B73"/>
    <w:rsid w:val="00D5758C"/>
    <w:rsid w:val="00D57B49"/>
    <w:rsid w:val="00D606D9"/>
    <w:rsid w:val="00D61085"/>
    <w:rsid w:val="00D6259C"/>
    <w:rsid w:val="00D62F47"/>
    <w:rsid w:val="00D63B91"/>
    <w:rsid w:val="00D64968"/>
    <w:rsid w:val="00D64A3A"/>
    <w:rsid w:val="00D64A4A"/>
    <w:rsid w:val="00D657C5"/>
    <w:rsid w:val="00D65C7B"/>
    <w:rsid w:val="00D6679C"/>
    <w:rsid w:val="00D66869"/>
    <w:rsid w:val="00D7105C"/>
    <w:rsid w:val="00D71443"/>
    <w:rsid w:val="00D718AA"/>
    <w:rsid w:val="00D72F5D"/>
    <w:rsid w:val="00D7300B"/>
    <w:rsid w:val="00D7312E"/>
    <w:rsid w:val="00D7370C"/>
    <w:rsid w:val="00D73EE6"/>
    <w:rsid w:val="00D742D2"/>
    <w:rsid w:val="00D744DC"/>
    <w:rsid w:val="00D74556"/>
    <w:rsid w:val="00D74B5A"/>
    <w:rsid w:val="00D75CF7"/>
    <w:rsid w:val="00D75F59"/>
    <w:rsid w:val="00D77605"/>
    <w:rsid w:val="00D776C3"/>
    <w:rsid w:val="00D776F4"/>
    <w:rsid w:val="00D80110"/>
    <w:rsid w:val="00D80153"/>
    <w:rsid w:val="00D814BC"/>
    <w:rsid w:val="00D81AC7"/>
    <w:rsid w:val="00D8383E"/>
    <w:rsid w:val="00D83E45"/>
    <w:rsid w:val="00D842CD"/>
    <w:rsid w:val="00D8495C"/>
    <w:rsid w:val="00D85D9D"/>
    <w:rsid w:val="00D86737"/>
    <w:rsid w:val="00D8696A"/>
    <w:rsid w:val="00D901AB"/>
    <w:rsid w:val="00D90419"/>
    <w:rsid w:val="00D90551"/>
    <w:rsid w:val="00D90F5A"/>
    <w:rsid w:val="00D9153B"/>
    <w:rsid w:val="00D915C8"/>
    <w:rsid w:val="00D9160A"/>
    <w:rsid w:val="00D9265C"/>
    <w:rsid w:val="00D94685"/>
    <w:rsid w:val="00D95391"/>
    <w:rsid w:val="00D95903"/>
    <w:rsid w:val="00D95D78"/>
    <w:rsid w:val="00D96F89"/>
    <w:rsid w:val="00D973DB"/>
    <w:rsid w:val="00DA0810"/>
    <w:rsid w:val="00DA1DAF"/>
    <w:rsid w:val="00DA3FCE"/>
    <w:rsid w:val="00DA4B42"/>
    <w:rsid w:val="00DB05B9"/>
    <w:rsid w:val="00DB0CD2"/>
    <w:rsid w:val="00DB2BE7"/>
    <w:rsid w:val="00DB2F36"/>
    <w:rsid w:val="00DB41CB"/>
    <w:rsid w:val="00DB4203"/>
    <w:rsid w:val="00DB5B3B"/>
    <w:rsid w:val="00DB6B88"/>
    <w:rsid w:val="00DB7A77"/>
    <w:rsid w:val="00DB7CA1"/>
    <w:rsid w:val="00DC08BB"/>
    <w:rsid w:val="00DC094F"/>
    <w:rsid w:val="00DC0C71"/>
    <w:rsid w:val="00DC24B5"/>
    <w:rsid w:val="00DC25DA"/>
    <w:rsid w:val="00DC4325"/>
    <w:rsid w:val="00DC4743"/>
    <w:rsid w:val="00DC4805"/>
    <w:rsid w:val="00DC4915"/>
    <w:rsid w:val="00DC4C59"/>
    <w:rsid w:val="00DC5149"/>
    <w:rsid w:val="00DC5B77"/>
    <w:rsid w:val="00DC68E1"/>
    <w:rsid w:val="00DC7745"/>
    <w:rsid w:val="00DC7ECA"/>
    <w:rsid w:val="00DC7FCE"/>
    <w:rsid w:val="00DD0452"/>
    <w:rsid w:val="00DD0BE9"/>
    <w:rsid w:val="00DD1B88"/>
    <w:rsid w:val="00DD1D37"/>
    <w:rsid w:val="00DD334C"/>
    <w:rsid w:val="00DD3C08"/>
    <w:rsid w:val="00DD475C"/>
    <w:rsid w:val="00DD4B69"/>
    <w:rsid w:val="00DD6C6D"/>
    <w:rsid w:val="00DD6E72"/>
    <w:rsid w:val="00DD7528"/>
    <w:rsid w:val="00DE0476"/>
    <w:rsid w:val="00DE07FD"/>
    <w:rsid w:val="00DE0FA4"/>
    <w:rsid w:val="00DE1090"/>
    <w:rsid w:val="00DE1B2F"/>
    <w:rsid w:val="00DE1C5A"/>
    <w:rsid w:val="00DE260B"/>
    <w:rsid w:val="00DE2AAC"/>
    <w:rsid w:val="00DE2EAA"/>
    <w:rsid w:val="00DE52F0"/>
    <w:rsid w:val="00DE5E04"/>
    <w:rsid w:val="00DE6634"/>
    <w:rsid w:val="00DF1074"/>
    <w:rsid w:val="00DF1125"/>
    <w:rsid w:val="00DF22E5"/>
    <w:rsid w:val="00DF27AC"/>
    <w:rsid w:val="00DF28E7"/>
    <w:rsid w:val="00DF2FD1"/>
    <w:rsid w:val="00DF3465"/>
    <w:rsid w:val="00DF399A"/>
    <w:rsid w:val="00DF447B"/>
    <w:rsid w:val="00DF4DCA"/>
    <w:rsid w:val="00DF4E07"/>
    <w:rsid w:val="00DF51B4"/>
    <w:rsid w:val="00DF6280"/>
    <w:rsid w:val="00DF7B14"/>
    <w:rsid w:val="00DF7B16"/>
    <w:rsid w:val="00DF7E80"/>
    <w:rsid w:val="00E00009"/>
    <w:rsid w:val="00E01EF4"/>
    <w:rsid w:val="00E02C71"/>
    <w:rsid w:val="00E02CF2"/>
    <w:rsid w:val="00E036BD"/>
    <w:rsid w:val="00E03DD2"/>
    <w:rsid w:val="00E04947"/>
    <w:rsid w:val="00E04F32"/>
    <w:rsid w:val="00E05309"/>
    <w:rsid w:val="00E05EB2"/>
    <w:rsid w:val="00E06549"/>
    <w:rsid w:val="00E069F7"/>
    <w:rsid w:val="00E06C35"/>
    <w:rsid w:val="00E0710D"/>
    <w:rsid w:val="00E0776A"/>
    <w:rsid w:val="00E07F71"/>
    <w:rsid w:val="00E101C6"/>
    <w:rsid w:val="00E114D8"/>
    <w:rsid w:val="00E12253"/>
    <w:rsid w:val="00E1256E"/>
    <w:rsid w:val="00E1347F"/>
    <w:rsid w:val="00E1621B"/>
    <w:rsid w:val="00E163EE"/>
    <w:rsid w:val="00E176FA"/>
    <w:rsid w:val="00E1794C"/>
    <w:rsid w:val="00E208F0"/>
    <w:rsid w:val="00E21114"/>
    <w:rsid w:val="00E21D31"/>
    <w:rsid w:val="00E22B84"/>
    <w:rsid w:val="00E23062"/>
    <w:rsid w:val="00E23642"/>
    <w:rsid w:val="00E23B69"/>
    <w:rsid w:val="00E24073"/>
    <w:rsid w:val="00E257C6"/>
    <w:rsid w:val="00E25825"/>
    <w:rsid w:val="00E25A55"/>
    <w:rsid w:val="00E25E8A"/>
    <w:rsid w:val="00E26045"/>
    <w:rsid w:val="00E267FA"/>
    <w:rsid w:val="00E26BDB"/>
    <w:rsid w:val="00E26DF9"/>
    <w:rsid w:val="00E2722A"/>
    <w:rsid w:val="00E27304"/>
    <w:rsid w:val="00E2755C"/>
    <w:rsid w:val="00E27FE8"/>
    <w:rsid w:val="00E300E9"/>
    <w:rsid w:val="00E304D5"/>
    <w:rsid w:val="00E30C72"/>
    <w:rsid w:val="00E30DCB"/>
    <w:rsid w:val="00E31EE6"/>
    <w:rsid w:val="00E33084"/>
    <w:rsid w:val="00E337F5"/>
    <w:rsid w:val="00E339E4"/>
    <w:rsid w:val="00E34EBC"/>
    <w:rsid w:val="00E3529F"/>
    <w:rsid w:val="00E352D0"/>
    <w:rsid w:val="00E3560E"/>
    <w:rsid w:val="00E37211"/>
    <w:rsid w:val="00E37848"/>
    <w:rsid w:val="00E4034D"/>
    <w:rsid w:val="00E404B3"/>
    <w:rsid w:val="00E41143"/>
    <w:rsid w:val="00E417FD"/>
    <w:rsid w:val="00E41EE7"/>
    <w:rsid w:val="00E42084"/>
    <w:rsid w:val="00E43D92"/>
    <w:rsid w:val="00E44854"/>
    <w:rsid w:val="00E4540D"/>
    <w:rsid w:val="00E46AC6"/>
    <w:rsid w:val="00E47F5C"/>
    <w:rsid w:val="00E50277"/>
    <w:rsid w:val="00E50B82"/>
    <w:rsid w:val="00E50CFD"/>
    <w:rsid w:val="00E51630"/>
    <w:rsid w:val="00E552CC"/>
    <w:rsid w:val="00E55749"/>
    <w:rsid w:val="00E55808"/>
    <w:rsid w:val="00E559EA"/>
    <w:rsid w:val="00E5696D"/>
    <w:rsid w:val="00E56E45"/>
    <w:rsid w:val="00E57309"/>
    <w:rsid w:val="00E57B39"/>
    <w:rsid w:val="00E57F78"/>
    <w:rsid w:val="00E58818"/>
    <w:rsid w:val="00E60625"/>
    <w:rsid w:val="00E6161C"/>
    <w:rsid w:val="00E62DEC"/>
    <w:rsid w:val="00E630E4"/>
    <w:rsid w:val="00E63233"/>
    <w:rsid w:val="00E63EBF"/>
    <w:rsid w:val="00E63FE6"/>
    <w:rsid w:val="00E64A5E"/>
    <w:rsid w:val="00E65960"/>
    <w:rsid w:val="00E65F8A"/>
    <w:rsid w:val="00E66DDD"/>
    <w:rsid w:val="00E66ECB"/>
    <w:rsid w:val="00E6733E"/>
    <w:rsid w:val="00E67486"/>
    <w:rsid w:val="00E677AA"/>
    <w:rsid w:val="00E71139"/>
    <w:rsid w:val="00E721F7"/>
    <w:rsid w:val="00E727CE"/>
    <w:rsid w:val="00E727E0"/>
    <w:rsid w:val="00E73D84"/>
    <w:rsid w:val="00E749E1"/>
    <w:rsid w:val="00E74BEF"/>
    <w:rsid w:val="00E76358"/>
    <w:rsid w:val="00E76BF5"/>
    <w:rsid w:val="00E76FB8"/>
    <w:rsid w:val="00E8007A"/>
    <w:rsid w:val="00E80578"/>
    <w:rsid w:val="00E80B43"/>
    <w:rsid w:val="00E80B6A"/>
    <w:rsid w:val="00E812C6"/>
    <w:rsid w:val="00E8168B"/>
    <w:rsid w:val="00E833CB"/>
    <w:rsid w:val="00E83995"/>
    <w:rsid w:val="00E83CBA"/>
    <w:rsid w:val="00E83D2E"/>
    <w:rsid w:val="00E83FB2"/>
    <w:rsid w:val="00E844D4"/>
    <w:rsid w:val="00E86177"/>
    <w:rsid w:val="00E87ED2"/>
    <w:rsid w:val="00E90615"/>
    <w:rsid w:val="00E91CCD"/>
    <w:rsid w:val="00E91FE0"/>
    <w:rsid w:val="00E95AC2"/>
    <w:rsid w:val="00E96654"/>
    <w:rsid w:val="00E9688F"/>
    <w:rsid w:val="00E96DC1"/>
    <w:rsid w:val="00E97167"/>
    <w:rsid w:val="00E97787"/>
    <w:rsid w:val="00E97DBB"/>
    <w:rsid w:val="00EA0169"/>
    <w:rsid w:val="00EA049D"/>
    <w:rsid w:val="00EA093A"/>
    <w:rsid w:val="00EA1D2F"/>
    <w:rsid w:val="00EA2C16"/>
    <w:rsid w:val="00EA3235"/>
    <w:rsid w:val="00EA3781"/>
    <w:rsid w:val="00EA5023"/>
    <w:rsid w:val="00EA512E"/>
    <w:rsid w:val="00EA6C69"/>
    <w:rsid w:val="00EA7061"/>
    <w:rsid w:val="00EA7628"/>
    <w:rsid w:val="00EA7A87"/>
    <w:rsid w:val="00EA7C5B"/>
    <w:rsid w:val="00EB090D"/>
    <w:rsid w:val="00EB13FE"/>
    <w:rsid w:val="00EB254B"/>
    <w:rsid w:val="00EB39F1"/>
    <w:rsid w:val="00EB460F"/>
    <w:rsid w:val="00EB472E"/>
    <w:rsid w:val="00EB535A"/>
    <w:rsid w:val="00EB5434"/>
    <w:rsid w:val="00EB5D11"/>
    <w:rsid w:val="00EB5D6C"/>
    <w:rsid w:val="00EB624A"/>
    <w:rsid w:val="00EB636A"/>
    <w:rsid w:val="00EB6A9B"/>
    <w:rsid w:val="00EB6FAA"/>
    <w:rsid w:val="00EB76D6"/>
    <w:rsid w:val="00EB7749"/>
    <w:rsid w:val="00EC0178"/>
    <w:rsid w:val="00EC049F"/>
    <w:rsid w:val="00EC088C"/>
    <w:rsid w:val="00EC08E6"/>
    <w:rsid w:val="00EC0FDA"/>
    <w:rsid w:val="00EC11E3"/>
    <w:rsid w:val="00EC1961"/>
    <w:rsid w:val="00EC313E"/>
    <w:rsid w:val="00EC33D0"/>
    <w:rsid w:val="00EC4869"/>
    <w:rsid w:val="00EC533F"/>
    <w:rsid w:val="00EC53C8"/>
    <w:rsid w:val="00EC5B6A"/>
    <w:rsid w:val="00ED024E"/>
    <w:rsid w:val="00ED0C42"/>
    <w:rsid w:val="00ED194C"/>
    <w:rsid w:val="00ED2C26"/>
    <w:rsid w:val="00ED37F7"/>
    <w:rsid w:val="00ED3898"/>
    <w:rsid w:val="00ED38BF"/>
    <w:rsid w:val="00ED48AA"/>
    <w:rsid w:val="00ED5DB2"/>
    <w:rsid w:val="00ED5EC2"/>
    <w:rsid w:val="00ED618D"/>
    <w:rsid w:val="00ED784F"/>
    <w:rsid w:val="00EE0DF2"/>
    <w:rsid w:val="00EE1124"/>
    <w:rsid w:val="00EE21DD"/>
    <w:rsid w:val="00EE23EC"/>
    <w:rsid w:val="00EE37B6"/>
    <w:rsid w:val="00EE44B8"/>
    <w:rsid w:val="00EE55D3"/>
    <w:rsid w:val="00EE56DF"/>
    <w:rsid w:val="00EE587F"/>
    <w:rsid w:val="00EE5ED7"/>
    <w:rsid w:val="00EE600D"/>
    <w:rsid w:val="00EE64CC"/>
    <w:rsid w:val="00EE6D6B"/>
    <w:rsid w:val="00EE7DE8"/>
    <w:rsid w:val="00EF0444"/>
    <w:rsid w:val="00EF08E6"/>
    <w:rsid w:val="00EF1A24"/>
    <w:rsid w:val="00EF1BF1"/>
    <w:rsid w:val="00EF4378"/>
    <w:rsid w:val="00EF5073"/>
    <w:rsid w:val="00EF5716"/>
    <w:rsid w:val="00EF71E1"/>
    <w:rsid w:val="00EF7EB1"/>
    <w:rsid w:val="00F003B9"/>
    <w:rsid w:val="00F008E5"/>
    <w:rsid w:val="00F00970"/>
    <w:rsid w:val="00F01BD5"/>
    <w:rsid w:val="00F024E3"/>
    <w:rsid w:val="00F025A1"/>
    <w:rsid w:val="00F0264E"/>
    <w:rsid w:val="00F027B5"/>
    <w:rsid w:val="00F02815"/>
    <w:rsid w:val="00F02D69"/>
    <w:rsid w:val="00F041B2"/>
    <w:rsid w:val="00F04BEB"/>
    <w:rsid w:val="00F0505F"/>
    <w:rsid w:val="00F05AF0"/>
    <w:rsid w:val="00F05EAF"/>
    <w:rsid w:val="00F06D7C"/>
    <w:rsid w:val="00F078A2"/>
    <w:rsid w:val="00F1049D"/>
    <w:rsid w:val="00F10E5B"/>
    <w:rsid w:val="00F119F0"/>
    <w:rsid w:val="00F121A2"/>
    <w:rsid w:val="00F1316B"/>
    <w:rsid w:val="00F147FD"/>
    <w:rsid w:val="00F15EDE"/>
    <w:rsid w:val="00F15FC1"/>
    <w:rsid w:val="00F166CE"/>
    <w:rsid w:val="00F17762"/>
    <w:rsid w:val="00F22C17"/>
    <w:rsid w:val="00F23C5A"/>
    <w:rsid w:val="00F23E91"/>
    <w:rsid w:val="00F261BC"/>
    <w:rsid w:val="00F277D4"/>
    <w:rsid w:val="00F30A70"/>
    <w:rsid w:val="00F31104"/>
    <w:rsid w:val="00F3198C"/>
    <w:rsid w:val="00F329B0"/>
    <w:rsid w:val="00F33E65"/>
    <w:rsid w:val="00F3419D"/>
    <w:rsid w:val="00F34E93"/>
    <w:rsid w:val="00F37C31"/>
    <w:rsid w:val="00F40415"/>
    <w:rsid w:val="00F412AC"/>
    <w:rsid w:val="00F4221F"/>
    <w:rsid w:val="00F42AC0"/>
    <w:rsid w:val="00F43F5A"/>
    <w:rsid w:val="00F44511"/>
    <w:rsid w:val="00F4474B"/>
    <w:rsid w:val="00F4766F"/>
    <w:rsid w:val="00F47A9D"/>
    <w:rsid w:val="00F5097D"/>
    <w:rsid w:val="00F50A43"/>
    <w:rsid w:val="00F513E5"/>
    <w:rsid w:val="00F5219B"/>
    <w:rsid w:val="00F527A6"/>
    <w:rsid w:val="00F52EE3"/>
    <w:rsid w:val="00F53138"/>
    <w:rsid w:val="00F534C0"/>
    <w:rsid w:val="00F54930"/>
    <w:rsid w:val="00F5523B"/>
    <w:rsid w:val="00F55315"/>
    <w:rsid w:val="00F568A7"/>
    <w:rsid w:val="00F61224"/>
    <w:rsid w:val="00F614D3"/>
    <w:rsid w:val="00F623B6"/>
    <w:rsid w:val="00F6280F"/>
    <w:rsid w:val="00F62819"/>
    <w:rsid w:val="00F6394B"/>
    <w:rsid w:val="00F642FE"/>
    <w:rsid w:val="00F6653B"/>
    <w:rsid w:val="00F67276"/>
    <w:rsid w:val="00F67587"/>
    <w:rsid w:val="00F708D9"/>
    <w:rsid w:val="00F70F76"/>
    <w:rsid w:val="00F720FB"/>
    <w:rsid w:val="00F721C2"/>
    <w:rsid w:val="00F73407"/>
    <w:rsid w:val="00F74253"/>
    <w:rsid w:val="00F76068"/>
    <w:rsid w:val="00F76C34"/>
    <w:rsid w:val="00F76EB7"/>
    <w:rsid w:val="00F80234"/>
    <w:rsid w:val="00F80277"/>
    <w:rsid w:val="00F80602"/>
    <w:rsid w:val="00F81376"/>
    <w:rsid w:val="00F814DF"/>
    <w:rsid w:val="00F81E48"/>
    <w:rsid w:val="00F81F7B"/>
    <w:rsid w:val="00F84C20"/>
    <w:rsid w:val="00F85474"/>
    <w:rsid w:val="00F87614"/>
    <w:rsid w:val="00F87FA2"/>
    <w:rsid w:val="00F900F1"/>
    <w:rsid w:val="00F92112"/>
    <w:rsid w:val="00F9230A"/>
    <w:rsid w:val="00F92366"/>
    <w:rsid w:val="00F92753"/>
    <w:rsid w:val="00F93F20"/>
    <w:rsid w:val="00F9598E"/>
    <w:rsid w:val="00F95A7D"/>
    <w:rsid w:val="00F96B32"/>
    <w:rsid w:val="00F96E71"/>
    <w:rsid w:val="00F9735A"/>
    <w:rsid w:val="00FA00CF"/>
    <w:rsid w:val="00FA0938"/>
    <w:rsid w:val="00FA3E22"/>
    <w:rsid w:val="00FA42F4"/>
    <w:rsid w:val="00FA4EBA"/>
    <w:rsid w:val="00FA6502"/>
    <w:rsid w:val="00FA71E2"/>
    <w:rsid w:val="00FA7673"/>
    <w:rsid w:val="00FA7B3E"/>
    <w:rsid w:val="00FA7B72"/>
    <w:rsid w:val="00FB0730"/>
    <w:rsid w:val="00FB0BC1"/>
    <w:rsid w:val="00FB14A0"/>
    <w:rsid w:val="00FB220E"/>
    <w:rsid w:val="00FB34A3"/>
    <w:rsid w:val="00FB4852"/>
    <w:rsid w:val="00FB4E4A"/>
    <w:rsid w:val="00FB6D3A"/>
    <w:rsid w:val="00FB760E"/>
    <w:rsid w:val="00FB7924"/>
    <w:rsid w:val="00FB7F35"/>
    <w:rsid w:val="00FC0437"/>
    <w:rsid w:val="00FC11D6"/>
    <w:rsid w:val="00FC14EA"/>
    <w:rsid w:val="00FC2766"/>
    <w:rsid w:val="00FC2B85"/>
    <w:rsid w:val="00FC379D"/>
    <w:rsid w:val="00FC48DD"/>
    <w:rsid w:val="00FC569E"/>
    <w:rsid w:val="00FC6663"/>
    <w:rsid w:val="00FC67E5"/>
    <w:rsid w:val="00FC69E0"/>
    <w:rsid w:val="00FC6BFF"/>
    <w:rsid w:val="00FC773C"/>
    <w:rsid w:val="00FC78B0"/>
    <w:rsid w:val="00FC7B5F"/>
    <w:rsid w:val="00FD03DE"/>
    <w:rsid w:val="00FD04EB"/>
    <w:rsid w:val="00FD0B1A"/>
    <w:rsid w:val="00FD1036"/>
    <w:rsid w:val="00FD1062"/>
    <w:rsid w:val="00FD131D"/>
    <w:rsid w:val="00FD3046"/>
    <w:rsid w:val="00FD3049"/>
    <w:rsid w:val="00FD3DC6"/>
    <w:rsid w:val="00FD5177"/>
    <w:rsid w:val="00FD5398"/>
    <w:rsid w:val="00FD6172"/>
    <w:rsid w:val="00FD780D"/>
    <w:rsid w:val="00FD7999"/>
    <w:rsid w:val="00FE013B"/>
    <w:rsid w:val="00FE35E1"/>
    <w:rsid w:val="00FE3AFC"/>
    <w:rsid w:val="00FE5585"/>
    <w:rsid w:val="00FE6D86"/>
    <w:rsid w:val="00FE7B3F"/>
    <w:rsid w:val="00FE7FB0"/>
    <w:rsid w:val="00FF0DA7"/>
    <w:rsid w:val="00FF146D"/>
    <w:rsid w:val="00FF2F16"/>
    <w:rsid w:val="00FF3276"/>
    <w:rsid w:val="00FF4397"/>
    <w:rsid w:val="00FF54C0"/>
    <w:rsid w:val="00FF5B26"/>
    <w:rsid w:val="00FF69CB"/>
    <w:rsid w:val="00FF70A4"/>
    <w:rsid w:val="00FF7DE7"/>
    <w:rsid w:val="010732A0"/>
    <w:rsid w:val="0136176B"/>
    <w:rsid w:val="019CA649"/>
    <w:rsid w:val="01CD1237"/>
    <w:rsid w:val="022AF3E2"/>
    <w:rsid w:val="02670227"/>
    <w:rsid w:val="026B7CFB"/>
    <w:rsid w:val="027AAB6E"/>
    <w:rsid w:val="029CE853"/>
    <w:rsid w:val="02A2CB8A"/>
    <w:rsid w:val="02A81789"/>
    <w:rsid w:val="03185171"/>
    <w:rsid w:val="037A59C3"/>
    <w:rsid w:val="037F3D9E"/>
    <w:rsid w:val="03A79B2D"/>
    <w:rsid w:val="03FFA6CB"/>
    <w:rsid w:val="0401DAC4"/>
    <w:rsid w:val="04965F73"/>
    <w:rsid w:val="04B2ACBF"/>
    <w:rsid w:val="04B2AEFE"/>
    <w:rsid w:val="04C138F1"/>
    <w:rsid w:val="04CC5439"/>
    <w:rsid w:val="04E26F07"/>
    <w:rsid w:val="05273325"/>
    <w:rsid w:val="05801DB7"/>
    <w:rsid w:val="05980ED1"/>
    <w:rsid w:val="05B0083E"/>
    <w:rsid w:val="06559D2A"/>
    <w:rsid w:val="067C583D"/>
    <w:rsid w:val="0684E8B0"/>
    <w:rsid w:val="0694011A"/>
    <w:rsid w:val="06A2876F"/>
    <w:rsid w:val="0737478D"/>
    <w:rsid w:val="07C7E16A"/>
    <w:rsid w:val="083F3E43"/>
    <w:rsid w:val="0848FB80"/>
    <w:rsid w:val="0A191527"/>
    <w:rsid w:val="0A31D117"/>
    <w:rsid w:val="0A71D4CB"/>
    <w:rsid w:val="0AA79532"/>
    <w:rsid w:val="0AB12E6C"/>
    <w:rsid w:val="0B2867F4"/>
    <w:rsid w:val="0B58BE36"/>
    <w:rsid w:val="0B6D5EE3"/>
    <w:rsid w:val="0B7C3387"/>
    <w:rsid w:val="0B85467C"/>
    <w:rsid w:val="0BE31ABA"/>
    <w:rsid w:val="0BE58332"/>
    <w:rsid w:val="0BF3D8EF"/>
    <w:rsid w:val="0C08047A"/>
    <w:rsid w:val="0C3B0755"/>
    <w:rsid w:val="0C550275"/>
    <w:rsid w:val="0C67A208"/>
    <w:rsid w:val="0C93B7BE"/>
    <w:rsid w:val="0CD8AEAD"/>
    <w:rsid w:val="0D382504"/>
    <w:rsid w:val="0D64E3E5"/>
    <w:rsid w:val="0D668BC4"/>
    <w:rsid w:val="0DBE8214"/>
    <w:rsid w:val="0E866FDB"/>
    <w:rsid w:val="0EF70CB7"/>
    <w:rsid w:val="0F23D6F7"/>
    <w:rsid w:val="0F345246"/>
    <w:rsid w:val="0F3505D2"/>
    <w:rsid w:val="0F592EFF"/>
    <w:rsid w:val="0F734BFF"/>
    <w:rsid w:val="0F904C16"/>
    <w:rsid w:val="0FB842EE"/>
    <w:rsid w:val="0FD7CC56"/>
    <w:rsid w:val="1019C6D1"/>
    <w:rsid w:val="1022E24C"/>
    <w:rsid w:val="1037BC9F"/>
    <w:rsid w:val="10AD8E05"/>
    <w:rsid w:val="10D245C8"/>
    <w:rsid w:val="10FAF5EC"/>
    <w:rsid w:val="10FE2D5E"/>
    <w:rsid w:val="1178E505"/>
    <w:rsid w:val="1193164D"/>
    <w:rsid w:val="11DAD6C8"/>
    <w:rsid w:val="1259CDC2"/>
    <w:rsid w:val="12619895"/>
    <w:rsid w:val="12B44F60"/>
    <w:rsid w:val="12C28187"/>
    <w:rsid w:val="13195385"/>
    <w:rsid w:val="13ADBF7C"/>
    <w:rsid w:val="13AF72F9"/>
    <w:rsid w:val="14A61C53"/>
    <w:rsid w:val="14C81A8D"/>
    <w:rsid w:val="14D32E7E"/>
    <w:rsid w:val="14D7E290"/>
    <w:rsid w:val="15398062"/>
    <w:rsid w:val="160C62FA"/>
    <w:rsid w:val="1639F38A"/>
    <w:rsid w:val="1680BFE3"/>
    <w:rsid w:val="16ACA874"/>
    <w:rsid w:val="16B533CE"/>
    <w:rsid w:val="16CD014D"/>
    <w:rsid w:val="170B81A7"/>
    <w:rsid w:val="174E4513"/>
    <w:rsid w:val="1764F4AB"/>
    <w:rsid w:val="186F33EE"/>
    <w:rsid w:val="18B0F0A8"/>
    <w:rsid w:val="18B5B700"/>
    <w:rsid w:val="18BE9FAA"/>
    <w:rsid w:val="18CA926B"/>
    <w:rsid w:val="19A4EF2C"/>
    <w:rsid w:val="19E62F2D"/>
    <w:rsid w:val="1A0E88B0"/>
    <w:rsid w:val="1A310384"/>
    <w:rsid w:val="1A334B1C"/>
    <w:rsid w:val="1A83B516"/>
    <w:rsid w:val="1AA74EA0"/>
    <w:rsid w:val="1ACFBE7B"/>
    <w:rsid w:val="1AD198A6"/>
    <w:rsid w:val="1AE3AD25"/>
    <w:rsid w:val="1AFA7786"/>
    <w:rsid w:val="1B83304B"/>
    <w:rsid w:val="1B9CDE77"/>
    <w:rsid w:val="1BA22D45"/>
    <w:rsid w:val="1BEB45F5"/>
    <w:rsid w:val="1C48444D"/>
    <w:rsid w:val="1C90D39C"/>
    <w:rsid w:val="1CDBF876"/>
    <w:rsid w:val="1D5DBE38"/>
    <w:rsid w:val="1D99485D"/>
    <w:rsid w:val="1DFBEEC8"/>
    <w:rsid w:val="1E16955B"/>
    <w:rsid w:val="1E7A5A65"/>
    <w:rsid w:val="1EC6E5CF"/>
    <w:rsid w:val="1F16123F"/>
    <w:rsid w:val="1F307140"/>
    <w:rsid w:val="1F8C4416"/>
    <w:rsid w:val="1FB5DD3E"/>
    <w:rsid w:val="1FDAAA46"/>
    <w:rsid w:val="206B1114"/>
    <w:rsid w:val="207A2A79"/>
    <w:rsid w:val="20EEBA33"/>
    <w:rsid w:val="20F61799"/>
    <w:rsid w:val="21683688"/>
    <w:rsid w:val="217AE433"/>
    <w:rsid w:val="21EBB547"/>
    <w:rsid w:val="220CAD89"/>
    <w:rsid w:val="22306CC5"/>
    <w:rsid w:val="2258395E"/>
    <w:rsid w:val="227EE327"/>
    <w:rsid w:val="229D75A8"/>
    <w:rsid w:val="22B8798E"/>
    <w:rsid w:val="22CCC577"/>
    <w:rsid w:val="23977149"/>
    <w:rsid w:val="23C53514"/>
    <w:rsid w:val="241E9C23"/>
    <w:rsid w:val="2447B10A"/>
    <w:rsid w:val="250D87AB"/>
    <w:rsid w:val="25115DB2"/>
    <w:rsid w:val="25233B18"/>
    <w:rsid w:val="2569ECEB"/>
    <w:rsid w:val="258BC95D"/>
    <w:rsid w:val="25E2CA62"/>
    <w:rsid w:val="2603CEC1"/>
    <w:rsid w:val="26432611"/>
    <w:rsid w:val="2681703D"/>
    <w:rsid w:val="268E74DA"/>
    <w:rsid w:val="26A4A2F2"/>
    <w:rsid w:val="26CC6FCA"/>
    <w:rsid w:val="26FCB2F8"/>
    <w:rsid w:val="27164A94"/>
    <w:rsid w:val="274A37A5"/>
    <w:rsid w:val="27B3687C"/>
    <w:rsid w:val="27F6A488"/>
    <w:rsid w:val="2811CC8D"/>
    <w:rsid w:val="28257B46"/>
    <w:rsid w:val="2827D22B"/>
    <w:rsid w:val="2879165B"/>
    <w:rsid w:val="288B3F32"/>
    <w:rsid w:val="28BE401B"/>
    <w:rsid w:val="28CC3F71"/>
    <w:rsid w:val="2930B7B1"/>
    <w:rsid w:val="2961DF84"/>
    <w:rsid w:val="2968E5FF"/>
    <w:rsid w:val="29CB1D21"/>
    <w:rsid w:val="29EAA20F"/>
    <w:rsid w:val="2A232D36"/>
    <w:rsid w:val="2A30F008"/>
    <w:rsid w:val="2A902979"/>
    <w:rsid w:val="2AE6A9BB"/>
    <w:rsid w:val="2B6F11DB"/>
    <w:rsid w:val="2BCBF56B"/>
    <w:rsid w:val="2C4E344C"/>
    <w:rsid w:val="2C998046"/>
    <w:rsid w:val="2CD6BF37"/>
    <w:rsid w:val="2D0C6C17"/>
    <w:rsid w:val="2D1697CA"/>
    <w:rsid w:val="2D35251C"/>
    <w:rsid w:val="2D5FA563"/>
    <w:rsid w:val="2D857A6E"/>
    <w:rsid w:val="2D9828B0"/>
    <w:rsid w:val="2D9EFA9E"/>
    <w:rsid w:val="2DBA4C89"/>
    <w:rsid w:val="2DC6C17B"/>
    <w:rsid w:val="2E38687E"/>
    <w:rsid w:val="2E653EC2"/>
    <w:rsid w:val="2E6A64A9"/>
    <w:rsid w:val="2E75B9FB"/>
    <w:rsid w:val="2E7911A2"/>
    <w:rsid w:val="2E9D8C0B"/>
    <w:rsid w:val="2EBF74EA"/>
    <w:rsid w:val="2EC45FAD"/>
    <w:rsid w:val="2EC599D4"/>
    <w:rsid w:val="2EDA6EA6"/>
    <w:rsid w:val="2F1189B8"/>
    <w:rsid w:val="2F7030D9"/>
    <w:rsid w:val="2F7B71F6"/>
    <w:rsid w:val="2FB9B80F"/>
    <w:rsid w:val="2FEB6803"/>
    <w:rsid w:val="302AC4B4"/>
    <w:rsid w:val="305A1483"/>
    <w:rsid w:val="30A76A4E"/>
    <w:rsid w:val="30D9C307"/>
    <w:rsid w:val="3124AD4A"/>
    <w:rsid w:val="3143625E"/>
    <w:rsid w:val="314EA29C"/>
    <w:rsid w:val="3157BBA5"/>
    <w:rsid w:val="31ABEB2F"/>
    <w:rsid w:val="3227540B"/>
    <w:rsid w:val="322B8EA2"/>
    <w:rsid w:val="32B30F09"/>
    <w:rsid w:val="32C56206"/>
    <w:rsid w:val="32CCC800"/>
    <w:rsid w:val="3311E135"/>
    <w:rsid w:val="3346673A"/>
    <w:rsid w:val="33A2F7F4"/>
    <w:rsid w:val="33BF0F26"/>
    <w:rsid w:val="33C06CC1"/>
    <w:rsid w:val="3447F64D"/>
    <w:rsid w:val="346682CC"/>
    <w:rsid w:val="3472EA1F"/>
    <w:rsid w:val="34C1F5BC"/>
    <w:rsid w:val="35047CB8"/>
    <w:rsid w:val="35890B81"/>
    <w:rsid w:val="35910C81"/>
    <w:rsid w:val="35A1B81E"/>
    <w:rsid w:val="35A4E27F"/>
    <w:rsid w:val="35E2D3B4"/>
    <w:rsid w:val="36466428"/>
    <w:rsid w:val="3646D0C3"/>
    <w:rsid w:val="365E4CD0"/>
    <w:rsid w:val="3678A093"/>
    <w:rsid w:val="36996428"/>
    <w:rsid w:val="3699AC37"/>
    <w:rsid w:val="369E69F9"/>
    <w:rsid w:val="36A091FD"/>
    <w:rsid w:val="36AC275E"/>
    <w:rsid w:val="36BD6B04"/>
    <w:rsid w:val="36C2C466"/>
    <w:rsid w:val="36FFD583"/>
    <w:rsid w:val="37093C39"/>
    <w:rsid w:val="3795ABFB"/>
    <w:rsid w:val="381261B7"/>
    <w:rsid w:val="381D7885"/>
    <w:rsid w:val="384D4947"/>
    <w:rsid w:val="38ADC658"/>
    <w:rsid w:val="38EF7A26"/>
    <w:rsid w:val="390E883B"/>
    <w:rsid w:val="3A13DB62"/>
    <w:rsid w:val="3A1B265A"/>
    <w:rsid w:val="3A1F1754"/>
    <w:rsid w:val="3AA7FD80"/>
    <w:rsid w:val="3AB3ABC3"/>
    <w:rsid w:val="3AD24EA6"/>
    <w:rsid w:val="3AE080CD"/>
    <w:rsid w:val="3B0C42EF"/>
    <w:rsid w:val="3B17C8BA"/>
    <w:rsid w:val="3B63A584"/>
    <w:rsid w:val="3B7FDD19"/>
    <w:rsid w:val="3B86C7D3"/>
    <w:rsid w:val="3B8D2C1B"/>
    <w:rsid w:val="3B90F4BB"/>
    <w:rsid w:val="3BD2D063"/>
    <w:rsid w:val="3BFCD5BD"/>
    <w:rsid w:val="3C040F3B"/>
    <w:rsid w:val="3C4CC3F6"/>
    <w:rsid w:val="3C643943"/>
    <w:rsid w:val="3C684443"/>
    <w:rsid w:val="3C7C8FDE"/>
    <w:rsid w:val="3CA61D8B"/>
    <w:rsid w:val="3CF75BFD"/>
    <w:rsid w:val="3D7EBF42"/>
    <w:rsid w:val="3DA9F65C"/>
    <w:rsid w:val="3DCA6E65"/>
    <w:rsid w:val="3E3FE519"/>
    <w:rsid w:val="3E6CF744"/>
    <w:rsid w:val="3E831FBA"/>
    <w:rsid w:val="3E88A428"/>
    <w:rsid w:val="3E91066C"/>
    <w:rsid w:val="3E9D6261"/>
    <w:rsid w:val="3EE3798C"/>
    <w:rsid w:val="3F121011"/>
    <w:rsid w:val="3F3FCA38"/>
    <w:rsid w:val="3FD73BE0"/>
    <w:rsid w:val="40059AC2"/>
    <w:rsid w:val="40BB1E2D"/>
    <w:rsid w:val="40E0FFA6"/>
    <w:rsid w:val="41017BA0"/>
    <w:rsid w:val="41730C41"/>
    <w:rsid w:val="41751971"/>
    <w:rsid w:val="41CD6197"/>
    <w:rsid w:val="42444E92"/>
    <w:rsid w:val="427A1590"/>
    <w:rsid w:val="428A6598"/>
    <w:rsid w:val="42B89890"/>
    <w:rsid w:val="4369634D"/>
    <w:rsid w:val="43D276C1"/>
    <w:rsid w:val="43ECA819"/>
    <w:rsid w:val="43FDCE81"/>
    <w:rsid w:val="44482DA0"/>
    <w:rsid w:val="447B2246"/>
    <w:rsid w:val="44BAAA4D"/>
    <w:rsid w:val="44CCE8A9"/>
    <w:rsid w:val="44E8A03F"/>
    <w:rsid w:val="44EE44D7"/>
    <w:rsid w:val="4511ED41"/>
    <w:rsid w:val="4537878A"/>
    <w:rsid w:val="458D988D"/>
    <w:rsid w:val="45E07202"/>
    <w:rsid w:val="4661F155"/>
    <w:rsid w:val="46776CFC"/>
    <w:rsid w:val="469102C0"/>
    <w:rsid w:val="46A0FD94"/>
    <w:rsid w:val="46D32386"/>
    <w:rsid w:val="476AA005"/>
    <w:rsid w:val="4799A4ED"/>
    <w:rsid w:val="47EAE6BA"/>
    <w:rsid w:val="4802B5CA"/>
    <w:rsid w:val="480CC023"/>
    <w:rsid w:val="482FAAD8"/>
    <w:rsid w:val="48478007"/>
    <w:rsid w:val="486C29F5"/>
    <w:rsid w:val="486DCFD9"/>
    <w:rsid w:val="48A517C6"/>
    <w:rsid w:val="48CCF14D"/>
    <w:rsid w:val="48CF6136"/>
    <w:rsid w:val="490262F9"/>
    <w:rsid w:val="490B2E35"/>
    <w:rsid w:val="492C431D"/>
    <w:rsid w:val="4932376A"/>
    <w:rsid w:val="493B7606"/>
    <w:rsid w:val="49411461"/>
    <w:rsid w:val="49437B01"/>
    <w:rsid w:val="49E51B28"/>
    <w:rsid w:val="49F89880"/>
    <w:rsid w:val="4A57C046"/>
    <w:rsid w:val="4ABB74EE"/>
    <w:rsid w:val="4AC8C227"/>
    <w:rsid w:val="4AE2ABA3"/>
    <w:rsid w:val="4AEDF574"/>
    <w:rsid w:val="4B51B00D"/>
    <w:rsid w:val="4B69A97A"/>
    <w:rsid w:val="4C0ACF67"/>
    <w:rsid w:val="4C1E5578"/>
    <w:rsid w:val="4C2449C5"/>
    <w:rsid w:val="4C559D65"/>
    <w:rsid w:val="4C82CDB8"/>
    <w:rsid w:val="4C849A29"/>
    <w:rsid w:val="4D75433D"/>
    <w:rsid w:val="4DF82C5C"/>
    <w:rsid w:val="4E3B719D"/>
    <w:rsid w:val="4E5BBBD5"/>
    <w:rsid w:val="4F539007"/>
    <w:rsid w:val="4FD68A0C"/>
    <w:rsid w:val="5028D53E"/>
    <w:rsid w:val="505E821E"/>
    <w:rsid w:val="50F110A5"/>
    <w:rsid w:val="5151A4E2"/>
    <w:rsid w:val="5200DBFF"/>
    <w:rsid w:val="5219CEB0"/>
    <w:rsid w:val="5269E7C6"/>
    <w:rsid w:val="52DF51BC"/>
    <w:rsid w:val="52EAF680"/>
    <w:rsid w:val="53245CA1"/>
    <w:rsid w:val="53486A85"/>
    <w:rsid w:val="541C3D74"/>
    <w:rsid w:val="543E9DA4"/>
    <w:rsid w:val="5453DFB1"/>
    <w:rsid w:val="54B9C619"/>
    <w:rsid w:val="54BAF06E"/>
    <w:rsid w:val="54BEA65D"/>
    <w:rsid w:val="54F19654"/>
    <w:rsid w:val="54FE0136"/>
    <w:rsid w:val="55138AA6"/>
    <w:rsid w:val="559E2E89"/>
    <w:rsid w:val="55A7F5CF"/>
    <w:rsid w:val="5714DB08"/>
    <w:rsid w:val="572F3371"/>
    <w:rsid w:val="57647AA4"/>
    <w:rsid w:val="57BBB8CB"/>
    <w:rsid w:val="58005F15"/>
    <w:rsid w:val="580F0B60"/>
    <w:rsid w:val="58569A3A"/>
    <w:rsid w:val="585B2582"/>
    <w:rsid w:val="58A55F16"/>
    <w:rsid w:val="58E46CBE"/>
    <w:rsid w:val="58E6110F"/>
    <w:rsid w:val="58F6F886"/>
    <w:rsid w:val="59074A29"/>
    <w:rsid w:val="59AA93C7"/>
    <w:rsid w:val="59F2A804"/>
    <w:rsid w:val="5A5FEC48"/>
    <w:rsid w:val="5AD32223"/>
    <w:rsid w:val="5B0F4BA1"/>
    <w:rsid w:val="5BF94999"/>
    <w:rsid w:val="5C474260"/>
    <w:rsid w:val="5C58BFF0"/>
    <w:rsid w:val="5C6F2585"/>
    <w:rsid w:val="5C71B7C0"/>
    <w:rsid w:val="5C90E0A4"/>
    <w:rsid w:val="5CF5506F"/>
    <w:rsid w:val="5D7A7014"/>
    <w:rsid w:val="5DD868FF"/>
    <w:rsid w:val="5E586554"/>
    <w:rsid w:val="5E81D82E"/>
    <w:rsid w:val="5EE30AC2"/>
    <w:rsid w:val="5EFC9050"/>
    <w:rsid w:val="5F14EC1F"/>
    <w:rsid w:val="5F2E4652"/>
    <w:rsid w:val="5F5A4421"/>
    <w:rsid w:val="5FA2A163"/>
    <w:rsid w:val="5FCC702B"/>
    <w:rsid w:val="6153001F"/>
    <w:rsid w:val="61C62BE2"/>
    <w:rsid w:val="61C8D9CF"/>
    <w:rsid w:val="623B59B7"/>
    <w:rsid w:val="627A7021"/>
    <w:rsid w:val="6289E8B3"/>
    <w:rsid w:val="629804E7"/>
    <w:rsid w:val="62ACAD2B"/>
    <w:rsid w:val="62ACDFFC"/>
    <w:rsid w:val="62E54B46"/>
    <w:rsid w:val="633A1D36"/>
    <w:rsid w:val="633D960D"/>
    <w:rsid w:val="63D0893B"/>
    <w:rsid w:val="6448EDC6"/>
    <w:rsid w:val="649761D5"/>
    <w:rsid w:val="64ADBD5E"/>
    <w:rsid w:val="64B9DF12"/>
    <w:rsid w:val="65006254"/>
    <w:rsid w:val="6530506F"/>
    <w:rsid w:val="653F3E58"/>
    <w:rsid w:val="6558E2A3"/>
    <w:rsid w:val="6561293D"/>
    <w:rsid w:val="664F8F5B"/>
    <w:rsid w:val="668F0BE6"/>
    <w:rsid w:val="6697D5EF"/>
    <w:rsid w:val="671B0D53"/>
    <w:rsid w:val="679A43A7"/>
    <w:rsid w:val="679B33AB"/>
    <w:rsid w:val="67A7789E"/>
    <w:rsid w:val="67BC372B"/>
    <w:rsid w:val="67F96362"/>
    <w:rsid w:val="6863D45F"/>
    <w:rsid w:val="687AAA6F"/>
    <w:rsid w:val="689AB7A5"/>
    <w:rsid w:val="68ED911A"/>
    <w:rsid w:val="693A2225"/>
    <w:rsid w:val="693F7807"/>
    <w:rsid w:val="698A39F8"/>
    <w:rsid w:val="69D5C7F1"/>
    <w:rsid w:val="69F05967"/>
    <w:rsid w:val="6AA0BAAF"/>
    <w:rsid w:val="6AA1C974"/>
    <w:rsid w:val="6B110831"/>
    <w:rsid w:val="6B11229C"/>
    <w:rsid w:val="6B58F0EB"/>
    <w:rsid w:val="6BBFE5E0"/>
    <w:rsid w:val="6BD1C0EF"/>
    <w:rsid w:val="6BEEBD22"/>
    <w:rsid w:val="6BF72DCD"/>
    <w:rsid w:val="6D02F2ED"/>
    <w:rsid w:val="6D5697FC"/>
    <w:rsid w:val="6D57B22C"/>
    <w:rsid w:val="6D802FC0"/>
    <w:rsid w:val="6D93EFBF"/>
    <w:rsid w:val="6D9C88E8"/>
    <w:rsid w:val="6DA35A76"/>
    <w:rsid w:val="6DFA1BB4"/>
    <w:rsid w:val="6E048574"/>
    <w:rsid w:val="6E109AFE"/>
    <w:rsid w:val="6E192D66"/>
    <w:rsid w:val="6E1DC9AD"/>
    <w:rsid w:val="6E96D0AE"/>
    <w:rsid w:val="6F1444CD"/>
    <w:rsid w:val="6F25C66C"/>
    <w:rsid w:val="6F8F3CC0"/>
    <w:rsid w:val="6FD4E3BF"/>
    <w:rsid w:val="70711C84"/>
    <w:rsid w:val="7072421B"/>
    <w:rsid w:val="70ED1F36"/>
    <w:rsid w:val="7118E158"/>
    <w:rsid w:val="71AC2A4E"/>
    <w:rsid w:val="71ADD1DC"/>
    <w:rsid w:val="722F2665"/>
    <w:rsid w:val="72CEBF15"/>
    <w:rsid w:val="72FF99B7"/>
    <w:rsid w:val="7371F36A"/>
    <w:rsid w:val="73748906"/>
    <w:rsid w:val="73A82630"/>
    <w:rsid w:val="73D27F0A"/>
    <w:rsid w:val="73F2C1F9"/>
    <w:rsid w:val="7449D0EF"/>
    <w:rsid w:val="74646E65"/>
    <w:rsid w:val="747B6AB8"/>
    <w:rsid w:val="7519C62E"/>
    <w:rsid w:val="7531E337"/>
    <w:rsid w:val="7607F97B"/>
    <w:rsid w:val="769156E2"/>
    <w:rsid w:val="76DA9333"/>
    <w:rsid w:val="77C6E6CC"/>
    <w:rsid w:val="77F2CEAA"/>
    <w:rsid w:val="78106968"/>
    <w:rsid w:val="7850173D"/>
    <w:rsid w:val="7875511A"/>
    <w:rsid w:val="78844870"/>
    <w:rsid w:val="78CFBAB0"/>
    <w:rsid w:val="7945A902"/>
    <w:rsid w:val="79698E14"/>
    <w:rsid w:val="797C0C2E"/>
    <w:rsid w:val="798F2E30"/>
    <w:rsid w:val="79CD174E"/>
    <w:rsid w:val="79FEDE6A"/>
    <w:rsid w:val="7A4DA061"/>
    <w:rsid w:val="7A529DBB"/>
    <w:rsid w:val="7AAFAEF7"/>
    <w:rsid w:val="7BBBDCDB"/>
    <w:rsid w:val="7BD532F1"/>
    <w:rsid w:val="7BF84E28"/>
    <w:rsid w:val="7D22905E"/>
    <w:rsid w:val="7D2C7FFF"/>
    <w:rsid w:val="7D333BD5"/>
    <w:rsid w:val="7DA40191"/>
    <w:rsid w:val="7E54A850"/>
    <w:rsid w:val="7E586B1B"/>
    <w:rsid w:val="7EBE5CA2"/>
    <w:rsid w:val="7F2B1501"/>
    <w:rsid w:val="7F8C7B43"/>
    <w:rsid w:val="7FD9E00A"/>
    <w:rsid w:val="7FDC8A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3E82C701-7FC5-4707-A18E-615E1BC5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16 Point,4_G,BVI fnr,Carattere Char Carattere Carattere Char Carattere Char Carattere Char Char Char1 Char,Footnote Reference Char Char Char,Footnote Reference Superscript,RSC_WP (footnote reference),Superscript 6 Point,ftref"/>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qFormat/>
    <w:rsid w:val="008543F5"/>
  </w:style>
  <w:style w:type="character" w:customStyle="1" w:styleId="CommentTextChar">
    <w:name w:val="Comment Text Char"/>
    <w:basedOn w:val="DefaultParagraphFont"/>
    <w:link w:val="CommentText"/>
    <w:qForma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qFormat/>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unhideWhenUsed/>
    <w:rsid w:val="00523B73"/>
    <w:rPr>
      <w:color w:val="605E5C"/>
      <w:shd w:val="clear" w:color="auto" w:fill="E1DFDD"/>
    </w:rPr>
  </w:style>
  <w:style w:type="character" w:styleId="Mention">
    <w:name w:val="Mention"/>
    <w:basedOn w:val="DefaultParagraphFont"/>
    <w:uiPriority w:val="99"/>
    <w:unhideWhenUsed/>
    <w:rsid w:val="004E29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3680886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698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undp.org/evaluation/evaluations/adr/nepal.s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hdr.undp.org/system/files/documents/hdp-document/2022mpireportenpdf.pdf" TargetMode="External"/><Relationship Id="rId2" Type="http://schemas.openxmlformats.org/officeDocument/2006/relationships/hyperlink" Target="https://hdr.undp.org/system/files/documents/global-report-document/hdr2021-22pdf_1.pdf" TargetMode="External"/><Relationship Id="rId1" Type="http://schemas.openxmlformats.org/officeDocument/2006/relationships/hyperlink" Target="https://npc.gov.np/images/category/MPI_Report_2021_for_web.pdf" TargetMode="External"/><Relationship Id="rId4" Type="http://schemas.openxmlformats.org/officeDocument/2006/relationships/hyperlink" Target="https://www3.weforum.org/docs/WEF_GGGR_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UNITOFFICE-440-2448</_dlc_DocId>
    <_dlc_DocIdUrl xmlns="5ebeba3d-fd60-4dcb-8548-a9fd3c51d9ff">
      <Url>https://intranet.undp.org/unit/office/exo/sp2014/SP201417/_layouts/15/DocIdRedir.aspx?ID=UNITOFFICE-440-2448</Url>
      <Description>UNITOFFICE-440-2448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2.xml><?xml version="1.0" encoding="utf-8"?>
<ds:datastoreItem xmlns:ds="http://schemas.openxmlformats.org/officeDocument/2006/customXml" ds:itemID="{489925D5-C037-42E5-BB45-404DBE708138}">
  <ds:schemaRefs>
    <ds:schemaRef ds:uri="http://schemas.microsoft.com/sharepoint/events"/>
  </ds:schemaRefs>
</ds:datastoreItem>
</file>

<file path=customXml/itemProps3.xml><?xml version="1.0" encoding="utf-8"?>
<ds:datastoreItem xmlns:ds="http://schemas.openxmlformats.org/officeDocument/2006/customXml" ds:itemID="{F9B707EB-770E-4D49-BC13-D6D1F27F4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5947</Words>
  <Characters>38834</Characters>
  <Application>Microsoft Office Word</Application>
  <DocSecurity>0</DocSecurity>
  <Lines>970</Lines>
  <Paragraphs>347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44434</CharactersWithSpaces>
  <SharedDoc>false</SharedDoc>
  <HLinks>
    <vt:vector size="24"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ariant>
        <vt:i4>2883661</vt:i4>
      </vt:variant>
      <vt:variant>
        <vt:i4>3</vt:i4>
      </vt:variant>
      <vt:variant>
        <vt:i4>0</vt:i4>
      </vt:variant>
      <vt:variant>
        <vt:i4>5</vt:i4>
      </vt:variant>
      <vt:variant>
        <vt:lpwstr>https://hdr.undp.org/system/files/documents/global-report-document/hdr2021-22pdf_1.pdf</vt:lpwstr>
      </vt:variant>
      <vt:variant>
        <vt:lpwstr/>
      </vt:variant>
      <vt:variant>
        <vt:i4>1245272</vt:i4>
      </vt:variant>
      <vt:variant>
        <vt:i4>0</vt:i4>
      </vt:variant>
      <vt:variant>
        <vt:i4>0</vt:i4>
      </vt:variant>
      <vt:variant>
        <vt:i4>5</vt:i4>
      </vt:variant>
      <vt:variant>
        <vt:lpwstr>https://npc.gov.np/images/category/MPI_Report_2021_for_web.pdf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4</cp:revision>
  <cp:lastPrinted>2022-10-26T14:23:00Z</cp:lastPrinted>
  <dcterms:created xsi:type="dcterms:W3CDTF">2022-10-31T15:01:00Z</dcterms:created>
  <dcterms:modified xsi:type="dcterms:W3CDTF">2022-10-31T15:02:00Z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dacf4ac3-2162-4015-9cec-5523b4461ff3</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