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00A4" w14:textId="77777777" w:rsidR="00B9195C" w:rsidRPr="0056595D" w:rsidRDefault="00B9195C" w:rsidP="00D4333A">
      <w:pPr>
        <w:rPr>
          <w:rFonts w:ascii="Times New Roman" w:hAnsi="Times New Roman" w:cs="Times New Roman"/>
          <w:b/>
          <w:bCs/>
          <w:sz w:val="20"/>
          <w:szCs w:val="20"/>
          <w:lang w:val="en-GB"/>
        </w:rPr>
      </w:pPr>
      <w:bookmarkStart w:id="0" w:name="_Hlk117668554"/>
      <w:r w:rsidRPr="0056595D">
        <w:rPr>
          <w:rFonts w:ascii="Times New Roman" w:hAnsi="Times New Roman" w:cs="Times New Roman"/>
          <w:b/>
          <w:bCs/>
          <w:sz w:val="20"/>
          <w:szCs w:val="20"/>
          <w:lang w:val="en-GB"/>
        </w:rPr>
        <w:t>First regular session 2023</w:t>
      </w:r>
    </w:p>
    <w:p w14:paraId="49D876EF" w14:textId="77777777" w:rsidR="00B9195C" w:rsidRPr="00B9195C" w:rsidRDefault="00B9195C" w:rsidP="00B919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sz w:val="20"/>
          <w:szCs w:val="20"/>
          <w:lang w:val="en-GB"/>
        </w:rPr>
      </w:pPr>
      <w:r w:rsidRPr="00B9195C">
        <w:rPr>
          <w:rFonts w:ascii="Times New Roman" w:eastAsia="Times New Roman" w:hAnsi="Times New Roman" w:cs="Times New Roman"/>
          <w:color w:val="000000"/>
          <w:sz w:val="20"/>
          <w:szCs w:val="20"/>
          <w:lang w:val="en-GB"/>
        </w:rPr>
        <w:t>30 January – 3 February 2023, New York</w:t>
      </w:r>
    </w:p>
    <w:p w14:paraId="1057831F" w14:textId="77777777" w:rsidR="00B9195C" w:rsidRPr="00B9195C" w:rsidRDefault="00B9195C" w:rsidP="00B9195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ascii="Times New Roman" w:eastAsia="Times New Roman" w:hAnsi="Times New Roman" w:cs="Times New Roman"/>
          <w:color w:val="000000"/>
          <w:sz w:val="20"/>
          <w:szCs w:val="20"/>
          <w:lang w:val="en-GB"/>
        </w:rPr>
      </w:pPr>
      <w:r w:rsidRPr="00B9195C">
        <w:rPr>
          <w:rFonts w:ascii="Times New Roman" w:eastAsia="Times New Roman" w:hAnsi="Times New Roman" w:cs="Times New Roman"/>
          <w:color w:val="000000"/>
          <w:sz w:val="20"/>
          <w:szCs w:val="20"/>
          <w:lang w:val="en-GB"/>
        </w:rPr>
        <w:t>Item 7 of the provisional agenda</w:t>
      </w:r>
    </w:p>
    <w:p w14:paraId="084DFD01" w14:textId="77777777" w:rsidR="00B9195C" w:rsidRPr="00B9195C" w:rsidRDefault="00B9195C" w:rsidP="00B9195C">
      <w:pPr>
        <w:ind w:right="1260"/>
        <w:rPr>
          <w:rFonts w:ascii="Times New Roman" w:eastAsia="Times New Roman" w:hAnsi="Times New Roman" w:cs="Times New Roman"/>
          <w:b/>
          <w:color w:val="000000"/>
          <w:sz w:val="20"/>
          <w:szCs w:val="20"/>
          <w:lang w:val="en-GB"/>
        </w:rPr>
      </w:pPr>
      <w:r w:rsidRPr="00B9195C">
        <w:rPr>
          <w:rFonts w:ascii="Times New Roman" w:eastAsia="Times New Roman" w:hAnsi="Times New Roman" w:cs="Times New Roman"/>
          <w:b/>
          <w:color w:val="000000"/>
          <w:sz w:val="20"/>
          <w:szCs w:val="20"/>
          <w:lang w:val="en-GB"/>
        </w:rPr>
        <w:t>Country programmes and related matters</w:t>
      </w:r>
    </w:p>
    <w:p w14:paraId="32EFC071" w14:textId="77777777" w:rsidR="00B9195C" w:rsidRPr="00B9195C" w:rsidRDefault="00B9195C" w:rsidP="00B9195C">
      <w:pPr>
        <w:rPr>
          <w:rFonts w:ascii="Times New Roman" w:eastAsia="Times New Roman" w:hAnsi="Times New Roman" w:cs="Times New Roman"/>
          <w:b/>
          <w:color w:val="000000"/>
          <w:sz w:val="20"/>
          <w:szCs w:val="20"/>
          <w:lang w:val="en-GB"/>
        </w:rPr>
      </w:pPr>
    </w:p>
    <w:p w14:paraId="32B687EB" w14:textId="77777777" w:rsidR="00B9195C" w:rsidRPr="00B9195C" w:rsidRDefault="00B9195C" w:rsidP="00B9195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1F89062F" w14:textId="77777777" w:rsidR="00B9195C" w:rsidRPr="00B9195C" w:rsidRDefault="00B9195C" w:rsidP="00B9195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66BEFB4F" w14:textId="77777777" w:rsidR="00B9195C" w:rsidRPr="00B9195C" w:rsidRDefault="00B9195C" w:rsidP="00B9195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ascii="Times New Roman" w:eastAsia="Times New Roman" w:hAnsi="Times New Roman" w:cs="Times New Roman"/>
          <w:color w:val="000000"/>
          <w:spacing w:val="4"/>
          <w:w w:val="103"/>
          <w:kern w:val="14"/>
          <w:sz w:val="10"/>
          <w:szCs w:val="20"/>
          <w:lang w:val="en-GB"/>
        </w:rPr>
      </w:pPr>
    </w:p>
    <w:p w14:paraId="47BBF56B" w14:textId="41717FFE" w:rsidR="00B9195C" w:rsidRPr="00B9195C" w:rsidRDefault="00B9195C" w:rsidP="00B9195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b/>
          <w:bCs/>
          <w:color w:val="000000"/>
          <w:kern w:val="14"/>
          <w:sz w:val="28"/>
          <w:szCs w:val="28"/>
          <w:lang w:val="en-GB"/>
        </w:rPr>
      </w:pPr>
      <w:r w:rsidRPr="00B9195C">
        <w:rPr>
          <w:rFonts w:ascii="Times New Roman" w:eastAsia="Times New Roman" w:hAnsi="Times New Roman" w:cs="Times New Roman"/>
          <w:b/>
          <w:bCs/>
          <w:color w:val="000000"/>
          <w:sz w:val="28"/>
          <w:szCs w:val="28"/>
          <w:lang w:val="en-US"/>
        </w:rPr>
        <w:t xml:space="preserve">Draft country programme document for </w:t>
      </w:r>
      <w:r>
        <w:rPr>
          <w:rFonts w:ascii="Times New Roman" w:eastAsia="Times New Roman" w:hAnsi="Times New Roman" w:cs="Times New Roman"/>
          <w:b/>
          <w:bCs/>
          <w:color w:val="000000"/>
          <w:sz w:val="28"/>
          <w:szCs w:val="28"/>
          <w:lang w:val="en-US"/>
        </w:rPr>
        <w:t>Haiti</w:t>
      </w:r>
      <w:r w:rsidRPr="00B9195C">
        <w:rPr>
          <w:rFonts w:ascii="Times New Roman" w:eastAsia="Times New Roman" w:hAnsi="Times New Roman" w:cs="Times New Roman"/>
          <w:b/>
          <w:bCs/>
          <w:color w:val="000000"/>
          <w:sz w:val="28"/>
          <w:szCs w:val="28"/>
          <w:lang w:val="en-US"/>
        </w:rPr>
        <w:t xml:space="preserve"> (2023-2027)</w:t>
      </w:r>
      <w:r w:rsidRPr="00B9195C">
        <w:rPr>
          <w:rFonts w:ascii="Times New Roman" w:eastAsia="Times New Roman" w:hAnsi="Times New Roman" w:cs="Times New Roman"/>
          <w:b/>
          <w:bCs/>
          <w:color w:val="000000"/>
          <w:sz w:val="28"/>
          <w:szCs w:val="28"/>
          <w:lang w:val="en-US"/>
        </w:rPr>
        <w:br/>
      </w:r>
    </w:p>
    <w:p w14:paraId="10C2DD0B" w14:textId="77777777" w:rsidR="00B9195C" w:rsidRPr="00B9195C" w:rsidRDefault="00B9195C" w:rsidP="00B9195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rPr>
      </w:pPr>
      <w:r w:rsidRPr="00B9195C">
        <w:rPr>
          <w:rFonts w:ascii="Times New Roman" w:eastAsia="Times New Roman" w:hAnsi="Times New Roman" w:cs="Times New Roman"/>
          <w:color w:val="000000"/>
          <w:kern w:val="14"/>
          <w:sz w:val="28"/>
          <w:szCs w:val="20"/>
          <w:lang w:val="en-GB"/>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B9195C" w:rsidRPr="00B9195C" w14:paraId="4CE39085" w14:textId="77777777" w:rsidTr="0000466C">
        <w:tc>
          <w:tcPr>
            <w:tcW w:w="1260" w:type="dxa"/>
            <w:shd w:val="clear" w:color="auto" w:fill="auto"/>
          </w:tcPr>
          <w:p w14:paraId="1EA6BA4D" w14:textId="77777777" w:rsidR="00B9195C" w:rsidRPr="00B9195C" w:rsidRDefault="00B9195C" w:rsidP="00B9195C">
            <w:pPr>
              <w:tabs>
                <w:tab w:val="left" w:pos="1620"/>
              </w:tabs>
              <w:suppressAutoHyphens/>
              <w:spacing w:after="120"/>
              <w:jc w:val="right"/>
              <w:rPr>
                <w:rFonts w:ascii="Times New Roman" w:eastAsia="Times New Roman" w:hAnsi="Times New Roman" w:cs="Times New Roman"/>
                <w:i/>
                <w:color w:val="000000"/>
                <w:spacing w:val="4"/>
                <w:w w:val="103"/>
                <w:kern w:val="14"/>
                <w:sz w:val="14"/>
                <w:szCs w:val="20"/>
                <w:lang w:val="en-GB"/>
              </w:rPr>
            </w:pPr>
            <w:r w:rsidRPr="00B9195C">
              <w:rPr>
                <w:rFonts w:ascii="Times New Roman" w:eastAsia="Times New Roman" w:hAnsi="Times New Roman" w:cs="Times New Roman"/>
                <w:i/>
                <w:color w:val="000000"/>
                <w:spacing w:val="4"/>
                <w:w w:val="103"/>
                <w:kern w:val="14"/>
                <w:sz w:val="14"/>
                <w:szCs w:val="20"/>
                <w:lang w:val="en-GB"/>
              </w:rPr>
              <w:t>Chapter</w:t>
            </w:r>
          </w:p>
        </w:tc>
        <w:tc>
          <w:tcPr>
            <w:tcW w:w="8280" w:type="dxa"/>
            <w:gridSpan w:val="2"/>
            <w:shd w:val="clear" w:color="auto" w:fill="auto"/>
          </w:tcPr>
          <w:p w14:paraId="7D45E480" w14:textId="77777777" w:rsidR="00B9195C" w:rsidRPr="00B9195C" w:rsidRDefault="00B9195C" w:rsidP="00B9195C">
            <w:pPr>
              <w:tabs>
                <w:tab w:val="left" w:pos="1620"/>
              </w:tabs>
              <w:suppressAutoHyphens/>
              <w:spacing w:after="120"/>
              <w:rPr>
                <w:rFonts w:ascii="Times New Roman" w:eastAsia="Times New Roman" w:hAnsi="Times New Roman" w:cs="Times New Roman"/>
                <w:i/>
                <w:color w:val="000000"/>
                <w:spacing w:val="4"/>
                <w:w w:val="103"/>
                <w:kern w:val="14"/>
                <w:sz w:val="14"/>
                <w:szCs w:val="20"/>
                <w:lang w:val="en-GB"/>
              </w:rPr>
            </w:pPr>
          </w:p>
        </w:tc>
        <w:tc>
          <w:tcPr>
            <w:tcW w:w="362" w:type="dxa"/>
            <w:shd w:val="clear" w:color="auto" w:fill="auto"/>
          </w:tcPr>
          <w:p w14:paraId="7D5BFC1B" w14:textId="77777777" w:rsidR="00B9195C" w:rsidRPr="00B9195C" w:rsidRDefault="00B9195C" w:rsidP="00B9195C">
            <w:pPr>
              <w:tabs>
                <w:tab w:val="left" w:pos="1620"/>
              </w:tabs>
              <w:suppressAutoHyphens/>
              <w:spacing w:after="120"/>
              <w:jc w:val="right"/>
              <w:rPr>
                <w:rFonts w:ascii="Times New Roman" w:eastAsia="Times New Roman" w:hAnsi="Times New Roman" w:cs="Times New Roman"/>
                <w:i/>
                <w:color w:val="000000"/>
                <w:spacing w:val="4"/>
                <w:w w:val="103"/>
                <w:kern w:val="14"/>
                <w:sz w:val="14"/>
                <w:szCs w:val="20"/>
                <w:lang w:val="en-GB"/>
              </w:rPr>
            </w:pPr>
            <w:r w:rsidRPr="00B9195C">
              <w:rPr>
                <w:rFonts w:ascii="Times New Roman" w:eastAsia="Times New Roman" w:hAnsi="Times New Roman" w:cs="Times New Roman"/>
                <w:i/>
                <w:color w:val="000000"/>
                <w:kern w:val="14"/>
                <w:sz w:val="14"/>
                <w:szCs w:val="20"/>
                <w:lang w:val="en-GB"/>
              </w:rPr>
              <w:t>Page</w:t>
            </w:r>
          </w:p>
        </w:tc>
      </w:tr>
      <w:tr w:rsidR="00B9195C" w:rsidRPr="00B9195C" w14:paraId="2EA4CD74" w14:textId="77777777" w:rsidTr="0000466C">
        <w:tc>
          <w:tcPr>
            <w:tcW w:w="9540" w:type="dxa"/>
            <w:gridSpan w:val="3"/>
            <w:shd w:val="clear" w:color="auto" w:fill="auto"/>
          </w:tcPr>
          <w:p w14:paraId="512C09C5" w14:textId="77777777" w:rsidR="00B9195C" w:rsidRPr="00B9195C" w:rsidRDefault="00B9195C" w:rsidP="00B9195C">
            <w:pPr>
              <w:numPr>
                <w:ilvl w:val="0"/>
                <w:numId w:val="43"/>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kern w:val="14"/>
                <w:sz w:val="20"/>
                <w:szCs w:val="20"/>
                <w:lang w:val="en-GB"/>
              </w:rPr>
              <w:tab/>
              <w:t>UNDP within the United Nations Sustainable Development Cooperation Framework</w:t>
            </w:r>
            <w:r w:rsidRPr="00B9195C">
              <w:rPr>
                <w:rFonts w:ascii="Times New Roman" w:eastAsia="Times New Roman" w:hAnsi="Times New Roman" w:cs="Times New Roman"/>
                <w:color w:val="000000"/>
                <w:szCs w:val="20"/>
                <w:lang w:val="en-GB"/>
              </w:rPr>
              <w:tab/>
            </w:r>
          </w:p>
        </w:tc>
        <w:tc>
          <w:tcPr>
            <w:tcW w:w="362" w:type="dxa"/>
            <w:vMerge w:val="restart"/>
            <w:shd w:val="clear" w:color="auto" w:fill="auto"/>
            <w:vAlign w:val="bottom"/>
          </w:tcPr>
          <w:p w14:paraId="217FA109"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kern w:val="14"/>
                <w:sz w:val="20"/>
                <w:szCs w:val="20"/>
                <w:lang w:val="en-GB"/>
              </w:rPr>
              <w:t>2</w:t>
            </w:r>
          </w:p>
          <w:p w14:paraId="3851A146" w14:textId="197BE58C" w:rsidR="00B9195C" w:rsidRPr="00B9195C" w:rsidRDefault="00D80079"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r>
              <w:rPr>
                <w:rFonts w:ascii="Times New Roman" w:eastAsia="Times New Roman" w:hAnsi="Times New Roman" w:cs="Times New Roman"/>
                <w:color w:val="000000"/>
                <w:spacing w:val="4"/>
                <w:w w:val="103"/>
                <w:kern w:val="14"/>
                <w:sz w:val="20"/>
                <w:szCs w:val="20"/>
                <w:lang w:val="en-GB"/>
              </w:rPr>
              <w:t>3</w:t>
            </w:r>
          </w:p>
        </w:tc>
      </w:tr>
      <w:tr w:rsidR="00B9195C" w:rsidRPr="00B9195C" w14:paraId="09F9C680" w14:textId="77777777" w:rsidTr="0000466C">
        <w:tc>
          <w:tcPr>
            <w:tcW w:w="9540" w:type="dxa"/>
            <w:gridSpan w:val="3"/>
            <w:shd w:val="clear" w:color="auto" w:fill="auto"/>
          </w:tcPr>
          <w:p w14:paraId="036A9883" w14:textId="77777777" w:rsidR="00B9195C" w:rsidRPr="00B9195C" w:rsidRDefault="00B9195C" w:rsidP="00B9195C">
            <w:pPr>
              <w:numPr>
                <w:ilvl w:val="0"/>
                <w:numId w:val="4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kern w:val="14"/>
                <w:sz w:val="20"/>
                <w:szCs w:val="20"/>
                <w:lang w:val="en-GB"/>
              </w:rPr>
              <w:tab/>
              <w:t>Programme priorities and partnerships</w:t>
            </w:r>
            <w:r w:rsidRPr="00B9195C">
              <w:rPr>
                <w:rFonts w:ascii="Times New Roman" w:eastAsia="Times New Roman" w:hAnsi="Times New Roman" w:cs="Times New Roman"/>
                <w:color w:val="000000"/>
                <w:sz w:val="20"/>
                <w:szCs w:val="20"/>
                <w:lang w:val="en-GB"/>
              </w:rPr>
              <w:t>………………………………………………….</w:t>
            </w:r>
            <w:r w:rsidRPr="00B9195C">
              <w:rPr>
                <w:rFonts w:ascii="Times New Roman" w:eastAsia="Times New Roman" w:hAnsi="Times New Roman" w:cs="Times New Roman"/>
                <w:color w:val="000000"/>
                <w:sz w:val="20"/>
                <w:szCs w:val="20"/>
                <w:lang w:val="en-GB"/>
              </w:rPr>
              <w:tab/>
              <w:t>……….…</w:t>
            </w:r>
          </w:p>
        </w:tc>
        <w:tc>
          <w:tcPr>
            <w:tcW w:w="362" w:type="dxa"/>
            <w:vMerge/>
            <w:shd w:val="clear" w:color="auto" w:fill="auto"/>
            <w:vAlign w:val="bottom"/>
          </w:tcPr>
          <w:p w14:paraId="2B698400"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p>
        </w:tc>
      </w:tr>
      <w:tr w:rsidR="00B9195C" w:rsidRPr="00B9195C" w14:paraId="0BE46A11" w14:textId="77777777" w:rsidTr="0000466C">
        <w:tc>
          <w:tcPr>
            <w:tcW w:w="9540" w:type="dxa"/>
            <w:gridSpan w:val="3"/>
            <w:shd w:val="clear" w:color="auto" w:fill="auto"/>
          </w:tcPr>
          <w:p w14:paraId="4E40CF73" w14:textId="77777777" w:rsidR="00B9195C" w:rsidRPr="00B9195C" w:rsidRDefault="00B9195C" w:rsidP="00B9195C">
            <w:pPr>
              <w:numPr>
                <w:ilvl w:val="0"/>
                <w:numId w:val="43"/>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kern w:val="14"/>
                <w:sz w:val="20"/>
                <w:szCs w:val="20"/>
                <w:lang w:val="en-GB"/>
              </w:rPr>
              <w:tab/>
              <w:t xml:space="preserve">Programme and risk management </w:t>
            </w:r>
            <w:r w:rsidRPr="00B9195C">
              <w:rPr>
                <w:rFonts w:ascii="Times New Roman" w:eastAsia="Times New Roman" w:hAnsi="Times New Roman" w:cs="Times New Roman"/>
                <w:color w:val="000000"/>
                <w:sz w:val="20"/>
                <w:szCs w:val="20"/>
                <w:lang w:val="en-GB"/>
              </w:rPr>
              <w:t>……………………………………………….…………………</w:t>
            </w:r>
          </w:p>
        </w:tc>
        <w:tc>
          <w:tcPr>
            <w:tcW w:w="362" w:type="dxa"/>
            <w:vMerge w:val="restart"/>
            <w:shd w:val="clear" w:color="auto" w:fill="auto"/>
            <w:vAlign w:val="bottom"/>
          </w:tcPr>
          <w:p w14:paraId="27635C66"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spacing w:val="4"/>
                <w:w w:val="103"/>
                <w:kern w:val="14"/>
                <w:sz w:val="20"/>
                <w:szCs w:val="20"/>
                <w:lang w:val="en-GB"/>
              </w:rPr>
              <w:t>6</w:t>
            </w:r>
          </w:p>
          <w:p w14:paraId="29DC84EE"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spacing w:val="4"/>
                <w:w w:val="103"/>
                <w:kern w:val="14"/>
                <w:sz w:val="20"/>
                <w:szCs w:val="20"/>
                <w:lang w:val="en-GB"/>
              </w:rPr>
              <w:t>7</w:t>
            </w:r>
          </w:p>
        </w:tc>
      </w:tr>
      <w:tr w:rsidR="00B9195C" w:rsidRPr="00B9195C" w14:paraId="60733694" w14:textId="77777777" w:rsidTr="0000466C">
        <w:tc>
          <w:tcPr>
            <w:tcW w:w="9540" w:type="dxa"/>
            <w:gridSpan w:val="3"/>
            <w:shd w:val="clear" w:color="auto" w:fill="auto"/>
          </w:tcPr>
          <w:p w14:paraId="54C5CC37" w14:textId="77777777" w:rsidR="00B9195C" w:rsidRPr="00B9195C" w:rsidRDefault="00B9195C" w:rsidP="00B9195C">
            <w:pPr>
              <w:numPr>
                <w:ilvl w:val="0"/>
                <w:numId w:val="4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kern w:val="14"/>
                <w:sz w:val="20"/>
                <w:szCs w:val="20"/>
                <w:lang w:val="en-GB"/>
              </w:rPr>
              <w:tab/>
              <w:t>Monitoring and evaluation</w:t>
            </w:r>
            <w:r w:rsidRPr="00B9195C">
              <w:rPr>
                <w:rFonts w:ascii="Times New Roman" w:eastAsia="Times New Roman" w:hAnsi="Times New Roman" w:cs="Times New Roman"/>
                <w:color w:val="000000"/>
                <w:szCs w:val="20"/>
                <w:lang w:val="en-GB"/>
              </w:rPr>
              <w:tab/>
            </w:r>
            <w:r w:rsidRPr="00B9195C">
              <w:rPr>
                <w:rFonts w:ascii="Times New Roman" w:eastAsia="Times New Roman" w:hAnsi="Times New Roman" w:cs="Times New Roman"/>
                <w:color w:val="000000"/>
                <w:sz w:val="20"/>
                <w:szCs w:val="20"/>
                <w:lang w:val="en-GB"/>
              </w:rPr>
              <w:t>…………………………………………………….……………………</w:t>
            </w:r>
          </w:p>
        </w:tc>
        <w:tc>
          <w:tcPr>
            <w:tcW w:w="362" w:type="dxa"/>
            <w:vMerge/>
            <w:shd w:val="clear" w:color="auto" w:fill="auto"/>
            <w:vAlign w:val="bottom"/>
          </w:tcPr>
          <w:p w14:paraId="4338431B"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p>
        </w:tc>
      </w:tr>
      <w:tr w:rsidR="00B9195C" w:rsidRPr="00B9195C" w14:paraId="797BBA6A" w14:textId="77777777" w:rsidTr="0000466C">
        <w:tc>
          <w:tcPr>
            <w:tcW w:w="9369" w:type="dxa"/>
            <w:gridSpan w:val="2"/>
            <w:shd w:val="clear" w:color="auto" w:fill="auto"/>
          </w:tcPr>
          <w:p w14:paraId="3F01A874" w14:textId="77777777" w:rsidR="00B9195C" w:rsidRPr="00B9195C" w:rsidRDefault="00B9195C" w:rsidP="00B9195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kern w:val="14"/>
                <w:sz w:val="20"/>
                <w:szCs w:val="20"/>
                <w:lang w:val="en-GB"/>
              </w:rPr>
              <w:t>Annex</w:t>
            </w:r>
          </w:p>
        </w:tc>
        <w:tc>
          <w:tcPr>
            <w:tcW w:w="533" w:type="dxa"/>
            <w:gridSpan w:val="2"/>
            <w:shd w:val="clear" w:color="auto" w:fill="auto"/>
            <w:vAlign w:val="bottom"/>
          </w:tcPr>
          <w:p w14:paraId="3DA83811"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p>
        </w:tc>
      </w:tr>
      <w:tr w:rsidR="00B9195C" w:rsidRPr="00B9195C" w14:paraId="110DC7B1" w14:textId="77777777" w:rsidTr="0000466C">
        <w:tc>
          <w:tcPr>
            <w:tcW w:w="9369" w:type="dxa"/>
            <w:gridSpan w:val="2"/>
            <w:shd w:val="clear" w:color="auto" w:fill="auto"/>
          </w:tcPr>
          <w:p w14:paraId="1AAB7756" w14:textId="317FE073" w:rsidR="00B9195C" w:rsidRPr="00B9195C" w:rsidRDefault="00B9195C" w:rsidP="00B9195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rPr>
            </w:pPr>
            <w:r w:rsidRPr="00B9195C">
              <w:rPr>
                <w:rFonts w:ascii="Times New Roman" w:eastAsia="Times New Roman" w:hAnsi="Times New Roman" w:cs="Times New Roman"/>
                <w:color w:val="000000"/>
                <w:kern w:val="14"/>
                <w:sz w:val="20"/>
                <w:szCs w:val="20"/>
                <w:lang w:val="en-GB"/>
              </w:rPr>
              <w:t xml:space="preserve">Results and resources framework for </w:t>
            </w:r>
            <w:r>
              <w:rPr>
                <w:rFonts w:ascii="Times New Roman" w:eastAsia="Times New Roman" w:hAnsi="Times New Roman" w:cs="Times New Roman"/>
                <w:color w:val="000000"/>
                <w:kern w:val="14"/>
                <w:sz w:val="20"/>
                <w:szCs w:val="20"/>
                <w:lang w:val="en-GB"/>
              </w:rPr>
              <w:t>Haiti</w:t>
            </w:r>
            <w:r w:rsidRPr="00B9195C">
              <w:rPr>
                <w:rFonts w:ascii="Times New Roman" w:eastAsia="Times New Roman" w:hAnsi="Times New Roman" w:cs="Times New Roman"/>
                <w:color w:val="000000"/>
                <w:kern w:val="14"/>
                <w:sz w:val="20"/>
                <w:szCs w:val="20"/>
                <w:lang w:val="en-GB"/>
              </w:rPr>
              <w:t xml:space="preserve"> (2023-2027)</w:t>
            </w:r>
            <w:r w:rsidRPr="00B9195C">
              <w:rPr>
                <w:rFonts w:ascii="Times New Roman" w:eastAsia="Times New Roman" w:hAnsi="Times New Roman" w:cs="Times New Roman"/>
                <w:color w:val="000000"/>
                <w:szCs w:val="20"/>
                <w:lang w:val="en-GB"/>
              </w:rPr>
              <w:tab/>
            </w:r>
          </w:p>
        </w:tc>
        <w:tc>
          <w:tcPr>
            <w:tcW w:w="533" w:type="dxa"/>
            <w:gridSpan w:val="2"/>
            <w:shd w:val="clear" w:color="auto" w:fill="auto"/>
            <w:vAlign w:val="bottom"/>
          </w:tcPr>
          <w:p w14:paraId="3F0DD76A" w14:textId="77777777" w:rsidR="00B9195C" w:rsidRPr="00B9195C" w:rsidRDefault="00B9195C" w:rsidP="00B9195C">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rPr>
            </w:pPr>
            <w:r w:rsidRPr="00B9195C">
              <w:rPr>
                <w:rFonts w:ascii="Times New Roman" w:eastAsia="Times New Roman" w:hAnsi="Times New Roman" w:cs="Times New Roman"/>
                <w:color w:val="000000"/>
                <w:spacing w:val="4"/>
                <w:w w:val="103"/>
                <w:kern w:val="14"/>
                <w:sz w:val="20"/>
                <w:szCs w:val="20"/>
                <w:lang w:val="en-GB"/>
              </w:rPr>
              <w:t>8</w:t>
            </w:r>
          </w:p>
        </w:tc>
      </w:tr>
    </w:tbl>
    <w:p w14:paraId="3900D791" w14:textId="58B27E08" w:rsidR="00B14064" w:rsidRPr="009C5044" w:rsidRDefault="00B9195C" w:rsidP="00CB4929">
      <w:pPr>
        <w:spacing w:after="120"/>
        <w:rPr>
          <w:rFonts w:ascii="Times New Roman" w:hAnsi="Times New Roman" w:cs="Times New Roman"/>
          <w:lang w:val="en-GB"/>
        </w:rPr>
      </w:pPr>
      <w:r w:rsidRPr="00B9195C">
        <w:rPr>
          <w:rFonts w:ascii="Times New Roman" w:eastAsia="Times New Roman" w:hAnsi="Times New Roman" w:cs="Times New Roman"/>
          <w:sz w:val="20"/>
          <w:szCs w:val="20"/>
          <w:lang w:val="en-GB"/>
        </w:rPr>
        <w:br w:type="page"/>
      </w:r>
    </w:p>
    <w:p w14:paraId="063DE46C" w14:textId="43CE2F65" w:rsidR="00E3537A" w:rsidRPr="009C5044" w:rsidRDefault="00646ADB" w:rsidP="00D80079">
      <w:pPr>
        <w:pStyle w:val="Heading2"/>
        <w:numPr>
          <w:ilvl w:val="0"/>
          <w:numId w:val="44"/>
        </w:numPr>
        <w:ind w:left="1080" w:right="612" w:hanging="270"/>
        <w:jc w:val="both"/>
        <w:rPr>
          <w:rFonts w:ascii="Times New Roman" w:hAnsi="Times New Roman"/>
          <w:sz w:val="24"/>
          <w:szCs w:val="24"/>
          <w:lang w:val="en-GB"/>
        </w:rPr>
      </w:pPr>
      <w:r w:rsidRPr="009C5044">
        <w:rPr>
          <w:rFonts w:ascii="Times New Roman" w:hAnsi="Times New Roman"/>
          <w:bCs/>
          <w:color w:val="000000"/>
          <w:sz w:val="24"/>
          <w:szCs w:val="24"/>
          <w:lang w:val="en-GB"/>
        </w:rPr>
        <w:lastRenderedPageBreak/>
        <w:t xml:space="preserve">UNDP within </w:t>
      </w:r>
      <w:r w:rsidR="00F85303" w:rsidRPr="00F85303">
        <w:rPr>
          <w:rFonts w:ascii="Times New Roman" w:hAnsi="Times New Roman"/>
          <w:bCs/>
          <w:color w:val="000000"/>
          <w:sz w:val="24"/>
          <w:lang w:val="en-GB"/>
        </w:rPr>
        <w:t>the United Nations Sustainable Development Cooperation Framewor</w:t>
      </w:r>
      <w:r w:rsidRPr="00F85303">
        <w:rPr>
          <w:rFonts w:ascii="Times New Roman" w:hAnsi="Times New Roman"/>
          <w:bCs/>
          <w:color w:val="000000"/>
          <w:sz w:val="24"/>
          <w:szCs w:val="24"/>
          <w:lang w:val="en-GB"/>
        </w:rPr>
        <w:t>k</w:t>
      </w:r>
    </w:p>
    <w:p w14:paraId="5B90EE98" w14:textId="77777777" w:rsidR="00E3537A" w:rsidRPr="003A7898" w:rsidRDefault="00E3537A" w:rsidP="00F85303">
      <w:pPr>
        <w:spacing w:line="240" w:lineRule="exact"/>
        <w:ind w:left="1080" w:right="612"/>
        <w:jc w:val="both"/>
        <w:rPr>
          <w:rFonts w:ascii="Times New Roman" w:hAnsi="Times New Roman" w:cs="Times New Roman"/>
          <w:sz w:val="20"/>
          <w:szCs w:val="20"/>
          <w:lang w:val="en-GB"/>
        </w:rPr>
      </w:pPr>
    </w:p>
    <w:p w14:paraId="296E0EEC" w14:textId="5FF11B02" w:rsidR="00FB0CF6" w:rsidRPr="003A7898" w:rsidRDefault="004725B7"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US" w:eastAsia="fr-FR"/>
        </w:rPr>
      </w:pPr>
      <w:r w:rsidRPr="003A7898">
        <w:rPr>
          <w:rFonts w:ascii="Times New Roman" w:hAnsi="Times New Roman" w:cs="Times New Roman"/>
          <w:sz w:val="20"/>
          <w:szCs w:val="20"/>
          <w:lang w:val="en-GB"/>
        </w:rPr>
        <w:t xml:space="preserve">From </w:t>
      </w:r>
      <w:r w:rsidR="7E808E72" w:rsidRPr="003A7898">
        <w:rPr>
          <w:rFonts w:ascii="Times New Roman" w:hAnsi="Times New Roman" w:cs="Times New Roman"/>
          <w:sz w:val="20"/>
          <w:szCs w:val="20"/>
          <w:lang w:val="en-GB"/>
        </w:rPr>
        <w:t>2017</w:t>
      </w:r>
      <w:r w:rsidRPr="003A7898">
        <w:rPr>
          <w:rFonts w:ascii="Times New Roman" w:hAnsi="Times New Roman" w:cs="Times New Roman"/>
          <w:sz w:val="20"/>
          <w:szCs w:val="20"/>
          <w:lang w:val="en-GB"/>
        </w:rPr>
        <w:t xml:space="preserve"> to </w:t>
      </w:r>
      <w:r w:rsidR="7E808E72" w:rsidRPr="003A7898">
        <w:rPr>
          <w:rFonts w:ascii="Times New Roman" w:hAnsi="Times New Roman" w:cs="Times New Roman"/>
          <w:sz w:val="20"/>
          <w:szCs w:val="20"/>
          <w:lang w:val="en-GB"/>
        </w:rPr>
        <w:t>2022</w:t>
      </w:r>
      <w:r w:rsidR="0044475B" w:rsidRPr="003A7898">
        <w:rPr>
          <w:rFonts w:ascii="Times New Roman" w:hAnsi="Times New Roman" w:cs="Times New Roman"/>
          <w:sz w:val="20"/>
          <w:szCs w:val="20"/>
          <w:lang w:val="en-GB"/>
        </w:rPr>
        <w:t>,</w:t>
      </w:r>
      <w:r w:rsidR="7E808E72" w:rsidRPr="003A7898">
        <w:rPr>
          <w:rFonts w:ascii="Times New Roman" w:hAnsi="Times New Roman" w:cs="Times New Roman"/>
          <w:sz w:val="20"/>
          <w:szCs w:val="20"/>
          <w:lang w:val="en-GB"/>
        </w:rPr>
        <w:t xml:space="preserve"> Haiti </w:t>
      </w:r>
      <w:r w:rsidR="007E3558" w:rsidRPr="003A7898">
        <w:rPr>
          <w:rFonts w:ascii="Times New Roman" w:hAnsi="Times New Roman" w:cs="Times New Roman"/>
          <w:sz w:val="20"/>
          <w:szCs w:val="20"/>
          <w:lang w:val="en-GB"/>
        </w:rPr>
        <w:t>experienc</w:t>
      </w:r>
      <w:r w:rsidR="00BA0EBC" w:rsidRPr="003A7898">
        <w:rPr>
          <w:rFonts w:ascii="Times New Roman" w:hAnsi="Times New Roman" w:cs="Times New Roman"/>
          <w:sz w:val="20"/>
          <w:szCs w:val="20"/>
          <w:lang w:val="en-GB"/>
        </w:rPr>
        <w:t xml:space="preserve">ed </w:t>
      </w:r>
      <w:r w:rsidR="000946F2">
        <w:rPr>
          <w:rFonts w:ascii="Times New Roman" w:hAnsi="Times New Roman" w:cs="Times New Roman"/>
          <w:sz w:val="20"/>
          <w:szCs w:val="20"/>
          <w:lang w:val="en-GB"/>
        </w:rPr>
        <w:t xml:space="preserve">a series of </w:t>
      </w:r>
      <w:r w:rsidR="7E808E72" w:rsidRPr="003A7898">
        <w:rPr>
          <w:rFonts w:ascii="Times New Roman" w:hAnsi="Times New Roman" w:cs="Times New Roman"/>
          <w:sz w:val="20"/>
          <w:szCs w:val="20"/>
          <w:lang w:val="en-GB"/>
        </w:rPr>
        <w:t>multidimensional cris</w:t>
      </w:r>
      <w:r w:rsidR="00BA0EBC" w:rsidRPr="003A7898">
        <w:rPr>
          <w:rFonts w:ascii="Times New Roman" w:hAnsi="Times New Roman" w:cs="Times New Roman"/>
          <w:sz w:val="20"/>
          <w:szCs w:val="20"/>
          <w:lang w:val="en-GB"/>
        </w:rPr>
        <w:t>es</w:t>
      </w:r>
      <w:r w:rsidR="00CB1E88" w:rsidRPr="003A7898">
        <w:rPr>
          <w:rFonts w:ascii="Times New Roman" w:hAnsi="Times New Roman" w:cs="Times New Roman"/>
          <w:sz w:val="20"/>
          <w:szCs w:val="20"/>
          <w:lang w:val="en-GB"/>
        </w:rPr>
        <w:t xml:space="preserve">. </w:t>
      </w:r>
      <w:r w:rsidR="00D40490" w:rsidRPr="003A7898">
        <w:rPr>
          <w:rFonts w:ascii="Times New Roman" w:hAnsi="Times New Roman" w:cs="Times New Roman"/>
          <w:sz w:val="20"/>
          <w:szCs w:val="20"/>
          <w:lang w:val="en-GB"/>
        </w:rPr>
        <w:t>In th</w:t>
      </w:r>
      <w:r w:rsidRPr="003A7898">
        <w:rPr>
          <w:rFonts w:ascii="Times New Roman" w:hAnsi="Times New Roman" w:cs="Times New Roman"/>
          <w:sz w:val="20"/>
          <w:szCs w:val="20"/>
          <w:lang w:val="en-GB"/>
        </w:rPr>
        <w:t>is</w:t>
      </w:r>
      <w:r w:rsidR="00D40490" w:rsidRPr="003A7898">
        <w:rPr>
          <w:rFonts w:ascii="Times New Roman" w:hAnsi="Times New Roman" w:cs="Times New Roman"/>
          <w:sz w:val="20"/>
          <w:szCs w:val="20"/>
          <w:lang w:val="en-GB"/>
        </w:rPr>
        <w:t xml:space="preserve"> period</w:t>
      </w:r>
      <w:r w:rsidRPr="003A7898">
        <w:rPr>
          <w:rFonts w:ascii="Times New Roman" w:hAnsi="Times New Roman" w:cs="Times New Roman"/>
          <w:sz w:val="20"/>
          <w:szCs w:val="20"/>
          <w:lang w:val="en-GB"/>
        </w:rPr>
        <w:t>,</w:t>
      </w:r>
      <w:r w:rsidR="00D40490" w:rsidRPr="003A7898">
        <w:rPr>
          <w:rFonts w:ascii="Times New Roman" w:hAnsi="Times New Roman" w:cs="Times New Roman"/>
          <w:sz w:val="20"/>
          <w:szCs w:val="20"/>
          <w:lang w:val="en-GB"/>
        </w:rPr>
        <w:t xml:space="preserve"> the country experienced the assassination of the President</w:t>
      </w:r>
      <w:r w:rsidRPr="003A7898">
        <w:rPr>
          <w:rFonts w:ascii="Times New Roman" w:hAnsi="Times New Roman" w:cs="Times New Roman"/>
          <w:sz w:val="20"/>
          <w:szCs w:val="20"/>
          <w:lang w:val="en-GB"/>
        </w:rPr>
        <w:t xml:space="preserve"> and had</w:t>
      </w:r>
      <w:r w:rsidR="00D40490" w:rsidRPr="003A7898">
        <w:rPr>
          <w:rFonts w:ascii="Times New Roman" w:hAnsi="Times New Roman" w:cs="Times New Roman"/>
          <w:sz w:val="20"/>
          <w:szCs w:val="20"/>
          <w:lang w:val="en-GB"/>
        </w:rPr>
        <w:t xml:space="preserve"> </w:t>
      </w:r>
      <w:r w:rsidR="7E808E72" w:rsidRPr="003A7898">
        <w:rPr>
          <w:rFonts w:ascii="Times New Roman" w:hAnsi="Times New Roman" w:cs="Times New Roman"/>
          <w:sz w:val="20"/>
          <w:szCs w:val="20"/>
          <w:lang w:val="en-GB"/>
        </w:rPr>
        <w:t>six successive Prime Ministers</w:t>
      </w:r>
      <w:r w:rsidR="00D23B38">
        <w:rPr>
          <w:rFonts w:ascii="Times New Roman" w:hAnsi="Times New Roman" w:cs="Times New Roman"/>
          <w:sz w:val="20"/>
          <w:szCs w:val="20"/>
          <w:lang w:val="en-GB"/>
        </w:rPr>
        <w:t>, each of</w:t>
      </w:r>
      <w:r w:rsidR="7E808E72" w:rsidRPr="003A7898">
        <w:rPr>
          <w:rFonts w:ascii="Times New Roman" w:hAnsi="Times New Roman" w:cs="Times New Roman"/>
          <w:sz w:val="20"/>
          <w:szCs w:val="20"/>
          <w:lang w:val="en-GB"/>
        </w:rPr>
        <w:t xml:space="preserve"> who</w:t>
      </w:r>
      <w:r w:rsidR="00D23B38">
        <w:rPr>
          <w:rFonts w:ascii="Times New Roman" w:hAnsi="Times New Roman" w:cs="Times New Roman"/>
          <w:sz w:val="20"/>
          <w:szCs w:val="20"/>
          <w:lang w:val="en-GB"/>
        </w:rPr>
        <w:t>m</w:t>
      </w:r>
      <w:r w:rsidR="7E808E72" w:rsidRPr="003A7898">
        <w:rPr>
          <w:rFonts w:ascii="Times New Roman" w:hAnsi="Times New Roman" w:cs="Times New Roman"/>
          <w:sz w:val="20"/>
          <w:szCs w:val="20"/>
          <w:lang w:val="en-GB"/>
        </w:rPr>
        <w:t xml:space="preserve"> </w:t>
      </w:r>
      <w:r w:rsidR="00E437B3" w:rsidRPr="003A7898">
        <w:rPr>
          <w:rFonts w:ascii="Times New Roman" w:hAnsi="Times New Roman" w:cs="Times New Roman"/>
          <w:sz w:val="20"/>
          <w:szCs w:val="20"/>
          <w:lang w:val="en-GB"/>
        </w:rPr>
        <w:t>remained</w:t>
      </w:r>
      <w:r w:rsidR="7E808E72" w:rsidRPr="003A7898">
        <w:rPr>
          <w:rFonts w:ascii="Times New Roman" w:hAnsi="Times New Roman" w:cs="Times New Roman"/>
          <w:sz w:val="20"/>
          <w:szCs w:val="20"/>
          <w:lang w:val="en-GB"/>
        </w:rPr>
        <w:t xml:space="preserve"> in office for </w:t>
      </w:r>
      <w:r w:rsidR="00D40490" w:rsidRPr="003A7898">
        <w:rPr>
          <w:rFonts w:ascii="Times New Roman" w:hAnsi="Times New Roman" w:cs="Times New Roman"/>
          <w:sz w:val="20"/>
          <w:szCs w:val="20"/>
          <w:lang w:val="en-GB"/>
        </w:rPr>
        <w:t xml:space="preserve">an average of </w:t>
      </w:r>
      <w:r w:rsidR="7E808E72" w:rsidRPr="003A7898">
        <w:rPr>
          <w:rFonts w:ascii="Times New Roman" w:hAnsi="Times New Roman" w:cs="Times New Roman"/>
          <w:sz w:val="20"/>
          <w:szCs w:val="20"/>
          <w:lang w:val="en-GB"/>
        </w:rPr>
        <w:t xml:space="preserve">nine months. </w:t>
      </w:r>
      <w:r w:rsidR="00FB0CF6" w:rsidRPr="003A7898">
        <w:rPr>
          <w:rFonts w:ascii="Times New Roman" w:hAnsi="Times New Roman" w:cs="Times New Roman"/>
          <w:sz w:val="20"/>
          <w:szCs w:val="20"/>
          <w:lang w:val="en-GB"/>
        </w:rPr>
        <w:t xml:space="preserve">The combined </w:t>
      </w:r>
      <w:r w:rsidR="00A751DF" w:rsidRPr="003A7898">
        <w:rPr>
          <w:rFonts w:ascii="Times New Roman" w:hAnsi="Times New Roman" w:cs="Times New Roman"/>
          <w:sz w:val="20"/>
          <w:szCs w:val="20"/>
          <w:lang w:val="en-GB"/>
        </w:rPr>
        <w:t xml:space="preserve">impact </w:t>
      </w:r>
      <w:r w:rsidR="00FB0CF6" w:rsidRPr="003A7898">
        <w:rPr>
          <w:rFonts w:ascii="Times New Roman" w:hAnsi="Times New Roman" w:cs="Times New Roman"/>
          <w:sz w:val="20"/>
          <w:szCs w:val="20"/>
          <w:lang w:val="en-GB"/>
        </w:rPr>
        <w:t xml:space="preserve">of </w:t>
      </w:r>
      <w:r w:rsidR="00554F0F" w:rsidRPr="003A7898">
        <w:rPr>
          <w:rFonts w:ascii="Times New Roman" w:hAnsi="Times New Roman" w:cs="Times New Roman"/>
          <w:sz w:val="20"/>
          <w:szCs w:val="20"/>
          <w:lang w:val="en-GB"/>
        </w:rPr>
        <w:t xml:space="preserve">weakened social cohesion and </w:t>
      </w:r>
      <w:r w:rsidR="00FB0CF6" w:rsidRPr="003A7898">
        <w:rPr>
          <w:rFonts w:ascii="Times New Roman" w:hAnsi="Times New Roman" w:cs="Times New Roman"/>
          <w:sz w:val="20"/>
          <w:szCs w:val="20"/>
          <w:lang w:val="en-GB"/>
        </w:rPr>
        <w:t xml:space="preserve">political, economic, health, institutional, constitutional, security and natural </w:t>
      </w:r>
      <w:r w:rsidR="00A751DF" w:rsidRPr="003A7898">
        <w:rPr>
          <w:rFonts w:ascii="Times New Roman" w:hAnsi="Times New Roman" w:cs="Times New Roman"/>
          <w:sz w:val="20"/>
          <w:szCs w:val="20"/>
          <w:lang w:val="en-GB"/>
        </w:rPr>
        <w:t xml:space="preserve">crises </w:t>
      </w:r>
      <w:r w:rsidR="00FB0CF6" w:rsidRPr="003A7898">
        <w:rPr>
          <w:rFonts w:ascii="Times New Roman" w:hAnsi="Times New Roman" w:cs="Times New Roman"/>
          <w:sz w:val="20"/>
          <w:szCs w:val="20"/>
          <w:lang w:val="en-GB"/>
        </w:rPr>
        <w:t>aggravated an already complex humanitarian situation.</w:t>
      </w:r>
      <w:r w:rsidR="7E808E72" w:rsidRPr="003A7898">
        <w:rPr>
          <w:rFonts w:ascii="Times New Roman" w:hAnsi="Times New Roman" w:cs="Times New Roman"/>
          <w:sz w:val="20"/>
          <w:szCs w:val="20"/>
          <w:lang w:val="en-GB"/>
        </w:rPr>
        <w:t xml:space="preserve"> </w:t>
      </w:r>
      <w:r w:rsidR="00FB0CF6" w:rsidRPr="003A7898">
        <w:rPr>
          <w:rFonts w:ascii="Times New Roman" w:hAnsi="Times New Roman" w:cs="Times New Roman"/>
          <w:sz w:val="20"/>
          <w:szCs w:val="20"/>
          <w:lang w:val="en-GB"/>
        </w:rPr>
        <w:t xml:space="preserve">In 2021, </w:t>
      </w:r>
      <w:r w:rsidR="00FB0CF6" w:rsidRPr="003A7898">
        <w:rPr>
          <w:rFonts w:ascii="Times New Roman" w:hAnsi="Times New Roman" w:cs="Times New Roman"/>
          <w:sz w:val="20"/>
          <w:szCs w:val="20"/>
          <w:lang w:val="en-GB" w:eastAsia="fr-FR"/>
        </w:rPr>
        <w:t>more than 4.4 million people, or about 40</w:t>
      </w:r>
      <w:r w:rsidR="002F24AA" w:rsidRPr="003A7898">
        <w:rPr>
          <w:rFonts w:ascii="Times New Roman" w:hAnsi="Times New Roman" w:cs="Times New Roman"/>
          <w:sz w:val="20"/>
          <w:szCs w:val="20"/>
          <w:lang w:val="en-GB" w:eastAsia="fr-FR"/>
        </w:rPr>
        <w:t xml:space="preserve"> per</w:t>
      </w:r>
      <w:r w:rsidR="00085930" w:rsidRPr="003A7898">
        <w:rPr>
          <w:rFonts w:ascii="Times New Roman" w:hAnsi="Times New Roman" w:cs="Times New Roman"/>
          <w:sz w:val="20"/>
          <w:szCs w:val="20"/>
          <w:lang w:val="en-GB" w:eastAsia="fr-FR"/>
        </w:rPr>
        <w:t xml:space="preserve"> </w:t>
      </w:r>
      <w:r w:rsidR="002F24AA" w:rsidRPr="003A7898">
        <w:rPr>
          <w:rFonts w:ascii="Times New Roman" w:hAnsi="Times New Roman" w:cs="Times New Roman"/>
          <w:sz w:val="20"/>
          <w:szCs w:val="20"/>
          <w:lang w:val="en-GB" w:eastAsia="fr-FR"/>
        </w:rPr>
        <w:t>cent</w:t>
      </w:r>
      <w:r w:rsidR="00FB0CF6" w:rsidRPr="003A7898">
        <w:rPr>
          <w:rFonts w:ascii="Times New Roman" w:hAnsi="Times New Roman" w:cs="Times New Roman"/>
          <w:sz w:val="20"/>
          <w:szCs w:val="20"/>
          <w:lang w:val="en-GB" w:eastAsia="fr-FR"/>
        </w:rPr>
        <w:t xml:space="preserve"> of the population</w:t>
      </w:r>
      <w:r w:rsidR="00801787" w:rsidRPr="003A7898">
        <w:rPr>
          <w:rFonts w:ascii="Times New Roman" w:hAnsi="Times New Roman" w:cs="Times New Roman"/>
          <w:sz w:val="20"/>
          <w:szCs w:val="20"/>
          <w:lang w:val="en-GB" w:eastAsia="fr-FR"/>
        </w:rPr>
        <w:t xml:space="preserve"> (</w:t>
      </w:r>
      <w:r w:rsidR="00FB0CF6" w:rsidRPr="003A7898">
        <w:rPr>
          <w:rFonts w:ascii="Times New Roman" w:hAnsi="Times New Roman" w:cs="Times New Roman"/>
          <w:sz w:val="20"/>
          <w:szCs w:val="20"/>
          <w:lang w:val="en-GB" w:eastAsia="fr-FR"/>
        </w:rPr>
        <w:t>57</w:t>
      </w:r>
      <w:r w:rsidR="00085930" w:rsidRPr="003A7898">
        <w:rPr>
          <w:rFonts w:ascii="Times New Roman" w:hAnsi="Times New Roman" w:cs="Times New Roman"/>
          <w:sz w:val="20"/>
          <w:szCs w:val="20"/>
          <w:lang w:val="en-GB" w:eastAsia="fr-FR"/>
        </w:rPr>
        <w:t> </w:t>
      </w:r>
      <w:r w:rsidR="002F24AA" w:rsidRPr="003A7898">
        <w:rPr>
          <w:rFonts w:ascii="Times New Roman" w:hAnsi="Times New Roman" w:cs="Times New Roman"/>
          <w:sz w:val="20"/>
          <w:szCs w:val="20"/>
          <w:lang w:val="en-GB" w:eastAsia="fr-FR"/>
        </w:rPr>
        <w:t>per</w:t>
      </w:r>
      <w:r w:rsidR="00085930" w:rsidRPr="003A7898">
        <w:rPr>
          <w:rFonts w:ascii="Times New Roman" w:hAnsi="Times New Roman" w:cs="Times New Roman"/>
          <w:sz w:val="20"/>
          <w:szCs w:val="20"/>
          <w:lang w:val="en-GB" w:eastAsia="fr-FR"/>
        </w:rPr>
        <w:t> </w:t>
      </w:r>
      <w:r w:rsidR="002F24AA" w:rsidRPr="003A7898">
        <w:rPr>
          <w:rFonts w:ascii="Times New Roman" w:hAnsi="Times New Roman" w:cs="Times New Roman"/>
          <w:sz w:val="20"/>
          <w:szCs w:val="20"/>
          <w:lang w:val="en-GB" w:eastAsia="fr-FR"/>
        </w:rPr>
        <w:t xml:space="preserve">cent of whom </w:t>
      </w:r>
      <w:r w:rsidR="003B4AEB" w:rsidRPr="003A7898">
        <w:rPr>
          <w:rFonts w:ascii="Times New Roman" w:hAnsi="Times New Roman" w:cs="Times New Roman"/>
          <w:sz w:val="20"/>
          <w:szCs w:val="20"/>
          <w:lang w:val="en-GB" w:eastAsia="fr-FR"/>
        </w:rPr>
        <w:t xml:space="preserve">are </w:t>
      </w:r>
      <w:r w:rsidR="00FB0CF6" w:rsidRPr="003A7898">
        <w:rPr>
          <w:rFonts w:ascii="Times New Roman" w:hAnsi="Times New Roman" w:cs="Times New Roman"/>
          <w:sz w:val="20"/>
          <w:szCs w:val="20"/>
          <w:lang w:val="en-GB" w:eastAsia="fr-FR"/>
        </w:rPr>
        <w:t>women</w:t>
      </w:r>
      <w:r w:rsidR="00801787" w:rsidRPr="003A7898">
        <w:rPr>
          <w:rFonts w:ascii="Times New Roman" w:hAnsi="Times New Roman" w:cs="Times New Roman"/>
          <w:sz w:val="20"/>
          <w:szCs w:val="20"/>
          <w:lang w:val="en-GB" w:eastAsia="fr-FR"/>
        </w:rPr>
        <w:t>)</w:t>
      </w:r>
      <w:r w:rsidR="00FB0CF6" w:rsidRPr="003A7898">
        <w:rPr>
          <w:rFonts w:ascii="Times New Roman" w:hAnsi="Times New Roman" w:cs="Times New Roman"/>
          <w:sz w:val="20"/>
          <w:szCs w:val="20"/>
          <w:lang w:val="en-GB" w:eastAsia="fr-FR"/>
        </w:rPr>
        <w:t>, depend</w:t>
      </w:r>
      <w:r w:rsidR="00143852" w:rsidRPr="003A7898">
        <w:rPr>
          <w:rFonts w:ascii="Times New Roman" w:hAnsi="Times New Roman" w:cs="Times New Roman"/>
          <w:sz w:val="20"/>
          <w:szCs w:val="20"/>
          <w:lang w:val="en-GB" w:eastAsia="fr-FR"/>
        </w:rPr>
        <w:t>ed</w:t>
      </w:r>
      <w:r w:rsidR="00FB0CF6" w:rsidRPr="003A7898">
        <w:rPr>
          <w:rFonts w:ascii="Times New Roman" w:hAnsi="Times New Roman" w:cs="Times New Roman"/>
          <w:sz w:val="20"/>
          <w:szCs w:val="20"/>
          <w:lang w:val="en-GB" w:eastAsia="fr-FR"/>
        </w:rPr>
        <w:t xml:space="preserve"> on emergency assistance for their survival. </w:t>
      </w:r>
      <w:r w:rsidR="00E66513" w:rsidRPr="003A7898">
        <w:rPr>
          <w:rFonts w:ascii="Times New Roman" w:hAnsi="Times New Roman" w:cs="Times New Roman"/>
          <w:sz w:val="20"/>
          <w:szCs w:val="20"/>
          <w:lang w:val="en-GB" w:eastAsia="fr-FR"/>
        </w:rPr>
        <w:t>O</w:t>
      </w:r>
      <w:r w:rsidR="00E437B3" w:rsidRPr="003A7898">
        <w:rPr>
          <w:rFonts w:ascii="Times New Roman" w:hAnsi="Times New Roman" w:cs="Times New Roman"/>
          <w:sz w:val="20"/>
          <w:szCs w:val="20"/>
          <w:lang w:val="en-GB" w:eastAsia="fr-FR"/>
        </w:rPr>
        <w:t xml:space="preserve">n </w:t>
      </w:r>
      <w:r w:rsidR="000D366D">
        <w:rPr>
          <w:rFonts w:ascii="Times New Roman" w:hAnsi="Times New Roman" w:cs="Times New Roman"/>
          <w:sz w:val="20"/>
          <w:szCs w:val="20"/>
          <w:lang w:val="en-GB" w:eastAsia="fr-FR"/>
        </w:rPr>
        <w:t xml:space="preserve">14 </w:t>
      </w:r>
      <w:r w:rsidR="002F24AA" w:rsidRPr="003A7898">
        <w:rPr>
          <w:rFonts w:ascii="Times New Roman" w:hAnsi="Times New Roman" w:cs="Times New Roman"/>
          <w:sz w:val="20"/>
          <w:szCs w:val="20"/>
          <w:lang w:val="en-GB" w:eastAsia="fr-FR"/>
        </w:rPr>
        <w:t>August 2021, a</w:t>
      </w:r>
      <w:r w:rsidR="00E437B3" w:rsidRPr="003A7898">
        <w:rPr>
          <w:rFonts w:ascii="Times New Roman" w:hAnsi="Times New Roman" w:cs="Times New Roman"/>
          <w:sz w:val="20"/>
          <w:szCs w:val="20"/>
          <w:lang w:val="en-GB" w:eastAsia="fr-FR"/>
        </w:rPr>
        <w:t xml:space="preserve"> 7.2 </w:t>
      </w:r>
      <w:r w:rsidR="002F24AA" w:rsidRPr="003A7898">
        <w:rPr>
          <w:rFonts w:ascii="Times New Roman" w:hAnsi="Times New Roman" w:cs="Times New Roman"/>
          <w:sz w:val="20"/>
          <w:szCs w:val="20"/>
          <w:lang w:val="en-GB" w:eastAsia="fr-FR"/>
        </w:rPr>
        <w:t xml:space="preserve">magnitude </w:t>
      </w:r>
      <w:r w:rsidR="00E437B3" w:rsidRPr="003A7898">
        <w:rPr>
          <w:rFonts w:ascii="Times New Roman" w:hAnsi="Times New Roman" w:cs="Times New Roman"/>
          <w:sz w:val="20"/>
          <w:szCs w:val="20"/>
          <w:lang w:val="en-GB" w:eastAsia="fr-FR"/>
        </w:rPr>
        <w:t xml:space="preserve">earthquake </w:t>
      </w:r>
      <w:r w:rsidR="002F24AA" w:rsidRPr="003A7898">
        <w:rPr>
          <w:rFonts w:ascii="Times New Roman" w:hAnsi="Times New Roman" w:cs="Times New Roman"/>
          <w:sz w:val="20"/>
          <w:szCs w:val="20"/>
          <w:lang w:val="en-GB" w:eastAsia="fr-FR"/>
        </w:rPr>
        <w:t>struck the</w:t>
      </w:r>
      <w:r w:rsidR="0030087F" w:rsidRPr="003A7898">
        <w:rPr>
          <w:rFonts w:ascii="Times New Roman" w:hAnsi="Times New Roman" w:cs="Times New Roman"/>
          <w:sz w:val="20"/>
          <w:szCs w:val="20"/>
          <w:lang w:val="en-GB" w:eastAsia="fr-FR"/>
        </w:rPr>
        <w:t xml:space="preserve"> </w:t>
      </w:r>
      <w:r w:rsidR="00140602">
        <w:rPr>
          <w:rFonts w:ascii="Times New Roman" w:hAnsi="Times New Roman" w:cs="Times New Roman"/>
          <w:sz w:val="20"/>
          <w:szCs w:val="20"/>
          <w:lang w:val="en-GB" w:eastAsia="fr-FR"/>
        </w:rPr>
        <w:t>s</w:t>
      </w:r>
      <w:r w:rsidR="002F24AA" w:rsidRPr="003A7898">
        <w:rPr>
          <w:rFonts w:ascii="Times New Roman" w:hAnsi="Times New Roman" w:cs="Times New Roman"/>
          <w:sz w:val="20"/>
          <w:szCs w:val="20"/>
          <w:lang w:val="en-GB" w:eastAsia="fr-FR"/>
        </w:rPr>
        <w:t xml:space="preserve">outhern </w:t>
      </w:r>
      <w:r w:rsidR="00140602">
        <w:rPr>
          <w:rFonts w:ascii="Times New Roman" w:hAnsi="Times New Roman" w:cs="Times New Roman"/>
          <w:sz w:val="20"/>
          <w:szCs w:val="20"/>
          <w:lang w:val="en-GB" w:eastAsia="fr-FR"/>
        </w:rPr>
        <w:t>p</w:t>
      </w:r>
      <w:r w:rsidR="002F24AA" w:rsidRPr="003A7898">
        <w:rPr>
          <w:rFonts w:ascii="Times New Roman" w:hAnsi="Times New Roman" w:cs="Times New Roman"/>
          <w:sz w:val="20"/>
          <w:szCs w:val="20"/>
          <w:lang w:val="en-GB" w:eastAsia="fr-FR"/>
        </w:rPr>
        <w:t xml:space="preserve">eninsula </w:t>
      </w:r>
      <w:r w:rsidR="004478E5" w:rsidRPr="003A7898">
        <w:rPr>
          <w:rFonts w:ascii="Times New Roman" w:hAnsi="Times New Roman" w:cs="Times New Roman"/>
          <w:sz w:val="20"/>
          <w:szCs w:val="20"/>
          <w:lang w:val="en-GB" w:eastAsia="fr-FR"/>
        </w:rPr>
        <w:t xml:space="preserve">of Haiti, the same areas </w:t>
      </w:r>
      <w:r w:rsidR="003B4AEB" w:rsidRPr="003A7898">
        <w:rPr>
          <w:rFonts w:ascii="Times New Roman" w:hAnsi="Times New Roman" w:cs="Times New Roman"/>
          <w:sz w:val="20"/>
          <w:szCs w:val="20"/>
          <w:lang w:val="en-GB" w:eastAsia="fr-FR"/>
        </w:rPr>
        <w:t>still recovering from the</w:t>
      </w:r>
      <w:r w:rsidR="002F24AA" w:rsidRPr="003A7898">
        <w:rPr>
          <w:rFonts w:ascii="Times New Roman" w:hAnsi="Times New Roman" w:cs="Times New Roman"/>
          <w:sz w:val="20"/>
          <w:szCs w:val="20"/>
          <w:lang w:val="en-GB" w:eastAsia="fr-FR"/>
        </w:rPr>
        <w:t xml:space="preserve"> </w:t>
      </w:r>
      <w:r w:rsidR="0030087F" w:rsidRPr="003A7898">
        <w:rPr>
          <w:rFonts w:ascii="Times New Roman" w:hAnsi="Times New Roman" w:cs="Times New Roman"/>
          <w:sz w:val="20"/>
          <w:szCs w:val="20"/>
          <w:lang w:val="en-GB" w:eastAsia="fr-FR"/>
        </w:rPr>
        <w:t xml:space="preserve">devastation </w:t>
      </w:r>
      <w:r w:rsidR="002F24AA" w:rsidRPr="003A7898">
        <w:rPr>
          <w:rFonts w:ascii="Times New Roman" w:hAnsi="Times New Roman" w:cs="Times New Roman"/>
          <w:sz w:val="20"/>
          <w:szCs w:val="20"/>
          <w:lang w:val="en-GB" w:eastAsia="fr-FR"/>
        </w:rPr>
        <w:t xml:space="preserve">of </w:t>
      </w:r>
      <w:r w:rsidR="008C5EB7">
        <w:rPr>
          <w:rFonts w:ascii="Times New Roman" w:hAnsi="Times New Roman" w:cs="Times New Roman"/>
          <w:sz w:val="20"/>
          <w:szCs w:val="20"/>
          <w:lang w:val="en-GB" w:eastAsia="fr-FR"/>
        </w:rPr>
        <w:t>h</w:t>
      </w:r>
      <w:r w:rsidR="002F24AA" w:rsidRPr="003A7898">
        <w:rPr>
          <w:rFonts w:ascii="Times New Roman" w:hAnsi="Times New Roman" w:cs="Times New Roman"/>
          <w:sz w:val="20"/>
          <w:szCs w:val="20"/>
          <w:lang w:val="en-GB" w:eastAsia="fr-FR"/>
        </w:rPr>
        <w:t>urricane Matthew</w:t>
      </w:r>
      <w:r w:rsidR="00140602">
        <w:rPr>
          <w:rFonts w:ascii="Times New Roman" w:hAnsi="Times New Roman" w:cs="Times New Roman"/>
          <w:sz w:val="20"/>
          <w:szCs w:val="20"/>
          <w:lang w:val="en-GB" w:eastAsia="fr-FR"/>
        </w:rPr>
        <w:t xml:space="preserve"> in 2016</w:t>
      </w:r>
      <w:r w:rsidR="008406D3" w:rsidRPr="003A7898">
        <w:rPr>
          <w:rFonts w:ascii="Times New Roman" w:hAnsi="Times New Roman" w:cs="Times New Roman"/>
          <w:sz w:val="20"/>
          <w:szCs w:val="20"/>
          <w:lang w:val="en-GB" w:eastAsia="fr-FR"/>
        </w:rPr>
        <w:t>. R</w:t>
      </w:r>
      <w:r w:rsidR="002F24AA" w:rsidRPr="003A7898">
        <w:rPr>
          <w:rFonts w:ascii="Times New Roman" w:hAnsi="Times New Roman" w:cs="Times New Roman"/>
          <w:sz w:val="20"/>
          <w:szCs w:val="20"/>
          <w:lang w:val="en-GB" w:eastAsia="fr-FR"/>
        </w:rPr>
        <w:t xml:space="preserve">ecovery needs were estimated at </w:t>
      </w:r>
      <w:r w:rsidR="00E91AC3">
        <w:rPr>
          <w:rFonts w:ascii="Times New Roman" w:hAnsi="Times New Roman" w:cs="Times New Roman"/>
          <w:sz w:val="20"/>
          <w:szCs w:val="20"/>
          <w:lang w:val="en-GB" w:eastAsia="fr-FR"/>
        </w:rPr>
        <w:t>$2 </w:t>
      </w:r>
      <w:r w:rsidR="002F24AA" w:rsidRPr="003A7898">
        <w:rPr>
          <w:rFonts w:ascii="Times New Roman" w:hAnsi="Times New Roman" w:cs="Times New Roman"/>
          <w:sz w:val="20"/>
          <w:szCs w:val="20"/>
          <w:lang w:val="en-GB" w:eastAsia="fr-FR"/>
        </w:rPr>
        <w:t>billion</w:t>
      </w:r>
      <w:r w:rsidR="008406D3" w:rsidRPr="003A7898">
        <w:rPr>
          <w:rFonts w:ascii="Times New Roman" w:hAnsi="Times New Roman" w:cs="Times New Roman"/>
          <w:sz w:val="20"/>
          <w:szCs w:val="20"/>
          <w:lang w:val="en-GB" w:eastAsia="fr-FR"/>
        </w:rPr>
        <w:t xml:space="preserve">. </w:t>
      </w:r>
      <w:r w:rsidR="00FB0CF6" w:rsidRPr="003A7898">
        <w:rPr>
          <w:rFonts w:ascii="Times New Roman" w:hAnsi="Times New Roman" w:cs="Times New Roman"/>
          <w:sz w:val="20"/>
          <w:szCs w:val="20"/>
          <w:lang w:val="en-GB"/>
        </w:rPr>
        <w:t>The</w:t>
      </w:r>
      <w:r w:rsidR="008406D3" w:rsidRPr="003A7898">
        <w:rPr>
          <w:rFonts w:ascii="Times New Roman" w:hAnsi="Times New Roman" w:cs="Times New Roman"/>
          <w:sz w:val="20"/>
          <w:szCs w:val="20"/>
          <w:lang w:val="en-GB"/>
        </w:rPr>
        <w:t xml:space="preserve"> </w:t>
      </w:r>
      <w:r w:rsidR="00FB0CF6" w:rsidRPr="003A7898">
        <w:rPr>
          <w:rFonts w:ascii="Times New Roman" w:hAnsi="Times New Roman" w:cs="Times New Roman"/>
          <w:sz w:val="20"/>
          <w:szCs w:val="20"/>
          <w:lang w:val="en-GB"/>
        </w:rPr>
        <w:t xml:space="preserve">number of people </w:t>
      </w:r>
      <w:r w:rsidR="00FC2878" w:rsidRPr="003A7898">
        <w:rPr>
          <w:rFonts w:ascii="Times New Roman" w:hAnsi="Times New Roman" w:cs="Times New Roman"/>
          <w:sz w:val="20"/>
          <w:szCs w:val="20"/>
          <w:lang w:val="en-GB"/>
        </w:rPr>
        <w:t>needing</w:t>
      </w:r>
      <w:r w:rsidR="00FB0CF6" w:rsidRPr="003A7898">
        <w:rPr>
          <w:rFonts w:ascii="Times New Roman" w:hAnsi="Times New Roman" w:cs="Times New Roman"/>
          <w:sz w:val="20"/>
          <w:szCs w:val="20"/>
          <w:lang w:val="en-GB"/>
        </w:rPr>
        <w:t xml:space="preserve"> humanitarian assistance increased </w:t>
      </w:r>
      <w:r w:rsidR="00140602">
        <w:rPr>
          <w:rFonts w:ascii="Times New Roman" w:hAnsi="Times New Roman" w:cs="Times New Roman"/>
          <w:sz w:val="20"/>
          <w:szCs w:val="20"/>
          <w:lang w:val="en-GB"/>
        </w:rPr>
        <w:t xml:space="preserve">from </w:t>
      </w:r>
      <w:r w:rsidR="00140602" w:rsidRPr="003A7898">
        <w:rPr>
          <w:rFonts w:ascii="Times New Roman" w:hAnsi="Times New Roman" w:cs="Times New Roman"/>
          <w:sz w:val="20"/>
          <w:szCs w:val="20"/>
          <w:lang w:val="en-GB"/>
        </w:rPr>
        <w:t>4.4</w:t>
      </w:r>
      <w:r w:rsidR="00202697">
        <w:rPr>
          <w:rFonts w:ascii="Times New Roman" w:hAnsi="Times New Roman" w:cs="Times New Roman"/>
          <w:sz w:val="20"/>
          <w:szCs w:val="20"/>
          <w:lang w:val="en-GB"/>
        </w:rPr>
        <w:t> </w:t>
      </w:r>
      <w:r w:rsidR="00140602" w:rsidRPr="003A7898">
        <w:rPr>
          <w:rFonts w:ascii="Times New Roman" w:hAnsi="Times New Roman" w:cs="Times New Roman"/>
          <w:sz w:val="20"/>
          <w:szCs w:val="20"/>
          <w:lang w:val="en-GB"/>
        </w:rPr>
        <w:t>million in 2021</w:t>
      </w:r>
      <w:r w:rsidR="00140602">
        <w:rPr>
          <w:rFonts w:ascii="Times New Roman" w:hAnsi="Times New Roman" w:cs="Times New Roman"/>
          <w:sz w:val="20"/>
          <w:szCs w:val="20"/>
          <w:lang w:val="en-GB"/>
        </w:rPr>
        <w:t xml:space="preserve"> </w:t>
      </w:r>
      <w:r w:rsidR="00FB0CF6" w:rsidRPr="003A7898">
        <w:rPr>
          <w:rFonts w:ascii="Times New Roman" w:hAnsi="Times New Roman" w:cs="Times New Roman"/>
          <w:sz w:val="20"/>
          <w:szCs w:val="20"/>
          <w:lang w:val="en-GB"/>
        </w:rPr>
        <w:t>to 4.9</w:t>
      </w:r>
      <w:r w:rsidR="00DD3CFB" w:rsidRPr="003A7898">
        <w:rPr>
          <w:rFonts w:ascii="Times New Roman" w:hAnsi="Times New Roman" w:cs="Times New Roman"/>
          <w:sz w:val="20"/>
          <w:szCs w:val="20"/>
          <w:lang w:val="en-GB"/>
        </w:rPr>
        <w:t> </w:t>
      </w:r>
      <w:r w:rsidR="00FB0CF6" w:rsidRPr="003A7898">
        <w:rPr>
          <w:rFonts w:ascii="Times New Roman" w:hAnsi="Times New Roman" w:cs="Times New Roman"/>
          <w:sz w:val="20"/>
          <w:szCs w:val="20"/>
          <w:lang w:val="en-GB"/>
        </w:rPr>
        <w:t>million</w:t>
      </w:r>
      <w:r w:rsidR="00140602">
        <w:rPr>
          <w:rFonts w:ascii="Times New Roman" w:hAnsi="Times New Roman" w:cs="Times New Roman"/>
          <w:sz w:val="20"/>
          <w:szCs w:val="20"/>
          <w:lang w:val="en-GB"/>
        </w:rPr>
        <w:t xml:space="preserve"> </w:t>
      </w:r>
      <w:r w:rsidR="00140602" w:rsidRPr="003A7898">
        <w:rPr>
          <w:rFonts w:ascii="Times New Roman" w:hAnsi="Times New Roman" w:cs="Times New Roman"/>
          <w:sz w:val="20"/>
          <w:szCs w:val="20"/>
          <w:lang w:val="en-GB"/>
        </w:rPr>
        <w:t>in 2022</w:t>
      </w:r>
      <w:r w:rsidR="00FB0CF6" w:rsidRPr="003A7898">
        <w:rPr>
          <w:rFonts w:ascii="Times New Roman" w:hAnsi="Times New Roman" w:cs="Times New Roman"/>
          <w:sz w:val="20"/>
          <w:szCs w:val="20"/>
          <w:lang w:val="en-GB"/>
        </w:rPr>
        <w:t xml:space="preserve">, </w:t>
      </w:r>
      <w:r w:rsidR="00140602">
        <w:rPr>
          <w:rFonts w:ascii="Times New Roman" w:hAnsi="Times New Roman" w:cs="Times New Roman"/>
          <w:sz w:val="20"/>
          <w:szCs w:val="20"/>
          <w:lang w:val="en-GB"/>
        </w:rPr>
        <w:t xml:space="preserve">some </w:t>
      </w:r>
      <w:r w:rsidR="00FB0CF6" w:rsidRPr="003A7898">
        <w:rPr>
          <w:rFonts w:ascii="Times New Roman" w:hAnsi="Times New Roman" w:cs="Times New Roman"/>
          <w:sz w:val="20"/>
          <w:szCs w:val="20"/>
          <w:lang w:val="en-GB"/>
        </w:rPr>
        <w:t>43</w:t>
      </w:r>
      <w:r w:rsidR="00F44C8C" w:rsidRPr="003A7898">
        <w:rPr>
          <w:rFonts w:ascii="Times New Roman" w:hAnsi="Times New Roman" w:cs="Times New Roman"/>
          <w:sz w:val="20"/>
          <w:szCs w:val="20"/>
          <w:lang w:val="en-GB"/>
        </w:rPr>
        <w:t xml:space="preserve"> </w:t>
      </w:r>
      <w:r w:rsidR="002F24AA" w:rsidRPr="003A7898">
        <w:rPr>
          <w:rFonts w:ascii="Times New Roman" w:hAnsi="Times New Roman" w:cs="Times New Roman"/>
          <w:sz w:val="20"/>
          <w:szCs w:val="20"/>
          <w:lang w:val="en-GB"/>
        </w:rPr>
        <w:t>per</w:t>
      </w:r>
      <w:r w:rsidR="00F44C8C" w:rsidRPr="003A7898">
        <w:rPr>
          <w:rFonts w:ascii="Times New Roman" w:hAnsi="Times New Roman" w:cs="Times New Roman"/>
          <w:sz w:val="20"/>
          <w:szCs w:val="20"/>
          <w:lang w:val="en-GB"/>
        </w:rPr>
        <w:t xml:space="preserve"> </w:t>
      </w:r>
      <w:r w:rsidR="002F24AA" w:rsidRPr="003A7898">
        <w:rPr>
          <w:rFonts w:ascii="Times New Roman" w:hAnsi="Times New Roman" w:cs="Times New Roman"/>
          <w:sz w:val="20"/>
          <w:szCs w:val="20"/>
          <w:lang w:val="en-GB"/>
        </w:rPr>
        <w:t>cent</w:t>
      </w:r>
      <w:r w:rsidR="00FB0CF6" w:rsidRPr="003A7898">
        <w:rPr>
          <w:rFonts w:ascii="Times New Roman" w:hAnsi="Times New Roman" w:cs="Times New Roman"/>
          <w:sz w:val="20"/>
          <w:szCs w:val="20"/>
          <w:lang w:val="en-GB"/>
        </w:rPr>
        <w:t xml:space="preserve"> of the total population, </w:t>
      </w:r>
      <w:r w:rsidR="000E526B" w:rsidRPr="003A7898">
        <w:rPr>
          <w:rFonts w:ascii="Times New Roman" w:hAnsi="Times New Roman" w:cs="Times New Roman"/>
          <w:sz w:val="20"/>
          <w:szCs w:val="20"/>
          <w:lang w:val="en-GB"/>
        </w:rPr>
        <w:t>of wh</w:t>
      </w:r>
      <w:r w:rsidR="00140602">
        <w:rPr>
          <w:rFonts w:ascii="Times New Roman" w:hAnsi="Times New Roman" w:cs="Times New Roman"/>
          <w:sz w:val="20"/>
          <w:szCs w:val="20"/>
          <w:lang w:val="en-GB"/>
        </w:rPr>
        <w:t>om</w:t>
      </w:r>
      <w:r w:rsidR="000E526B" w:rsidRPr="003A7898">
        <w:rPr>
          <w:rFonts w:ascii="Times New Roman" w:hAnsi="Times New Roman" w:cs="Times New Roman"/>
          <w:sz w:val="20"/>
          <w:szCs w:val="20"/>
          <w:lang w:val="en-GB"/>
        </w:rPr>
        <w:t xml:space="preserve"> </w:t>
      </w:r>
      <w:r w:rsidR="00FB0CF6" w:rsidRPr="003A7898">
        <w:rPr>
          <w:rFonts w:ascii="Times New Roman" w:hAnsi="Times New Roman" w:cs="Times New Roman"/>
          <w:sz w:val="20"/>
          <w:szCs w:val="20"/>
          <w:lang w:val="en-GB"/>
        </w:rPr>
        <w:t>58</w:t>
      </w:r>
      <w:r w:rsidR="00202697">
        <w:rPr>
          <w:rFonts w:ascii="Times New Roman" w:hAnsi="Times New Roman" w:cs="Times New Roman"/>
          <w:sz w:val="20"/>
          <w:szCs w:val="20"/>
          <w:lang w:val="en-GB"/>
        </w:rPr>
        <w:t> </w:t>
      </w:r>
      <w:r w:rsidR="002F24AA" w:rsidRPr="003A7898">
        <w:rPr>
          <w:rFonts w:ascii="Times New Roman" w:hAnsi="Times New Roman" w:cs="Times New Roman"/>
          <w:sz w:val="20"/>
          <w:szCs w:val="20"/>
          <w:lang w:val="en-GB"/>
        </w:rPr>
        <w:t>per</w:t>
      </w:r>
      <w:r w:rsidR="00085930" w:rsidRPr="003A7898">
        <w:rPr>
          <w:rFonts w:ascii="Times New Roman" w:hAnsi="Times New Roman" w:cs="Times New Roman"/>
          <w:sz w:val="20"/>
          <w:szCs w:val="20"/>
          <w:lang w:val="en-GB"/>
        </w:rPr>
        <w:t xml:space="preserve"> </w:t>
      </w:r>
      <w:r w:rsidR="002F24AA" w:rsidRPr="003A7898">
        <w:rPr>
          <w:rFonts w:ascii="Times New Roman" w:hAnsi="Times New Roman" w:cs="Times New Roman"/>
          <w:sz w:val="20"/>
          <w:szCs w:val="20"/>
          <w:lang w:val="en-GB"/>
        </w:rPr>
        <w:t>cent</w:t>
      </w:r>
      <w:r w:rsidR="7E808E72" w:rsidRPr="003A7898">
        <w:rPr>
          <w:rFonts w:ascii="Times New Roman" w:hAnsi="Times New Roman" w:cs="Times New Roman"/>
          <w:sz w:val="20"/>
          <w:szCs w:val="20"/>
          <w:lang w:val="en-GB"/>
        </w:rPr>
        <w:t xml:space="preserve"> </w:t>
      </w:r>
      <w:r w:rsidR="000E526B" w:rsidRPr="003A7898">
        <w:rPr>
          <w:rFonts w:ascii="Times New Roman" w:hAnsi="Times New Roman" w:cs="Times New Roman"/>
          <w:sz w:val="20"/>
          <w:szCs w:val="20"/>
          <w:lang w:val="en-GB"/>
        </w:rPr>
        <w:t xml:space="preserve">are </w:t>
      </w:r>
      <w:r w:rsidR="003E49AB" w:rsidRPr="003A7898">
        <w:rPr>
          <w:rFonts w:ascii="Times New Roman" w:hAnsi="Times New Roman" w:cs="Times New Roman"/>
          <w:sz w:val="20"/>
          <w:szCs w:val="20"/>
          <w:lang w:val="en-GB"/>
        </w:rPr>
        <w:t>women</w:t>
      </w:r>
      <w:r w:rsidR="00FB0CF6" w:rsidRPr="003A7898">
        <w:rPr>
          <w:rFonts w:ascii="Times New Roman" w:hAnsi="Times New Roman" w:cs="Times New Roman"/>
          <w:sz w:val="20"/>
          <w:szCs w:val="20"/>
          <w:lang w:val="en-GB"/>
        </w:rPr>
        <w:t>.</w:t>
      </w:r>
      <w:r w:rsidR="004E696C" w:rsidRPr="003A7898">
        <w:rPr>
          <w:rFonts w:ascii="Times New Roman" w:hAnsi="Times New Roman" w:cs="Times New Roman"/>
          <w:sz w:val="20"/>
          <w:szCs w:val="20"/>
          <w:lang w:val="en-GB"/>
        </w:rPr>
        <w:t xml:space="preserve"> </w:t>
      </w:r>
      <w:r w:rsidR="00D23B38">
        <w:rPr>
          <w:rFonts w:ascii="Times New Roman" w:hAnsi="Times New Roman" w:cs="Times New Roman"/>
          <w:sz w:val="20"/>
          <w:szCs w:val="20"/>
          <w:lang w:val="en-GB"/>
        </w:rPr>
        <w:t>The rate of w</w:t>
      </w:r>
      <w:r w:rsidR="00DA48D3" w:rsidRPr="003A7898">
        <w:rPr>
          <w:rFonts w:ascii="Times New Roman" w:hAnsi="Times New Roman" w:cs="Times New Roman"/>
          <w:sz w:val="20"/>
          <w:szCs w:val="20"/>
          <w:lang w:val="en-GB"/>
        </w:rPr>
        <w:t xml:space="preserve">omen’s participation in decision-making </w:t>
      </w:r>
      <w:r w:rsidR="000B3D82" w:rsidRPr="003A7898">
        <w:rPr>
          <w:rFonts w:ascii="Times New Roman" w:hAnsi="Times New Roman" w:cs="Times New Roman"/>
          <w:sz w:val="20"/>
          <w:szCs w:val="20"/>
          <w:lang w:val="en-GB"/>
        </w:rPr>
        <w:t>remains very low, particularly at the central level</w:t>
      </w:r>
      <w:r w:rsidR="009B0C31" w:rsidRPr="003A7898">
        <w:rPr>
          <w:rFonts w:ascii="Times New Roman" w:hAnsi="Times New Roman" w:cs="Times New Roman"/>
          <w:sz w:val="20"/>
          <w:szCs w:val="20"/>
          <w:lang w:val="en-GB"/>
        </w:rPr>
        <w:t xml:space="preserve">. </w:t>
      </w:r>
      <w:r w:rsidR="00140602">
        <w:rPr>
          <w:rFonts w:ascii="Times New Roman" w:hAnsi="Times New Roman" w:cs="Times New Roman"/>
          <w:sz w:val="20"/>
          <w:szCs w:val="20"/>
          <w:lang w:val="en-GB"/>
        </w:rPr>
        <w:t>I</w:t>
      </w:r>
      <w:r w:rsidR="003B2498" w:rsidRPr="003A7898">
        <w:rPr>
          <w:rFonts w:ascii="Times New Roman" w:hAnsi="Times New Roman" w:cs="Times New Roman"/>
          <w:sz w:val="20"/>
          <w:szCs w:val="20"/>
          <w:lang w:val="en-GB"/>
        </w:rPr>
        <w:t>n the last legislature</w:t>
      </w:r>
      <w:r w:rsidR="00140602">
        <w:rPr>
          <w:rFonts w:ascii="Times New Roman" w:hAnsi="Times New Roman" w:cs="Times New Roman"/>
          <w:sz w:val="20"/>
          <w:szCs w:val="20"/>
          <w:lang w:val="en-GB"/>
        </w:rPr>
        <w:t>, w</w:t>
      </w:r>
      <w:r w:rsidR="00140602" w:rsidRPr="003A7898">
        <w:rPr>
          <w:rFonts w:ascii="Times New Roman" w:hAnsi="Times New Roman" w:cs="Times New Roman"/>
          <w:sz w:val="20"/>
          <w:szCs w:val="20"/>
          <w:lang w:val="en-GB"/>
        </w:rPr>
        <w:t>omen</w:t>
      </w:r>
      <w:r w:rsidR="003B2498" w:rsidRPr="003A7898">
        <w:rPr>
          <w:rFonts w:ascii="Times New Roman" w:hAnsi="Times New Roman" w:cs="Times New Roman"/>
          <w:sz w:val="20"/>
          <w:szCs w:val="20"/>
          <w:lang w:val="en-GB"/>
        </w:rPr>
        <w:t xml:space="preserve"> held only three seats in </w:t>
      </w:r>
      <w:r w:rsidR="00393423">
        <w:rPr>
          <w:rFonts w:ascii="Times New Roman" w:hAnsi="Times New Roman" w:cs="Times New Roman"/>
          <w:sz w:val="20"/>
          <w:szCs w:val="20"/>
          <w:lang w:val="en-GB"/>
        </w:rPr>
        <w:t>p</w:t>
      </w:r>
      <w:r w:rsidR="003B2498" w:rsidRPr="003A7898">
        <w:rPr>
          <w:rFonts w:ascii="Times New Roman" w:hAnsi="Times New Roman" w:cs="Times New Roman"/>
          <w:sz w:val="20"/>
          <w:szCs w:val="20"/>
          <w:lang w:val="en-GB"/>
        </w:rPr>
        <w:t>arliament</w:t>
      </w:r>
      <w:r w:rsidR="00DA48D3" w:rsidRPr="003A7898">
        <w:rPr>
          <w:rFonts w:ascii="Times New Roman" w:hAnsi="Times New Roman" w:cs="Times New Roman"/>
          <w:sz w:val="20"/>
          <w:szCs w:val="20"/>
          <w:lang w:val="en-GB"/>
        </w:rPr>
        <w:t xml:space="preserve">. </w:t>
      </w:r>
      <w:r w:rsidR="00140602">
        <w:rPr>
          <w:rFonts w:ascii="Times New Roman" w:hAnsi="Times New Roman" w:cs="Times New Roman"/>
          <w:sz w:val="20"/>
          <w:szCs w:val="20"/>
          <w:lang w:val="en-GB"/>
        </w:rPr>
        <w:t>I</w:t>
      </w:r>
      <w:r w:rsidR="003B2498" w:rsidRPr="003A7898">
        <w:rPr>
          <w:rFonts w:ascii="Times New Roman" w:hAnsi="Times New Roman" w:cs="Times New Roman"/>
          <w:sz w:val="20"/>
          <w:szCs w:val="20"/>
          <w:lang w:val="en-GB"/>
        </w:rPr>
        <w:t>ntegrating gender into public policies and implementing positive actions and other policies to promote gender equality and</w:t>
      </w:r>
      <w:r w:rsidR="00DA48D3" w:rsidRPr="003A7898">
        <w:rPr>
          <w:rFonts w:ascii="Times New Roman" w:hAnsi="Times New Roman" w:cs="Times New Roman"/>
          <w:sz w:val="20"/>
          <w:szCs w:val="20"/>
          <w:lang w:val="en-GB"/>
        </w:rPr>
        <w:t xml:space="preserve"> profound social transformation</w:t>
      </w:r>
      <w:r w:rsidR="00B6474C" w:rsidRPr="003A7898">
        <w:rPr>
          <w:rFonts w:ascii="Times New Roman" w:hAnsi="Times New Roman" w:cs="Times New Roman"/>
          <w:sz w:val="20"/>
          <w:szCs w:val="20"/>
          <w:lang w:val="en-GB"/>
        </w:rPr>
        <w:t xml:space="preserve"> remain necessary</w:t>
      </w:r>
      <w:r w:rsidR="00DA48D3" w:rsidRPr="003A7898">
        <w:rPr>
          <w:rFonts w:ascii="Times New Roman" w:hAnsi="Times New Roman" w:cs="Times New Roman"/>
          <w:sz w:val="20"/>
          <w:szCs w:val="20"/>
          <w:lang w:val="en-GB"/>
        </w:rPr>
        <w:t>.</w:t>
      </w:r>
    </w:p>
    <w:p w14:paraId="3258F98F" w14:textId="7CB06BE5" w:rsidR="009E3442" w:rsidRPr="003A7898" w:rsidRDefault="00CA4597"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GB" w:eastAsia="fr-FR"/>
        </w:rPr>
      </w:pPr>
      <w:r w:rsidRPr="003A7898">
        <w:rPr>
          <w:rFonts w:ascii="Times New Roman" w:hAnsi="Times New Roman" w:cs="Times New Roman"/>
          <w:sz w:val="20"/>
          <w:szCs w:val="20"/>
          <w:lang w:val="en-GB"/>
        </w:rPr>
        <w:t>Progress on m</w:t>
      </w:r>
      <w:r w:rsidR="1AF4DAAC" w:rsidRPr="003A7898">
        <w:rPr>
          <w:rFonts w:ascii="Times New Roman" w:hAnsi="Times New Roman" w:cs="Times New Roman"/>
          <w:sz w:val="20"/>
          <w:szCs w:val="20"/>
          <w:lang w:val="en-GB"/>
        </w:rPr>
        <w:t xml:space="preserve">ost development indices </w:t>
      </w:r>
      <w:r w:rsidRPr="003A7898">
        <w:rPr>
          <w:rFonts w:ascii="Times New Roman" w:hAnsi="Times New Roman" w:cs="Times New Roman"/>
          <w:sz w:val="20"/>
          <w:szCs w:val="20"/>
          <w:lang w:val="en-GB"/>
        </w:rPr>
        <w:t xml:space="preserve">is </w:t>
      </w:r>
      <w:r w:rsidR="1AF4DAAC" w:rsidRPr="003A7898">
        <w:rPr>
          <w:rFonts w:ascii="Times New Roman" w:hAnsi="Times New Roman" w:cs="Times New Roman"/>
          <w:sz w:val="20"/>
          <w:szCs w:val="20"/>
          <w:lang w:val="en-GB"/>
        </w:rPr>
        <w:t xml:space="preserve">losing momentum, raising fears that the country </w:t>
      </w:r>
      <w:r w:rsidR="007F3A35" w:rsidRPr="003A7898">
        <w:rPr>
          <w:rFonts w:ascii="Times New Roman" w:hAnsi="Times New Roman" w:cs="Times New Roman"/>
          <w:sz w:val="20"/>
          <w:szCs w:val="20"/>
          <w:lang w:val="en-GB"/>
        </w:rPr>
        <w:t>is unlikely to</w:t>
      </w:r>
      <w:r w:rsidR="1AF4DAAC" w:rsidRPr="003A7898">
        <w:rPr>
          <w:rFonts w:ascii="Times New Roman" w:hAnsi="Times New Roman" w:cs="Times New Roman"/>
          <w:sz w:val="20"/>
          <w:szCs w:val="20"/>
          <w:lang w:val="en-GB"/>
        </w:rPr>
        <w:t xml:space="preserve"> meet </w:t>
      </w:r>
      <w:r w:rsidR="00182F18" w:rsidRPr="003A7898">
        <w:rPr>
          <w:rFonts w:ascii="Times New Roman" w:hAnsi="Times New Roman" w:cs="Times New Roman"/>
          <w:sz w:val="20"/>
          <w:szCs w:val="20"/>
          <w:lang w:val="en-GB"/>
        </w:rPr>
        <w:t xml:space="preserve">the targets of its </w:t>
      </w:r>
      <w:r w:rsidR="6C1BA43D" w:rsidRPr="003A7898">
        <w:rPr>
          <w:rFonts w:ascii="Times New Roman" w:hAnsi="Times New Roman" w:cs="Times New Roman"/>
          <w:sz w:val="20"/>
          <w:szCs w:val="20"/>
          <w:lang w:val="en-GB"/>
        </w:rPr>
        <w:t>Sustainable Development Goa</w:t>
      </w:r>
      <w:r w:rsidR="00182F18" w:rsidRPr="003A7898">
        <w:rPr>
          <w:rFonts w:ascii="Times New Roman" w:hAnsi="Times New Roman" w:cs="Times New Roman"/>
          <w:sz w:val="20"/>
          <w:szCs w:val="20"/>
          <w:lang w:val="en-GB"/>
        </w:rPr>
        <w:t>l</w:t>
      </w:r>
      <w:r w:rsidR="004F651F" w:rsidRPr="003A7898">
        <w:rPr>
          <w:rFonts w:ascii="Times New Roman" w:hAnsi="Times New Roman" w:cs="Times New Roman"/>
          <w:sz w:val="20"/>
          <w:szCs w:val="20"/>
          <w:lang w:val="en-GB"/>
        </w:rPr>
        <w:t xml:space="preserve"> </w:t>
      </w:r>
      <w:r w:rsidR="00140602">
        <w:rPr>
          <w:rFonts w:ascii="Times New Roman" w:hAnsi="Times New Roman" w:cs="Times New Roman"/>
          <w:sz w:val="20"/>
          <w:szCs w:val="20"/>
          <w:lang w:val="en-GB"/>
        </w:rPr>
        <w:t>a</w:t>
      </w:r>
      <w:r w:rsidR="004F651F" w:rsidRPr="003A7898">
        <w:rPr>
          <w:rFonts w:ascii="Times New Roman" w:hAnsi="Times New Roman" w:cs="Times New Roman"/>
          <w:sz w:val="20"/>
          <w:szCs w:val="20"/>
          <w:lang w:val="en-GB"/>
        </w:rPr>
        <w:t xml:space="preserve">ction </w:t>
      </w:r>
      <w:r w:rsidR="00140602">
        <w:rPr>
          <w:rFonts w:ascii="Times New Roman" w:hAnsi="Times New Roman" w:cs="Times New Roman"/>
          <w:sz w:val="20"/>
          <w:szCs w:val="20"/>
          <w:lang w:val="en-GB"/>
        </w:rPr>
        <w:t>p</w:t>
      </w:r>
      <w:r w:rsidR="003E49AB" w:rsidRPr="003A7898">
        <w:rPr>
          <w:rFonts w:ascii="Times New Roman" w:hAnsi="Times New Roman" w:cs="Times New Roman"/>
          <w:sz w:val="20"/>
          <w:szCs w:val="20"/>
          <w:lang w:val="en-GB"/>
        </w:rPr>
        <w:t>lan by</w:t>
      </w:r>
      <w:r w:rsidR="539B5866" w:rsidRPr="003A7898">
        <w:rPr>
          <w:rFonts w:ascii="Times New Roman" w:hAnsi="Times New Roman" w:cs="Times New Roman"/>
          <w:sz w:val="20"/>
          <w:szCs w:val="20"/>
          <w:lang w:val="en-GB"/>
        </w:rPr>
        <w:t xml:space="preserve"> 2030</w:t>
      </w:r>
      <w:r w:rsidR="009E3442" w:rsidRPr="003A7898">
        <w:rPr>
          <w:rFonts w:ascii="Times New Roman" w:hAnsi="Times New Roman" w:cs="Times New Roman"/>
          <w:sz w:val="20"/>
          <w:szCs w:val="20"/>
          <w:lang w:val="en-GB"/>
        </w:rPr>
        <w:t xml:space="preserve">, exacerbated since 2022 by a significant </w:t>
      </w:r>
      <w:r w:rsidR="002726E8" w:rsidRPr="003A7898">
        <w:rPr>
          <w:rFonts w:ascii="Times New Roman" w:hAnsi="Times New Roman" w:cs="Times New Roman"/>
          <w:sz w:val="20"/>
          <w:szCs w:val="20"/>
          <w:lang w:val="en-GB"/>
        </w:rPr>
        <w:t xml:space="preserve">deterioration in </w:t>
      </w:r>
      <w:r w:rsidR="009E3442" w:rsidRPr="003A7898">
        <w:rPr>
          <w:rFonts w:ascii="Times New Roman" w:hAnsi="Times New Roman" w:cs="Times New Roman"/>
          <w:sz w:val="20"/>
          <w:szCs w:val="20"/>
          <w:lang w:val="en-GB"/>
        </w:rPr>
        <w:t xml:space="preserve">security </w:t>
      </w:r>
      <w:r w:rsidR="002726E8" w:rsidRPr="003A7898">
        <w:rPr>
          <w:rFonts w:ascii="Times New Roman" w:hAnsi="Times New Roman" w:cs="Times New Roman"/>
          <w:sz w:val="20"/>
          <w:szCs w:val="20"/>
          <w:lang w:val="en-GB"/>
        </w:rPr>
        <w:t xml:space="preserve">and </w:t>
      </w:r>
      <w:r w:rsidR="009E3442" w:rsidRPr="003A7898">
        <w:rPr>
          <w:rFonts w:ascii="Times New Roman" w:hAnsi="Times New Roman" w:cs="Times New Roman"/>
          <w:sz w:val="20"/>
          <w:szCs w:val="20"/>
          <w:lang w:val="en-GB"/>
        </w:rPr>
        <w:t xml:space="preserve">rising inflation, leading to extensive </w:t>
      </w:r>
      <w:r w:rsidR="002726E8" w:rsidRPr="003A7898">
        <w:rPr>
          <w:rFonts w:ascii="Times New Roman" w:hAnsi="Times New Roman" w:cs="Times New Roman"/>
          <w:sz w:val="20"/>
          <w:szCs w:val="20"/>
          <w:lang w:val="en-GB"/>
        </w:rPr>
        <w:t xml:space="preserve">protests and </w:t>
      </w:r>
      <w:r w:rsidR="009E3442" w:rsidRPr="003A7898">
        <w:rPr>
          <w:rFonts w:ascii="Times New Roman" w:hAnsi="Times New Roman" w:cs="Times New Roman"/>
          <w:sz w:val="20"/>
          <w:szCs w:val="20"/>
          <w:lang w:val="en-GB"/>
        </w:rPr>
        <w:t>lockdowns</w:t>
      </w:r>
      <w:r w:rsidR="007F3A35" w:rsidRPr="003A7898">
        <w:rPr>
          <w:rFonts w:ascii="Times New Roman" w:hAnsi="Times New Roman" w:cs="Times New Roman"/>
          <w:sz w:val="20"/>
          <w:szCs w:val="20"/>
          <w:lang w:val="en-GB"/>
        </w:rPr>
        <w:t>,</w:t>
      </w:r>
      <w:r w:rsidR="009E3442" w:rsidRPr="003A7898">
        <w:rPr>
          <w:rFonts w:ascii="Times New Roman" w:hAnsi="Times New Roman" w:cs="Times New Roman"/>
          <w:sz w:val="20"/>
          <w:szCs w:val="20"/>
          <w:lang w:val="en-GB"/>
        </w:rPr>
        <w:t xml:space="preserve"> </w:t>
      </w:r>
      <w:r w:rsidR="002726E8" w:rsidRPr="003A7898">
        <w:rPr>
          <w:rFonts w:ascii="Times New Roman" w:hAnsi="Times New Roman" w:cs="Times New Roman"/>
          <w:sz w:val="20"/>
          <w:szCs w:val="20"/>
          <w:lang w:val="en-GB"/>
        </w:rPr>
        <w:t xml:space="preserve">including </w:t>
      </w:r>
      <w:r w:rsidR="009E3442" w:rsidRPr="003A7898">
        <w:rPr>
          <w:rFonts w:ascii="Times New Roman" w:hAnsi="Times New Roman" w:cs="Times New Roman"/>
          <w:sz w:val="20"/>
          <w:szCs w:val="20"/>
          <w:lang w:val="en-GB"/>
        </w:rPr>
        <w:t>slowdowns in social and economic activity.</w:t>
      </w:r>
      <w:r w:rsidR="007F3A35" w:rsidRPr="003A7898">
        <w:rPr>
          <w:rFonts w:ascii="Times New Roman" w:hAnsi="Times New Roman" w:cs="Times New Roman"/>
          <w:sz w:val="20"/>
          <w:szCs w:val="20"/>
          <w:lang w:val="en-GB"/>
        </w:rPr>
        <w:t xml:space="preserve">  </w:t>
      </w:r>
    </w:p>
    <w:p w14:paraId="27ED988C" w14:textId="271AAB35" w:rsidR="00142D32" w:rsidRDefault="00687984"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GB" w:eastAsia="fr-FR"/>
        </w:rPr>
      </w:pPr>
      <w:r>
        <w:rPr>
          <w:rFonts w:ascii="Times New Roman" w:hAnsi="Times New Roman" w:cs="Times New Roman"/>
          <w:sz w:val="20"/>
          <w:szCs w:val="20"/>
          <w:lang w:val="en-GB" w:eastAsia="fr-FR"/>
        </w:rPr>
        <w:t>This</w:t>
      </w:r>
      <w:r w:rsidR="007F3A35" w:rsidRPr="003A7898">
        <w:rPr>
          <w:rFonts w:ascii="Times New Roman" w:hAnsi="Times New Roman" w:cs="Times New Roman"/>
          <w:sz w:val="20"/>
          <w:szCs w:val="20"/>
          <w:lang w:val="en-GB" w:eastAsia="fr-FR"/>
        </w:rPr>
        <w:t xml:space="preserve"> country programme is aligned with </w:t>
      </w:r>
      <w:r w:rsidR="00140602">
        <w:rPr>
          <w:rFonts w:ascii="Times New Roman" w:hAnsi="Times New Roman" w:cs="Times New Roman"/>
          <w:sz w:val="20"/>
          <w:szCs w:val="20"/>
          <w:lang w:val="en-GB" w:eastAsia="fr-FR"/>
        </w:rPr>
        <w:t xml:space="preserve">the  </w:t>
      </w:r>
      <w:r w:rsidR="007F3A35" w:rsidRPr="003A7898">
        <w:rPr>
          <w:rFonts w:ascii="Times New Roman" w:hAnsi="Times New Roman" w:cs="Times New Roman"/>
          <w:sz w:val="20"/>
          <w:szCs w:val="20"/>
          <w:lang w:val="en-GB" w:eastAsia="fr-FR"/>
        </w:rPr>
        <w:t xml:space="preserve">Strategic Development Plan </w:t>
      </w:r>
      <w:r w:rsidR="00C86076" w:rsidRPr="003A7898">
        <w:rPr>
          <w:rFonts w:ascii="Times New Roman" w:hAnsi="Times New Roman" w:cs="Times New Roman"/>
          <w:sz w:val="20"/>
          <w:szCs w:val="20"/>
          <w:lang w:val="en-GB" w:eastAsia="fr-FR"/>
        </w:rPr>
        <w:t>2012-</w:t>
      </w:r>
      <w:r w:rsidR="007F3A35" w:rsidRPr="003A7898">
        <w:rPr>
          <w:rFonts w:ascii="Times New Roman" w:hAnsi="Times New Roman" w:cs="Times New Roman"/>
          <w:sz w:val="20"/>
          <w:szCs w:val="20"/>
          <w:lang w:val="en-GB" w:eastAsia="fr-FR"/>
        </w:rPr>
        <w:t>2030</w:t>
      </w:r>
      <w:r w:rsidR="00C86076" w:rsidRPr="003A7898">
        <w:rPr>
          <w:rFonts w:ascii="Times New Roman" w:hAnsi="Times New Roman" w:cs="Times New Roman"/>
          <w:sz w:val="20"/>
          <w:szCs w:val="20"/>
          <w:lang w:val="en-GB" w:eastAsia="fr-FR"/>
        </w:rPr>
        <w:t xml:space="preserve"> (</w:t>
      </w:r>
      <w:r w:rsidR="009F1FF6" w:rsidRPr="009F1FF6">
        <w:rPr>
          <w:rFonts w:ascii="Times New Roman" w:hAnsi="Times New Roman" w:cs="Times New Roman"/>
          <w:sz w:val="20"/>
          <w:szCs w:val="20"/>
          <w:lang w:val="en-GB" w:eastAsia="fr-FR"/>
        </w:rPr>
        <w:t xml:space="preserve">Plan Stratégique de Développement d’Haïti </w:t>
      </w:r>
      <w:r w:rsidR="009F1FF6">
        <w:rPr>
          <w:rFonts w:ascii="Times New Roman" w:hAnsi="Times New Roman" w:cs="Times New Roman"/>
          <w:sz w:val="20"/>
          <w:szCs w:val="20"/>
          <w:lang w:val="en-GB" w:eastAsia="fr-FR"/>
        </w:rPr>
        <w:t>(</w:t>
      </w:r>
      <w:r w:rsidR="00C86076" w:rsidRPr="003A7898">
        <w:rPr>
          <w:rFonts w:ascii="Times New Roman" w:hAnsi="Times New Roman" w:cs="Times New Roman"/>
          <w:sz w:val="20"/>
          <w:szCs w:val="20"/>
          <w:lang w:val="en-GB" w:eastAsia="fr-FR"/>
        </w:rPr>
        <w:t>PSDH)</w:t>
      </w:r>
      <w:r w:rsidR="009F1FF6">
        <w:rPr>
          <w:rFonts w:ascii="Times New Roman" w:hAnsi="Times New Roman" w:cs="Times New Roman"/>
          <w:sz w:val="20"/>
          <w:szCs w:val="20"/>
          <w:lang w:val="en-GB" w:eastAsia="fr-FR"/>
        </w:rPr>
        <w:t>)</w:t>
      </w:r>
      <w:r w:rsidR="007F3A35" w:rsidRPr="003A7898">
        <w:rPr>
          <w:rFonts w:ascii="Times New Roman" w:hAnsi="Times New Roman" w:cs="Times New Roman"/>
          <w:sz w:val="20"/>
          <w:szCs w:val="20"/>
          <w:lang w:val="en-GB" w:eastAsia="fr-FR"/>
        </w:rPr>
        <w:t xml:space="preserve"> and the </w:t>
      </w:r>
      <w:r w:rsidR="00142D32" w:rsidRPr="003A7898">
        <w:rPr>
          <w:rFonts w:ascii="Times New Roman" w:hAnsi="Times New Roman" w:cs="Times New Roman"/>
          <w:sz w:val="20"/>
          <w:szCs w:val="20"/>
          <w:lang w:val="en-GB" w:eastAsia="fr-FR"/>
        </w:rPr>
        <w:t>United Nations Sustainable Development Cooperation Framework (UNSDCF) 2023-2027</w:t>
      </w:r>
      <w:r w:rsidR="00140602">
        <w:rPr>
          <w:rFonts w:ascii="Times New Roman" w:hAnsi="Times New Roman" w:cs="Times New Roman"/>
          <w:sz w:val="20"/>
          <w:szCs w:val="20"/>
          <w:lang w:val="en-GB" w:eastAsia="fr-FR"/>
        </w:rPr>
        <w:t xml:space="preserve">. </w:t>
      </w:r>
      <w:r w:rsidR="00C15DF8">
        <w:rPr>
          <w:rFonts w:ascii="Times New Roman" w:hAnsi="Times New Roman" w:cs="Times New Roman"/>
          <w:sz w:val="20"/>
          <w:szCs w:val="20"/>
          <w:lang w:val="en-GB" w:eastAsia="fr-FR"/>
        </w:rPr>
        <w:t xml:space="preserve">It </w:t>
      </w:r>
      <w:r w:rsidR="00C15DF8" w:rsidRPr="003A7898">
        <w:rPr>
          <w:rFonts w:ascii="Times New Roman" w:hAnsi="Times New Roman" w:cs="Times New Roman"/>
          <w:sz w:val="20"/>
          <w:szCs w:val="20"/>
          <w:lang w:val="en-GB"/>
        </w:rPr>
        <w:t>contributes to the UNDP Strategic Plan 2022-2025 and its signature solutions</w:t>
      </w:r>
      <w:r w:rsidR="00C15DF8">
        <w:rPr>
          <w:rFonts w:ascii="Times New Roman" w:hAnsi="Times New Roman" w:cs="Times New Roman"/>
          <w:sz w:val="20"/>
          <w:szCs w:val="20"/>
          <w:lang w:val="en-GB"/>
        </w:rPr>
        <w:t xml:space="preserve">. </w:t>
      </w:r>
      <w:r w:rsidR="00140602">
        <w:rPr>
          <w:rFonts w:ascii="Times New Roman" w:hAnsi="Times New Roman" w:cs="Times New Roman"/>
          <w:sz w:val="20"/>
          <w:szCs w:val="20"/>
          <w:lang w:val="en-GB" w:eastAsia="fr-FR"/>
        </w:rPr>
        <w:t>The</w:t>
      </w:r>
      <w:r w:rsidR="007579C8">
        <w:rPr>
          <w:rFonts w:ascii="Times New Roman" w:hAnsi="Times New Roman" w:cs="Times New Roman"/>
          <w:sz w:val="20"/>
          <w:szCs w:val="20"/>
          <w:lang w:val="en-GB" w:eastAsia="fr-FR"/>
        </w:rPr>
        <w:t xml:space="preserve"> UNDP programme</w:t>
      </w:r>
      <w:r w:rsidR="00526710">
        <w:rPr>
          <w:rFonts w:ascii="Times New Roman" w:hAnsi="Times New Roman" w:cs="Times New Roman"/>
          <w:sz w:val="20"/>
          <w:szCs w:val="20"/>
          <w:lang w:val="en-GB" w:eastAsia="fr-FR"/>
        </w:rPr>
        <w:t xml:space="preserve"> benefited from the </w:t>
      </w:r>
      <w:r w:rsidR="007579C8">
        <w:rPr>
          <w:rFonts w:ascii="Times New Roman" w:hAnsi="Times New Roman" w:cs="Times New Roman"/>
          <w:sz w:val="20"/>
          <w:szCs w:val="20"/>
          <w:lang w:val="en-GB" w:eastAsia="fr-FR"/>
        </w:rPr>
        <w:t xml:space="preserve">process for developing the </w:t>
      </w:r>
      <w:r w:rsidR="00526710">
        <w:rPr>
          <w:rFonts w:ascii="Times New Roman" w:hAnsi="Times New Roman" w:cs="Times New Roman"/>
          <w:sz w:val="20"/>
          <w:szCs w:val="20"/>
          <w:lang w:val="en-GB" w:eastAsia="fr-FR"/>
        </w:rPr>
        <w:t>UNSDCF</w:t>
      </w:r>
      <w:r w:rsidR="007579C8">
        <w:rPr>
          <w:rFonts w:ascii="Times New Roman" w:hAnsi="Times New Roman" w:cs="Times New Roman"/>
          <w:sz w:val="20"/>
          <w:szCs w:val="20"/>
          <w:lang w:val="en-GB" w:eastAsia="fr-FR"/>
        </w:rPr>
        <w:t xml:space="preserve">, led by </w:t>
      </w:r>
      <w:r w:rsidR="007F3A35" w:rsidRPr="003A7898">
        <w:rPr>
          <w:rFonts w:ascii="Times New Roman" w:hAnsi="Times New Roman" w:cs="Times New Roman"/>
          <w:sz w:val="20"/>
          <w:szCs w:val="20"/>
          <w:lang w:val="en-GB" w:eastAsia="fr-FR"/>
        </w:rPr>
        <w:t xml:space="preserve">the </w:t>
      </w:r>
      <w:r w:rsidR="00142D32" w:rsidRPr="003A7898">
        <w:rPr>
          <w:rFonts w:ascii="Times New Roman" w:hAnsi="Times New Roman" w:cs="Times New Roman"/>
          <w:sz w:val="20"/>
          <w:szCs w:val="20"/>
          <w:lang w:val="en-GB" w:eastAsia="fr-FR"/>
        </w:rPr>
        <w:t>Ministry of Planning and External Cooperation</w:t>
      </w:r>
      <w:r w:rsidR="00CE0A63" w:rsidRPr="003A7898">
        <w:rPr>
          <w:rFonts w:ascii="Times New Roman" w:hAnsi="Times New Roman" w:cs="Times New Roman"/>
          <w:sz w:val="20"/>
          <w:szCs w:val="20"/>
          <w:lang w:val="en-GB" w:eastAsia="fr-FR"/>
        </w:rPr>
        <w:t> </w:t>
      </w:r>
      <w:r w:rsidR="00602F74" w:rsidRPr="003A7898">
        <w:rPr>
          <w:rFonts w:ascii="Times New Roman" w:hAnsi="Times New Roman" w:cs="Times New Roman"/>
          <w:sz w:val="20"/>
          <w:szCs w:val="20"/>
          <w:lang w:val="en-GB" w:eastAsia="fr-FR"/>
        </w:rPr>
        <w:t>(</w:t>
      </w:r>
      <w:r w:rsidR="009F1FF6" w:rsidRPr="009F1FF6">
        <w:rPr>
          <w:rFonts w:ascii="Times New Roman" w:hAnsi="Times New Roman" w:cs="Times New Roman"/>
          <w:sz w:val="20"/>
          <w:szCs w:val="20"/>
          <w:lang w:val="en-GB" w:eastAsia="fr-FR"/>
        </w:rPr>
        <w:t xml:space="preserve">Ministère de la Planification et de la Coopération Externe </w:t>
      </w:r>
      <w:r w:rsidR="009F1FF6">
        <w:rPr>
          <w:rFonts w:ascii="Times New Roman" w:hAnsi="Times New Roman" w:cs="Times New Roman"/>
          <w:sz w:val="20"/>
          <w:szCs w:val="20"/>
          <w:lang w:val="en-GB" w:eastAsia="fr-FR"/>
        </w:rPr>
        <w:t>(</w:t>
      </w:r>
      <w:r w:rsidR="00602F74" w:rsidRPr="003A7898">
        <w:rPr>
          <w:rFonts w:ascii="Times New Roman" w:hAnsi="Times New Roman" w:cs="Times New Roman"/>
          <w:sz w:val="20"/>
          <w:szCs w:val="20"/>
          <w:lang w:val="en-GB" w:eastAsia="fr-FR"/>
        </w:rPr>
        <w:t>MPCE)</w:t>
      </w:r>
      <w:r w:rsidR="009F1FF6">
        <w:rPr>
          <w:rFonts w:ascii="Times New Roman" w:hAnsi="Times New Roman" w:cs="Times New Roman"/>
          <w:sz w:val="20"/>
          <w:szCs w:val="20"/>
          <w:lang w:val="en-GB" w:eastAsia="fr-FR"/>
        </w:rPr>
        <w:t>)</w:t>
      </w:r>
      <w:r w:rsidR="00142D32" w:rsidRPr="003A7898">
        <w:rPr>
          <w:rFonts w:ascii="Times New Roman" w:hAnsi="Times New Roman" w:cs="Times New Roman"/>
          <w:sz w:val="20"/>
          <w:szCs w:val="20"/>
          <w:lang w:val="en-GB" w:eastAsia="fr-FR"/>
        </w:rPr>
        <w:t xml:space="preserve"> and a </w:t>
      </w:r>
      <w:r w:rsidR="009F1FF6">
        <w:rPr>
          <w:rFonts w:ascii="Times New Roman" w:hAnsi="Times New Roman" w:cs="Times New Roman"/>
          <w:sz w:val="20"/>
          <w:szCs w:val="20"/>
          <w:lang w:val="en-GB" w:eastAsia="fr-FR"/>
        </w:rPr>
        <w:t>m</w:t>
      </w:r>
      <w:r w:rsidR="00142D32" w:rsidRPr="003A7898">
        <w:rPr>
          <w:rFonts w:ascii="Times New Roman" w:hAnsi="Times New Roman" w:cs="Times New Roman"/>
          <w:sz w:val="20"/>
          <w:szCs w:val="20"/>
          <w:lang w:val="en-GB" w:eastAsia="fr-FR"/>
        </w:rPr>
        <w:t>ulti-</w:t>
      </w:r>
      <w:r w:rsidR="009F1FF6">
        <w:rPr>
          <w:rFonts w:ascii="Times New Roman" w:hAnsi="Times New Roman" w:cs="Times New Roman"/>
          <w:sz w:val="20"/>
          <w:szCs w:val="20"/>
          <w:lang w:val="en-GB" w:eastAsia="fr-FR"/>
        </w:rPr>
        <w:t>s</w:t>
      </w:r>
      <w:r w:rsidR="00142D32" w:rsidRPr="003A7898">
        <w:rPr>
          <w:rFonts w:ascii="Times New Roman" w:hAnsi="Times New Roman" w:cs="Times New Roman"/>
          <w:sz w:val="20"/>
          <w:szCs w:val="20"/>
          <w:lang w:val="en-GB" w:eastAsia="fr-FR"/>
        </w:rPr>
        <w:t xml:space="preserve">takeholder </w:t>
      </w:r>
      <w:r w:rsidR="009F1FF6">
        <w:rPr>
          <w:rFonts w:ascii="Times New Roman" w:hAnsi="Times New Roman" w:cs="Times New Roman"/>
          <w:sz w:val="20"/>
          <w:szCs w:val="20"/>
          <w:lang w:val="en-GB" w:eastAsia="fr-FR"/>
        </w:rPr>
        <w:t>r</w:t>
      </w:r>
      <w:r w:rsidR="00142D32" w:rsidRPr="003A7898">
        <w:rPr>
          <w:rFonts w:ascii="Times New Roman" w:hAnsi="Times New Roman" w:cs="Times New Roman"/>
          <w:sz w:val="20"/>
          <w:szCs w:val="20"/>
          <w:lang w:val="en-GB" w:eastAsia="fr-FR"/>
        </w:rPr>
        <w:t xml:space="preserve">eference </w:t>
      </w:r>
      <w:r w:rsidR="009F1FF6">
        <w:rPr>
          <w:rFonts w:ascii="Times New Roman" w:hAnsi="Times New Roman" w:cs="Times New Roman"/>
          <w:sz w:val="20"/>
          <w:szCs w:val="20"/>
          <w:lang w:val="en-GB" w:eastAsia="fr-FR"/>
        </w:rPr>
        <w:t>g</w:t>
      </w:r>
      <w:r w:rsidR="00142D32" w:rsidRPr="003A7898">
        <w:rPr>
          <w:rFonts w:ascii="Times New Roman" w:hAnsi="Times New Roman" w:cs="Times New Roman"/>
          <w:sz w:val="20"/>
          <w:szCs w:val="20"/>
          <w:lang w:val="en-GB" w:eastAsia="fr-FR"/>
        </w:rPr>
        <w:t xml:space="preserve">roup. </w:t>
      </w:r>
      <w:r w:rsidR="002703C6" w:rsidRPr="003A7898">
        <w:rPr>
          <w:rFonts w:ascii="Times New Roman" w:hAnsi="Times New Roman" w:cs="Times New Roman"/>
          <w:sz w:val="20"/>
          <w:szCs w:val="20"/>
          <w:lang w:val="en-GB" w:eastAsia="fr-FR"/>
        </w:rPr>
        <w:t>B</w:t>
      </w:r>
      <w:r w:rsidR="00142D32" w:rsidRPr="003A7898">
        <w:rPr>
          <w:rFonts w:ascii="Times New Roman" w:hAnsi="Times New Roman" w:cs="Times New Roman"/>
          <w:sz w:val="20"/>
          <w:szCs w:val="20"/>
          <w:lang w:val="en-GB" w:eastAsia="fr-FR"/>
        </w:rPr>
        <w:t xml:space="preserve">ased on the </w:t>
      </w:r>
      <w:r w:rsidR="006D66AC" w:rsidRPr="003A7898">
        <w:rPr>
          <w:rFonts w:ascii="Times New Roman" w:hAnsi="Times New Roman" w:cs="Times New Roman"/>
          <w:sz w:val="20"/>
          <w:szCs w:val="20"/>
          <w:lang w:val="en-GB" w:eastAsia="fr-FR"/>
        </w:rPr>
        <w:t>Common Country Analysis</w:t>
      </w:r>
      <w:r w:rsidR="00142D32" w:rsidRPr="003A7898">
        <w:rPr>
          <w:rFonts w:ascii="Times New Roman" w:hAnsi="Times New Roman" w:cs="Times New Roman"/>
          <w:sz w:val="20"/>
          <w:szCs w:val="20"/>
          <w:lang w:val="en-GB"/>
        </w:rPr>
        <w:t xml:space="preserve">, the </w:t>
      </w:r>
      <w:r w:rsidR="009F1FF6">
        <w:rPr>
          <w:rFonts w:ascii="Times New Roman" w:hAnsi="Times New Roman" w:cs="Times New Roman"/>
          <w:sz w:val="20"/>
          <w:szCs w:val="20"/>
          <w:lang w:val="en-GB"/>
        </w:rPr>
        <w:t xml:space="preserve">Ministry and the reference group </w:t>
      </w:r>
      <w:r w:rsidR="009A5904" w:rsidRPr="003A7898">
        <w:rPr>
          <w:rFonts w:ascii="Times New Roman" w:hAnsi="Times New Roman" w:cs="Times New Roman"/>
          <w:sz w:val="20"/>
          <w:szCs w:val="20"/>
          <w:lang w:val="en-GB"/>
        </w:rPr>
        <w:t xml:space="preserve">validated the </w:t>
      </w:r>
      <w:r w:rsidR="00142D32" w:rsidRPr="003A7898">
        <w:rPr>
          <w:rFonts w:ascii="Times New Roman" w:hAnsi="Times New Roman" w:cs="Times New Roman"/>
          <w:sz w:val="20"/>
          <w:szCs w:val="20"/>
          <w:lang w:val="en-GB"/>
        </w:rPr>
        <w:t xml:space="preserve">priorities </w:t>
      </w:r>
      <w:r w:rsidR="009F1FF6">
        <w:rPr>
          <w:rFonts w:ascii="Times New Roman" w:hAnsi="Times New Roman" w:cs="Times New Roman"/>
          <w:sz w:val="20"/>
          <w:szCs w:val="20"/>
          <w:lang w:val="en-GB"/>
        </w:rPr>
        <w:t xml:space="preserve">of the </w:t>
      </w:r>
      <w:r w:rsidR="009F1FF6" w:rsidRPr="003A7898">
        <w:rPr>
          <w:rFonts w:ascii="Times New Roman" w:hAnsi="Times New Roman" w:cs="Times New Roman"/>
          <w:sz w:val="20"/>
          <w:szCs w:val="20"/>
          <w:lang w:val="en-GB"/>
        </w:rPr>
        <w:t>UNSDCF</w:t>
      </w:r>
      <w:r w:rsidR="00341FBE">
        <w:rPr>
          <w:rFonts w:ascii="Times New Roman" w:hAnsi="Times New Roman" w:cs="Times New Roman"/>
          <w:sz w:val="20"/>
          <w:szCs w:val="20"/>
          <w:lang w:val="en-GB"/>
        </w:rPr>
        <w:t xml:space="preserve">, which are </w:t>
      </w:r>
      <w:r w:rsidR="00142D32" w:rsidRPr="003A7898">
        <w:rPr>
          <w:rFonts w:ascii="Times New Roman" w:hAnsi="Times New Roman" w:cs="Times New Roman"/>
          <w:sz w:val="20"/>
          <w:szCs w:val="20"/>
          <w:lang w:val="en-GB"/>
        </w:rPr>
        <w:t>align</w:t>
      </w:r>
      <w:r w:rsidR="00341FBE">
        <w:rPr>
          <w:rFonts w:ascii="Times New Roman" w:hAnsi="Times New Roman" w:cs="Times New Roman"/>
          <w:sz w:val="20"/>
          <w:szCs w:val="20"/>
          <w:lang w:val="en-GB"/>
        </w:rPr>
        <w:t xml:space="preserve">ed </w:t>
      </w:r>
      <w:r w:rsidR="00142D32" w:rsidRPr="003A7898">
        <w:rPr>
          <w:rFonts w:ascii="Times New Roman" w:hAnsi="Times New Roman" w:cs="Times New Roman"/>
          <w:sz w:val="20"/>
          <w:szCs w:val="20"/>
          <w:lang w:val="en-GB"/>
        </w:rPr>
        <w:t xml:space="preserve">with the four priority areas of </w:t>
      </w:r>
      <w:r w:rsidR="00C86076" w:rsidRPr="003A7898">
        <w:rPr>
          <w:rFonts w:ascii="Times New Roman" w:hAnsi="Times New Roman" w:cs="Times New Roman"/>
          <w:sz w:val="20"/>
          <w:szCs w:val="20"/>
          <w:lang w:val="en-GB"/>
        </w:rPr>
        <w:t xml:space="preserve">the </w:t>
      </w:r>
      <w:r w:rsidR="00142D32" w:rsidRPr="003A7898">
        <w:rPr>
          <w:rFonts w:ascii="Times New Roman" w:hAnsi="Times New Roman" w:cs="Times New Roman"/>
          <w:sz w:val="20"/>
          <w:szCs w:val="20"/>
          <w:lang w:val="en-GB"/>
        </w:rPr>
        <w:t>PSDH.</w:t>
      </w:r>
      <w:r w:rsidR="00142D32" w:rsidRPr="003A7898">
        <w:rPr>
          <w:rFonts w:ascii="Times New Roman" w:hAnsi="Times New Roman" w:cs="Times New Roman"/>
          <w:sz w:val="20"/>
          <w:szCs w:val="20"/>
          <w:lang w:val="en-GB" w:eastAsia="fr-FR"/>
        </w:rPr>
        <w:t xml:space="preserve"> In </w:t>
      </w:r>
      <w:r w:rsidR="009A5904" w:rsidRPr="003A7898">
        <w:rPr>
          <w:rFonts w:ascii="Times New Roman" w:hAnsi="Times New Roman" w:cs="Times New Roman"/>
          <w:sz w:val="20"/>
          <w:szCs w:val="20"/>
          <w:lang w:val="en-GB" w:eastAsia="fr-FR"/>
        </w:rPr>
        <w:t>th</w:t>
      </w:r>
      <w:r w:rsidR="00341FBE">
        <w:rPr>
          <w:rFonts w:ascii="Times New Roman" w:hAnsi="Times New Roman" w:cs="Times New Roman"/>
          <w:sz w:val="20"/>
          <w:szCs w:val="20"/>
          <w:lang w:val="en-GB" w:eastAsia="fr-FR"/>
        </w:rPr>
        <w:t>e proposed</w:t>
      </w:r>
      <w:r w:rsidR="00142D32" w:rsidRPr="003A7898">
        <w:rPr>
          <w:rFonts w:ascii="Times New Roman" w:hAnsi="Times New Roman" w:cs="Times New Roman"/>
          <w:sz w:val="20"/>
          <w:szCs w:val="20"/>
          <w:lang w:val="en-GB" w:eastAsia="fr-FR"/>
        </w:rPr>
        <w:t xml:space="preserve"> </w:t>
      </w:r>
      <w:r w:rsidR="00341FBE">
        <w:rPr>
          <w:rFonts w:ascii="Times New Roman" w:hAnsi="Times New Roman" w:cs="Times New Roman"/>
          <w:sz w:val="20"/>
          <w:szCs w:val="20"/>
          <w:lang w:val="en-GB" w:eastAsia="fr-FR"/>
        </w:rPr>
        <w:t>p</w:t>
      </w:r>
      <w:r w:rsidR="00142D32" w:rsidRPr="003A7898">
        <w:rPr>
          <w:rFonts w:ascii="Times New Roman" w:hAnsi="Times New Roman" w:cs="Times New Roman"/>
          <w:sz w:val="20"/>
          <w:szCs w:val="20"/>
          <w:lang w:val="en-GB" w:eastAsia="fr-FR"/>
        </w:rPr>
        <w:t>rogramme, UNDP will exercise its comparative advantage</w:t>
      </w:r>
      <w:r w:rsidR="003B4AEB" w:rsidRPr="003A7898">
        <w:rPr>
          <w:rFonts w:ascii="Times New Roman" w:hAnsi="Times New Roman" w:cs="Times New Roman"/>
          <w:sz w:val="20"/>
          <w:szCs w:val="20"/>
          <w:lang w:val="en-GB" w:eastAsia="fr-FR"/>
        </w:rPr>
        <w:t>,</w:t>
      </w:r>
      <w:r w:rsidR="00142D32" w:rsidRPr="003A7898">
        <w:rPr>
          <w:rFonts w:ascii="Times New Roman" w:hAnsi="Times New Roman" w:cs="Times New Roman"/>
          <w:sz w:val="20"/>
          <w:szCs w:val="20"/>
          <w:lang w:val="en-GB" w:eastAsia="fr-FR"/>
        </w:rPr>
        <w:t xml:space="preserve"> which lies in its multidimensional and human-centred approach to development, its capacity to intervene in all aspects of the humanitarian, development and peace nexus and its role in </w:t>
      </w:r>
      <w:r w:rsidR="00142D32" w:rsidRPr="003A7898">
        <w:rPr>
          <w:rFonts w:ascii="Times New Roman" w:hAnsi="Times New Roman" w:cs="Times New Roman"/>
          <w:sz w:val="20"/>
          <w:szCs w:val="20"/>
          <w:lang w:val="en-GB"/>
        </w:rPr>
        <w:t xml:space="preserve">multi-actor </w:t>
      </w:r>
      <w:r w:rsidR="00142D32" w:rsidRPr="003A7898">
        <w:rPr>
          <w:rFonts w:ascii="Times New Roman" w:hAnsi="Times New Roman" w:cs="Times New Roman"/>
          <w:sz w:val="20"/>
          <w:szCs w:val="20"/>
          <w:lang w:val="en-GB" w:eastAsia="fr-FR"/>
        </w:rPr>
        <w:t>coordination</w:t>
      </w:r>
      <w:r w:rsidR="00967D17" w:rsidRPr="003A7898">
        <w:rPr>
          <w:rFonts w:ascii="Times New Roman" w:hAnsi="Times New Roman" w:cs="Times New Roman"/>
          <w:sz w:val="20"/>
          <w:szCs w:val="20"/>
          <w:lang w:val="en-GB" w:eastAsia="fr-FR"/>
        </w:rPr>
        <w:t>. T</w:t>
      </w:r>
      <w:r w:rsidR="003B4AEB" w:rsidRPr="003A7898">
        <w:rPr>
          <w:rFonts w:ascii="Times New Roman" w:hAnsi="Times New Roman" w:cs="Times New Roman"/>
          <w:sz w:val="20"/>
          <w:szCs w:val="20"/>
          <w:lang w:val="en-GB" w:eastAsia="fr-FR"/>
        </w:rPr>
        <w:t>his makes UNDP</w:t>
      </w:r>
      <w:r w:rsidR="00142D32" w:rsidRPr="003A7898">
        <w:rPr>
          <w:rFonts w:ascii="Times New Roman" w:hAnsi="Times New Roman" w:cs="Times New Roman"/>
          <w:sz w:val="20"/>
          <w:szCs w:val="20"/>
          <w:lang w:val="en-GB" w:eastAsia="fr-FR"/>
        </w:rPr>
        <w:t xml:space="preserve"> a key interlocutor for technical and financial partners a</w:t>
      </w:r>
      <w:r w:rsidR="00FC2878" w:rsidRPr="003A7898">
        <w:rPr>
          <w:rFonts w:ascii="Times New Roman" w:hAnsi="Times New Roman" w:cs="Times New Roman"/>
          <w:sz w:val="20"/>
          <w:szCs w:val="20"/>
          <w:lang w:val="en-GB" w:eastAsia="fr-FR"/>
        </w:rPr>
        <w:t>nd</w:t>
      </w:r>
      <w:r w:rsidR="00142D32" w:rsidRPr="003A7898">
        <w:rPr>
          <w:rFonts w:ascii="Times New Roman" w:hAnsi="Times New Roman" w:cs="Times New Roman"/>
          <w:sz w:val="20"/>
          <w:szCs w:val="20"/>
          <w:lang w:val="en-GB" w:eastAsia="fr-FR"/>
        </w:rPr>
        <w:t xml:space="preserve"> other actors in the U</w:t>
      </w:r>
      <w:r w:rsidR="0076072F" w:rsidRPr="003A7898">
        <w:rPr>
          <w:rFonts w:ascii="Times New Roman" w:hAnsi="Times New Roman" w:cs="Times New Roman"/>
          <w:sz w:val="20"/>
          <w:szCs w:val="20"/>
          <w:lang w:val="en-GB" w:eastAsia="fr-FR"/>
        </w:rPr>
        <w:t xml:space="preserve">nited </w:t>
      </w:r>
      <w:r w:rsidR="00142D32" w:rsidRPr="003A7898">
        <w:rPr>
          <w:rFonts w:ascii="Times New Roman" w:hAnsi="Times New Roman" w:cs="Times New Roman"/>
          <w:sz w:val="20"/>
          <w:szCs w:val="20"/>
          <w:lang w:val="en-GB" w:eastAsia="fr-FR"/>
        </w:rPr>
        <w:t>N</w:t>
      </w:r>
      <w:r w:rsidR="0076072F" w:rsidRPr="003A7898">
        <w:rPr>
          <w:rFonts w:ascii="Times New Roman" w:hAnsi="Times New Roman" w:cs="Times New Roman"/>
          <w:sz w:val="20"/>
          <w:szCs w:val="20"/>
          <w:lang w:val="en-GB" w:eastAsia="fr-FR"/>
        </w:rPr>
        <w:t>ations</w:t>
      </w:r>
      <w:r w:rsidR="00142D32" w:rsidRPr="003A7898">
        <w:rPr>
          <w:rFonts w:ascii="Times New Roman" w:hAnsi="Times New Roman" w:cs="Times New Roman"/>
          <w:sz w:val="20"/>
          <w:szCs w:val="20"/>
          <w:lang w:val="en-GB" w:eastAsia="fr-FR"/>
        </w:rPr>
        <w:t xml:space="preserve"> system, including the political mission. </w:t>
      </w:r>
    </w:p>
    <w:p w14:paraId="2C0A51D6" w14:textId="414ABC9D" w:rsidR="00752486" w:rsidRPr="003A7898" w:rsidRDefault="7AD2E803"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GB" w:eastAsia="fr-FR"/>
        </w:rPr>
      </w:pPr>
      <w:r w:rsidRPr="003A7898">
        <w:rPr>
          <w:rFonts w:ascii="Times New Roman" w:hAnsi="Times New Roman" w:cs="Times New Roman"/>
          <w:sz w:val="20"/>
          <w:szCs w:val="20"/>
          <w:lang w:val="en-GB" w:eastAsia="fr-FR"/>
        </w:rPr>
        <w:t xml:space="preserve">The </w:t>
      </w:r>
      <w:r w:rsidR="000E500B" w:rsidRPr="003A7898">
        <w:rPr>
          <w:rFonts w:ascii="Times New Roman" w:hAnsi="Times New Roman" w:cs="Times New Roman"/>
          <w:sz w:val="20"/>
          <w:szCs w:val="20"/>
          <w:lang w:val="en-GB" w:eastAsia="fr-FR"/>
        </w:rPr>
        <w:t xml:space="preserve">2020 </w:t>
      </w:r>
      <w:r w:rsidR="00341FBE">
        <w:rPr>
          <w:rFonts w:ascii="Times New Roman" w:hAnsi="Times New Roman" w:cs="Times New Roman"/>
          <w:sz w:val="20"/>
          <w:szCs w:val="20"/>
          <w:lang w:val="en-GB" w:eastAsia="fr-FR"/>
        </w:rPr>
        <w:t>evaluation of the previous</w:t>
      </w:r>
      <w:r w:rsidR="00341FBE" w:rsidRPr="003A7898">
        <w:rPr>
          <w:rFonts w:ascii="Times New Roman" w:hAnsi="Times New Roman" w:cs="Times New Roman"/>
          <w:sz w:val="20"/>
          <w:szCs w:val="20"/>
          <w:lang w:val="en-GB" w:eastAsia="fr-FR"/>
        </w:rPr>
        <w:t xml:space="preserve"> </w:t>
      </w:r>
      <w:r w:rsidR="00341FBE">
        <w:rPr>
          <w:rFonts w:ascii="Times New Roman" w:hAnsi="Times New Roman" w:cs="Times New Roman"/>
          <w:sz w:val="20"/>
          <w:szCs w:val="20"/>
          <w:lang w:val="en-GB" w:eastAsia="fr-FR"/>
        </w:rPr>
        <w:t>c</w:t>
      </w:r>
      <w:r w:rsidR="005F57EA" w:rsidRPr="003A7898">
        <w:rPr>
          <w:rFonts w:ascii="Times New Roman" w:hAnsi="Times New Roman" w:cs="Times New Roman"/>
          <w:sz w:val="20"/>
          <w:szCs w:val="20"/>
          <w:lang w:val="en-GB" w:eastAsia="fr-FR"/>
        </w:rPr>
        <w:t xml:space="preserve">ountry </w:t>
      </w:r>
      <w:r w:rsidR="00341FBE">
        <w:rPr>
          <w:rFonts w:ascii="Times New Roman" w:hAnsi="Times New Roman" w:cs="Times New Roman"/>
          <w:sz w:val="20"/>
          <w:szCs w:val="20"/>
          <w:lang w:val="en-GB" w:eastAsia="fr-FR"/>
        </w:rPr>
        <w:t>p</w:t>
      </w:r>
      <w:r w:rsidR="005F57EA" w:rsidRPr="003A7898">
        <w:rPr>
          <w:rFonts w:ascii="Times New Roman" w:hAnsi="Times New Roman" w:cs="Times New Roman"/>
          <w:sz w:val="20"/>
          <w:szCs w:val="20"/>
          <w:lang w:val="en-GB" w:eastAsia="fr-FR"/>
        </w:rPr>
        <w:t>rogramme</w:t>
      </w:r>
      <w:r w:rsidRPr="003A7898">
        <w:rPr>
          <w:rFonts w:ascii="Times New Roman" w:hAnsi="Times New Roman" w:cs="Times New Roman"/>
          <w:sz w:val="20"/>
          <w:szCs w:val="20"/>
          <w:lang w:val="en-GB" w:eastAsia="fr-FR"/>
        </w:rPr>
        <w:t xml:space="preserve"> </w:t>
      </w:r>
      <w:r w:rsidR="00341FBE">
        <w:rPr>
          <w:rFonts w:ascii="Times New Roman" w:hAnsi="Times New Roman" w:cs="Times New Roman"/>
          <w:sz w:val="20"/>
          <w:szCs w:val="20"/>
          <w:lang w:val="en-GB" w:eastAsia="fr-FR"/>
        </w:rPr>
        <w:t xml:space="preserve">found </w:t>
      </w:r>
      <w:r w:rsidRPr="003A7898">
        <w:rPr>
          <w:rFonts w:ascii="Times New Roman" w:hAnsi="Times New Roman" w:cs="Times New Roman"/>
          <w:sz w:val="20"/>
          <w:szCs w:val="20"/>
          <w:lang w:val="en-GB" w:eastAsia="fr-FR"/>
        </w:rPr>
        <w:t xml:space="preserve">that </w:t>
      </w:r>
      <w:r w:rsidR="00341FBE">
        <w:rPr>
          <w:rFonts w:ascii="Times New Roman" w:hAnsi="Times New Roman" w:cs="Times New Roman"/>
          <w:sz w:val="20"/>
          <w:szCs w:val="20"/>
          <w:lang w:val="en-GB" w:eastAsia="fr-FR"/>
        </w:rPr>
        <w:t xml:space="preserve">the </w:t>
      </w:r>
      <w:r w:rsidRPr="003A7898">
        <w:rPr>
          <w:rFonts w:ascii="Times New Roman" w:hAnsi="Times New Roman" w:cs="Times New Roman"/>
          <w:sz w:val="20"/>
          <w:szCs w:val="20"/>
          <w:lang w:val="en-GB"/>
        </w:rPr>
        <w:t>strengths</w:t>
      </w:r>
      <w:r w:rsidRPr="003A7898">
        <w:rPr>
          <w:rFonts w:ascii="Times New Roman" w:hAnsi="Times New Roman" w:cs="Times New Roman"/>
          <w:sz w:val="20"/>
          <w:szCs w:val="20"/>
          <w:lang w:val="en-GB" w:eastAsia="fr-FR"/>
        </w:rPr>
        <w:t xml:space="preserve"> </w:t>
      </w:r>
      <w:r w:rsidR="00341FBE">
        <w:rPr>
          <w:rFonts w:ascii="Times New Roman" w:hAnsi="Times New Roman" w:cs="Times New Roman"/>
          <w:sz w:val="20"/>
          <w:szCs w:val="20"/>
          <w:lang w:val="en-GB" w:eastAsia="fr-FR"/>
        </w:rPr>
        <w:t xml:space="preserve">of UNDP </w:t>
      </w:r>
      <w:r w:rsidR="009D6C5D" w:rsidRPr="003A7898">
        <w:rPr>
          <w:rFonts w:ascii="Times New Roman" w:hAnsi="Times New Roman" w:cs="Times New Roman"/>
          <w:sz w:val="20"/>
          <w:szCs w:val="20"/>
          <w:lang w:val="en-GB" w:eastAsia="fr-FR"/>
        </w:rPr>
        <w:t>are</w:t>
      </w:r>
      <w:r w:rsidRPr="003A7898">
        <w:rPr>
          <w:rFonts w:ascii="Times New Roman" w:hAnsi="Times New Roman" w:cs="Times New Roman"/>
          <w:sz w:val="20"/>
          <w:szCs w:val="20"/>
          <w:lang w:val="en-GB" w:eastAsia="fr-FR"/>
        </w:rPr>
        <w:t xml:space="preserve"> its strategic positioning </w:t>
      </w:r>
      <w:r w:rsidR="008F609C" w:rsidRPr="003A7898">
        <w:rPr>
          <w:rFonts w:ascii="Times New Roman" w:hAnsi="Times New Roman" w:cs="Times New Roman"/>
          <w:sz w:val="20"/>
          <w:szCs w:val="20"/>
          <w:lang w:val="en-GB" w:eastAsia="fr-FR"/>
        </w:rPr>
        <w:t xml:space="preserve">in </w:t>
      </w:r>
      <w:r w:rsidRPr="003A7898">
        <w:rPr>
          <w:rFonts w:ascii="Times New Roman" w:hAnsi="Times New Roman" w:cs="Times New Roman"/>
          <w:sz w:val="20"/>
          <w:szCs w:val="20"/>
          <w:lang w:val="en-GB" w:eastAsia="fr-FR"/>
        </w:rPr>
        <w:t xml:space="preserve">governance, poverty reduction and support for </w:t>
      </w:r>
      <w:r w:rsidR="00182A9A" w:rsidRPr="003A7898">
        <w:rPr>
          <w:rFonts w:ascii="Times New Roman" w:hAnsi="Times New Roman" w:cs="Times New Roman"/>
          <w:sz w:val="20"/>
          <w:szCs w:val="20"/>
          <w:lang w:val="en-GB" w:eastAsia="fr-FR"/>
        </w:rPr>
        <w:t xml:space="preserve">disaster </w:t>
      </w:r>
      <w:r w:rsidRPr="003A7898">
        <w:rPr>
          <w:rFonts w:ascii="Times New Roman" w:hAnsi="Times New Roman" w:cs="Times New Roman"/>
          <w:sz w:val="20"/>
          <w:szCs w:val="20"/>
          <w:lang w:val="en-GB" w:eastAsia="fr-FR"/>
        </w:rPr>
        <w:t xml:space="preserve">risk </w:t>
      </w:r>
      <w:r w:rsidR="003E49AB" w:rsidRPr="003A7898">
        <w:rPr>
          <w:rFonts w:ascii="Times New Roman" w:hAnsi="Times New Roman" w:cs="Times New Roman"/>
          <w:sz w:val="20"/>
          <w:szCs w:val="20"/>
          <w:lang w:val="en-GB" w:eastAsia="fr-FR"/>
        </w:rPr>
        <w:t>management</w:t>
      </w:r>
      <w:r w:rsidR="00341FBE">
        <w:rPr>
          <w:rFonts w:ascii="Times New Roman" w:hAnsi="Times New Roman" w:cs="Times New Roman"/>
          <w:sz w:val="20"/>
          <w:szCs w:val="20"/>
          <w:lang w:val="en-GB" w:eastAsia="fr-FR"/>
        </w:rPr>
        <w:t>;</w:t>
      </w:r>
      <w:r w:rsidR="003E49AB" w:rsidRPr="003A7898">
        <w:rPr>
          <w:rFonts w:ascii="Times New Roman" w:hAnsi="Times New Roman" w:cs="Times New Roman"/>
          <w:sz w:val="20"/>
          <w:szCs w:val="20"/>
          <w:lang w:val="en-GB" w:eastAsia="fr-FR"/>
        </w:rPr>
        <w:t xml:space="preserve"> </w:t>
      </w:r>
      <w:r w:rsidRPr="003A7898">
        <w:rPr>
          <w:rFonts w:ascii="Times New Roman" w:hAnsi="Times New Roman" w:cs="Times New Roman"/>
          <w:sz w:val="20"/>
          <w:szCs w:val="20"/>
          <w:lang w:val="en-GB" w:eastAsia="fr-FR"/>
        </w:rPr>
        <w:t xml:space="preserve">its ability to </w:t>
      </w:r>
      <w:r w:rsidRPr="003A7898">
        <w:rPr>
          <w:rFonts w:ascii="Times New Roman" w:hAnsi="Times New Roman" w:cs="Times New Roman"/>
          <w:sz w:val="20"/>
          <w:szCs w:val="20"/>
          <w:lang w:val="en-GB"/>
        </w:rPr>
        <w:t>adapt</w:t>
      </w:r>
      <w:r w:rsidRPr="003A7898">
        <w:rPr>
          <w:rFonts w:ascii="Times New Roman" w:hAnsi="Times New Roman" w:cs="Times New Roman"/>
          <w:sz w:val="20"/>
          <w:szCs w:val="20"/>
          <w:lang w:val="en-GB" w:eastAsia="fr-FR"/>
        </w:rPr>
        <w:t xml:space="preserve"> and respond quickly to recurrent crises</w:t>
      </w:r>
      <w:r w:rsidR="00341FBE">
        <w:rPr>
          <w:rFonts w:ascii="Times New Roman" w:hAnsi="Times New Roman" w:cs="Times New Roman"/>
          <w:sz w:val="20"/>
          <w:szCs w:val="20"/>
          <w:lang w:val="en-GB" w:eastAsia="fr-FR"/>
        </w:rPr>
        <w:t>;</w:t>
      </w:r>
      <w:r w:rsidRPr="003A7898">
        <w:rPr>
          <w:rFonts w:ascii="Times New Roman" w:hAnsi="Times New Roman" w:cs="Times New Roman"/>
          <w:sz w:val="20"/>
          <w:szCs w:val="20"/>
          <w:lang w:val="en-GB" w:eastAsia="fr-FR"/>
        </w:rPr>
        <w:t xml:space="preserve"> and </w:t>
      </w:r>
      <w:r w:rsidR="00341FBE">
        <w:rPr>
          <w:rFonts w:ascii="Times New Roman" w:hAnsi="Times New Roman" w:cs="Times New Roman"/>
          <w:sz w:val="20"/>
          <w:szCs w:val="20"/>
          <w:lang w:val="en-GB" w:eastAsia="fr-FR"/>
        </w:rPr>
        <w:t xml:space="preserve">its </w:t>
      </w:r>
      <w:r w:rsidR="0008304A" w:rsidRPr="003A7898">
        <w:rPr>
          <w:rFonts w:ascii="Times New Roman" w:hAnsi="Times New Roman" w:cs="Times New Roman"/>
          <w:sz w:val="20"/>
          <w:szCs w:val="20"/>
          <w:lang w:val="en-GB" w:eastAsia="fr-FR"/>
        </w:rPr>
        <w:t xml:space="preserve">mainstreaming </w:t>
      </w:r>
      <w:r w:rsidR="00341FBE">
        <w:rPr>
          <w:rFonts w:ascii="Times New Roman" w:hAnsi="Times New Roman" w:cs="Times New Roman"/>
          <w:sz w:val="20"/>
          <w:szCs w:val="20"/>
          <w:lang w:val="en-GB" w:eastAsia="fr-FR"/>
        </w:rPr>
        <w:t xml:space="preserve">of </w:t>
      </w:r>
      <w:r w:rsidRPr="003A7898">
        <w:rPr>
          <w:rFonts w:ascii="Times New Roman" w:hAnsi="Times New Roman" w:cs="Times New Roman"/>
          <w:sz w:val="20"/>
          <w:szCs w:val="20"/>
          <w:lang w:val="en-GB" w:eastAsia="fr-FR"/>
        </w:rPr>
        <w:t xml:space="preserve">gender </w:t>
      </w:r>
      <w:r w:rsidR="0008304A" w:rsidRPr="003A7898">
        <w:rPr>
          <w:rFonts w:ascii="Times New Roman" w:hAnsi="Times New Roman" w:cs="Times New Roman"/>
          <w:sz w:val="20"/>
          <w:szCs w:val="20"/>
          <w:lang w:val="en-GB" w:eastAsia="fr-FR"/>
        </w:rPr>
        <w:t xml:space="preserve">across </w:t>
      </w:r>
      <w:r w:rsidRPr="003A7898">
        <w:rPr>
          <w:rFonts w:ascii="Times New Roman" w:hAnsi="Times New Roman" w:cs="Times New Roman"/>
          <w:sz w:val="20"/>
          <w:szCs w:val="20"/>
          <w:lang w:val="en-GB" w:eastAsia="fr-FR"/>
        </w:rPr>
        <w:t>its programmatic areas.</w:t>
      </w:r>
      <w:r w:rsidR="00440109" w:rsidRPr="003A7898">
        <w:rPr>
          <w:rFonts w:ascii="Times New Roman" w:hAnsi="Times New Roman" w:cs="Times New Roman"/>
          <w:sz w:val="20"/>
          <w:szCs w:val="20"/>
          <w:lang w:val="en-GB" w:eastAsia="fr-FR"/>
        </w:rPr>
        <w:t xml:space="preserve"> </w:t>
      </w:r>
    </w:p>
    <w:p w14:paraId="493C4105" w14:textId="271A832A" w:rsidR="000661E4" w:rsidRPr="003A7898" w:rsidRDefault="00440109"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GB" w:eastAsia="fr-FR"/>
        </w:rPr>
      </w:pPr>
      <w:r w:rsidRPr="003A7898">
        <w:rPr>
          <w:rFonts w:ascii="Times New Roman" w:hAnsi="Times New Roman" w:cs="Times New Roman"/>
          <w:sz w:val="20"/>
          <w:szCs w:val="20"/>
          <w:lang w:val="en-GB" w:eastAsia="fr-FR"/>
        </w:rPr>
        <w:t>Through South-South partnership</w:t>
      </w:r>
      <w:r w:rsidR="0008304A" w:rsidRPr="003A7898">
        <w:rPr>
          <w:rFonts w:ascii="Times New Roman" w:hAnsi="Times New Roman" w:cs="Times New Roman"/>
          <w:sz w:val="20"/>
          <w:szCs w:val="20"/>
          <w:lang w:val="en-GB" w:eastAsia="fr-FR"/>
        </w:rPr>
        <w:t>s</w:t>
      </w:r>
      <w:r w:rsidRPr="003A7898">
        <w:rPr>
          <w:rFonts w:ascii="Times New Roman" w:hAnsi="Times New Roman" w:cs="Times New Roman"/>
          <w:sz w:val="20"/>
          <w:szCs w:val="20"/>
          <w:lang w:val="en-GB" w:eastAsia="fr-FR"/>
        </w:rPr>
        <w:t xml:space="preserve">, UNDP has </w:t>
      </w:r>
      <w:r w:rsidR="00CA5137" w:rsidRPr="003A7898">
        <w:rPr>
          <w:rFonts w:ascii="Times New Roman" w:hAnsi="Times New Roman" w:cs="Times New Roman"/>
          <w:sz w:val="20"/>
          <w:szCs w:val="20"/>
          <w:lang w:val="en-GB" w:eastAsia="fr-FR"/>
        </w:rPr>
        <w:t xml:space="preserve">contributed </w:t>
      </w:r>
      <w:r w:rsidRPr="003A7898">
        <w:rPr>
          <w:rFonts w:ascii="Times New Roman" w:hAnsi="Times New Roman" w:cs="Times New Roman"/>
          <w:sz w:val="20"/>
          <w:szCs w:val="20"/>
          <w:lang w:val="en-GB" w:eastAsia="fr-FR"/>
        </w:rPr>
        <w:t xml:space="preserve">to </w:t>
      </w:r>
      <w:r w:rsidR="00C979E4" w:rsidRPr="003A7898">
        <w:rPr>
          <w:rFonts w:ascii="Times New Roman" w:hAnsi="Times New Roman" w:cs="Times New Roman"/>
          <w:sz w:val="20"/>
          <w:szCs w:val="20"/>
          <w:lang w:val="en-GB" w:eastAsia="fr-FR"/>
        </w:rPr>
        <w:t xml:space="preserve">greater </w:t>
      </w:r>
      <w:r w:rsidRPr="003A7898">
        <w:rPr>
          <w:rFonts w:ascii="Times New Roman" w:hAnsi="Times New Roman" w:cs="Times New Roman"/>
          <w:sz w:val="20"/>
          <w:szCs w:val="20"/>
          <w:lang w:val="en-GB" w:eastAsia="fr-FR"/>
        </w:rPr>
        <w:t xml:space="preserve">national capacities </w:t>
      </w:r>
      <w:r w:rsidR="00DE5C2A" w:rsidRPr="003A7898">
        <w:rPr>
          <w:rFonts w:ascii="Times New Roman" w:hAnsi="Times New Roman" w:cs="Times New Roman"/>
          <w:sz w:val="20"/>
          <w:szCs w:val="20"/>
          <w:lang w:val="en-GB" w:eastAsia="fr-FR"/>
        </w:rPr>
        <w:t>to</w:t>
      </w:r>
      <w:r w:rsidRPr="003A7898">
        <w:rPr>
          <w:rFonts w:ascii="Times New Roman" w:hAnsi="Times New Roman" w:cs="Times New Roman"/>
          <w:sz w:val="20"/>
          <w:szCs w:val="20"/>
          <w:lang w:val="en-GB" w:eastAsia="fr-FR"/>
        </w:rPr>
        <w:t xml:space="preserve"> </w:t>
      </w:r>
      <w:r w:rsidR="00C979E4" w:rsidRPr="003A7898">
        <w:rPr>
          <w:rFonts w:ascii="Times New Roman" w:hAnsi="Times New Roman" w:cs="Times New Roman"/>
          <w:sz w:val="20"/>
          <w:szCs w:val="20"/>
          <w:lang w:val="en-GB" w:eastAsia="fr-FR"/>
        </w:rPr>
        <w:t xml:space="preserve">access </w:t>
      </w:r>
      <w:r w:rsidRPr="003A7898">
        <w:rPr>
          <w:rFonts w:ascii="Times New Roman" w:hAnsi="Times New Roman" w:cs="Times New Roman"/>
          <w:sz w:val="20"/>
          <w:szCs w:val="20"/>
          <w:lang w:val="en-GB" w:eastAsia="fr-FR"/>
        </w:rPr>
        <w:t>renewable energy</w:t>
      </w:r>
      <w:r w:rsidR="008F609C" w:rsidRPr="003A7898">
        <w:rPr>
          <w:rFonts w:ascii="Times New Roman" w:hAnsi="Times New Roman" w:cs="Times New Roman"/>
          <w:sz w:val="20"/>
          <w:szCs w:val="20"/>
          <w:lang w:val="en-GB" w:eastAsia="fr-FR"/>
        </w:rPr>
        <w:t xml:space="preserve">, </w:t>
      </w:r>
      <w:r w:rsidR="000A4ACB" w:rsidRPr="003A7898">
        <w:rPr>
          <w:rFonts w:ascii="Times New Roman" w:hAnsi="Times New Roman" w:cs="Times New Roman"/>
          <w:sz w:val="20"/>
          <w:szCs w:val="20"/>
          <w:lang w:val="en-GB" w:eastAsia="fr-FR"/>
        </w:rPr>
        <w:t xml:space="preserve">strengthening electoral processes and </w:t>
      </w:r>
      <w:r w:rsidR="008F609C" w:rsidRPr="003A7898">
        <w:rPr>
          <w:rFonts w:ascii="Times New Roman" w:hAnsi="Times New Roman" w:cs="Times New Roman"/>
          <w:sz w:val="20"/>
          <w:szCs w:val="20"/>
          <w:lang w:val="en-GB" w:eastAsia="fr-FR"/>
        </w:rPr>
        <w:t>vocational training</w:t>
      </w:r>
      <w:r w:rsidRPr="003A7898">
        <w:rPr>
          <w:rFonts w:ascii="Times New Roman" w:hAnsi="Times New Roman" w:cs="Times New Roman"/>
          <w:sz w:val="20"/>
          <w:szCs w:val="20"/>
          <w:lang w:val="en-GB" w:eastAsia="fr-FR"/>
        </w:rPr>
        <w:t xml:space="preserve">. </w:t>
      </w:r>
      <w:r w:rsidR="006D4563" w:rsidRPr="003A7898">
        <w:rPr>
          <w:rFonts w:ascii="Times New Roman" w:hAnsi="Times New Roman" w:cs="Times New Roman"/>
          <w:sz w:val="20"/>
          <w:szCs w:val="20"/>
          <w:lang w:val="en-GB" w:eastAsia="fr-FR"/>
        </w:rPr>
        <w:t>Programmatic and complementary c</w:t>
      </w:r>
      <w:r w:rsidRPr="003A7898">
        <w:rPr>
          <w:rFonts w:ascii="Times New Roman" w:hAnsi="Times New Roman" w:cs="Times New Roman"/>
          <w:sz w:val="20"/>
          <w:szCs w:val="20"/>
          <w:lang w:val="en-GB" w:eastAsia="fr-FR"/>
        </w:rPr>
        <w:t xml:space="preserve">ollaboration </w:t>
      </w:r>
      <w:r w:rsidRPr="003A7898">
        <w:rPr>
          <w:rFonts w:ascii="Times New Roman" w:hAnsi="Times New Roman" w:cs="Times New Roman"/>
          <w:sz w:val="20"/>
          <w:szCs w:val="20"/>
          <w:lang w:val="en-GB"/>
        </w:rPr>
        <w:t>with</w:t>
      </w:r>
      <w:r w:rsidRPr="003A7898">
        <w:rPr>
          <w:rFonts w:ascii="Times New Roman" w:hAnsi="Times New Roman" w:cs="Times New Roman"/>
          <w:sz w:val="20"/>
          <w:szCs w:val="20"/>
          <w:lang w:val="en-GB" w:eastAsia="fr-FR"/>
        </w:rPr>
        <w:t xml:space="preserve"> other actors in the United Nations system</w:t>
      </w:r>
      <w:r w:rsidR="00C50CC7" w:rsidRPr="003A7898">
        <w:rPr>
          <w:rFonts w:ascii="Times New Roman" w:hAnsi="Times New Roman" w:cs="Times New Roman"/>
          <w:sz w:val="20"/>
          <w:szCs w:val="20"/>
          <w:lang w:val="en-GB" w:eastAsia="fr-FR"/>
        </w:rPr>
        <w:t xml:space="preserve"> in key areas has been crucial to </w:t>
      </w:r>
      <w:r w:rsidR="00967D17" w:rsidRPr="003A7898">
        <w:rPr>
          <w:rFonts w:ascii="Times New Roman" w:hAnsi="Times New Roman" w:cs="Times New Roman"/>
          <w:sz w:val="20"/>
          <w:szCs w:val="20"/>
          <w:lang w:val="en-GB" w:eastAsia="fr-FR"/>
        </w:rPr>
        <w:t xml:space="preserve">ensuring </w:t>
      </w:r>
      <w:r w:rsidR="00C979E4" w:rsidRPr="003A7898">
        <w:rPr>
          <w:rFonts w:ascii="Times New Roman" w:hAnsi="Times New Roman" w:cs="Times New Roman"/>
          <w:sz w:val="20"/>
          <w:szCs w:val="20"/>
          <w:lang w:val="en-GB" w:eastAsia="fr-FR"/>
        </w:rPr>
        <w:t xml:space="preserve">coordinated action </w:t>
      </w:r>
      <w:r w:rsidR="00C50CC7" w:rsidRPr="003A7898">
        <w:rPr>
          <w:rFonts w:ascii="Times New Roman" w:hAnsi="Times New Roman" w:cs="Times New Roman"/>
          <w:sz w:val="20"/>
          <w:szCs w:val="20"/>
          <w:lang w:val="en-GB" w:eastAsia="fr-FR"/>
        </w:rPr>
        <w:t xml:space="preserve">and greater impact </w:t>
      </w:r>
      <w:r w:rsidR="003716DE" w:rsidRPr="003A7898">
        <w:rPr>
          <w:rFonts w:ascii="Times New Roman" w:hAnsi="Times New Roman" w:cs="Times New Roman"/>
          <w:sz w:val="20"/>
          <w:szCs w:val="20"/>
          <w:lang w:val="en-GB" w:eastAsia="fr-FR"/>
        </w:rPr>
        <w:t xml:space="preserve">aligned </w:t>
      </w:r>
      <w:r w:rsidR="00681756" w:rsidRPr="003A7898">
        <w:rPr>
          <w:rFonts w:ascii="Times New Roman" w:hAnsi="Times New Roman" w:cs="Times New Roman"/>
          <w:sz w:val="20"/>
          <w:szCs w:val="20"/>
          <w:lang w:val="en-GB" w:eastAsia="fr-FR"/>
        </w:rPr>
        <w:t xml:space="preserve">with </w:t>
      </w:r>
      <w:r w:rsidR="003716DE" w:rsidRPr="003A7898">
        <w:rPr>
          <w:rFonts w:ascii="Times New Roman" w:hAnsi="Times New Roman" w:cs="Times New Roman"/>
          <w:sz w:val="20"/>
          <w:szCs w:val="20"/>
          <w:lang w:val="en-GB" w:eastAsia="fr-FR"/>
        </w:rPr>
        <w:t xml:space="preserve">national </w:t>
      </w:r>
      <w:r w:rsidR="00C50CC7" w:rsidRPr="003A7898">
        <w:rPr>
          <w:rFonts w:ascii="Times New Roman" w:hAnsi="Times New Roman" w:cs="Times New Roman"/>
          <w:sz w:val="20"/>
          <w:szCs w:val="20"/>
          <w:lang w:val="en-GB" w:eastAsia="fr-FR"/>
        </w:rPr>
        <w:t xml:space="preserve">priorities. For example, joint work with </w:t>
      </w:r>
      <w:r w:rsidRPr="003A7898">
        <w:rPr>
          <w:rFonts w:ascii="Times New Roman" w:hAnsi="Times New Roman" w:cs="Times New Roman"/>
          <w:sz w:val="20"/>
          <w:szCs w:val="20"/>
          <w:lang w:val="en-GB" w:eastAsia="fr-FR"/>
        </w:rPr>
        <w:t>the United Nations Integrated Office in Haiti (</w:t>
      </w:r>
      <w:r w:rsidR="00341FBE" w:rsidRPr="00341FBE">
        <w:rPr>
          <w:rFonts w:ascii="Times New Roman" w:hAnsi="Times New Roman" w:cs="Times New Roman"/>
          <w:sz w:val="20"/>
          <w:szCs w:val="20"/>
          <w:lang w:val="en-GB" w:eastAsia="fr-FR"/>
        </w:rPr>
        <w:t>Bureau intégré des Nations Unies en Ha</w:t>
      </w:r>
      <w:r w:rsidR="00836E04">
        <w:rPr>
          <w:rFonts w:ascii="Times New Roman" w:hAnsi="Times New Roman" w:cs="Times New Roman"/>
          <w:sz w:val="20"/>
          <w:szCs w:val="20"/>
          <w:lang w:val="en-GB" w:eastAsia="fr-FR"/>
        </w:rPr>
        <w:t>ïti</w:t>
      </w:r>
      <w:r w:rsidR="00341FBE" w:rsidRPr="00341FBE">
        <w:rPr>
          <w:rFonts w:ascii="Times New Roman" w:hAnsi="Times New Roman" w:cs="Times New Roman"/>
          <w:sz w:val="20"/>
          <w:szCs w:val="20"/>
          <w:lang w:val="en-GB" w:eastAsia="fr-FR"/>
        </w:rPr>
        <w:t xml:space="preserve"> </w:t>
      </w:r>
      <w:r w:rsidR="00341FBE">
        <w:rPr>
          <w:rFonts w:ascii="Times New Roman" w:hAnsi="Times New Roman" w:cs="Times New Roman"/>
          <w:sz w:val="20"/>
          <w:szCs w:val="20"/>
          <w:lang w:val="en-GB" w:eastAsia="fr-FR"/>
        </w:rPr>
        <w:t>(</w:t>
      </w:r>
      <w:r w:rsidRPr="003A7898">
        <w:rPr>
          <w:rFonts w:ascii="Times New Roman" w:hAnsi="Times New Roman" w:cs="Times New Roman"/>
          <w:sz w:val="20"/>
          <w:szCs w:val="20"/>
          <w:lang w:val="en-GB" w:eastAsia="fr-FR"/>
        </w:rPr>
        <w:t>BINUH</w:t>
      </w:r>
      <w:r w:rsidR="00341FBE">
        <w:rPr>
          <w:rFonts w:ascii="Times New Roman" w:hAnsi="Times New Roman" w:cs="Times New Roman"/>
          <w:sz w:val="20"/>
          <w:szCs w:val="20"/>
          <w:lang w:val="en-GB" w:eastAsia="fr-FR"/>
        </w:rPr>
        <w:t>)</w:t>
      </w:r>
      <w:r w:rsidRPr="003A7898">
        <w:rPr>
          <w:rFonts w:ascii="Times New Roman" w:hAnsi="Times New Roman" w:cs="Times New Roman"/>
          <w:sz w:val="20"/>
          <w:szCs w:val="20"/>
          <w:lang w:val="en-GB" w:eastAsia="fr-FR"/>
        </w:rPr>
        <w:t>),</w:t>
      </w:r>
      <w:r w:rsidR="004F651F" w:rsidRPr="003A7898">
        <w:rPr>
          <w:rFonts w:ascii="Times New Roman" w:hAnsi="Times New Roman" w:cs="Times New Roman"/>
          <w:sz w:val="20"/>
          <w:szCs w:val="20"/>
          <w:lang w:val="en-GB"/>
        </w:rPr>
        <w:t xml:space="preserve"> </w:t>
      </w:r>
      <w:r w:rsidR="00DD3CFB" w:rsidRPr="003A7898">
        <w:rPr>
          <w:rFonts w:ascii="Times New Roman" w:hAnsi="Times New Roman" w:cs="Times New Roman"/>
          <w:sz w:val="20"/>
          <w:szCs w:val="20"/>
          <w:lang w:val="en-GB"/>
        </w:rPr>
        <w:t xml:space="preserve">the </w:t>
      </w:r>
      <w:r w:rsidR="00EB08B7" w:rsidRPr="003A7898">
        <w:rPr>
          <w:rFonts w:ascii="Times New Roman" w:hAnsi="Times New Roman" w:cs="Times New Roman"/>
          <w:sz w:val="20"/>
          <w:szCs w:val="20"/>
          <w:lang w:val="en-GB"/>
        </w:rPr>
        <w:t>United Nations Office for Project Services</w:t>
      </w:r>
      <w:r w:rsidR="00C50CC7" w:rsidRPr="003A7898">
        <w:rPr>
          <w:rFonts w:ascii="Times New Roman" w:hAnsi="Times New Roman" w:cs="Times New Roman"/>
          <w:sz w:val="20"/>
          <w:szCs w:val="20"/>
          <w:lang w:val="en-GB" w:eastAsia="fr-FR"/>
        </w:rPr>
        <w:t xml:space="preserve">, </w:t>
      </w:r>
      <w:r w:rsidR="00DD3CFB" w:rsidRPr="003A7898">
        <w:rPr>
          <w:rFonts w:ascii="Times New Roman" w:hAnsi="Times New Roman" w:cs="Times New Roman"/>
          <w:sz w:val="20"/>
          <w:szCs w:val="20"/>
          <w:lang w:val="en-GB" w:eastAsia="fr-FR"/>
        </w:rPr>
        <w:t xml:space="preserve">the </w:t>
      </w:r>
      <w:r w:rsidR="00EB08B7" w:rsidRPr="003A7898">
        <w:rPr>
          <w:rFonts w:ascii="Times New Roman" w:hAnsi="Times New Roman" w:cs="Times New Roman"/>
          <w:sz w:val="20"/>
          <w:szCs w:val="20"/>
          <w:lang w:val="en-GB" w:eastAsia="fr-FR"/>
        </w:rPr>
        <w:t>International Office for Migration</w:t>
      </w:r>
      <w:r w:rsidR="007658BD" w:rsidRPr="003A7898">
        <w:rPr>
          <w:rFonts w:ascii="Times New Roman" w:hAnsi="Times New Roman" w:cs="Times New Roman"/>
          <w:sz w:val="20"/>
          <w:szCs w:val="20"/>
          <w:lang w:val="en-GB" w:eastAsia="fr-FR"/>
        </w:rPr>
        <w:t xml:space="preserve">, </w:t>
      </w:r>
      <w:r w:rsidR="00EB08B7" w:rsidRPr="003A7898">
        <w:rPr>
          <w:rFonts w:ascii="Times New Roman" w:hAnsi="Times New Roman" w:cs="Times New Roman"/>
          <w:sz w:val="20"/>
          <w:szCs w:val="20"/>
          <w:lang w:val="en-GB" w:eastAsia="fr-FR"/>
        </w:rPr>
        <w:t xml:space="preserve">the </w:t>
      </w:r>
      <w:r w:rsidR="009770C6" w:rsidRPr="003A7898">
        <w:rPr>
          <w:rFonts w:ascii="Times New Roman" w:hAnsi="Times New Roman" w:cs="Times New Roman"/>
          <w:sz w:val="20"/>
          <w:szCs w:val="20"/>
          <w:lang w:val="en-GB" w:eastAsia="fr-FR"/>
        </w:rPr>
        <w:t>United Nations Entity for Gender Equality and the Empowerment of Women (</w:t>
      </w:r>
      <w:r w:rsidR="00C50CC7" w:rsidRPr="003A7898">
        <w:rPr>
          <w:rFonts w:ascii="Times New Roman" w:hAnsi="Times New Roman" w:cs="Times New Roman"/>
          <w:sz w:val="20"/>
          <w:szCs w:val="20"/>
          <w:lang w:val="en-GB" w:eastAsia="fr-FR"/>
        </w:rPr>
        <w:t>UN</w:t>
      </w:r>
      <w:r w:rsidR="009770C6" w:rsidRPr="003A7898">
        <w:rPr>
          <w:rFonts w:ascii="Times New Roman" w:hAnsi="Times New Roman" w:cs="Times New Roman"/>
          <w:sz w:val="20"/>
          <w:szCs w:val="20"/>
          <w:lang w:val="en-GB" w:eastAsia="fr-FR"/>
        </w:rPr>
        <w:t>-</w:t>
      </w:r>
      <w:r w:rsidR="00C50CC7" w:rsidRPr="003A7898">
        <w:rPr>
          <w:rFonts w:ascii="Times New Roman" w:hAnsi="Times New Roman" w:cs="Times New Roman"/>
          <w:sz w:val="20"/>
          <w:szCs w:val="20"/>
          <w:lang w:val="en-GB" w:eastAsia="fr-FR"/>
        </w:rPr>
        <w:t>Women</w:t>
      </w:r>
      <w:r w:rsidR="009770C6" w:rsidRPr="003A7898">
        <w:rPr>
          <w:rFonts w:ascii="Times New Roman" w:hAnsi="Times New Roman" w:cs="Times New Roman"/>
          <w:sz w:val="20"/>
          <w:szCs w:val="20"/>
          <w:lang w:val="en-GB" w:eastAsia="fr-FR"/>
        </w:rPr>
        <w:t>)</w:t>
      </w:r>
      <w:r w:rsidR="00C50CC7" w:rsidRPr="003A7898">
        <w:rPr>
          <w:rFonts w:ascii="Times New Roman" w:hAnsi="Times New Roman" w:cs="Times New Roman"/>
          <w:sz w:val="20"/>
          <w:szCs w:val="20"/>
          <w:lang w:val="en-GB" w:eastAsia="fr-FR"/>
        </w:rPr>
        <w:t xml:space="preserve">, </w:t>
      </w:r>
      <w:r w:rsidR="009770C6" w:rsidRPr="003A7898">
        <w:rPr>
          <w:rFonts w:ascii="Times New Roman" w:hAnsi="Times New Roman" w:cs="Times New Roman"/>
          <w:sz w:val="20"/>
          <w:szCs w:val="20"/>
          <w:lang w:val="en-GB" w:eastAsia="fr-FR"/>
        </w:rPr>
        <w:t>the United Nations Children’s Fund (</w:t>
      </w:r>
      <w:r w:rsidR="00C50CC7" w:rsidRPr="003A7898">
        <w:rPr>
          <w:rFonts w:ascii="Times New Roman" w:hAnsi="Times New Roman" w:cs="Times New Roman"/>
          <w:sz w:val="20"/>
          <w:szCs w:val="20"/>
          <w:lang w:val="en-GB" w:eastAsia="fr-FR"/>
        </w:rPr>
        <w:t>UNICEF</w:t>
      </w:r>
      <w:r w:rsidR="009770C6" w:rsidRPr="003A7898">
        <w:rPr>
          <w:rFonts w:ascii="Times New Roman" w:hAnsi="Times New Roman" w:cs="Times New Roman"/>
          <w:sz w:val="20"/>
          <w:szCs w:val="20"/>
          <w:lang w:val="en-GB" w:eastAsia="fr-FR"/>
        </w:rPr>
        <w:t>)</w:t>
      </w:r>
      <w:r w:rsidR="00C50CC7" w:rsidRPr="003A7898">
        <w:rPr>
          <w:rFonts w:ascii="Times New Roman" w:hAnsi="Times New Roman" w:cs="Times New Roman"/>
          <w:sz w:val="20"/>
          <w:szCs w:val="20"/>
          <w:lang w:val="en-GB" w:eastAsia="fr-FR"/>
        </w:rPr>
        <w:t xml:space="preserve"> and</w:t>
      </w:r>
      <w:r w:rsidR="009770C6" w:rsidRPr="003A7898">
        <w:rPr>
          <w:rFonts w:ascii="Times New Roman" w:hAnsi="Times New Roman" w:cs="Times New Roman"/>
          <w:sz w:val="20"/>
          <w:szCs w:val="20"/>
          <w:lang w:val="en-GB" w:eastAsia="fr-FR"/>
        </w:rPr>
        <w:t xml:space="preserve"> the </w:t>
      </w:r>
      <w:r w:rsidR="001548B8" w:rsidRPr="003A7898">
        <w:rPr>
          <w:rFonts w:ascii="Times New Roman" w:hAnsi="Times New Roman" w:cs="Times New Roman"/>
          <w:sz w:val="20"/>
          <w:szCs w:val="20"/>
          <w:lang w:val="en-GB" w:eastAsia="fr-FR"/>
        </w:rPr>
        <w:t>Office of the United Nations High Commissioner for Human Rights</w:t>
      </w:r>
      <w:r w:rsidR="00C50CC7" w:rsidRPr="003A7898">
        <w:rPr>
          <w:rFonts w:ascii="Times New Roman" w:hAnsi="Times New Roman" w:cs="Times New Roman"/>
          <w:sz w:val="20"/>
          <w:szCs w:val="20"/>
          <w:lang w:val="en-GB" w:eastAsia="fr-FR"/>
        </w:rPr>
        <w:t xml:space="preserve"> in the areas of </w:t>
      </w:r>
      <w:r w:rsidR="00BD44FD" w:rsidRPr="003A7898">
        <w:rPr>
          <w:rFonts w:ascii="Times New Roman" w:hAnsi="Times New Roman" w:cs="Times New Roman"/>
          <w:sz w:val="20"/>
          <w:szCs w:val="20"/>
          <w:lang w:val="en-GB" w:eastAsia="fr-FR"/>
        </w:rPr>
        <w:t xml:space="preserve">the </w:t>
      </w:r>
      <w:r w:rsidR="00C50CC7" w:rsidRPr="003A7898">
        <w:rPr>
          <w:rFonts w:ascii="Times New Roman" w:hAnsi="Times New Roman" w:cs="Times New Roman"/>
          <w:sz w:val="20"/>
          <w:szCs w:val="20"/>
          <w:lang w:val="en-GB" w:eastAsia="fr-FR"/>
        </w:rPr>
        <w:t xml:space="preserve">rule of law and governance and support of the electoral cycle resulted in greater synergy and streamlining of </w:t>
      </w:r>
      <w:r w:rsidR="003E49AB" w:rsidRPr="003A7898">
        <w:rPr>
          <w:rFonts w:ascii="Times New Roman" w:hAnsi="Times New Roman" w:cs="Times New Roman"/>
          <w:sz w:val="20"/>
          <w:szCs w:val="20"/>
          <w:lang w:val="en-GB" w:eastAsia="fr-FR"/>
        </w:rPr>
        <w:t>resources</w:t>
      </w:r>
      <w:r w:rsidR="00CD005C" w:rsidRPr="003A7898">
        <w:rPr>
          <w:rFonts w:ascii="Times New Roman" w:hAnsi="Times New Roman" w:cs="Times New Roman"/>
          <w:sz w:val="20"/>
          <w:szCs w:val="20"/>
          <w:lang w:val="en-GB" w:eastAsia="fr-FR"/>
        </w:rPr>
        <w:t xml:space="preserve"> and </w:t>
      </w:r>
      <w:r w:rsidR="003716DE" w:rsidRPr="003A7898">
        <w:rPr>
          <w:rFonts w:ascii="Times New Roman" w:hAnsi="Times New Roman" w:cs="Times New Roman"/>
          <w:sz w:val="20"/>
          <w:szCs w:val="20"/>
          <w:lang w:val="en-GB" w:eastAsia="fr-FR"/>
        </w:rPr>
        <w:t xml:space="preserve">more effective </w:t>
      </w:r>
      <w:r w:rsidR="00C50CC7" w:rsidRPr="003A7898">
        <w:rPr>
          <w:rFonts w:ascii="Times New Roman" w:hAnsi="Times New Roman" w:cs="Times New Roman"/>
          <w:sz w:val="20"/>
          <w:szCs w:val="20"/>
          <w:lang w:val="en-GB" w:eastAsia="fr-FR"/>
        </w:rPr>
        <w:t xml:space="preserve">advocacy </w:t>
      </w:r>
      <w:r w:rsidR="003716DE" w:rsidRPr="003A7898">
        <w:rPr>
          <w:rFonts w:ascii="Times New Roman" w:hAnsi="Times New Roman" w:cs="Times New Roman"/>
          <w:sz w:val="20"/>
          <w:szCs w:val="20"/>
          <w:lang w:val="en-GB" w:eastAsia="fr-FR"/>
        </w:rPr>
        <w:t>for key reforms</w:t>
      </w:r>
      <w:r w:rsidR="00C50CC7" w:rsidRPr="003A7898">
        <w:rPr>
          <w:rFonts w:ascii="Times New Roman" w:hAnsi="Times New Roman" w:cs="Times New Roman"/>
          <w:sz w:val="20"/>
          <w:szCs w:val="20"/>
          <w:lang w:val="en-GB" w:eastAsia="fr-FR"/>
        </w:rPr>
        <w:t xml:space="preserve">. Coordination with </w:t>
      </w:r>
      <w:r w:rsidR="00030D3C" w:rsidRPr="003A7898">
        <w:rPr>
          <w:rFonts w:ascii="Times New Roman" w:hAnsi="Times New Roman" w:cs="Times New Roman"/>
          <w:sz w:val="20"/>
          <w:szCs w:val="20"/>
          <w:lang w:val="en-GB" w:eastAsia="fr-FR"/>
        </w:rPr>
        <w:t>the World Food Programme (</w:t>
      </w:r>
      <w:r w:rsidR="00C50CC7" w:rsidRPr="003A7898">
        <w:rPr>
          <w:rFonts w:ascii="Times New Roman" w:hAnsi="Times New Roman" w:cs="Times New Roman"/>
          <w:sz w:val="20"/>
          <w:szCs w:val="20"/>
          <w:lang w:val="en-GB" w:eastAsia="fr-FR"/>
        </w:rPr>
        <w:t>WFP</w:t>
      </w:r>
      <w:r w:rsidR="00030D3C" w:rsidRPr="003A7898">
        <w:rPr>
          <w:rFonts w:ascii="Times New Roman" w:hAnsi="Times New Roman" w:cs="Times New Roman"/>
          <w:sz w:val="20"/>
          <w:szCs w:val="20"/>
          <w:lang w:val="en-GB" w:eastAsia="fr-FR"/>
        </w:rPr>
        <w:t>)</w:t>
      </w:r>
      <w:r w:rsidR="00C50CC7" w:rsidRPr="003A7898">
        <w:rPr>
          <w:rFonts w:ascii="Times New Roman" w:hAnsi="Times New Roman" w:cs="Times New Roman"/>
          <w:sz w:val="20"/>
          <w:szCs w:val="20"/>
          <w:lang w:val="en-GB" w:eastAsia="fr-FR"/>
        </w:rPr>
        <w:t xml:space="preserve"> and other agencies in support of the National Policy for Social Protection and </w:t>
      </w:r>
      <w:r w:rsidR="00370AD6" w:rsidRPr="003A7898">
        <w:rPr>
          <w:rFonts w:ascii="Times New Roman" w:hAnsi="Times New Roman" w:cs="Times New Roman"/>
          <w:sz w:val="20"/>
          <w:szCs w:val="20"/>
          <w:lang w:val="en-GB" w:eastAsia="fr-FR"/>
        </w:rPr>
        <w:t xml:space="preserve">Promotion </w:t>
      </w:r>
      <w:r w:rsidR="00C50CC7" w:rsidRPr="003A7898">
        <w:rPr>
          <w:rFonts w:ascii="Times New Roman" w:hAnsi="Times New Roman" w:cs="Times New Roman"/>
          <w:sz w:val="20"/>
          <w:szCs w:val="20"/>
          <w:lang w:val="en-GB" w:eastAsia="fr-FR"/>
        </w:rPr>
        <w:t>(</w:t>
      </w:r>
      <w:r w:rsidR="00B45110" w:rsidRPr="007910F0">
        <w:rPr>
          <w:rFonts w:ascii="Times New Roman" w:hAnsi="Times New Roman" w:cs="Times New Roman"/>
          <w:sz w:val="20"/>
          <w:szCs w:val="20"/>
          <w:lang w:val="en-GB" w:eastAsia="fr-FR"/>
        </w:rPr>
        <w:t>Politique nationale de protection et de promotion sociale</w:t>
      </w:r>
      <w:r w:rsidR="00B45110" w:rsidRPr="00B45110">
        <w:rPr>
          <w:rFonts w:ascii="Times New Roman" w:hAnsi="Times New Roman" w:cs="Times New Roman"/>
          <w:sz w:val="20"/>
          <w:szCs w:val="20"/>
          <w:lang w:val="en-GB" w:eastAsia="fr-FR"/>
        </w:rPr>
        <w:t xml:space="preserve"> </w:t>
      </w:r>
      <w:r w:rsidR="00B45110">
        <w:rPr>
          <w:rFonts w:ascii="Times New Roman" w:hAnsi="Times New Roman" w:cs="Times New Roman"/>
          <w:sz w:val="20"/>
          <w:szCs w:val="20"/>
          <w:lang w:val="en-GB" w:eastAsia="fr-FR"/>
        </w:rPr>
        <w:t>(</w:t>
      </w:r>
      <w:r w:rsidR="00C50CC7" w:rsidRPr="003A7898">
        <w:rPr>
          <w:rFonts w:ascii="Times New Roman" w:hAnsi="Times New Roman" w:cs="Times New Roman"/>
          <w:sz w:val="20"/>
          <w:szCs w:val="20"/>
          <w:lang w:val="en-GB" w:eastAsia="fr-FR"/>
        </w:rPr>
        <w:t>PNPPS)</w:t>
      </w:r>
      <w:r w:rsidR="00B45110">
        <w:rPr>
          <w:rFonts w:ascii="Times New Roman" w:hAnsi="Times New Roman" w:cs="Times New Roman"/>
          <w:sz w:val="20"/>
          <w:szCs w:val="20"/>
          <w:lang w:val="en-GB" w:eastAsia="fr-FR"/>
        </w:rPr>
        <w:t>)</w:t>
      </w:r>
      <w:r w:rsidR="00C50CC7" w:rsidRPr="003A7898">
        <w:rPr>
          <w:rFonts w:ascii="Times New Roman" w:hAnsi="Times New Roman" w:cs="Times New Roman"/>
          <w:sz w:val="20"/>
          <w:szCs w:val="20"/>
          <w:lang w:val="en-GB" w:eastAsia="fr-FR"/>
        </w:rPr>
        <w:t xml:space="preserve"> promises to continue to bear fruit by promoting a national </w:t>
      </w:r>
      <w:r w:rsidR="00C50CC7" w:rsidRPr="003A7898">
        <w:rPr>
          <w:rFonts w:ascii="Times New Roman" w:hAnsi="Times New Roman" w:cs="Times New Roman"/>
          <w:sz w:val="20"/>
          <w:szCs w:val="20"/>
          <w:lang w:val="en-GB" w:eastAsia="fr-FR"/>
        </w:rPr>
        <w:lastRenderedPageBreak/>
        <w:t>protection system for the most vulnerable.</w:t>
      </w:r>
      <w:r w:rsidR="004F651F" w:rsidRPr="003A7898">
        <w:rPr>
          <w:rFonts w:ascii="Times New Roman" w:hAnsi="Times New Roman" w:cs="Times New Roman"/>
          <w:sz w:val="20"/>
          <w:szCs w:val="20"/>
          <w:lang w:val="en-GB"/>
        </w:rPr>
        <w:t xml:space="preserve"> </w:t>
      </w:r>
      <w:r w:rsidR="0053647B" w:rsidRPr="003A7898">
        <w:rPr>
          <w:rFonts w:ascii="Times New Roman" w:hAnsi="Times New Roman" w:cs="Times New Roman"/>
          <w:sz w:val="20"/>
          <w:szCs w:val="20"/>
          <w:lang w:val="en-GB" w:eastAsia="fr-FR"/>
        </w:rPr>
        <w:t xml:space="preserve">The close collaboration between UNDP and </w:t>
      </w:r>
      <w:r w:rsidR="00DD3CFB" w:rsidRPr="003A7898">
        <w:rPr>
          <w:rFonts w:ascii="Times New Roman" w:hAnsi="Times New Roman" w:cs="Times New Roman"/>
          <w:sz w:val="20"/>
          <w:szCs w:val="20"/>
          <w:lang w:val="en-GB" w:eastAsia="fr-FR"/>
        </w:rPr>
        <w:t xml:space="preserve">the </w:t>
      </w:r>
      <w:r w:rsidR="005C1823" w:rsidRPr="003A7898">
        <w:rPr>
          <w:rFonts w:ascii="Times New Roman" w:hAnsi="Times New Roman" w:cs="Times New Roman"/>
          <w:sz w:val="20"/>
          <w:szCs w:val="20"/>
          <w:lang w:val="en-GB" w:eastAsia="fr-FR"/>
        </w:rPr>
        <w:t xml:space="preserve">United Nations Office for the Coordination of Humanitarian Affairs </w:t>
      </w:r>
      <w:r w:rsidR="0053647B" w:rsidRPr="003A7898">
        <w:rPr>
          <w:rFonts w:ascii="Times New Roman" w:hAnsi="Times New Roman" w:cs="Times New Roman"/>
          <w:sz w:val="20"/>
          <w:szCs w:val="20"/>
          <w:lang w:val="en-GB" w:eastAsia="fr-FR"/>
        </w:rPr>
        <w:t xml:space="preserve">in response to the multiple disasters </w:t>
      </w:r>
      <w:r w:rsidR="00D1000E" w:rsidRPr="003A7898">
        <w:rPr>
          <w:rFonts w:ascii="Times New Roman" w:hAnsi="Times New Roman" w:cs="Times New Roman"/>
          <w:sz w:val="20"/>
          <w:szCs w:val="20"/>
          <w:lang w:val="en-GB" w:eastAsia="fr-FR"/>
        </w:rPr>
        <w:t xml:space="preserve">between 2017 and 2022 demonstrates the importance of </w:t>
      </w:r>
      <w:r w:rsidR="00EC15E7">
        <w:rPr>
          <w:rFonts w:ascii="Times New Roman" w:hAnsi="Times New Roman" w:cs="Times New Roman"/>
          <w:sz w:val="20"/>
          <w:szCs w:val="20"/>
          <w:lang w:val="en-GB" w:eastAsia="fr-FR"/>
        </w:rPr>
        <w:t>supporting</w:t>
      </w:r>
      <w:r w:rsidR="00D37B00" w:rsidRPr="003A7898">
        <w:rPr>
          <w:rFonts w:ascii="Times New Roman" w:hAnsi="Times New Roman" w:cs="Times New Roman"/>
          <w:sz w:val="20"/>
          <w:szCs w:val="20"/>
          <w:lang w:val="en-GB" w:eastAsia="fr-FR"/>
        </w:rPr>
        <w:t xml:space="preserve"> </w:t>
      </w:r>
      <w:r w:rsidR="00E972CD" w:rsidRPr="003A7898">
        <w:rPr>
          <w:rFonts w:ascii="Times New Roman" w:hAnsi="Times New Roman" w:cs="Times New Roman"/>
          <w:sz w:val="20"/>
          <w:szCs w:val="20"/>
          <w:lang w:val="en-GB" w:eastAsia="fr-FR"/>
        </w:rPr>
        <w:t xml:space="preserve">national </w:t>
      </w:r>
      <w:r w:rsidR="00D37B00" w:rsidRPr="003A7898">
        <w:rPr>
          <w:rFonts w:ascii="Times New Roman" w:hAnsi="Times New Roman" w:cs="Times New Roman"/>
          <w:sz w:val="20"/>
          <w:szCs w:val="20"/>
          <w:lang w:val="en-GB" w:eastAsia="fr-FR"/>
        </w:rPr>
        <w:t>leadership</w:t>
      </w:r>
      <w:r w:rsidR="00D1000E" w:rsidRPr="003A7898">
        <w:rPr>
          <w:rFonts w:ascii="Times New Roman" w:hAnsi="Times New Roman" w:cs="Times New Roman"/>
          <w:sz w:val="20"/>
          <w:szCs w:val="20"/>
          <w:lang w:val="en-GB" w:eastAsia="fr-FR"/>
        </w:rPr>
        <w:t xml:space="preserve"> </w:t>
      </w:r>
      <w:r w:rsidR="00FC27E6" w:rsidRPr="003A7898">
        <w:rPr>
          <w:rFonts w:ascii="Times New Roman" w:hAnsi="Times New Roman" w:cs="Times New Roman"/>
          <w:sz w:val="20"/>
          <w:szCs w:val="20"/>
          <w:lang w:val="en-GB" w:eastAsia="fr-FR"/>
        </w:rPr>
        <w:t xml:space="preserve">in crisis preparedness and response. </w:t>
      </w:r>
      <w:r w:rsidR="004F651F" w:rsidRPr="003A7898">
        <w:rPr>
          <w:rFonts w:ascii="Times New Roman" w:hAnsi="Times New Roman" w:cs="Times New Roman"/>
          <w:sz w:val="20"/>
          <w:szCs w:val="20"/>
          <w:lang w:val="en-GB"/>
        </w:rPr>
        <w:t xml:space="preserve"> </w:t>
      </w:r>
    </w:p>
    <w:p w14:paraId="66CD55BD" w14:textId="53B73BBC" w:rsidR="004A77C3" w:rsidRPr="003A7898" w:rsidRDefault="004A77C3"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GB" w:eastAsia="fr-FR"/>
        </w:rPr>
      </w:pPr>
      <w:r w:rsidRPr="003A7898">
        <w:rPr>
          <w:rFonts w:ascii="Times New Roman" w:hAnsi="Times New Roman" w:cs="Times New Roman"/>
          <w:sz w:val="20"/>
          <w:szCs w:val="20"/>
          <w:lang w:val="en-GB" w:eastAsia="fr-FR"/>
        </w:rPr>
        <w:t>Despite structural and cyclical crises, over the past five years</w:t>
      </w:r>
      <w:r w:rsidR="002B0DBA" w:rsidRPr="003A7898">
        <w:rPr>
          <w:rFonts w:ascii="Times New Roman" w:hAnsi="Times New Roman" w:cs="Times New Roman"/>
          <w:sz w:val="20"/>
          <w:szCs w:val="20"/>
          <w:lang w:val="en-GB" w:eastAsia="fr-FR"/>
        </w:rPr>
        <w:t>,</w:t>
      </w:r>
      <w:r w:rsidRPr="003A7898">
        <w:rPr>
          <w:rFonts w:ascii="Times New Roman" w:hAnsi="Times New Roman" w:cs="Times New Roman"/>
          <w:sz w:val="20"/>
          <w:szCs w:val="20"/>
          <w:lang w:val="en-GB" w:eastAsia="fr-FR"/>
        </w:rPr>
        <w:t xml:space="preserve"> </w:t>
      </w:r>
      <w:r w:rsidR="00014B6B" w:rsidRPr="003A7898">
        <w:rPr>
          <w:rFonts w:ascii="Times New Roman" w:hAnsi="Times New Roman" w:cs="Times New Roman"/>
          <w:sz w:val="20"/>
          <w:szCs w:val="20"/>
          <w:lang w:val="en-GB" w:eastAsia="fr-FR"/>
        </w:rPr>
        <w:t xml:space="preserve">UNDP </w:t>
      </w:r>
      <w:r w:rsidRPr="003A7898">
        <w:rPr>
          <w:rFonts w:ascii="Times New Roman" w:hAnsi="Times New Roman" w:cs="Times New Roman"/>
          <w:sz w:val="20"/>
          <w:szCs w:val="20"/>
          <w:lang w:val="en-GB" w:eastAsia="fr-FR"/>
        </w:rPr>
        <w:t>has contributed to strengthen</w:t>
      </w:r>
      <w:r w:rsidR="002B0DBA" w:rsidRPr="003A7898">
        <w:rPr>
          <w:rFonts w:ascii="Times New Roman" w:hAnsi="Times New Roman" w:cs="Times New Roman"/>
          <w:sz w:val="20"/>
          <w:szCs w:val="20"/>
          <w:lang w:val="en-GB" w:eastAsia="fr-FR"/>
        </w:rPr>
        <w:t>ing</w:t>
      </w:r>
      <w:r w:rsidRPr="003A7898">
        <w:rPr>
          <w:rFonts w:ascii="Times New Roman" w:hAnsi="Times New Roman" w:cs="Times New Roman"/>
          <w:sz w:val="20"/>
          <w:szCs w:val="20"/>
          <w:lang w:val="en-GB" w:eastAsia="fr-FR"/>
        </w:rPr>
        <w:t xml:space="preserve"> the coordination capacity of actors and the </w:t>
      </w:r>
      <w:r w:rsidR="00F0402C" w:rsidRPr="003A7898">
        <w:rPr>
          <w:rFonts w:ascii="Times New Roman" w:hAnsi="Times New Roman" w:cs="Times New Roman"/>
          <w:sz w:val="20"/>
          <w:szCs w:val="20"/>
          <w:lang w:val="en-GB" w:eastAsia="fr-FR"/>
        </w:rPr>
        <w:t>National Disaster and Risk Management System (</w:t>
      </w:r>
      <w:r w:rsidR="00B45110" w:rsidRPr="007910F0">
        <w:rPr>
          <w:rFonts w:ascii="Times New Roman" w:hAnsi="Times New Roman" w:cs="Times New Roman"/>
          <w:sz w:val="20"/>
          <w:szCs w:val="20"/>
          <w:lang w:val="en-GB" w:eastAsia="fr-FR"/>
        </w:rPr>
        <w:t>Système National de Gestion des Risques et des Désastres</w:t>
      </w:r>
      <w:r w:rsidR="00B45110" w:rsidRPr="00B45110">
        <w:rPr>
          <w:rFonts w:ascii="Times New Roman" w:hAnsi="Times New Roman" w:cs="Times New Roman"/>
          <w:sz w:val="20"/>
          <w:szCs w:val="20"/>
          <w:lang w:val="en-GB" w:eastAsia="fr-FR"/>
        </w:rPr>
        <w:t xml:space="preserve"> </w:t>
      </w:r>
      <w:r w:rsidR="00B45110">
        <w:rPr>
          <w:rFonts w:ascii="Times New Roman" w:hAnsi="Times New Roman" w:cs="Times New Roman"/>
          <w:sz w:val="20"/>
          <w:szCs w:val="20"/>
          <w:lang w:val="en-GB" w:eastAsia="fr-FR"/>
        </w:rPr>
        <w:t>(</w:t>
      </w:r>
      <w:r w:rsidR="00F0402C" w:rsidRPr="003A7898">
        <w:rPr>
          <w:rFonts w:ascii="Times New Roman" w:hAnsi="Times New Roman" w:cs="Times New Roman"/>
          <w:sz w:val="20"/>
          <w:szCs w:val="20"/>
          <w:lang w:val="en-GB" w:eastAsia="fr-FR"/>
        </w:rPr>
        <w:t>SNGRD)</w:t>
      </w:r>
      <w:r w:rsidR="00B45110">
        <w:rPr>
          <w:rFonts w:ascii="Times New Roman" w:hAnsi="Times New Roman" w:cs="Times New Roman"/>
          <w:sz w:val="20"/>
          <w:szCs w:val="20"/>
          <w:lang w:val="en-GB" w:eastAsia="fr-FR"/>
        </w:rPr>
        <w:t>)</w:t>
      </w:r>
      <w:r w:rsidR="007813EB" w:rsidRPr="003A7898">
        <w:rPr>
          <w:rFonts w:ascii="Times New Roman" w:hAnsi="Times New Roman" w:cs="Times New Roman"/>
          <w:sz w:val="20"/>
          <w:szCs w:val="20"/>
          <w:lang w:val="en-GB" w:eastAsia="fr-FR"/>
        </w:rPr>
        <w:t xml:space="preserve">, whose </w:t>
      </w:r>
      <w:r w:rsidRPr="003A7898">
        <w:rPr>
          <w:rFonts w:ascii="Times New Roman" w:hAnsi="Times New Roman" w:cs="Times New Roman"/>
          <w:sz w:val="20"/>
          <w:szCs w:val="20"/>
          <w:lang w:val="en-GB" w:eastAsia="fr-FR"/>
        </w:rPr>
        <w:t xml:space="preserve">legal framework was created in 2020. </w:t>
      </w:r>
      <w:r w:rsidR="00437BE2">
        <w:rPr>
          <w:rFonts w:ascii="Times New Roman" w:hAnsi="Times New Roman" w:cs="Times New Roman"/>
          <w:sz w:val="20"/>
          <w:szCs w:val="20"/>
          <w:lang w:val="en-GB" w:eastAsia="fr-FR"/>
        </w:rPr>
        <w:t>In addition</w:t>
      </w:r>
      <w:r w:rsidRPr="003A7898">
        <w:rPr>
          <w:rFonts w:ascii="Times New Roman" w:hAnsi="Times New Roman" w:cs="Times New Roman"/>
          <w:sz w:val="20"/>
          <w:szCs w:val="20"/>
          <w:lang w:val="en-GB" w:eastAsia="fr-FR"/>
        </w:rPr>
        <w:t xml:space="preserve">, the systematic consideration of gender equality issues </w:t>
      </w:r>
      <w:r w:rsidR="00B142B8">
        <w:rPr>
          <w:rFonts w:ascii="Times New Roman" w:hAnsi="Times New Roman" w:cs="Times New Roman"/>
          <w:sz w:val="20"/>
          <w:szCs w:val="20"/>
          <w:lang w:val="en-GB" w:eastAsia="fr-FR"/>
        </w:rPr>
        <w:t>under</w:t>
      </w:r>
      <w:r w:rsidRPr="003A7898">
        <w:rPr>
          <w:rFonts w:ascii="Times New Roman" w:hAnsi="Times New Roman" w:cs="Times New Roman"/>
          <w:sz w:val="20"/>
          <w:szCs w:val="20"/>
          <w:lang w:val="en-GB" w:eastAsia="fr-FR"/>
        </w:rPr>
        <w:t xml:space="preserve"> the 2017-2021</w:t>
      </w:r>
      <w:r w:rsidR="004C6BCF" w:rsidRPr="003A7898">
        <w:rPr>
          <w:rFonts w:ascii="Times New Roman" w:hAnsi="Times New Roman" w:cs="Times New Roman"/>
          <w:sz w:val="20"/>
          <w:szCs w:val="20"/>
          <w:lang w:val="en-GB" w:eastAsia="fr-FR"/>
        </w:rPr>
        <w:t xml:space="preserve"> </w:t>
      </w:r>
      <w:r w:rsidR="00B142B8">
        <w:rPr>
          <w:rFonts w:ascii="Times New Roman" w:hAnsi="Times New Roman" w:cs="Times New Roman"/>
          <w:sz w:val="20"/>
          <w:szCs w:val="20"/>
          <w:lang w:val="en-GB" w:eastAsia="fr-FR"/>
        </w:rPr>
        <w:t>p</w:t>
      </w:r>
      <w:r w:rsidR="004C6BCF" w:rsidRPr="003A7898">
        <w:rPr>
          <w:rFonts w:ascii="Times New Roman" w:hAnsi="Times New Roman" w:cs="Times New Roman"/>
          <w:sz w:val="20"/>
          <w:szCs w:val="20"/>
          <w:lang w:val="en-GB" w:eastAsia="fr-FR"/>
        </w:rPr>
        <w:t>rogramme</w:t>
      </w:r>
      <w:r w:rsidRPr="003A7898">
        <w:rPr>
          <w:rFonts w:ascii="Times New Roman" w:hAnsi="Times New Roman" w:cs="Times New Roman"/>
          <w:sz w:val="20"/>
          <w:szCs w:val="20"/>
          <w:lang w:val="en-GB" w:eastAsia="fr-FR"/>
        </w:rPr>
        <w:t xml:space="preserve"> </w:t>
      </w:r>
      <w:r w:rsidR="007910F0">
        <w:rPr>
          <w:rFonts w:ascii="Times New Roman" w:hAnsi="Times New Roman" w:cs="Times New Roman"/>
          <w:sz w:val="20"/>
          <w:szCs w:val="20"/>
          <w:lang w:val="en-GB" w:eastAsia="fr-FR"/>
        </w:rPr>
        <w:t xml:space="preserve">contributed to the country office </w:t>
      </w:r>
      <w:r w:rsidR="00C7568F">
        <w:rPr>
          <w:rFonts w:ascii="Times New Roman" w:hAnsi="Times New Roman" w:cs="Times New Roman"/>
          <w:sz w:val="20"/>
          <w:szCs w:val="20"/>
          <w:lang w:val="en-GB" w:eastAsia="fr-FR"/>
        </w:rPr>
        <w:t xml:space="preserve">being awarded </w:t>
      </w:r>
      <w:r w:rsidRPr="003A7898">
        <w:rPr>
          <w:rFonts w:ascii="Times New Roman" w:hAnsi="Times New Roman" w:cs="Times New Roman"/>
          <w:sz w:val="20"/>
          <w:szCs w:val="20"/>
          <w:lang w:val="en-GB" w:eastAsia="fr-FR"/>
        </w:rPr>
        <w:t xml:space="preserve">the </w:t>
      </w:r>
      <w:r w:rsidR="00C401DE" w:rsidRPr="003A7898">
        <w:rPr>
          <w:rFonts w:ascii="Times New Roman" w:hAnsi="Times New Roman" w:cs="Times New Roman"/>
          <w:sz w:val="20"/>
          <w:szCs w:val="20"/>
          <w:lang w:val="en-GB" w:eastAsia="fr-FR"/>
        </w:rPr>
        <w:t xml:space="preserve">UNDP </w:t>
      </w:r>
      <w:r w:rsidR="007813EB" w:rsidRPr="003A7898">
        <w:rPr>
          <w:rFonts w:ascii="Times New Roman" w:hAnsi="Times New Roman" w:cs="Times New Roman"/>
          <w:sz w:val="20"/>
          <w:szCs w:val="20"/>
          <w:lang w:val="en-GB" w:eastAsia="fr-FR"/>
        </w:rPr>
        <w:t xml:space="preserve">Gender Equality </w:t>
      </w:r>
      <w:r w:rsidRPr="003A7898">
        <w:rPr>
          <w:rFonts w:ascii="Times New Roman" w:hAnsi="Times New Roman" w:cs="Times New Roman"/>
          <w:sz w:val="20"/>
          <w:szCs w:val="20"/>
          <w:lang w:val="en-GB" w:eastAsia="fr-FR"/>
        </w:rPr>
        <w:t xml:space="preserve">Seal. </w:t>
      </w:r>
      <w:r w:rsidR="00B142B8">
        <w:rPr>
          <w:rFonts w:ascii="Times New Roman" w:hAnsi="Times New Roman" w:cs="Times New Roman"/>
          <w:sz w:val="20"/>
          <w:szCs w:val="20"/>
          <w:lang w:val="en-GB" w:eastAsia="fr-FR"/>
        </w:rPr>
        <w:t xml:space="preserve">The </w:t>
      </w:r>
      <w:r w:rsidRPr="003A7898">
        <w:rPr>
          <w:rFonts w:ascii="Times New Roman" w:hAnsi="Times New Roman" w:cs="Times New Roman"/>
          <w:sz w:val="20"/>
          <w:szCs w:val="20"/>
          <w:lang w:val="en-GB" w:eastAsia="fr-FR"/>
        </w:rPr>
        <w:t xml:space="preserve">presence and advocacy </w:t>
      </w:r>
      <w:r w:rsidR="00B142B8">
        <w:rPr>
          <w:rFonts w:ascii="Times New Roman" w:hAnsi="Times New Roman" w:cs="Times New Roman"/>
          <w:sz w:val="20"/>
          <w:szCs w:val="20"/>
          <w:lang w:val="en-GB" w:eastAsia="fr-FR"/>
        </w:rPr>
        <w:t xml:space="preserve">of UNDP </w:t>
      </w:r>
      <w:r w:rsidRPr="003A7898">
        <w:rPr>
          <w:rFonts w:ascii="Times New Roman" w:hAnsi="Times New Roman" w:cs="Times New Roman"/>
          <w:sz w:val="20"/>
          <w:szCs w:val="20"/>
          <w:lang w:val="en-GB" w:eastAsia="fr-FR"/>
        </w:rPr>
        <w:t xml:space="preserve">resulted in </w:t>
      </w:r>
      <w:r w:rsidRPr="003A7898">
        <w:rPr>
          <w:rFonts w:ascii="Times New Roman" w:hAnsi="Times New Roman" w:cs="Times New Roman"/>
          <w:sz w:val="20"/>
          <w:szCs w:val="20"/>
          <w:lang w:val="en-GB"/>
        </w:rPr>
        <w:t>initiatives</w:t>
      </w:r>
      <w:r w:rsidRPr="003A7898">
        <w:rPr>
          <w:rFonts w:ascii="Times New Roman" w:hAnsi="Times New Roman" w:cs="Times New Roman"/>
          <w:sz w:val="20"/>
          <w:szCs w:val="20"/>
          <w:lang w:val="en-GB" w:eastAsia="fr-FR"/>
        </w:rPr>
        <w:t xml:space="preserve"> for better protection and employability of youth and women </w:t>
      </w:r>
      <w:r w:rsidR="00A3167D" w:rsidRPr="003A7898">
        <w:rPr>
          <w:rFonts w:ascii="Times New Roman" w:hAnsi="Times New Roman" w:cs="Times New Roman"/>
          <w:sz w:val="20"/>
          <w:szCs w:val="20"/>
          <w:lang w:val="en-GB" w:eastAsia="fr-FR"/>
        </w:rPr>
        <w:t xml:space="preserve">via innovative partnerships with </w:t>
      </w:r>
      <w:r w:rsidRPr="003A7898">
        <w:rPr>
          <w:rFonts w:ascii="Times New Roman" w:hAnsi="Times New Roman" w:cs="Times New Roman"/>
          <w:sz w:val="20"/>
          <w:szCs w:val="20"/>
          <w:lang w:val="en-GB" w:eastAsia="fr-FR"/>
        </w:rPr>
        <w:t xml:space="preserve">the private sector. </w:t>
      </w:r>
    </w:p>
    <w:p w14:paraId="2C88BE12" w14:textId="60A05C87" w:rsidR="00F536DC" w:rsidRPr="003A7898" w:rsidRDefault="00A3167D" w:rsidP="00F85303">
      <w:pPr>
        <w:pStyle w:val="ListParagraph"/>
        <w:numPr>
          <w:ilvl w:val="0"/>
          <w:numId w:val="42"/>
        </w:numPr>
        <w:tabs>
          <w:tab w:val="left" w:pos="1350"/>
          <w:tab w:val="left" w:pos="1800"/>
        </w:tabs>
        <w:spacing w:after="120" w:line="240" w:lineRule="exact"/>
        <w:ind w:left="1080" w:right="612" w:firstLine="0"/>
        <w:contextualSpacing w:val="0"/>
        <w:jc w:val="both"/>
        <w:rPr>
          <w:rFonts w:ascii="Times New Roman" w:hAnsi="Times New Roman" w:cs="Times New Roman"/>
          <w:sz w:val="20"/>
          <w:szCs w:val="20"/>
          <w:lang w:val="en-GB" w:eastAsia="fr-FR"/>
        </w:rPr>
      </w:pPr>
      <w:r w:rsidRPr="003A7898">
        <w:rPr>
          <w:rFonts w:ascii="Times New Roman" w:hAnsi="Times New Roman" w:cs="Times New Roman"/>
          <w:sz w:val="20"/>
          <w:szCs w:val="20"/>
          <w:lang w:val="en-GB" w:eastAsia="fr-FR"/>
        </w:rPr>
        <w:t>T</w:t>
      </w:r>
      <w:r w:rsidR="23ACA5BC" w:rsidRPr="003A7898">
        <w:rPr>
          <w:rFonts w:ascii="Times New Roman" w:hAnsi="Times New Roman" w:cs="Times New Roman"/>
          <w:sz w:val="20"/>
          <w:szCs w:val="20"/>
          <w:lang w:val="en-GB" w:eastAsia="fr-FR"/>
        </w:rPr>
        <w:t xml:space="preserve">he </w:t>
      </w:r>
      <w:r w:rsidR="00B142B8">
        <w:rPr>
          <w:rFonts w:ascii="Times New Roman" w:hAnsi="Times New Roman" w:cs="Times New Roman"/>
          <w:sz w:val="20"/>
          <w:szCs w:val="20"/>
          <w:lang w:val="en-GB" w:eastAsia="fr-FR"/>
        </w:rPr>
        <w:t>country programme evaluation</w:t>
      </w:r>
      <w:r w:rsidR="00B142B8" w:rsidRPr="003A7898">
        <w:rPr>
          <w:rFonts w:ascii="Times New Roman" w:hAnsi="Times New Roman" w:cs="Times New Roman"/>
          <w:sz w:val="20"/>
          <w:szCs w:val="20"/>
          <w:lang w:val="en-GB" w:eastAsia="fr-FR"/>
        </w:rPr>
        <w:t xml:space="preserve"> </w:t>
      </w:r>
      <w:r w:rsidR="23ACA5BC" w:rsidRPr="003A7898">
        <w:rPr>
          <w:rFonts w:ascii="Times New Roman" w:hAnsi="Times New Roman" w:cs="Times New Roman"/>
          <w:sz w:val="20"/>
          <w:szCs w:val="20"/>
          <w:lang w:val="en-GB" w:eastAsia="fr-FR"/>
        </w:rPr>
        <w:t xml:space="preserve">strongly recommended that a transformational theory of change support the </w:t>
      </w:r>
      <w:r w:rsidR="00B142B8">
        <w:rPr>
          <w:rFonts w:ascii="Times New Roman" w:hAnsi="Times New Roman" w:cs="Times New Roman"/>
          <w:sz w:val="20"/>
          <w:szCs w:val="20"/>
          <w:lang w:val="en-GB" w:eastAsia="fr-FR"/>
        </w:rPr>
        <w:t>p</w:t>
      </w:r>
      <w:r w:rsidR="23ACA5BC" w:rsidRPr="003A7898">
        <w:rPr>
          <w:rFonts w:ascii="Times New Roman" w:hAnsi="Times New Roman" w:cs="Times New Roman"/>
          <w:sz w:val="20"/>
          <w:szCs w:val="20"/>
          <w:lang w:val="en-GB"/>
        </w:rPr>
        <w:t>rogramme</w:t>
      </w:r>
      <w:r w:rsidR="23ACA5BC" w:rsidRPr="003A7898">
        <w:rPr>
          <w:rFonts w:ascii="Times New Roman" w:hAnsi="Times New Roman" w:cs="Times New Roman"/>
          <w:sz w:val="20"/>
          <w:szCs w:val="20"/>
          <w:lang w:val="en-GB" w:eastAsia="fr-FR"/>
        </w:rPr>
        <w:t xml:space="preserve"> for 2023-2027 in alignment with </w:t>
      </w:r>
      <w:r w:rsidR="00B142B8">
        <w:rPr>
          <w:rFonts w:ascii="Times New Roman" w:hAnsi="Times New Roman" w:cs="Times New Roman"/>
          <w:sz w:val="20"/>
          <w:szCs w:val="20"/>
          <w:lang w:val="en-GB" w:eastAsia="fr-FR"/>
        </w:rPr>
        <w:t xml:space="preserve">the </w:t>
      </w:r>
      <w:r w:rsidRPr="003A7898">
        <w:rPr>
          <w:rFonts w:ascii="Times New Roman" w:hAnsi="Times New Roman" w:cs="Times New Roman"/>
          <w:sz w:val="20"/>
          <w:szCs w:val="20"/>
          <w:lang w:val="en-GB" w:eastAsia="fr-FR"/>
        </w:rPr>
        <w:t>UNDP</w:t>
      </w:r>
      <w:r w:rsidR="23ACA5BC" w:rsidRPr="003A7898">
        <w:rPr>
          <w:rFonts w:ascii="Times New Roman" w:hAnsi="Times New Roman" w:cs="Times New Roman"/>
          <w:sz w:val="20"/>
          <w:szCs w:val="20"/>
          <w:lang w:val="en-GB" w:eastAsia="fr-FR"/>
        </w:rPr>
        <w:t xml:space="preserve"> </w:t>
      </w:r>
      <w:r w:rsidRPr="003A7898">
        <w:rPr>
          <w:rFonts w:ascii="Times New Roman" w:hAnsi="Times New Roman" w:cs="Times New Roman"/>
          <w:sz w:val="20"/>
          <w:szCs w:val="20"/>
          <w:lang w:val="en-GB" w:eastAsia="fr-FR"/>
        </w:rPr>
        <w:t>Strategic Plan</w:t>
      </w:r>
      <w:r w:rsidR="00B142B8">
        <w:rPr>
          <w:rFonts w:ascii="Times New Roman" w:hAnsi="Times New Roman" w:cs="Times New Roman"/>
          <w:sz w:val="20"/>
          <w:szCs w:val="20"/>
          <w:lang w:val="en-GB" w:eastAsia="fr-FR"/>
        </w:rPr>
        <w:t xml:space="preserve">, </w:t>
      </w:r>
      <w:r w:rsidR="00B142B8" w:rsidRPr="003A7898">
        <w:rPr>
          <w:rFonts w:ascii="Times New Roman" w:hAnsi="Times New Roman" w:cs="Times New Roman"/>
          <w:sz w:val="20"/>
          <w:szCs w:val="20"/>
          <w:lang w:val="en-GB" w:eastAsia="fr-FR"/>
        </w:rPr>
        <w:t xml:space="preserve"> 2022-2025</w:t>
      </w:r>
      <w:r w:rsidRPr="003A7898">
        <w:rPr>
          <w:rFonts w:ascii="Times New Roman" w:hAnsi="Times New Roman" w:cs="Times New Roman"/>
          <w:sz w:val="20"/>
          <w:szCs w:val="20"/>
          <w:lang w:val="en-GB" w:eastAsia="fr-FR"/>
        </w:rPr>
        <w:t xml:space="preserve"> and its </w:t>
      </w:r>
      <w:r w:rsidR="23ACA5BC" w:rsidRPr="003A7898">
        <w:rPr>
          <w:rFonts w:ascii="Times New Roman" w:hAnsi="Times New Roman" w:cs="Times New Roman"/>
          <w:sz w:val="20"/>
          <w:szCs w:val="20"/>
          <w:lang w:val="en-GB" w:eastAsia="fr-FR"/>
        </w:rPr>
        <w:t xml:space="preserve">three directions of change. </w:t>
      </w:r>
      <w:r w:rsidRPr="003A7898">
        <w:rPr>
          <w:rFonts w:ascii="Times New Roman" w:hAnsi="Times New Roman" w:cs="Times New Roman"/>
          <w:sz w:val="20"/>
          <w:szCs w:val="20"/>
          <w:lang w:val="en-GB" w:eastAsia="fr-FR"/>
        </w:rPr>
        <w:t xml:space="preserve">UNDP Haiti </w:t>
      </w:r>
      <w:r w:rsidR="23ACA5BC" w:rsidRPr="003A7898">
        <w:rPr>
          <w:rFonts w:ascii="Times New Roman" w:hAnsi="Times New Roman" w:cs="Times New Roman"/>
          <w:sz w:val="20"/>
          <w:szCs w:val="20"/>
          <w:lang w:val="en-GB" w:eastAsia="fr-FR"/>
        </w:rPr>
        <w:t xml:space="preserve">will consider the best approach to address the </w:t>
      </w:r>
      <w:r w:rsidRPr="003A7898">
        <w:rPr>
          <w:rFonts w:ascii="Times New Roman" w:hAnsi="Times New Roman" w:cs="Times New Roman"/>
          <w:sz w:val="20"/>
          <w:szCs w:val="20"/>
          <w:lang w:val="en-GB" w:eastAsia="fr-FR"/>
        </w:rPr>
        <w:t xml:space="preserve">structural </w:t>
      </w:r>
      <w:r w:rsidR="23ACA5BC" w:rsidRPr="003A7898">
        <w:rPr>
          <w:rFonts w:ascii="Times New Roman" w:hAnsi="Times New Roman" w:cs="Times New Roman"/>
          <w:sz w:val="20"/>
          <w:szCs w:val="20"/>
          <w:lang w:val="en-GB" w:eastAsia="fr-FR"/>
        </w:rPr>
        <w:t xml:space="preserve">causes of the </w:t>
      </w:r>
      <w:r w:rsidR="003B4AEB" w:rsidRPr="003A7898">
        <w:rPr>
          <w:rFonts w:ascii="Times New Roman" w:hAnsi="Times New Roman" w:cs="Times New Roman"/>
          <w:sz w:val="20"/>
          <w:szCs w:val="20"/>
          <w:lang w:val="en-GB" w:eastAsia="fr-FR"/>
        </w:rPr>
        <w:t xml:space="preserve">country’s </w:t>
      </w:r>
      <w:r w:rsidR="23ACA5BC" w:rsidRPr="003A7898">
        <w:rPr>
          <w:rFonts w:ascii="Times New Roman" w:hAnsi="Times New Roman" w:cs="Times New Roman"/>
          <w:sz w:val="20"/>
          <w:szCs w:val="20"/>
          <w:lang w:val="en-GB" w:eastAsia="fr-FR"/>
        </w:rPr>
        <w:t>fragilit</w:t>
      </w:r>
      <w:r w:rsidRPr="003A7898">
        <w:rPr>
          <w:rFonts w:ascii="Times New Roman" w:hAnsi="Times New Roman" w:cs="Times New Roman"/>
          <w:sz w:val="20"/>
          <w:szCs w:val="20"/>
          <w:lang w:val="en-GB" w:eastAsia="fr-FR"/>
        </w:rPr>
        <w:t>ies</w:t>
      </w:r>
      <w:r w:rsidR="23ACA5BC" w:rsidRPr="003A7898">
        <w:rPr>
          <w:rFonts w:ascii="Times New Roman" w:hAnsi="Times New Roman" w:cs="Times New Roman"/>
          <w:sz w:val="20"/>
          <w:szCs w:val="20"/>
          <w:lang w:val="en-GB" w:eastAsia="fr-FR"/>
        </w:rPr>
        <w:t xml:space="preserve"> and accelerate recovery from current crises and shocks.</w:t>
      </w:r>
    </w:p>
    <w:p w14:paraId="678BC1C6" w14:textId="50D92199" w:rsidR="00D25344" w:rsidRPr="00584A94" w:rsidRDefault="00B811FA" w:rsidP="003423BE">
      <w:pPr>
        <w:pStyle w:val="Heading2"/>
        <w:spacing w:before="200" w:after="200" w:line="240" w:lineRule="exact"/>
        <w:ind w:left="1080" w:right="612" w:hanging="360"/>
        <w:jc w:val="both"/>
        <w:rPr>
          <w:rFonts w:ascii="Times New Roman" w:hAnsi="Times New Roman"/>
          <w:bCs/>
          <w:color w:val="000000"/>
          <w:sz w:val="24"/>
          <w:szCs w:val="24"/>
          <w:lang w:val="en-GB"/>
        </w:rPr>
      </w:pPr>
      <w:r w:rsidRPr="00584A94">
        <w:rPr>
          <w:rFonts w:ascii="Times New Roman" w:hAnsi="Times New Roman"/>
          <w:bCs/>
          <w:color w:val="000000"/>
          <w:sz w:val="24"/>
          <w:szCs w:val="24"/>
          <w:lang w:val="en-GB"/>
        </w:rPr>
        <w:t xml:space="preserve">II. </w:t>
      </w:r>
      <w:r w:rsidR="003423BE">
        <w:rPr>
          <w:rFonts w:ascii="Times New Roman" w:hAnsi="Times New Roman"/>
          <w:bCs/>
          <w:color w:val="000000"/>
          <w:sz w:val="24"/>
          <w:szCs w:val="24"/>
          <w:lang w:val="en-GB"/>
        </w:rPr>
        <w:t xml:space="preserve"> </w:t>
      </w:r>
      <w:r w:rsidR="75083091" w:rsidRPr="00584A94">
        <w:rPr>
          <w:rFonts w:ascii="Times New Roman" w:hAnsi="Times New Roman"/>
          <w:bCs/>
          <w:color w:val="000000"/>
          <w:sz w:val="24"/>
          <w:szCs w:val="24"/>
          <w:lang w:val="en-GB"/>
        </w:rPr>
        <w:t>Program</w:t>
      </w:r>
      <w:r w:rsidR="00C729EE" w:rsidRPr="00584A94">
        <w:rPr>
          <w:rFonts w:ascii="Times New Roman" w:hAnsi="Times New Roman"/>
          <w:bCs/>
          <w:color w:val="000000"/>
          <w:sz w:val="24"/>
          <w:szCs w:val="24"/>
          <w:lang w:val="en-GB"/>
        </w:rPr>
        <w:t>me</w:t>
      </w:r>
      <w:r w:rsidR="75083091" w:rsidRPr="00584A94">
        <w:rPr>
          <w:rFonts w:ascii="Times New Roman" w:hAnsi="Times New Roman"/>
          <w:bCs/>
          <w:color w:val="000000"/>
          <w:sz w:val="24"/>
          <w:szCs w:val="24"/>
          <w:lang w:val="en-GB"/>
        </w:rPr>
        <w:t xml:space="preserve"> </w:t>
      </w:r>
      <w:r w:rsidR="00657706" w:rsidRPr="00584A94">
        <w:rPr>
          <w:rFonts w:ascii="Times New Roman" w:hAnsi="Times New Roman"/>
          <w:bCs/>
          <w:color w:val="000000"/>
          <w:sz w:val="24"/>
          <w:szCs w:val="24"/>
          <w:lang w:val="en-GB"/>
        </w:rPr>
        <w:t>p</w:t>
      </w:r>
      <w:r w:rsidR="75083091" w:rsidRPr="00584A94">
        <w:rPr>
          <w:rFonts w:ascii="Times New Roman" w:hAnsi="Times New Roman"/>
          <w:bCs/>
          <w:color w:val="000000"/>
          <w:sz w:val="24"/>
          <w:szCs w:val="24"/>
          <w:lang w:val="en-GB"/>
        </w:rPr>
        <w:t xml:space="preserve">riorities and </w:t>
      </w:r>
      <w:r w:rsidR="00657706" w:rsidRPr="00584A94">
        <w:rPr>
          <w:rFonts w:ascii="Times New Roman" w:hAnsi="Times New Roman"/>
          <w:bCs/>
          <w:color w:val="000000"/>
          <w:sz w:val="24"/>
          <w:szCs w:val="24"/>
          <w:lang w:val="en-GB"/>
        </w:rPr>
        <w:t>p</w:t>
      </w:r>
      <w:r w:rsidR="75083091" w:rsidRPr="00584A94">
        <w:rPr>
          <w:rFonts w:ascii="Times New Roman" w:hAnsi="Times New Roman"/>
          <w:bCs/>
          <w:color w:val="000000"/>
          <w:sz w:val="24"/>
          <w:szCs w:val="24"/>
          <w:lang w:val="en-GB"/>
        </w:rPr>
        <w:t xml:space="preserve">artnerships </w:t>
      </w:r>
    </w:p>
    <w:p w14:paraId="3CE6092C" w14:textId="7D4E721A" w:rsidR="009E2CA9" w:rsidRPr="003A7898" w:rsidRDefault="00057B1C" w:rsidP="00B514B1">
      <w:pPr>
        <w:pStyle w:val="ListParagraph"/>
        <w:numPr>
          <w:ilvl w:val="0"/>
          <w:numId w:val="42"/>
        </w:numPr>
        <w:tabs>
          <w:tab w:val="left" w:pos="135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The </w:t>
      </w:r>
      <w:r w:rsidR="00B142B8">
        <w:rPr>
          <w:rFonts w:ascii="Times New Roman" w:hAnsi="Times New Roman" w:cs="Times New Roman"/>
          <w:sz w:val="20"/>
          <w:szCs w:val="20"/>
          <w:lang w:val="en-GB"/>
        </w:rPr>
        <w:t>p</w:t>
      </w:r>
      <w:r w:rsidRPr="003A7898">
        <w:rPr>
          <w:rFonts w:ascii="Times New Roman" w:hAnsi="Times New Roman" w:cs="Times New Roman"/>
          <w:sz w:val="20"/>
          <w:szCs w:val="20"/>
          <w:lang w:val="en-GB"/>
        </w:rPr>
        <w:t xml:space="preserve">rogramme’s vision </w:t>
      </w:r>
      <w:r w:rsidR="00DE612A" w:rsidRPr="003A7898">
        <w:rPr>
          <w:rFonts w:ascii="Times New Roman" w:hAnsi="Times New Roman" w:cs="Times New Roman"/>
          <w:sz w:val="20"/>
          <w:szCs w:val="20"/>
          <w:lang w:val="en-GB"/>
        </w:rPr>
        <w:t>is that</w:t>
      </w:r>
      <w:r w:rsidR="009E2CA9" w:rsidRPr="003A7898">
        <w:rPr>
          <w:rFonts w:ascii="Times New Roman" w:hAnsi="Times New Roman" w:cs="Times New Roman"/>
          <w:sz w:val="20"/>
          <w:szCs w:val="20"/>
          <w:lang w:val="en-GB"/>
        </w:rPr>
        <w:t xml:space="preserve"> national and local </w:t>
      </w:r>
      <w:r w:rsidR="00DE612A" w:rsidRPr="003A7898">
        <w:rPr>
          <w:rFonts w:ascii="Times New Roman" w:hAnsi="Times New Roman" w:cs="Times New Roman"/>
          <w:sz w:val="20"/>
          <w:szCs w:val="20"/>
          <w:lang w:val="en-GB"/>
        </w:rPr>
        <w:t>institutions</w:t>
      </w:r>
      <w:r w:rsidR="001B7EF7">
        <w:rPr>
          <w:rFonts w:ascii="Times New Roman" w:hAnsi="Times New Roman" w:cs="Times New Roman"/>
          <w:sz w:val="20"/>
          <w:szCs w:val="20"/>
          <w:lang w:val="en-GB"/>
        </w:rPr>
        <w:t>:</w:t>
      </w:r>
      <w:r w:rsidR="009E2CA9" w:rsidRPr="003A7898">
        <w:rPr>
          <w:rFonts w:ascii="Times New Roman" w:hAnsi="Times New Roman" w:cs="Times New Roman"/>
          <w:sz w:val="20"/>
          <w:szCs w:val="20"/>
          <w:lang w:val="en-GB"/>
        </w:rPr>
        <w:t xml:space="preserve"> (</w:t>
      </w:r>
      <w:r w:rsidR="001B7EF7">
        <w:rPr>
          <w:rFonts w:ascii="Times New Roman" w:hAnsi="Times New Roman" w:cs="Times New Roman"/>
          <w:sz w:val="20"/>
          <w:szCs w:val="20"/>
          <w:lang w:val="en-GB"/>
        </w:rPr>
        <w:t>a</w:t>
      </w:r>
      <w:r w:rsidR="009E2CA9" w:rsidRPr="003A7898">
        <w:rPr>
          <w:rFonts w:ascii="Times New Roman" w:hAnsi="Times New Roman" w:cs="Times New Roman"/>
          <w:sz w:val="20"/>
          <w:szCs w:val="20"/>
          <w:lang w:val="en-GB"/>
        </w:rPr>
        <w:t>)</w:t>
      </w:r>
      <w:r w:rsidR="00DE612A" w:rsidRPr="003A7898">
        <w:rPr>
          <w:rFonts w:ascii="Times New Roman" w:hAnsi="Times New Roman" w:cs="Times New Roman"/>
          <w:sz w:val="20"/>
          <w:szCs w:val="20"/>
          <w:lang w:val="en-GB"/>
        </w:rPr>
        <w:t> </w:t>
      </w:r>
      <w:r w:rsidR="009E2CA9" w:rsidRPr="003A7898">
        <w:rPr>
          <w:rFonts w:ascii="Times New Roman" w:hAnsi="Times New Roman" w:cs="Times New Roman"/>
          <w:sz w:val="20"/>
          <w:szCs w:val="20"/>
          <w:lang w:val="en-GB"/>
        </w:rPr>
        <w:t>encourage citizen and civic participation to restore trust between the State and the population</w:t>
      </w:r>
      <w:r w:rsidR="001B7EF7">
        <w:rPr>
          <w:rFonts w:ascii="Times New Roman" w:hAnsi="Times New Roman" w:cs="Times New Roman"/>
          <w:sz w:val="20"/>
          <w:szCs w:val="20"/>
          <w:lang w:val="en-GB"/>
        </w:rPr>
        <w:t>;</w:t>
      </w:r>
      <w:r w:rsidR="009E2CA9" w:rsidRPr="003A7898">
        <w:rPr>
          <w:rFonts w:ascii="Times New Roman" w:hAnsi="Times New Roman" w:cs="Times New Roman"/>
          <w:sz w:val="20"/>
          <w:szCs w:val="20"/>
          <w:lang w:val="en-GB"/>
        </w:rPr>
        <w:t xml:space="preserve"> (</w:t>
      </w:r>
      <w:r w:rsidR="001B7EF7">
        <w:rPr>
          <w:rFonts w:ascii="Times New Roman" w:hAnsi="Times New Roman" w:cs="Times New Roman"/>
          <w:sz w:val="20"/>
          <w:szCs w:val="20"/>
          <w:lang w:val="en-GB"/>
        </w:rPr>
        <w:t>b</w:t>
      </w:r>
      <w:r w:rsidR="009E2CA9" w:rsidRPr="003A7898">
        <w:rPr>
          <w:rFonts w:ascii="Times New Roman" w:hAnsi="Times New Roman" w:cs="Times New Roman"/>
          <w:sz w:val="20"/>
          <w:szCs w:val="20"/>
          <w:lang w:val="en-GB"/>
        </w:rPr>
        <w:t xml:space="preserve">) contribute to institutional stability and </w:t>
      </w:r>
      <w:r w:rsidR="00F44377" w:rsidRPr="003A7898">
        <w:rPr>
          <w:rFonts w:ascii="Times New Roman" w:hAnsi="Times New Roman" w:cs="Times New Roman"/>
          <w:sz w:val="20"/>
          <w:szCs w:val="20"/>
          <w:lang w:val="en-GB"/>
        </w:rPr>
        <w:t>moderni</w:t>
      </w:r>
      <w:r w:rsidR="00F31198" w:rsidRPr="003A7898">
        <w:rPr>
          <w:rFonts w:ascii="Times New Roman" w:hAnsi="Times New Roman" w:cs="Times New Roman"/>
          <w:sz w:val="20"/>
          <w:szCs w:val="20"/>
          <w:lang w:val="en-GB"/>
        </w:rPr>
        <w:t>z</w:t>
      </w:r>
      <w:r w:rsidR="00F44377" w:rsidRPr="003A7898">
        <w:rPr>
          <w:rFonts w:ascii="Times New Roman" w:hAnsi="Times New Roman" w:cs="Times New Roman"/>
          <w:sz w:val="20"/>
          <w:szCs w:val="20"/>
          <w:lang w:val="en-GB"/>
        </w:rPr>
        <w:t xml:space="preserve">ation </w:t>
      </w:r>
      <w:r w:rsidR="009E2CA9" w:rsidRPr="003A7898">
        <w:rPr>
          <w:rFonts w:ascii="Times New Roman" w:hAnsi="Times New Roman" w:cs="Times New Roman"/>
          <w:sz w:val="20"/>
          <w:szCs w:val="20"/>
          <w:lang w:val="en-GB"/>
        </w:rPr>
        <w:t>of the State</w:t>
      </w:r>
      <w:r w:rsidR="001B7EF7">
        <w:rPr>
          <w:rFonts w:ascii="Times New Roman" w:hAnsi="Times New Roman" w:cs="Times New Roman"/>
          <w:sz w:val="20"/>
          <w:szCs w:val="20"/>
          <w:lang w:val="en-GB"/>
        </w:rPr>
        <w:t>;</w:t>
      </w:r>
      <w:r w:rsidR="009E2CA9" w:rsidRPr="003A7898">
        <w:rPr>
          <w:rFonts w:ascii="Times New Roman" w:hAnsi="Times New Roman" w:cs="Times New Roman"/>
          <w:sz w:val="20"/>
          <w:szCs w:val="20"/>
          <w:lang w:val="en-GB"/>
        </w:rPr>
        <w:t xml:space="preserve"> and (</w:t>
      </w:r>
      <w:r w:rsidR="001B7EF7">
        <w:rPr>
          <w:rFonts w:ascii="Times New Roman" w:hAnsi="Times New Roman" w:cs="Times New Roman"/>
          <w:sz w:val="20"/>
          <w:szCs w:val="20"/>
          <w:lang w:val="en-GB"/>
        </w:rPr>
        <w:t>c</w:t>
      </w:r>
      <w:r w:rsidR="009E2CA9" w:rsidRPr="003A7898">
        <w:rPr>
          <w:rFonts w:ascii="Times New Roman" w:hAnsi="Times New Roman" w:cs="Times New Roman"/>
          <w:sz w:val="20"/>
          <w:szCs w:val="20"/>
          <w:lang w:val="en-GB"/>
        </w:rPr>
        <w:t xml:space="preserve">) participate in the </w:t>
      </w:r>
      <w:r w:rsidR="006A340E" w:rsidRPr="003A7898">
        <w:rPr>
          <w:rFonts w:ascii="Times New Roman" w:hAnsi="Times New Roman" w:cs="Times New Roman"/>
          <w:sz w:val="20"/>
          <w:szCs w:val="20"/>
          <w:lang w:val="en-GB"/>
        </w:rPr>
        <w:t xml:space="preserve">improvement </w:t>
      </w:r>
      <w:r w:rsidR="009E2CA9" w:rsidRPr="003A7898">
        <w:rPr>
          <w:rFonts w:ascii="Times New Roman" w:hAnsi="Times New Roman" w:cs="Times New Roman"/>
          <w:sz w:val="20"/>
          <w:szCs w:val="20"/>
          <w:lang w:val="en-GB"/>
        </w:rPr>
        <w:t xml:space="preserve">of the country’s socioeconomic conditions. </w:t>
      </w:r>
      <w:r w:rsidR="001B7EF7">
        <w:rPr>
          <w:rFonts w:ascii="Times New Roman" w:hAnsi="Times New Roman" w:cs="Times New Roman"/>
          <w:sz w:val="20"/>
          <w:szCs w:val="20"/>
          <w:lang w:val="en-GB"/>
        </w:rPr>
        <w:t xml:space="preserve">The </w:t>
      </w:r>
      <w:r w:rsidR="006801A6" w:rsidRPr="003A7898">
        <w:rPr>
          <w:rFonts w:ascii="Times New Roman" w:hAnsi="Times New Roman" w:cs="Times New Roman"/>
          <w:sz w:val="20"/>
          <w:szCs w:val="20"/>
          <w:lang w:val="en-GB"/>
        </w:rPr>
        <w:t>UNDP</w:t>
      </w:r>
      <w:r w:rsidR="009E2CA9" w:rsidRPr="003A7898">
        <w:rPr>
          <w:rFonts w:ascii="Times New Roman" w:hAnsi="Times New Roman" w:cs="Times New Roman"/>
          <w:sz w:val="20"/>
          <w:szCs w:val="20"/>
          <w:lang w:val="en-GB"/>
        </w:rPr>
        <w:t xml:space="preserve"> transformational theory of change </w:t>
      </w:r>
      <w:r w:rsidR="006801A6" w:rsidRPr="003A7898">
        <w:rPr>
          <w:rFonts w:ascii="Times New Roman" w:hAnsi="Times New Roman" w:cs="Times New Roman"/>
          <w:sz w:val="20"/>
          <w:szCs w:val="20"/>
          <w:lang w:val="en-GB"/>
        </w:rPr>
        <w:t>leverages its</w:t>
      </w:r>
      <w:r w:rsidR="00D53391" w:rsidRPr="003A7898">
        <w:rPr>
          <w:rFonts w:ascii="Times New Roman" w:hAnsi="Times New Roman" w:cs="Times New Roman"/>
          <w:sz w:val="20"/>
          <w:szCs w:val="20"/>
          <w:lang w:val="en-GB"/>
        </w:rPr>
        <w:t xml:space="preserve"> value added in </w:t>
      </w:r>
      <w:r w:rsidR="008578DC" w:rsidRPr="003A7898">
        <w:rPr>
          <w:rFonts w:ascii="Times New Roman" w:hAnsi="Times New Roman" w:cs="Times New Roman"/>
          <w:sz w:val="20"/>
          <w:szCs w:val="20"/>
          <w:lang w:val="en-GB"/>
        </w:rPr>
        <w:t>governance</w:t>
      </w:r>
      <w:r w:rsidR="00FA6989" w:rsidRPr="003A7898">
        <w:rPr>
          <w:rFonts w:ascii="Times New Roman" w:hAnsi="Times New Roman" w:cs="Times New Roman"/>
          <w:sz w:val="20"/>
          <w:szCs w:val="20"/>
          <w:lang w:val="en-GB"/>
        </w:rPr>
        <w:t>, institution-building</w:t>
      </w:r>
      <w:r w:rsidR="007051B9">
        <w:rPr>
          <w:rFonts w:ascii="Times New Roman" w:hAnsi="Times New Roman" w:cs="Times New Roman"/>
          <w:sz w:val="20"/>
          <w:szCs w:val="20"/>
          <w:lang w:val="en-GB"/>
        </w:rPr>
        <w:t xml:space="preserve"> and</w:t>
      </w:r>
      <w:r w:rsidR="00FA6989" w:rsidRPr="003A7898">
        <w:rPr>
          <w:rFonts w:ascii="Times New Roman" w:hAnsi="Times New Roman" w:cs="Times New Roman"/>
          <w:sz w:val="20"/>
          <w:szCs w:val="20"/>
          <w:lang w:val="en-GB"/>
        </w:rPr>
        <w:t xml:space="preserve"> public policy development and promotion</w:t>
      </w:r>
      <w:r w:rsidR="008578DC" w:rsidRPr="003A7898">
        <w:rPr>
          <w:rFonts w:ascii="Times New Roman" w:hAnsi="Times New Roman" w:cs="Times New Roman"/>
          <w:sz w:val="20"/>
          <w:szCs w:val="20"/>
          <w:lang w:val="en-GB"/>
        </w:rPr>
        <w:t xml:space="preserve"> as a cross-cutting approach for </w:t>
      </w:r>
      <w:r w:rsidR="009E2CA9" w:rsidRPr="003A7898">
        <w:rPr>
          <w:rFonts w:ascii="Times New Roman" w:hAnsi="Times New Roman" w:cs="Times New Roman"/>
          <w:sz w:val="20"/>
          <w:szCs w:val="20"/>
          <w:lang w:val="en-GB"/>
        </w:rPr>
        <w:t xml:space="preserve">developing national capacities for integrated, coordinated and inclusive development and </w:t>
      </w:r>
      <w:r w:rsidR="007051B9">
        <w:rPr>
          <w:rFonts w:ascii="Times New Roman" w:hAnsi="Times New Roman" w:cs="Times New Roman"/>
          <w:sz w:val="20"/>
          <w:szCs w:val="20"/>
          <w:lang w:val="en-GB"/>
        </w:rPr>
        <w:t xml:space="preserve">for </w:t>
      </w:r>
      <w:r w:rsidR="002B0DBA" w:rsidRPr="003A7898">
        <w:rPr>
          <w:rFonts w:ascii="Times New Roman" w:hAnsi="Times New Roman" w:cs="Times New Roman"/>
          <w:sz w:val="20"/>
          <w:szCs w:val="20"/>
          <w:lang w:val="en-GB"/>
        </w:rPr>
        <w:t>implementing</w:t>
      </w:r>
      <w:r w:rsidR="009E2CA9" w:rsidRPr="003A7898">
        <w:rPr>
          <w:rFonts w:ascii="Times New Roman" w:hAnsi="Times New Roman" w:cs="Times New Roman"/>
          <w:sz w:val="20"/>
          <w:szCs w:val="20"/>
          <w:lang w:val="en-GB"/>
        </w:rPr>
        <w:t xml:space="preserve"> public policies.</w:t>
      </w:r>
    </w:p>
    <w:p w14:paraId="4101DAFC" w14:textId="5BEDE508" w:rsidR="000B5E8D" w:rsidRPr="003A7898" w:rsidRDefault="005F0A04" w:rsidP="00B514B1">
      <w:pPr>
        <w:tabs>
          <w:tab w:val="left" w:pos="1350"/>
        </w:tabs>
        <w:spacing w:after="120" w:line="240" w:lineRule="exact"/>
        <w:ind w:left="1080" w:right="612"/>
        <w:jc w:val="both"/>
        <w:rPr>
          <w:rFonts w:ascii="Times New Roman" w:hAnsi="Times New Roman" w:cs="Times New Roman"/>
          <w:b/>
          <w:bCs/>
          <w:sz w:val="20"/>
          <w:szCs w:val="20"/>
          <w:lang w:val="en-GB"/>
        </w:rPr>
      </w:pPr>
      <w:r w:rsidRPr="003A7898">
        <w:rPr>
          <w:rFonts w:ascii="Times New Roman" w:hAnsi="Times New Roman" w:cs="Times New Roman"/>
          <w:b/>
          <w:bCs/>
          <w:sz w:val="20"/>
          <w:szCs w:val="20"/>
          <w:lang w:val="en-GB" w:eastAsia="fr-FR"/>
        </w:rPr>
        <w:t xml:space="preserve">Priority </w:t>
      </w:r>
      <w:r w:rsidR="001B7EF7">
        <w:rPr>
          <w:rFonts w:ascii="Times New Roman" w:hAnsi="Times New Roman" w:cs="Times New Roman"/>
          <w:b/>
          <w:bCs/>
          <w:sz w:val="20"/>
          <w:szCs w:val="20"/>
          <w:lang w:val="en-GB" w:eastAsia="fr-FR"/>
        </w:rPr>
        <w:t>a</w:t>
      </w:r>
      <w:r w:rsidRPr="003A7898">
        <w:rPr>
          <w:rFonts w:ascii="Times New Roman" w:hAnsi="Times New Roman" w:cs="Times New Roman"/>
          <w:b/>
          <w:bCs/>
          <w:sz w:val="20"/>
          <w:szCs w:val="20"/>
          <w:lang w:val="en-GB" w:eastAsia="fr-FR"/>
        </w:rPr>
        <w:t>rea 1</w:t>
      </w:r>
      <w:r w:rsidR="0048217C" w:rsidRPr="003A7898">
        <w:rPr>
          <w:rFonts w:ascii="Times New Roman" w:hAnsi="Times New Roman" w:cs="Times New Roman"/>
          <w:b/>
          <w:bCs/>
          <w:sz w:val="20"/>
          <w:szCs w:val="20"/>
          <w:lang w:val="en-GB" w:eastAsia="fr-FR"/>
        </w:rPr>
        <w:t xml:space="preserve"> (UNSDCF </w:t>
      </w:r>
      <w:r w:rsidR="001B7EF7">
        <w:rPr>
          <w:rFonts w:ascii="Times New Roman" w:hAnsi="Times New Roman" w:cs="Times New Roman"/>
          <w:b/>
          <w:bCs/>
          <w:sz w:val="20"/>
          <w:szCs w:val="20"/>
          <w:lang w:val="en-GB" w:eastAsia="fr-FR"/>
        </w:rPr>
        <w:t>p</w:t>
      </w:r>
      <w:r w:rsidR="0048217C" w:rsidRPr="003A7898">
        <w:rPr>
          <w:rFonts w:ascii="Times New Roman" w:hAnsi="Times New Roman" w:cs="Times New Roman"/>
          <w:b/>
          <w:bCs/>
          <w:sz w:val="20"/>
          <w:szCs w:val="20"/>
          <w:lang w:val="en-GB" w:eastAsia="fr-FR"/>
        </w:rPr>
        <w:t>illar 1)</w:t>
      </w:r>
      <w:r w:rsidRPr="003A7898">
        <w:rPr>
          <w:rFonts w:ascii="Times New Roman" w:hAnsi="Times New Roman" w:cs="Times New Roman"/>
          <w:b/>
          <w:bCs/>
          <w:sz w:val="20"/>
          <w:szCs w:val="20"/>
          <w:lang w:val="en-GB" w:eastAsia="fr-FR"/>
        </w:rPr>
        <w:t xml:space="preserve">: </w:t>
      </w:r>
      <w:r w:rsidR="002B2379" w:rsidRPr="003A7898">
        <w:rPr>
          <w:rFonts w:ascii="Times New Roman" w:hAnsi="Times New Roman" w:cs="Times New Roman"/>
          <w:b/>
          <w:bCs/>
          <w:sz w:val="20"/>
          <w:szCs w:val="20"/>
          <w:lang w:val="en-GB"/>
        </w:rPr>
        <w:t xml:space="preserve">the rule </w:t>
      </w:r>
      <w:r w:rsidR="00DC6E43" w:rsidRPr="003A7898">
        <w:rPr>
          <w:rFonts w:ascii="Times New Roman" w:hAnsi="Times New Roman" w:cs="Times New Roman"/>
          <w:b/>
          <w:bCs/>
          <w:sz w:val="20"/>
          <w:szCs w:val="20"/>
          <w:lang w:val="en-GB"/>
        </w:rPr>
        <w:t>of law, good governance and human rights</w:t>
      </w:r>
    </w:p>
    <w:p w14:paraId="642F1E88" w14:textId="14BFC31B" w:rsidR="00E9634F" w:rsidRPr="003A7898" w:rsidRDefault="001B7EF7" w:rsidP="00B514B1">
      <w:pPr>
        <w:pStyle w:val="ListParagraph"/>
        <w:numPr>
          <w:ilvl w:val="0"/>
          <w:numId w:val="42"/>
        </w:numPr>
        <w:spacing w:after="120" w:line="240" w:lineRule="exact"/>
        <w:ind w:left="1080" w:right="612"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The underlying hyp</w:t>
      </w:r>
      <w:r w:rsidR="009C00B7">
        <w:rPr>
          <w:rFonts w:ascii="Times New Roman" w:hAnsi="Times New Roman" w:cs="Times New Roman"/>
          <w:sz w:val="20"/>
          <w:szCs w:val="20"/>
          <w:lang w:val="en-GB"/>
        </w:rPr>
        <w:t>o</w:t>
      </w:r>
      <w:r>
        <w:rPr>
          <w:rFonts w:ascii="Times New Roman" w:hAnsi="Times New Roman" w:cs="Times New Roman"/>
          <w:sz w:val="20"/>
          <w:szCs w:val="20"/>
          <w:lang w:val="en-GB"/>
        </w:rPr>
        <w:t>thesis is that i</w:t>
      </w:r>
      <w:r w:rsidR="00546255" w:rsidRPr="003A7898">
        <w:rPr>
          <w:rFonts w:ascii="Times New Roman" w:hAnsi="Times New Roman" w:cs="Times New Roman"/>
          <w:sz w:val="20"/>
          <w:szCs w:val="20"/>
          <w:lang w:val="en-GB"/>
        </w:rPr>
        <w:t>f</w:t>
      </w:r>
      <w:r w:rsidR="006E1DB6" w:rsidRPr="003A7898">
        <w:rPr>
          <w:rFonts w:ascii="Times New Roman" w:hAnsi="Times New Roman" w:cs="Times New Roman"/>
          <w:sz w:val="20"/>
          <w:szCs w:val="20"/>
          <w:lang w:val="en-GB"/>
        </w:rPr>
        <w:t xml:space="preserve"> independent and democratic </w:t>
      </w:r>
      <w:r w:rsidR="00E4158B" w:rsidRPr="003A7898">
        <w:rPr>
          <w:rFonts w:ascii="Times New Roman" w:hAnsi="Times New Roman" w:cs="Times New Roman"/>
          <w:sz w:val="20"/>
          <w:szCs w:val="20"/>
          <w:lang w:val="en-GB"/>
        </w:rPr>
        <w:t xml:space="preserve">systems </w:t>
      </w:r>
      <w:r>
        <w:rPr>
          <w:rFonts w:ascii="Times New Roman" w:hAnsi="Times New Roman" w:cs="Times New Roman"/>
          <w:sz w:val="20"/>
          <w:szCs w:val="20"/>
          <w:lang w:val="en-GB"/>
        </w:rPr>
        <w:t xml:space="preserve">in Haiti </w:t>
      </w:r>
      <w:r w:rsidR="00E4158B" w:rsidRPr="003A7898">
        <w:rPr>
          <w:rFonts w:ascii="Times New Roman" w:hAnsi="Times New Roman" w:cs="Times New Roman"/>
          <w:sz w:val="20"/>
          <w:szCs w:val="20"/>
          <w:lang w:val="en-GB"/>
        </w:rPr>
        <w:t xml:space="preserve">are enhanced and effective, </w:t>
      </w:r>
      <w:r w:rsidR="006E1DB6" w:rsidRPr="003A7898">
        <w:rPr>
          <w:rFonts w:ascii="Times New Roman" w:hAnsi="Times New Roman" w:cs="Times New Roman"/>
          <w:sz w:val="20"/>
          <w:szCs w:val="20"/>
          <w:lang w:val="en-GB"/>
        </w:rPr>
        <w:t>and security is gradually guaranteed</w:t>
      </w:r>
      <w:r w:rsidR="00E228C6" w:rsidRPr="003A7898">
        <w:rPr>
          <w:rFonts w:ascii="Times New Roman" w:hAnsi="Times New Roman" w:cs="Times New Roman"/>
          <w:sz w:val="20"/>
          <w:szCs w:val="20"/>
          <w:lang w:val="en-GB"/>
        </w:rPr>
        <w:t xml:space="preserve"> through an effective security sector</w:t>
      </w:r>
      <w:r w:rsidR="00E4158B" w:rsidRPr="003A7898">
        <w:rPr>
          <w:rFonts w:ascii="Times New Roman" w:hAnsi="Times New Roman" w:cs="Times New Roman"/>
          <w:sz w:val="20"/>
          <w:szCs w:val="20"/>
          <w:lang w:val="en-GB"/>
        </w:rPr>
        <w:t xml:space="preserve">, </w:t>
      </w:r>
      <w:r w:rsidR="00B60017" w:rsidRPr="003A7898">
        <w:rPr>
          <w:rFonts w:ascii="Times New Roman" w:hAnsi="Times New Roman" w:cs="Times New Roman"/>
          <w:sz w:val="20"/>
          <w:szCs w:val="20"/>
          <w:lang w:val="en-GB"/>
        </w:rPr>
        <w:t>the</w:t>
      </w:r>
      <w:r w:rsidR="00197342" w:rsidRPr="003A7898">
        <w:rPr>
          <w:rFonts w:ascii="Times New Roman" w:hAnsi="Times New Roman" w:cs="Times New Roman"/>
          <w:sz w:val="20"/>
          <w:szCs w:val="20"/>
          <w:lang w:val="en-GB"/>
        </w:rPr>
        <w:t>n the</w:t>
      </w:r>
      <w:r w:rsidR="00B60017" w:rsidRPr="003A7898">
        <w:rPr>
          <w:rFonts w:ascii="Times New Roman" w:hAnsi="Times New Roman" w:cs="Times New Roman"/>
          <w:sz w:val="20"/>
          <w:szCs w:val="20"/>
          <w:lang w:val="en-GB"/>
        </w:rPr>
        <w:t xml:space="preserve"> </w:t>
      </w:r>
      <w:r w:rsidR="001F4CB6" w:rsidRPr="003A7898">
        <w:rPr>
          <w:rFonts w:ascii="Times New Roman" w:hAnsi="Times New Roman" w:cs="Times New Roman"/>
          <w:sz w:val="20"/>
          <w:szCs w:val="20"/>
          <w:lang w:val="en-GB"/>
        </w:rPr>
        <w:t xml:space="preserve">management of public affairs </w:t>
      </w:r>
      <w:r w:rsidR="00197342" w:rsidRPr="003A7898">
        <w:rPr>
          <w:rFonts w:ascii="Times New Roman" w:hAnsi="Times New Roman" w:cs="Times New Roman"/>
          <w:sz w:val="20"/>
          <w:szCs w:val="20"/>
          <w:lang w:val="en-GB"/>
        </w:rPr>
        <w:t xml:space="preserve">will </w:t>
      </w:r>
      <w:r w:rsidR="001F4CB6" w:rsidRPr="003A7898">
        <w:rPr>
          <w:rFonts w:ascii="Times New Roman" w:hAnsi="Times New Roman" w:cs="Times New Roman"/>
          <w:sz w:val="20"/>
          <w:szCs w:val="20"/>
          <w:lang w:val="en-GB"/>
        </w:rPr>
        <w:t xml:space="preserve">serve the general interest of the nation </w:t>
      </w:r>
      <w:r w:rsidR="009C1A5C" w:rsidRPr="003A7898">
        <w:rPr>
          <w:rFonts w:ascii="Times New Roman" w:hAnsi="Times New Roman" w:cs="Times New Roman"/>
          <w:sz w:val="20"/>
          <w:szCs w:val="20"/>
          <w:lang w:val="en-GB"/>
        </w:rPr>
        <w:t>responsi</w:t>
      </w:r>
      <w:r>
        <w:rPr>
          <w:rFonts w:ascii="Times New Roman" w:hAnsi="Times New Roman" w:cs="Times New Roman"/>
          <w:sz w:val="20"/>
          <w:szCs w:val="20"/>
          <w:lang w:val="en-GB"/>
        </w:rPr>
        <w:t>b</w:t>
      </w:r>
      <w:r w:rsidR="009C1A5C" w:rsidRPr="003A7898">
        <w:rPr>
          <w:rFonts w:ascii="Times New Roman" w:hAnsi="Times New Roman" w:cs="Times New Roman"/>
          <w:sz w:val="20"/>
          <w:szCs w:val="20"/>
          <w:lang w:val="en-GB"/>
        </w:rPr>
        <w:t>ly</w:t>
      </w:r>
      <w:r w:rsidR="001F4CB6" w:rsidRPr="003A7898">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be </w:t>
      </w:r>
      <w:r w:rsidR="001F4CB6" w:rsidRPr="003A7898">
        <w:rPr>
          <w:rFonts w:ascii="Times New Roman" w:hAnsi="Times New Roman" w:cs="Times New Roman"/>
          <w:sz w:val="20"/>
          <w:szCs w:val="20"/>
          <w:lang w:val="en-GB"/>
        </w:rPr>
        <w:t>accountab</w:t>
      </w:r>
      <w:r w:rsidR="009C1A5C" w:rsidRPr="003A7898">
        <w:rPr>
          <w:rFonts w:ascii="Times New Roman" w:hAnsi="Times New Roman" w:cs="Times New Roman"/>
          <w:sz w:val="20"/>
          <w:szCs w:val="20"/>
          <w:lang w:val="en-GB"/>
        </w:rPr>
        <w:t>le</w:t>
      </w:r>
      <w:r w:rsidR="001F4CB6" w:rsidRPr="003A7898">
        <w:rPr>
          <w:rFonts w:ascii="Times New Roman" w:hAnsi="Times New Roman" w:cs="Times New Roman"/>
          <w:sz w:val="20"/>
          <w:szCs w:val="20"/>
          <w:lang w:val="en-GB"/>
        </w:rPr>
        <w:t xml:space="preserve"> and transparen</w:t>
      </w:r>
      <w:r w:rsidR="009C1A5C" w:rsidRPr="003A7898">
        <w:rPr>
          <w:rFonts w:ascii="Times New Roman" w:hAnsi="Times New Roman" w:cs="Times New Roman"/>
          <w:sz w:val="20"/>
          <w:szCs w:val="20"/>
          <w:lang w:val="en-GB"/>
        </w:rPr>
        <w:t xml:space="preserve">t </w:t>
      </w:r>
      <w:r w:rsidR="001F4CB6" w:rsidRPr="003A7898">
        <w:rPr>
          <w:rFonts w:ascii="Times New Roman" w:hAnsi="Times New Roman" w:cs="Times New Roman"/>
          <w:sz w:val="20"/>
          <w:szCs w:val="20"/>
          <w:lang w:val="en-GB"/>
        </w:rPr>
        <w:t xml:space="preserve">towards the Haitians most exposed to vulnerabilities and inequalities including women, girls, youth, </w:t>
      </w:r>
      <w:r w:rsidR="003E7EA8">
        <w:rPr>
          <w:rFonts w:ascii="Times New Roman" w:hAnsi="Times New Roman" w:cs="Times New Roman"/>
          <w:sz w:val="20"/>
          <w:szCs w:val="20"/>
          <w:lang w:val="en-GB"/>
        </w:rPr>
        <w:t xml:space="preserve">persons </w:t>
      </w:r>
      <w:r w:rsidR="001F4CB6" w:rsidRPr="003A7898">
        <w:rPr>
          <w:rFonts w:ascii="Times New Roman" w:hAnsi="Times New Roman" w:cs="Times New Roman"/>
          <w:sz w:val="20"/>
          <w:szCs w:val="20"/>
          <w:lang w:val="en-GB"/>
        </w:rPr>
        <w:t>with disabilities and communities in hard-to-reach geographical areas.</w:t>
      </w:r>
    </w:p>
    <w:p w14:paraId="666D1F38" w14:textId="1BACB156" w:rsidR="00E656B7" w:rsidRPr="003A7898" w:rsidRDefault="00E9634F" w:rsidP="00B514B1">
      <w:pPr>
        <w:pStyle w:val="ListParagraph"/>
        <w:numPr>
          <w:ilvl w:val="0"/>
          <w:numId w:val="42"/>
        </w:numPr>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UNDP will build on its good reputation and ongoing decades of experience</w:t>
      </w:r>
      <w:r w:rsidR="0069714A">
        <w:rPr>
          <w:rFonts w:ascii="Times New Roman" w:hAnsi="Times New Roman" w:cs="Times New Roman"/>
          <w:sz w:val="20"/>
          <w:szCs w:val="20"/>
          <w:lang w:val="en-GB"/>
        </w:rPr>
        <w:t xml:space="preserve"> working </w:t>
      </w:r>
      <w:r w:rsidRPr="003A7898">
        <w:rPr>
          <w:rFonts w:ascii="Times New Roman" w:hAnsi="Times New Roman" w:cs="Times New Roman"/>
          <w:sz w:val="20"/>
          <w:szCs w:val="20"/>
          <w:lang w:val="en-GB"/>
        </w:rPr>
        <w:t xml:space="preserve"> alongside national authorities</w:t>
      </w:r>
      <w:r w:rsidR="00E228C6" w:rsidRPr="003A7898">
        <w:rPr>
          <w:rFonts w:ascii="Times New Roman" w:hAnsi="Times New Roman" w:cs="Times New Roman"/>
          <w:sz w:val="20"/>
          <w:szCs w:val="20"/>
          <w:lang w:val="en-GB"/>
        </w:rPr>
        <w:t xml:space="preserve"> and developing their capacities</w:t>
      </w:r>
      <w:r w:rsidRPr="003A7898">
        <w:rPr>
          <w:rFonts w:ascii="Times New Roman" w:hAnsi="Times New Roman" w:cs="Times New Roman"/>
          <w:sz w:val="20"/>
          <w:szCs w:val="20"/>
          <w:lang w:val="en-GB"/>
        </w:rPr>
        <w:t xml:space="preserve">. Adopting an integrated programmatic approach, UNDP will advocate for the most </w:t>
      </w:r>
      <w:r w:rsidR="00F31198" w:rsidRPr="003A7898">
        <w:rPr>
          <w:rFonts w:ascii="Times New Roman" w:hAnsi="Times New Roman" w:cs="Times New Roman"/>
          <w:sz w:val="20"/>
          <w:szCs w:val="20"/>
          <w:lang w:val="en-GB"/>
        </w:rPr>
        <w:t xml:space="preserve">marginalized </w:t>
      </w:r>
      <w:r w:rsidRPr="003A7898">
        <w:rPr>
          <w:rFonts w:ascii="Times New Roman" w:hAnsi="Times New Roman" w:cs="Times New Roman"/>
          <w:sz w:val="20"/>
          <w:szCs w:val="20"/>
          <w:lang w:val="en-GB"/>
        </w:rPr>
        <w:t xml:space="preserve">and </w:t>
      </w:r>
      <w:r w:rsidR="003E7EA8">
        <w:rPr>
          <w:rFonts w:ascii="Times New Roman" w:hAnsi="Times New Roman" w:cs="Times New Roman"/>
          <w:sz w:val="20"/>
          <w:szCs w:val="20"/>
          <w:lang w:val="en-GB"/>
        </w:rPr>
        <w:t xml:space="preserve">those </w:t>
      </w:r>
      <w:r w:rsidRPr="003A7898">
        <w:rPr>
          <w:rFonts w:ascii="Times New Roman" w:hAnsi="Times New Roman" w:cs="Times New Roman"/>
          <w:sz w:val="20"/>
          <w:szCs w:val="20"/>
          <w:lang w:val="en-GB"/>
        </w:rPr>
        <w:t xml:space="preserve">at risk of discrimination, focusing particularly on supporting agency and defending </w:t>
      </w:r>
      <w:r w:rsidR="008162AA" w:rsidRPr="003A7898">
        <w:rPr>
          <w:rFonts w:ascii="Times New Roman" w:hAnsi="Times New Roman" w:cs="Times New Roman"/>
          <w:sz w:val="20"/>
          <w:szCs w:val="20"/>
          <w:lang w:val="en-GB"/>
        </w:rPr>
        <w:t xml:space="preserve">the </w:t>
      </w:r>
      <w:r w:rsidRPr="003A7898">
        <w:rPr>
          <w:rFonts w:ascii="Times New Roman" w:hAnsi="Times New Roman" w:cs="Times New Roman"/>
          <w:sz w:val="20"/>
          <w:szCs w:val="20"/>
          <w:lang w:val="en-GB"/>
        </w:rPr>
        <w:t>rights of women</w:t>
      </w:r>
      <w:r w:rsidR="003E7EA8">
        <w:rPr>
          <w:rFonts w:ascii="Times New Roman" w:hAnsi="Times New Roman" w:cs="Times New Roman"/>
          <w:sz w:val="20"/>
          <w:szCs w:val="20"/>
          <w:lang w:val="en-GB"/>
        </w:rPr>
        <w:t>,</w:t>
      </w:r>
      <w:r w:rsidRPr="003A7898">
        <w:rPr>
          <w:rFonts w:ascii="Times New Roman" w:hAnsi="Times New Roman" w:cs="Times New Roman"/>
          <w:sz w:val="20"/>
          <w:szCs w:val="20"/>
          <w:lang w:val="en-GB"/>
        </w:rPr>
        <w:t xml:space="preserve"> youth and lesbian, gay, bisexual, transgender, intersex and other (LGBTI+) communities. </w:t>
      </w:r>
      <w:r w:rsidR="008162AA" w:rsidRPr="003A7898">
        <w:rPr>
          <w:rFonts w:ascii="Times New Roman" w:hAnsi="Times New Roman" w:cs="Times New Roman"/>
          <w:sz w:val="20"/>
          <w:szCs w:val="20"/>
          <w:lang w:val="en-GB"/>
        </w:rPr>
        <w:t>More systemicall</w:t>
      </w:r>
      <w:r w:rsidRPr="003A7898">
        <w:rPr>
          <w:rFonts w:ascii="Times New Roman" w:hAnsi="Times New Roman" w:cs="Times New Roman"/>
          <w:sz w:val="20"/>
          <w:szCs w:val="20"/>
          <w:lang w:val="en-GB"/>
        </w:rPr>
        <w:t xml:space="preserve">y, UNDP will progressively contribute to restoring trust between the State and the population, to political and institutional stability and to reducing gender inequalities. UNDP will implement the global gender strategy to reduce gender inequalities, </w:t>
      </w:r>
      <w:r w:rsidR="00BE194E" w:rsidRPr="003A7898">
        <w:rPr>
          <w:rFonts w:ascii="Times New Roman" w:hAnsi="Times New Roman" w:cs="Times New Roman"/>
          <w:sz w:val="20"/>
          <w:szCs w:val="20"/>
          <w:lang w:val="en-GB"/>
        </w:rPr>
        <w:t xml:space="preserve">encouraging </w:t>
      </w:r>
      <w:r w:rsidRPr="003A7898">
        <w:rPr>
          <w:rFonts w:ascii="Times New Roman" w:hAnsi="Times New Roman" w:cs="Times New Roman"/>
          <w:sz w:val="20"/>
          <w:szCs w:val="20"/>
          <w:lang w:val="en-GB"/>
        </w:rPr>
        <w:t>institutional transformation.</w:t>
      </w:r>
    </w:p>
    <w:p w14:paraId="28BCA609" w14:textId="4B1BF181" w:rsidR="00BA3B82" w:rsidRPr="003A7898" w:rsidRDefault="00BB6FFD" w:rsidP="00B514B1">
      <w:pPr>
        <w:pStyle w:val="ListParagraph"/>
        <w:numPr>
          <w:ilvl w:val="0"/>
          <w:numId w:val="42"/>
        </w:numPr>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In collaboration with other U</w:t>
      </w:r>
      <w:r w:rsidR="00232C09" w:rsidRPr="003A7898">
        <w:rPr>
          <w:rFonts w:ascii="Times New Roman" w:hAnsi="Times New Roman" w:cs="Times New Roman"/>
          <w:sz w:val="20"/>
          <w:szCs w:val="20"/>
          <w:lang w:val="en-GB"/>
        </w:rPr>
        <w:t xml:space="preserve">nited </w:t>
      </w:r>
      <w:r w:rsidRPr="003A7898">
        <w:rPr>
          <w:rFonts w:ascii="Times New Roman" w:hAnsi="Times New Roman" w:cs="Times New Roman"/>
          <w:sz w:val="20"/>
          <w:szCs w:val="20"/>
          <w:lang w:val="en-GB"/>
        </w:rPr>
        <w:t>N</w:t>
      </w:r>
      <w:r w:rsidR="00232C09" w:rsidRPr="003A7898">
        <w:rPr>
          <w:rFonts w:ascii="Times New Roman" w:hAnsi="Times New Roman" w:cs="Times New Roman"/>
          <w:sz w:val="20"/>
          <w:szCs w:val="20"/>
          <w:lang w:val="en-GB"/>
        </w:rPr>
        <w:t>ations</w:t>
      </w:r>
      <w:r w:rsidRPr="003A7898">
        <w:rPr>
          <w:rFonts w:ascii="Times New Roman" w:hAnsi="Times New Roman" w:cs="Times New Roman"/>
          <w:sz w:val="20"/>
          <w:szCs w:val="20"/>
          <w:lang w:val="en-GB"/>
        </w:rPr>
        <w:t xml:space="preserve"> actors, including </w:t>
      </w:r>
      <w:r w:rsidR="0069714A">
        <w:rPr>
          <w:rFonts w:ascii="Times New Roman" w:hAnsi="Times New Roman" w:cs="Times New Roman"/>
          <w:sz w:val="20"/>
          <w:szCs w:val="20"/>
          <w:lang w:val="en-GB"/>
        </w:rPr>
        <w:t>BINUH</w:t>
      </w:r>
      <w:r w:rsidRPr="003A7898">
        <w:rPr>
          <w:rFonts w:ascii="Times New Roman" w:hAnsi="Times New Roman" w:cs="Times New Roman"/>
          <w:sz w:val="20"/>
          <w:szCs w:val="20"/>
          <w:lang w:val="en-GB"/>
        </w:rPr>
        <w:t xml:space="preserve">, </w:t>
      </w:r>
      <w:r w:rsidR="00DF62E1" w:rsidRPr="003A7898">
        <w:rPr>
          <w:rFonts w:ascii="Times New Roman" w:hAnsi="Times New Roman" w:cs="Times New Roman"/>
          <w:sz w:val="20"/>
          <w:szCs w:val="20"/>
          <w:lang w:val="en-GB"/>
        </w:rPr>
        <w:t>national partners and regional bodies, UNDP will implement initiatives encourag</w:t>
      </w:r>
      <w:r w:rsidR="002C08C6" w:rsidRPr="003A7898">
        <w:rPr>
          <w:rFonts w:ascii="Times New Roman" w:hAnsi="Times New Roman" w:cs="Times New Roman"/>
          <w:sz w:val="20"/>
          <w:szCs w:val="20"/>
          <w:lang w:val="en-GB"/>
        </w:rPr>
        <w:t>ing</w:t>
      </w:r>
      <w:r w:rsidR="00DF62E1" w:rsidRPr="003A7898">
        <w:rPr>
          <w:rFonts w:ascii="Times New Roman" w:hAnsi="Times New Roman" w:cs="Times New Roman"/>
          <w:sz w:val="20"/>
          <w:szCs w:val="20"/>
          <w:lang w:val="en-GB"/>
        </w:rPr>
        <w:t xml:space="preserve"> </w:t>
      </w:r>
      <w:r w:rsidR="00BA3B82" w:rsidRPr="003A7898">
        <w:rPr>
          <w:rFonts w:ascii="Times New Roman" w:hAnsi="Times New Roman" w:cs="Times New Roman"/>
          <w:sz w:val="20"/>
          <w:szCs w:val="20"/>
          <w:lang w:val="en-GB"/>
        </w:rPr>
        <w:t xml:space="preserve">civic engagement </w:t>
      </w:r>
      <w:r w:rsidR="0077394A" w:rsidRPr="003A7898">
        <w:rPr>
          <w:rFonts w:ascii="Times New Roman" w:hAnsi="Times New Roman" w:cs="Times New Roman"/>
          <w:sz w:val="20"/>
          <w:szCs w:val="20"/>
          <w:lang w:val="en-GB"/>
        </w:rPr>
        <w:t xml:space="preserve">to restore trust between the </w:t>
      </w:r>
      <w:r w:rsidR="00FC48E6" w:rsidRPr="003A7898">
        <w:rPr>
          <w:rFonts w:ascii="Times New Roman" w:hAnsi="Times New Roman" w:cs="Times New Roman"/>
          <w:sz w:val="20"/>
          <w:szCs w:val="20"/>
          <w:lang w:val="en-GB"/>
        </w:rPr>
        <w:t>S</w:t>
      </w:r>
      <w:r w:rsidR="0077394A" w:rsidRPr="003A7898">
        <w:rPr>
          <w:rFonts w:ascii="Times New Roman" w:hAnsi="Times New Roman" w:cs="Times New Roman"/>
          <w:sz w:val="20"/>
          <w:szCs w:val="20"/>
          <w:lang w:val="en-GB"/>
        </w:rPr>
        <w:t xml:space="preserve">tate and </w:t>
      </w:r>
      <w:r w:rsidR="00FC48E6" w:rsidRPr="003A7898">
        <w:rPr>
          <w:rFonts w:ascii="Times New Roman" w:hAnsi="Times New Roman" w:cs="Times New Roman"/>
          <w:sz w:val="20"/>
          <w:szCs w:val="20"/>
          <w:lang w:val="en-GB"/>
        </w:rPr>
        <w:t xml:space="preserve">the </w:t>
      </w:r>
      <w:r w:rsidR="0077394A" w:rsidRPr="003A7898">
        <w:rPr>
          <w:rFonts w:ascii="Times New Roman" w:hAnsi="Times New Roman" w:cs="Times New Roman"/>
          <w:sz w:val="20"/>
          <w:szCs w:val="20"/>
          <w:lang w:val="en-GB"/>
        </w:rPr>
        <w:t>Haitian population</w:t>
      </w:r>
      <w:r w:rsidR="00ED723D" w:rsidRPr="003A7898">
        <w:rPr>
          <w:rFonts w:ascii="Times New Roman" w:hAnsi="Times New Roman" w:cs="Times New Roman"/>
          <w:sz w:val="20"/>
          <w:szCs w:val="20"/>
          <w:lang w:val="en-GB"/>
        </w:rPr>
        <w:t xml:space="preserve"> via the electoral process. </w:t>
      </w:r>
      <w:r w:rsidR="0069714A">
        <w:rPr>
          <w:rFonts w:ascii="Times New Roman" w:hAnsi="Times New Roman" w:cs="Times New Roman"/>
          <w:sz w:val="20"/>
          <w:szCs w:val="20"/>
          <w:lang w:val="en-GB"/>
        </w:rPr>
        <w:t xml:space="preserve">The </w:t>
      </w:r>
      <w:r w:rsidR="00305BCF">
        <w:rPr>
          <w:rFonts w:ascii="Times New Roman" w:hAnsi="Times New Roman" w:cs="Times New Roman"/>
          <w:sz w:val="20"/>
          <w:szCs w:val="20"/>
          <w:lang w:val="en-GB"/>
        </w:rPr>
        <w:t xml:space="preserve">ongoing work of </w:t>
      </w:r>
      <w:r w:rsidR="001353CB" w:rsidRPr="003A7898">
        <w:rPr>
          <w:rFonts w:ascii="Times New Roman" w:hAnsi="Times New Roman" w:cs="Times New Roman"/>
          <w:sz w:val="20"/>
          <w:szCs w:val="20"/>
          <w:lang w:val="en-GB"/>
        </w:rPr>
        <w:t>UNDP</w:t>
      </w:r>
      <w:r w:rsidR="00F521FF" w:rsidRPr="003A7898">
        <w:rPr>
          <w:rFonts w:ascii="Times New Roman" w:hAnsi="Times New Roman" w:cs="Times New Roman"/>
          <w:sz w:val="20"/>
          <w:szCs w:val="20"/>
          <w:lang w:val="en-GB"/>
        </w:rPr>
        <w:t xml:space="preserve"> </w:t>
      </w:r>
      <w:r w:rsidR="00CE1174" w:rsidRPr="003A7898">
        <w:rPr>
          <w:rFonts w:ascii="Times New Roman" w:hAnsi="Times New Roman" w:cs="Times New Roman"/>
          <w:sz w:val="20"/>
          <w:szCs w:val="20"/>
          <w:lang w:val="en-GB"/>
        </w:rPr>
        <w:t xml:space="preserve">to support national efforts at the community and national levels to reduce community </w:t>
      </w:r>
      <w:r w:rsidR="00F521FF" w:rsidRPr="003A7898">
        <w:rPr>
          <w:rFonts w:ascii="Times New Roman" w:hAnsi="Times New Roman" w:cs="Times New Roman"/>
          <w:sz w:val="20"/>
          <w:szCs w:val="20"/>
          <w:lang w:val="en-GB"/>
        </w:rPr>
        <w:t>violence</w:t>
      </w:r>
      <w:r w:rsidR="00CE1174" w:rsidRPr="003A7898">
        <w:rPr>
          <w:rFonts w:ascii="Times New Roman" w:hAnsi="Times New Roman" w:cs="Times New Roman"/>
          <w:sz w:val="20"/>
          <w:szCs w:val="20"/>
          <w:lang w:val="en-GB"/>
        </w:rPr>
        <w:t xml:space="preserve">, combat </w:t>
      </w:r>
      <w:r w:rsidR="00D67649" w:rsidRPr="003A7898">
        <w:rPr>
          <w:rFonts w:ascii="Times New Roman" w:hAnsi="Times New Roman" w:cs="Times New Roman"/>
          <w:sz w:val="20"/>
          <w:szCs w:val="20"/>
          <w:lang w:val="en-GB"/>
        </w:rPr>
        <w:t>impunity and corruption, increase access to justice and strengthen the capacities of the Haitian National Police</w:t>
      </w:r>
      <w:r w:rsidR="00055A53" w:rsidRPr="003A7898">
        <w:rPr>
          <w:rFonts w:ascii="Times New Roman" w:hAnsi="Times New Roman" w:cs="Times New Roman"/>
          <w:sz w:val="20"/>
          <w:szCs w:val="20"/>
          <w:lang w:val="en-GB"/>
        </w:rPr>
        <w:t xml:space="preserve"> </w:t>
      </w:r>
      <w:r w:rsidR="00D67649" w:rsidRPr="003A7898">
        <w:rPr>
          <w:rFonts w:ascii="Times New Roman" w:hAnsi="Times New Roman" w:cs="Times New Roman"/>
          <w:sz w:val="20"/>
          <w:szCs w:val="20"/>
          <w:lang w:val="en-GB"/>
        </w:rPr>
        <w:t>not only build</w:t>
      </w:r>
      <w:r w:rsidR="009C00B7">
        <w:rPr>
          <w:rFonts w:ascii="Times New Roman" w:hAnsi="Times New Roman" w:cs="Times New Roman"/>
          <w:sz w:val="20"/>
          <w:szCs w:val="20"/>
          <w:lang w:val="en-GB"/>
        </w:rPr>
        <w:t>s</w:t>
      </w:r>
      <w:r w:rsidR="00D67649" w:rsidRPr="003A7898">
        <w:rPr>
          <w:rFonts w:ascii="Times New Roman" w:hAnsi="Times New Roman" w:cs="Times New Roman"/>
          <w:sz w:val="20"/>
          <w:szCs w:val="20"/>
          <w:lang w:val="en-GB"/>
        </w:rPr>
        <w:t xml:space="preserve"> on </w:t>
      </w:r>
      <w:r w:rsidR="00603109" w:rsidRPr="003A7898">
        <w:rPr>
          <w:rFonts w:ascii="Times New Roman" w:hAnsi="Times New Roman" w:cs="Times New Roman"/>
          <w:sz w:val="20"/>
          <w:szCs w:val="20"/>
          <w:lang w:val="en-GB"/>
        </w:rPr>
        <w:t xml:space="preserve">existing programmes and </w:t>
      </w:r>
      <w:r w:rsidR="00EA7A62" w:rsidRPr="003A7898">
        <w:rPr>
          <w:rFonts w:ascii="Times New Roman" w:hAnsi="Times New Roman" w:cs="Times New Roman"/>
          <w:sz w:val="20"/>
          <w:szCs w:val="20"/>
          <w:lang w:val="en-GB"/>
        </w:rPr>
        <w:t>partnerships but</w:t>
      </w:r>
      <w:r w:rsidR="00603109" w:rsidRPr="003A7898">
        <w:rPr>
          <w:rFonts w:ascii="Times New Roman" w:hAnsi="Times New Roman" w:cs="Times New Roman"/>
          <w:sz w:val="20"/>
          <w:szCs w:val="20"/>
          <w:lang w:val="en-GB"/>
        </w:rPr>
        <w:t xml:space="preserve"> </w:t>
      </w:r>
      <w:r w:rsidR="00E32B77">
        <w:rPr>
          <w:rFonts w:ascii="Times New Roman" w:hAnsi="Times New Roman" w:cs="Times New Roman"/>
          <w:sz w:val="20"/>
          <w:szCs w:val="20"/>
          <w:lang w:val="en-GB"/>
        </w:rPr>
        <w:t>is</w:t>
      </w:r>
      <w:r w:rsidR="00E32B77" w:rsidRPr="003A7898">
        <w:rPr>
          <w:rFonts w:ascii="Times New Roman" w:hAnsi="Times New Roman" w:cs="Times New Roman"/>
          <w:sz w:val="20"/>
          <w:szCs w:val="20"/>
          <w:lang w:val="en-GB"/>
        </w:rPr>
        <w:t xml:space="preserve"> </w:t>
      </w:r>
      <w:r w:rsidR="00B952C9">
        <w:rPr>
          <w:rFonts w:ascii="Times New Roman" w:hAnsi="Times New Roman" w:cs="Times New Roman"/>
          <w:sz w:val="20"/>
          <w:szCs w:val="20"/>
          <w:lang w:val="en-GB"/>
        </w:rPr>
        <w:t xml:space="preserve">a </w:t>
      </w:r>
      <w:r w:rsidR="00603109" w:rsidRPr="003A7898">
        <w:rPr>
          <w:rFonts w:ascii="Times New Roman" w:hAnsi="Times New Roman" w:cs="Times New Roman"/>
          <w:sz w:val="20"/>
          <w:szCs w:val="20"/>
          <w:lang w:val="en-GB"/>
        </w:rPr>
        <w:t xml:space="preserve">complementary effort to address systemic deficiencies which have </w:t>
      </w:r>
      <w:r w:rsidR="00D13EB5" w:rsidRPr="003A7898">
        <w:rPr>
          <w:rFonts w:ascii="Times New Roman" w:hAnsi="Times New Roman" w:cs="Times New Roman"/>
          <w:sz w:val="20"/>
          <w:szCs w:val="20"/>
          <w:lang w:val="en-GB"/>
        </w:rPr>
        <w:t>hindered positive civic engagement and mutual accountability</w:t>
      </w:r>
      <w:r w:rsidR="00EA7A62" w:rsidRPr="003A7898">
        <w:rPr>
          <w:rFonts w:ascii="Times New Roman" w:hAnsi="Times New Roman" w:cs="Times New Roman"/>
          <w:sz w:val="20"/>
          <w:szCs w:val="20"/>
          <w:lang w:val="en-GB"/>
        </w:rPr>
        <w:t>, and ultimately the exercis</w:t>
      </w:r>
      <w:r w:rsidR="003E7EA8">
        <w:rPr>
          <w:rFonts w:ascii="Times New Roman" w:hAnsi="Times New Roman" w:cs="Times New Roman"/>
          <w:sz w:val="20"/>
          <w:szCs w:val="20"/>
          <w:lang w:val="en-GB"/>
        </w:rPr>
        <w:t>e</w:t>
      </w:r>
      <w:r w:rsidR="00EA7A62" w:rsidRPr="003A7898">
        <w:rPr>
          <w:rFonts w:ascii="Times New Roman" w:hAnsi="Times New Roman" w:cs="Times New Roman"/>
          <w:sz w:val="20"/>
          <w:szCs w:val="20"/>
          <w:lang w:val="en-GB"/>
        </w:rPr>
        <w:t xml:space="preserve"> of the rule of law</w:t>
      </w:r>
      <w:r w:rsidR="00BB7F55" w:rsidRPr="003A7898">
        <w:rPr>
          <w:rFonts w:ascii="Times New Roman" w:hAnsi="Times New Roman" w:cs="Times New Roman"/>
          <w:sz w:val="20"/>
          <w:szCs w:val="20"/>
          <w:lang w:val="en-GB"/>
        </w:rPr>
        <w:t xml:space="preserve">. </w:t>
      </w:r>
      <w:r w:rsidR="00E74665" w:rsidRPr="003A7898">
        <w:rPr>
          <w:rFonts w:ascii="Times New Roman" w:hAnsi="Times New Roman" w:cs="Times New Roman"/>
          <w:sz w:val="20"/>
          <w:szCs w:val="20"/>
          <w:lang w:val="en-GB"/>
        </w:rPr>
        <w:t xml:space="preserve">Addressing the serious levels of gender-based violence will continue to be a focus of </w:t>
      </w:r>
      <w:r w:rsidR="00140B0C" w:rsidRPr="003A7898">
        <w:rPr>
          <w:rFonts w:ascii="Times New Roman" w:hAnsi="Times New Roman" w:cs="Times New Roman"/>
          <w:sz w:val="20"/>
          <w:szCs w:val="20"/>
          <w:lang w:val="en-GB"/>
        </w:rPr>
        <w:t>UNDP</w:t>
      </w:r>
      <w:r w:rsidR="00E74665" w:rsidRPr="003A7898">
        <w:rPr>
          <w:rFonts w:ascii="Times New Roman" w:hAnsi="Times New Roman" w:cs="Times New Roman"/>
          <w:sz w:val="20"/>
          <w:szCs w:val="20"/>
          <w:lang w:val="en-GB"/>
        </w:rPr>
        <w:t xml:space="preserve"> work </w:t>
      </w:r>
      <w:r w:rsidR="006117D4" w:rsidRPr="003A7898">
        <w:rPr>
          <w:rFonts w:ascii="Times New Roman" w:hAnsi="Times New Roman" w:cs="Times New Roman"/>
          <w:sz w:val="20"/>
          <w:szCs w:val="20"/>
          <w:lang w:val="en-GB"/>
        </w:rPr>
        <w:t>on</w:t>
      </w:r>
      <w:r w:rsidR="00E74665" w:rsidRPr="003A7898">
        <w:rPr>
          <w:rFonts w:ascii="Times New Roman" w:hAnsi="Times New Roman" w:cs="Times New Roman"/>
          <w:sz w:val="20"/>
          <w:szCs w:val="20"/>
          <w:lang w:val="en-GB"/>
        </w:rPr>
        <w:t xml:space="preserve"> prevention and response</w:t>
      </w:r>
      <w:r w:rsidR="008162AA" w:rsidRPr="003A7898">
        <w:rPr>
          <w:rFonts w:ascii="Times New Roman" w:hAnsi="Times New Roman" w:cs="Times New Roman"/>
          <w:sz w:val="20"/>
          <w:szCs w:val="20"/>
          <w:lang w:val="en-GB"/>
        </w:rPr>
        <w:t>.</w:t>
      </w:r>
      <w:r w:rsidR="00E74665" w:rsidRPr="003A7898">
        <w:rPr>
          <w:rFonts w:ascii="Times New Roman" w:hAnsi="Times New Roman" w:cs="Times New Roman"/>
          <w:sz w:val="20"/>
          <w:szCs w:val="20"/>
          <w:lang w:val="en-GB"/>
        </w:rPr>
        <w:t xml:space="preserve"> UNDP </w:t>
      </w:r>
      <w:r w:rsidR="00140B0C" w:rsidRPr="003A7898">
        <w:rPr>
          <w:rFonts w:ascii="Times New Roman" w:hAnsi="Times New Roman" w:cs="Times New Roman"/>
          <w:sz w:val="20"/>
          <w:szCs w:val="20"/>
          <w:lang w:val="en-GB"/>
        </w:rPr>
        <w:t xml:space="preserve">will </w:t>
      </w:r>
      <w:r w:rsidR="00E74665" w:rsidRPr="003A7898">
        <w:rPr>
          <w:rFonts w:ascii="Times New Roman" w:hAnsi="Times New Roman" w:cs="Times New Roman"/>
          <w:sz w:val="20"/>
          <w:szCs w:val="20"/>
          <w:lang w:val="en-GB"/>
        </w:rPr>
        <w:t>ad</w:t>
      </w:r>
      <w:r w:rsidR="006934E4" w:rsidRPr="003A7898">
        <w:rPr>
          <w:rFonts w:ascii="Times New Roman" w:hAnsi="Times New Roman" w:cs="Times New Roman"/>
          <w:sz w:val="20"/>
          <w:szCs w:val="20"/>
          <w:lang w:val="en-GB"/>
        </w:rPr>
        <w:t>vocate for inclusion</w:t>
      </w:r>
      <w:r w:rsidR="006F2F36" w:rsidRPr="003A7898">
        <w:rPr>
          <w:rFonts w:ascii="Times New Roman" w:hAnsi="Times New Roman" w:cs="Times New Roman"/>
          <w:sz w:val="20"/>
          <w:szCs w:val="20"/>
          <w:lang w:val="en-GB"/>
        </w:rPr>
        <w:t xml:space="preserve">, including </w:t>
      </w:r>
      <w:r w:rsidR="00897F89" w:rsidRPr="003A7898">
        <w:rPr>
          <w:rFonts w:ascii="Times New Roman" w:hAnsi="Times New Roman" w:cs="Times New Roman"/>
          <w:sz w:val="20"/>
          <w:szCs w:val="20"/>
          <w:lang w:val="en-GB"/>
        </w:rPr>
        <w:t>on LGBTI+ issues,</w:t>
      </w:r>
      <w:r w:rsidR="006934E4" w:rsidRPr="003A7898">
        <w:rPr>
          <w:rFonts w:ascii="Times New Roman" w:hAnsi="Times New Roman" w:cs="Times New Roman"/>
          <w:sz w:val="20"/>
          <w:szCs w:val="20"/>
          <w:lang w:val="en-GB"/>
        </w:rPr>
        <w:t xml:space="preserve"> as a cross-cutting aspect of its work.</w:t>
      </w:r>
    </w:p>
    <w:p w14:paraId="40E2B7A8" w14:textId="0A0CC3B9" w:rsidR="005D4DF1" w:rsidRPr="003A7898" w:rsidRDefault="00EA7A62" w:rsidP="00B514B1">
      <w:pPr>
        <w:pStyle w:val="ListParagraph"/>
        <w:numPr>
          <w:ilvl w:val="0"/>
          <w:numId w:val="42"/>
        </w:numPr>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lastRenderedPageBreak/>
        <w:t xml:space="preserve">Drawing on </w:t>
      </w:r>
      <w:r w:rsidR="00283454" w:rsidRPr="003A7898">
        <w:rPr>
          <w:rFonts w:ascii="Times New Roman" w:hAnsi="Times New Roman" w:cs="Times New Roman"/>
          <w:sz w:val="20"/>
          <w:szCs w:val="20"/>
          <w:lang w:val="en-GB"/>
        </w:rPr>
        <w:t>experiences from the Latin America</w:t>
      </w:r>
      <w:r w:rsidR="003E7EA8">
        <w:rPr>
          <w:rFonts w:ascii="Times New Roman" w:hAnsi="Times New Roman" w:cs="Times New Roman"/>
          <w:sz w:val="20"/>
          <w:szCs w:val="20"/>
          <w:lang w:val="en-GB"/>
        </w:rPr>
        <w:t>n</w:t>
      </w:r>
      <w:r w:rsidR="00283454" w:rsidRPr="003A7898">
        <w:rPr>
          <w:rFonts w:ascii="Times New Roman" w:hAnsi="Times New Roman" w:cs="Times New Roman"/>
          <w:sz w:val="20"/>
          <w:szCs w:val="20"/>
          <w:lang w:val="en-GB"/>
        </w:rPr>
        <w:t xml:space="preserve"> and Caribbean region, UNDP will seek to expand its South-South collaboration</w:t>
      </w:r>
      <w:r w:rsidR="0065365D" w:rsidRPr="003A7898">
        <w:rPr>
          <w:rFonts w:ascii="Times New Roman" w:hAnsi="Times New Roman" w:cs="Times New Roman"/>
          <w:sz w:val="20"/>
          <w:szCs w:val="20"/>
          <w:lang w:val="en-GB"/>
        </w:rPr>
        <w:t>, including but not limited to the experiences of Mexico and Brazil</w:t>
      </w:r>
      <w:r w:rsidR="005620CE" w:rsidRPr="003A7898">
        <w:rPr>
          <w:rFonts w:ascii="Times New Roman" w:hAnsi="Times New Roman" w:cs="Times New Roman"/>
          <w:sz w:val="20"/>
          <w:szCs w:val="20"/>
          <w:lang w:val="en-GB"/>
        </w:rPr>
        <w:t xml:space="preserve"> in areas such as electoral support and law enforcement</w:t>
      </w:r>
      <w:r w:rsidR="0065365D" w:rsidRPr="003A7898">
        <w:rPr>
          <w:rFonts w:ascii="Times New Roman" w:hAnsi="Times New Roman" w:cs="Times New Roman"/>
          <w:sz w:val="20"/>
          <w:szCs w:val="20"/>
          <w:lang w:val="en-GB"/>
        </w:rPr>
        <w:t>.</w:t>
      </w:r>
      <w:r w:rsidR="005620CE" w:rsidRPr="003A7898">
        <w:rPr>
          <w:rFonts w:ascii="Times New Roman" w:hAnsi="Times New Roman" w:cs="Times New Roman"/>
          <w:sz w:val="20"/>
          <w:szCs w:val="20"/>
          <w:lang w:val="en-GB"/>
        </w:rPr>
        <w:t xml:space="preserve"> </w:t>
      </w:r>
      <w:r w:rsidR="008A57C7" w:rsidRPr="003A7898">
        <w:rPr>
          <w:rFonts w:ascii="Times New Roman" w:hAnsi="Times New Roman" w:cs="Times New Roman"/>
          <w:sz w:val="20"/>
          <w:szCs w:val="20"/>
          <w:lang w:val="en-GB"/>
        </w:rPr>
        <w:t xml:space="preserve">Innovation will continue to be critical to the success of UNDP work in these areas, </w:t>
      </w:r>
      <w:r w:rsidR="00DB7ADA" w:rsidRPr="003A7898">
        <w:rPr>
          <w:rFonts w:ascii="Times New Roman" w:hAnsi="Times New Roman" w:cs="Times New Roman"/>
          <w:sz w:val="20"/>
          <w:szCs w:val="20"/>
          <w:lang w:val="en-GB"/>
        </w:rPr>
        <w:t>partly</w:t>
      </w:r>
      <w:r w:rsidR="008A57C7" w:rsidRPr="003A7898">
        <w:rPr>
          <w:rFonts w:ascii="Times New Roman" w:hAnsi="Times New Roman" w:cs="Times New Roman"/>
          <w:sz w:val="20"/>
          <w:szCs w:val="20"/>
          <w:lang w:val="en-GB"/>
        </w:rPr>
        <w:t xml:space="preserve"> </w:t>
      </w:r>
      <w:r w:rsidR="00DB7ADA" w:rsidRPr="003A7898">
        <w:rPr>
          <w:rFonts w:ascii="Times New Roman" w:hAnsi="Times New Roman" w:cs="Times New Roman"/>
          <w:sz w:val="20"/>
          <w:szCs w:val="20"/>
          <w:lang w:val="en-GB"/>
        </w:rPr>
        <w:t>due to the</w:t>
      </w:r>
      <w:r w:rsidR="008A57C7" w:rsidRPr="003A7898">
        <w:rPr>
          <w:rFonts w:ascii="Times New Roman" w:hAnsi="Times New Roman" w:cs="Times New Roman"/>
          <w:sz w:val="20"/>
          <w:szCs w:val="20"/>
          <w:lang w:val="en-GB"/>
        </w:rPr>
        <w:t xml:space="preserve"> </w:t>
      </w:r>
      <w:r w:rsidR="00E3597F" w:rsidRPr="003A7898">
        <w:rPr>
          <w:rFonts w:ascii="Times New Roman" w:hAnsi="Times New Roman" w:cs="Times New Roman"/>
          <w:sz w:val="20"/>
          <w:szCs w:val="20"/>
          <w:lang w:val="en-GB"/>
        </w:rPr>
        <w:t xml:space="preserve">instability </w:t>
      </w:r>
      <w:r w:rsidR="00A06B6F" w:rsidRPr="003A7898">
        <w:rPr>
          <w:rFonts w:ascii="Times New Roman" w:hAnsi="Times New Roman" w:cs="Times New Roman"/>
          <w:sz w:val="20"/>
          <w:szCs w:val="20"/>
          <w:lang w:val="en-GB"/>
        </w:rPr>
        <w:t xml:space="preserve">in </w:t>
      </w:r>
      <w:r w:rsidR="00E3597F" w:rsidRPr="003A7898">
        <w:rPr>
          <w:rFonts w:ascii="Times New Roman" w:hAnsi="Times New Roman" w:cs="Times New Roman"/>
          <w:sz w:val="20"/>
          <w:szCs w:val="20"/>
          <w:lang w:val="en-GB"/>
        </w:rPr>
        <w:t>the functioning of some services</w:t>
      </w:r>
      <w:r w:rsidR="008952C9" w:rsidRPr="003A7898">
        <w:rPr>
          <w:rFonts w:ascii="Times New Roman" w:hAnsi="Times New Roman" w:cs="Times New Roman"/>
          <w:sz w:val="20"/>
          <w:szCs w:val="20"/>
          <w:lang w:val="en-GB"/>
        </w:rPr>
        <w:t>,</w:t>
      </w:r>
      <w:r w:rsidR="00E3597F" w:rsidRPr="003A7898">
        <w:rPr>
          <w:rFonts w:ascii="Times New Roman" w:hAnsi="Times New Roman" w:cs="Times New Roman"/>
          <w:sz w:val="20"/>
          <w:szCs w:val="20"/>
          <w:lang w:val="en-GB"/>
        </w:rPr>
        <w:t xml:space="preserve"> such as judicial hearings and overcrowding</w:t>
      </w:r>
      <w:r w:rsidR="0053386C" w:rsidRPr="003A7898">
        <w:rPr>
          <w:rFonts w:ascii="Times New Roman" w:hAnsi="Times New Roman" w:cs="Times New Roman"/>
          <w:sz w:val="20"/>
          <w:szCs w:val="20"/>
          <w:lang w:val="en-GB"/>
        </w:rPr>
        <w:t xml:space="preserve">. </w:t>
      </w:r>
      <w:r w:rsidR="003C7F78" w:rsidRPr="003A7898">
        <w:rPr>
          <w:rFonts w:ascii="Times New Roman" w:hAnsi="Times New Roman" w:cs="Times New Roman"/>
          <w:sz w:val="20"/>
          <w:szCs w:val="20"/>
          <w:lang w:val="en-GB"/>
        </w:rPr>
        <w:t>For example, UNDP will continue to s</w:t>
      </w:r>
      <w:r w:rsidR="00071892" w:rsidRPr="003A7898">
        <w:rPr>
          <w:rFonts w:ascii="Times New Roman" w:hAnsi="Times New Roman" w:cs="Times New Roman"/>
          <w:sz w:val="20"/>
          <w:szCs w:val="20"/>
          <w:lang w:val="en-GB"/>
        </w:rPr>
        <w:t xml:space="preserve">upport the Ministry of Justice </w:t>
      </w:r>
      <w:r w:rsidR="0054170A" w:rsidRPr="003A7898">
        <w:rPr>
          <w:rFonts w:ascii="Times New Roman" w:hAnsi="Times New Roman" w:cs="Times New Roman"/>
          <w:sz w:val="20"/>
          <w:szCs w:val="20"/>
          <w:lang w:val="en-GB"/>
        </w:rPr>
        <w:t xml:space="preserve">and Public Security </w:t>
      </w:r>
      <w:r w:rsidR="00305BCF">
        <w:rPr>
          <w:rFonts w:ascii="Times New Roman" w:hAnsi="Times New Roman" w:cs="Times New Roman"/>
          <w:sz w:val="20"/>
          <w:szCs w:val="20"/>
          <w:lang w:val="en-GB"/>
        </w:rPr>
        <w:t>(</w:t>
      </w:r>
      <w:r w:rsidR="00305BCF" w:rsidRPr="00305BCF">
        <w:rPr>
          <w:rFonts w:ascii="Times New Roman" w:hAnsi="Times New Roman" w:cs="Times New Roman"/>
          <w:sz w:val="20"/>
          <w:szCs w:val="20"/>
          <w:lang w:val="en-GB"/>
        </w:rPr>
        <w:t xml:space="preserve">Ministère de la Justice et de la Sécurité Publique </w:t>
      </w:r>
      <w:r w:rsidR="0054170A" w:rsidRPr="003A7898">
        <w:rPr>
          <w:rFonts w:ascii="Times New Roman" w:hAnsi="Times New Roman" w:cs="Times New Roman"/>
          <w:sz w:val="20"/>
          <w:szCs w:val="20"/>
          <w:lang w:val="en-GB"/>
        </w:rPr>
        <w:t>(MJSP)</w:t>
      </w:r>
      <w:r w:rsidR="00305BCF">
        <w:rPr>
          <w:rFonts w:ascii="Times New Roman" w:hAnsi="Times New Roman" w:cs="Times New Roman"/>
          <w:sz w:val="20"/>
          <w:szCs w:val="20"/>
          <w:lang w:val="en-GB"/>
        </w:rPr>
        <w:t>)</w:t>
      </w:r>
      <w:r w:rsidR="0054170A" w:rsidRPr="003A7898">
        <w:rPr>
          <w:rFonts w:ascii="Times New Roman" w:hAnsi="Times New Roman" w:cs="Times New Roman"/>
          <w:sz w:val="20"/>
          <w:szCs w:val="20"/>
          <w:lang w:val="en-GB"/>
        </w:rPr>
        <w:t xml:space="preserve"> </w:t>
      </w:r>
      <w:r w:rsidR="00071892" w:rsidRPr="003A7898">
        <w:rPr>
          <w:rFonts w:ascii="Times New Roman" w:hAnsi="Times New Roman" w:cs="Times New Roman"/>
          <w:sz w:val="20"/>
          <w:szCs w:val="20"/>
          <w:lang w:val="en-GB"/>
        </w:rPr>
        <w:t xml:space="preserve">to </w:t>
      </w:r>
      <w:r w:rsidR="003C7F78" w:rsidRPr="003A7898">
        <w:rPr>
          <w:rFonts w:ascii="Times New Roman" w:hAnsi="Times New Roman" w:cs="Times New Roman"/>
          <w:sz w:val="20"/>
          <w:szCs w:val="20"/>
          <w:lang w:val="en-GB"/>
        </w:rPr>
        <w:t xml:space="preserve">find ways to hold </w:t>
      </w:r>
      <w:r w:rsidR="00864BB8" w:rsidRPr="003A7898">
        <w:rPr>
          <w:rFonts w:ascii="Times New Roman" w:hAnsi="Times New Roman" w:cs="Times New Roman"/>
          <w:sz w:val="20"/>
          <w:szCs w:val="20"/>
          <w:lang w:val="en-GB"/>
        </w:rPr>
        <w:t xml:space="preserve">exceptional </w:t>
      </w:r>
      <w:r w:rsidR="00071892" w:rsidRPr="003A7898">
        <w:rPr>
          <w:rFonts w:ascii="Times New Roman" w:hAnsi="Times New Roman" w:cs="Times New Roman"/>
          <w:sz w:val="20"/>
          <w:szCs w:val="20"/>
          <w:lang w:val="en-GB"/>
        </w:rPr>
        <w:t xml:space="preserve">hearings </w:t>
      </w:r>
      <w:r w:rsidR="0077394A" w:rsidRPr="003A7898">
        <w:rPr>
          <w:rFonts w:ascii="Times New Roman" w:hAnsi="Times New Roman" w:cs="Times New Roman"/>
          <w:sz w:val="20"/>
          <w:szCs w:val="20"/>
          <w:lang w:val="en-GB"/>
        </w:rPr>
        <w:t>to reduce pretrial detention levels and</w:t>
      </w:r>
      <w:r w:rsidR="00864BB8" w:rsidRPr="003A7898">
        <w:rPr>
          <w:rFonts w:ascii="Times New Roman" w:hAnsi="Times New Roman" w:cs="Times New Roman"/>
          <w:sz w:val="20"/>
          <w:szCs w:val="20"/>
          <w:lang w:val="en-GB"/>
        </w:rPr>
        <w:t xml:space="preserve"> increase the use of alternatives to the application of criminal law </w:t>
      </w:r>
      <w:r w:rsidR="00F9584D" w:rsidRPr="003A7898">
        <w:rPr>
          <w:rFonts w:ascii="Times New Roman" w:hAnsi="Times New Roman" w:cs="Times New Roman"/>
          <w:sz w:val="20"/>
          <w:szCs w:val="20"/>
          <w:lang w:val="en-GB"/>
        </w:rPr>
        <w:t xml:space="preserve">for civil matters. </w:t>
      </w:r>
      <w:r w:rsidR="005620CE" w:rsidRPr="003A7898">
        <w:rPr>
          <w:rFonts w:ascii="Times New Roman" w:hAnsi="Times New Roman" w:cs="Times New Roman"/>
          <w:sz w:val="20"/>
          <w:szCs w:val="20"/>
          <w:lang w:val="en-GB"/>
        </w:rPr>
        <w:t xml:space="preserve">Long-standing national partners such as the </w:t>
      </w:r>
      <w:r w:rsidR="0054170A" w:rsidRPr="003A7898">
        <w:rPr>
          <w:rFonts w:ascii="Times New Roman" w:hAnsi="Times New Roman" w:cs="Times New Roman"/>
          <w:sz w:val="20"/>
          <w:szCs w:val="20"/>
          <w:lang w:val="en-GB"/>
        </w:rPr>
        <w:t>MJSP</w:t>
      </w:r>
      <w:r w:rsidR="005620CE" w:rsidRPr="003A7898">
        <w:rPr>
          <w:rFonts w:ascii="Times New Roman" w:hAnsi="Times New Roman" w:cs="Times New Roman"/>
          <w:sz w:val="20"/>
          <w:szCs w:val="20"/>
          <w:lang w:val="en-GB"/>
        </w:rPr>
        <w:t xml:space="preserve">, the </w:t>
      </w:r>
      <w:r w:rsidR="006E20B2">
        <w:rPr>
          <w:rFonts w:ascii="Times New Roman" w:hAnsi="Times New Roman" w:cs="Times New Roman"/>
          <w:sz w:val="20"/>
          <w:szCs w:val="20"/>
          <w:lang w:val="en-GB"/>
        </w:rPr>
        <w:t xml:space="preserve">Provisional </w:t>
      </w:r>
      <w:r w:rsidR="005620CE" w:rsidRPr="003A7898">
        <w:rPr>
          <w:rFonts w:ascii="Times New Roman" w:hAnsi="Times New Roman" w:cs="Times New Roman"/>
          <w:sz w:val="20"/>
          <w:szCs w:val="20"/>
          <w:lang w:val="en-GB"/>
        </w:rPr>
        <w:t>Electoral Council, the Office of the Ombu</w:t>
      </w:r>
      <w:r w:rsidR="00225B05" w:rsidRPr="003A7898">
        <w:rPr>
          <w:rFonts w:ascii="Times New Roman" w:hAnsi="Times New Roman" w:cs="Times New Roman"/>
          <w:sz w:val="20"/>
          <w:szCs w:val="20"/>
          <w:lang w:val="en-GB"/>
        </w:rPr>
        <w:t xml:space="preserve">dsperson, </w:t>
      </w:r>
      <w:r w:rsidR="00897F89" w:rsidRPr="003A7898">
        <w:rPr>
          <w:rFonts w:ascii="Times New Roman" w:hAnsi="Times New Roman" w:cs="Times New Roman"/>
          <w:sz w:val="20"/>
          <w:szCs w:val="20"/>
          <w:lang w:val="en-GB"/>
        </w:rPr>
        <w:t xml:space="preserve">national anti-corruption bodies </w:t>
      </w:r>
      <w:r w:rsidR="00225B05" w:rsidRPr="003A7898">
        <w:rPr>
          <w:rFonts w:ascii="Times New Roman" w:hAnsi="Times New Roman" w:cs="Times New Roman"/>
          <w:sz w:val="20"/>
          <w:szCs w:val="20"/>
          <w:lang w:val="en-GB"/>
        </w:rPr>
        <w:t>and key civil society actors</w:t>
      </w:r>
      <w:r w:rsidR="0065365D" w:rsidRPr="003A7898">
        <w:rPr>
          <w:rFonts w:ascii="Times New Roman" w:hAnsi="Times New Roman" w:cs="Times New Roman"/>
          <w:sz w:val="20"/>
          <w:szCs w:val="20"/>
          <w:lang w:val="en-GB"/>
        </w:rPr>
        <w:t xml:space="preserve"> </w:t>
      </w:r>
      <w:r w:rsidR="00225B05" w:rsidRPr="003A7898">
        <w:rPr>
          <w:rFonts w:ascii="Times New Roman" w:hAnsi="Times New Roman" w:cs="Times New Roman"/>
          <w:sz w:val="20"/>
          <w:szCs w:val="20"/>
          <w:lang w:val="en-GB"/>
        </w:rPr>
        <w:t xml:space="preserve">will continue to be critical </w:t>
      </w:r>
      <w:r w:rsidR="00455EF5" w:rsidRPr="003A7898">
        <w:rPr>
          <w:rFonts w:ascii="Times New Roman" w:hAnsi="Times New Roman" w:cs="Times New Roman"/>
          <w:sz w:val="20"/>
          <w:szCs w:val="20"/>
          <w:lang w:val="en-GB"/>
        </w:rPr>
        <w:t xml:space="preserve">for UNDP engagement as </w:t>
      </w:r>
      <w:r w:rsidR="00223477">
        <w:rPr>
          <w:rFonts w:ascii="Times New Roman" w:hAnsi="Times New Roman" w:cs="Times New Roman"/>
          <w:sz w:val="20"/>
          <w:szCs w:val="20"/>
          <w:lang w:val="en-GB"/>
        </w:rPr>
        <w:t>it</w:t>
      </w:r>
      <w:r w:rsidR="00223477" w:rsidRPr="003A7898">
        <w:rPr>
          <w:rFonts w:ascii="Times New Roman" w:hAnsi="Times New Roman" w:cs="Times New Roman"/>
          <w:sz w:val="20"/>
          <w:szCs w:val="20"/>
          <w:lang w:val="en-GB"/>
        </w:rPr>
        <w:t xml:space="preserve"> </w:t>
      </w:r>
      <w:r w:rsidR="00455EF5" w:rsidRPr="003A7898">
        <w:rPr>
          <w:rFonts w:ascii="Times New Roman" w:hAnsi="Times New Roman" w:cs="Times New Roman"/>
          <w:sz w:val="20"/>
          <w:szCs w:val="20"/>
          <w:lang w:val="en-GB"/>
        </w:rPr>
        <w:t>also seeks to diversify its national partnerships</w:t>
      </w:r>
      <w:r w:rsidR="00375C05" w:rsidRPr="003A7898">
        <w:rPr>
          <w:rFonts w:ascii="Times New Roman" w:hAnsi="Times New Roman" w:cs="Times New Roman"/>
          <w:sz w:val="20"/>
          <w:szCs w:val="20"/>
          <w:lang w:val="en-GB"/>
        </w:rPr>
        <w:t xml:space="preserve"> and expand its work in governance and </w:t>
      </w:r>
      <w:r w:rsidR="008952C9" w:rsidRPr="003A7898">
        <w:rPr>
          <w:rFonts w:ascii="Times New Roman" w:hAnsi="Times New Roman" w:cs="Times New Roman"/>
          <w:sz w:val="20"/>
          <w:szCs w:val="20"/>
          <w:lang w:val="en-GB"/>
        </w:rPr>
        <w:t xml:space="preserve">the </w:t>
      </w:r>
      <w:r w:rsidR="00375C05" w:rsidRPr="003A7898">
        <w:rPr>
          <w:rFonts w:ascii="Times New Roman" w:hAnsi="Times New Roman" w:cs="Times New Roman"/>
          <w:sz w:val="20"/>
          <w:szCs w:val="20"/>
          <w:lang w:val="en-GB"/>
        </w:rPr>
        <w:t>rule of law</w:t>
      </w:r>
      <w:r w:rsidR="00455EF5" w:rsidRPr="003A7898">
        <w:rPr>
          <w:rFonts w:ascii="Times New Roman" w:hAnsi="Times New Roman" w:cs="Times New Roman"/>
          <w:sz w:val="20"/>
          <w:szCs w:val="20"/>
          <w:lang w:val="en-GB"/>
        </w:rPr>
        <w:t>.</w:t>
      </w:r>
      <w:r w:rsidR="005E0EB4" w:rsidRPr="003A7898">
        <w:rPr>
          <w:rFonts w:ascii="Times New Roman" w:hAnsi="Times New Roman" w:cs="Times New Roman"/>
          <w:sz w:val="20"/>
          <w:szCs w:val="20"/>
          <w:lang w:val="en-GB"/>
        </w:rPr>
        <w:t xml:space="preserve"> </w:t>
      </w:r>
      <w:r w:rsidR="004D3281" w:rsidRPr="003A7898">
        <w:rPr>
          <w:rFonts w:ascii="Times New Roman" w:hAnsi="Times New Roman" w:cs="Times New Roman"/>
          <w:sz w:val="20"/>
          <w:szCs w:val="20"/>
          <w:lang w:val="en-GB"/>
        </w:rPr>
        <w:t>T</w:t>
      </w:r>
      <w:r w:rsidR="005D4DF1" w:rsidRPr="003A7898">
        <w:rPr>
          <w:rFonts w:ascii="Times New Roman" w:hAnsi="Times New Roman" w:cs="Times New Roman"/>
          <w:sz w:val="20"/>
          <w:szCs w:val="20"/>
          <w:lang w:val="en-GB"/>
        </w:rPr>
        <w:t>he ongoing and evolving collaboration with BINUH</w:t>
      </w:r>
      <w:r w:rsidR="004D3281" w:rsidRPr="003A7898">
        <w:rPr>
          <w:rFonts w:ascii="Times New Roman" w:hAnsi="Times New Roman" w:cs="Times New Roman"/>
          <w:sz w:val="20"/>
          <w:szCs w:val="20"/>
          <w:lang w:val="en-GB"/>
        </w:rPr>
        <w:t xml:space="preserve"> will require </w:t>
      </w:r>
      <w:r w:rsidR="005D4DF1" w:rsidRPr="003A7898">
        <w:rPr>
          <w:rFonts w:ascii="Times New Roman" w:hAnsi="Times New Roman" w:cs="Times New Roman"/>
          <w:sz w:val="20"/>
          <w:szCs w:val="20"/>
          <w:lang w:val="en-GB"/>
        </w:rPr>
        <w:t xml:space="preserve">UNDP </w:t>
      </w:r>
      <w:r w:rsidR="004D3281" w:rsidRPr="003A7898">
        <w:rPr>
          <w:rFonts w:ascii="Times New Roman" w:hAnsi="Times New Roman" w:cs="Times New Roman"/>
          <w:sz w:val="20"/>
          <w:szCs w:val="20"/>
          <w:lang w:val="en-GB"/>
        </w:rPr>
        <w:t xml:space="preserve">to </w:t>
      </w:r>
      <w:r w:rsidR="005D4DF1" w:rsidRPr="003A7898">
        <w:rPr>
          <w:rFonts w:ascii="Times New Roman" w:hAnsi="Times New Roman" w:cs="Times New Roman"/>
          <w:sz w:val="20"/>
          <w:szCs w:val="20"/>
          <w:lang w:val="en-GB"/>
        </w:rPr>
        <w:t>adjust</w:t>
      </w:r>
      <w:r w:rsidR="004D3281" w:rsidRPr="003A7898">
        <w:rPr>
          <w:rFonts w:ascii="Times New Roman" w:hAnsi="Times New Roman" w:cs="Times New Roman"/>
          <w:sz w:val="20"/>
          <w:szCs w:val="20"/>
          <w:lang w:val="en-GB"/>
        </w:rPr>
        <w:t xml:space="preserve"> its programming </w:t>
      </w:r>
      <w:r w:rsidR="004F325C" w:rsidRPr="003A7898">
        <w:rPr>
          <w:rFonts w:ascii="Times New Roman" w:hAnsi="Times New Roman" w:cs="Times New Roman"/>
          <w:sz w:val="20"/>
          <w:szCs w:val="20"/>
          <w:lang w:val="en-GB"/>
        </w:rPr>
        <w:t xml:space="preserve">while remaining aligned with </w:t>
      </w:r>
      <w:r w:rsidR="00870626" w:rsidRPr="003A7898">
        <w:rPr>
          <w:rFonts w:ascii="Times New Roman" w:hAnsi="Times New Roman" w:cs="Times New Roman"/>
          <w:sz w:val="20"/>
          <w:szCs w:val="20"/>
          <w:lang w:val="en-GB"/>
        </w:rPr>
        <w:t xml:space="preserve">the </w:t>
      </w:r>
      <w:r w:rsidR="00905B96" w:rsidRPr="003A7898">
        <w:rPr>
          <w:rFonts w:ascii="Times New Roman" w:hAnsi="Times New Roman" w:cs="Times New Roman"/>
          <w:sz w:val="20"/>
          <w:szCs w:val="20"/>
          <w:lang w:val="en-GB"/>
        </w:rPr>
        <w:t>UNSDCF</w:t>
      </w:r>
      <w:r w:rsidR="005D4DF1" w:rsidRPr="003A7898">
        <w:rPr>
          <w:rFonts w:ascii="Times New Roman" w:hAnsi="Times New Roman" w:cs="Times New Roman"/>
          <w:sz w:val="20"/>
          <w:szCs w:val="20"/>
          <w:lang w:val="en-GB"/>
        </w:rPr>
        <w:t>.</w:t>
      </w:r>
    </w:p>
    <w:p w14:paraId="4EA0E9BC" w14:textId="5AE28D10" w:rsidR="002C54CD" w:rsidRPr="003A7898" w:rsidRDefault="00FA7150" w:rsidP="003A7898">
      <w:pPr>
        <w:spacing w:after="120" w:line="240" w:lineRule="exact"/>
        <w:ind w:left="1080" w:right="612"/>
        <w:jc w:val="both"/>
        <w:rPr>
          <w:rFonts w:ascii="Times New Roman" w:hAnsi="Times New Roman" w:cs="Times New Roman"/>
          <w:b/>
          <w:bCs/>
          <w:sz w:val="20"/>
          <w:szCs w:val="20"/>
          <w:lang w:val="en-GB" w:eastAsia="fr-FR"/>
        </w:rPr>
      </w:pPr>
      <w:r w:rsidRPr="003A7898">
        <w:rPr>
          <w:rFonts w:ascii="Times New Roman" w:hAnsi="Times New Roman" w:cs="Times New Roman"/>
          <w:b/>
          <w:bCs/>
          <w:sz w:val="20"/>
          <w:szCs w:val="20"/>
          <w:lang w:val="en-GB" w:eastAsia="fr-FR"/>
        </w:rPr>
        <w:t xml:space="preserve">Priority </w:t>
      </w:r>
      <w:r w:rsidR="00223477">
        <w:rPr>
          <w:rFonts w:ascii="Times New Roman" w:hAnsi="Times New Roman" w:cs="Times New Roman"/>
          <w:b/>
          <w:bCs/>
          <w:sz w:val="20"/>
          <w:szCs w:val="20"/>
          <w:lang w:val="en-GB" w:eastAsia="fr-FR"/>
        </w:rPr>
        <w:t>a</w:t>
      </w:r>
      <w:r w:rsidRPr="003A7898">
        <w:rPr>
          <w:rFonts w:ascii="Times New Roman" w:hAnsi="Times New Roman" w:cs="Times New Roman"/>
          <w:b/>
          <w:bCs/>
          <w:sz w:val="20"/>
          <w:szCs w:val="20"/>
          <w:lang w:val="en-GB" w:eastAsia="fr-FR"/>
        </w:rPr>
        <w:t xml:space="preserve">rea 2 (UNSDCF </w:t>
      </w:r>
      <w:r w:rsidR="00223477">
        <w:rPr>
          <w:rFonts w:ascii="Times New Roman" w:hAnsi="Times New Roman" w:cs="Times New Roman"/>
          <w:b/>
          <w:bCs/>
          <w:sz w:val="20"/>
          <w:szCs w:val="20"/>
          <w:lang w:val="en-GB" w:eastAsia="fr-FR"/>
        </w:rPr>
        <w:t>p</w:t>
      </w:r>
      <w:r w:rsidRPr="003A7898">
        <w:rPr>
          <w:rFonts w:ascii="Times New Roman" w:hAnsi="Times New Roman" w:cs="Times New Roman"/>
          <w:b/>
          <w:bCs/>
          <w:sz w:val="20"/>
          <w:szCs w:val="20"/>
          <w:lang w:val="en-GB" w:eastAsia="fr-FR"/>
        </w:rPr>
        <w:t xml:space="preserve">illar 2): </w:t>
      </w:r>
      <w:r w:rsidR="00354E15" w:rsidRPr="003A7898">
        <w:rPr>
          <w:rFonts w:ascii="Times New Roman" w:hAnsi="Times New Roman" w:cs="Times New Roman"/>
          <w:b/>
          <w:bCs/>
          <w:sz w:val="20"/>
          <w:szCs w:val="20"/>
          <w:lang w:val="en-GB" w:eastAsia="fr-FR"/>
        </w:rPr>
        <w:t xml:space="preserve">Equitable and sustainable </w:t>
      </w:r>
      <w:r w:rsidR="001C60FD" w:rsidRPr="003A7898">
        <w:rPr>
          <w:rFonts w:ascii="Times New Roman" w:hAnsi="Times New Roman" w:cs="Times New Roman"/>
          <w:b/>
          <w:bCs/>
          <w:sz w:val="20"/>
          <w:szCs w:val="20"/>
          <w:lang w:val="en-GB" w:eastAsia="fr-FR"/>
        </w:rPr>
        <w:t>growth</w:t>
      </w:r>
    </w:p>
    <w:p w14:paraId="009DFAC8" w14:textId="520620F6" w:rsidR="00CC2A02" w:rsidRPr="003A7898" w:rsidRDefault="00223477" w:rsidP="00B514B1">
      <w:pPr>
        <w:pStyle w:val="ListParagraph"/>
        <w:numPr>
          <w:ilvl w:val="0"/>
          <w:numId w:val="42"/>
        </w:numPr>
        <w:tabs>
          <w:tab w:val="left" w:pos="1260"/>
        </w:tabs>
        <w:spacing w:after="120" w:line="240" w:lineRule="exact"/>
        <w:ind w:left="1080" w:right="612"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The hypothesis is that i</w:t>
      </w:r>
      <w:r w:rsidR="00A3607E" w:rsidRPr="003A7898">
        <w:rPr>
          <w:rFonts w:ascii="Times New Roman" w:hAnsi="Times New Roman" w:cs="Times New Roman"/>
          <w:sz w:val="20"/>
          <w:szCs w:val="20"/>
          <w:lang w:val="en-GB"/>
        </w:rPr>
        <w:t xml:space="preserve">f </w:t>
      </w:r>
      <w:r w:rsidR="00CC2A02" w:rsidRPr="003A7898">
        <w:rPr>
          <w:rFonts w:ascii="Times New Roman" w:hAnsi="Times New Roman" w:cs="Times New Roman"/>
          <w:sz w:val="20"/>
          <w:szCs w:val="20"/>
          <w:lang w:val="en-GB"/>
        </w:rPr>
        <w:t>a new economic model</w:t>
      </w:r>
      <w:r w:rsidR="008952BB" w:rsidRPr="003A7898">
        <w:rPr>
          <w:rFonts w:ascii="Times New Roman" w:hAnsi="Times New Roman" w:cs="Times New Roman"/>
          <w:sz w:val="20"/>
          <w:szCs w:val="20"/>
          <w:lang w:val="en-GB"/>
        </w:rPr>
        <w:t xml:space="preserve">, vector of </w:t>
      </w:r>
      <w:r w:rsidR="00CC2A02" w:rsidRPr="003A7898">
        <w:rPr>
          <w:rFonts w:ascii="Times New Roman" w:hAnsi="Times New Roman" w:cs="Times New Roman"/>
          <w:sz w:val="20"/>
          <w:szCs w:val="20"/>
          <w:lang w:val="en-GB"/>
        </w:rPr>
        <w:t>growth and sustainability</w:t>
      </w:r>
      <w:r>
        <w:rPr>
          <w:rFonts w:ascii="Times New Roman" w:hAnsi="Times New Roman" w:cs="Times New Roman"/>
          <w:sz w:val="20"/>
          <w:szCs w:val="20"/>
          <w:lang w:val="en-GB"/>
        </w:rPr>
        <w:t xml:space="preserve"> –</w:t>
      </w:r>
      <w:r w:rsidR="00CC2A02" w:rsidRPr="003A7898">
        <w:rPr>
          <w:rFonts w:ascii="Times New Roman" w:hAnsi="Times New Roman" w:cs="Times New Roman"/>
          <w:sz w:val="20"/>
          <w:szCs w:val="20"/>
          <w:lang w:val="en-GB"/>
        </w:rPr>
        <w:t xml:space="preserve"> </w:t>
      </w:r>
      <w:r w:rsidR="00D523DD" w:rsidRPr="003A7898">
        <w:rPr>
          <w:rFonts w:ascii="Times New Roman" w:hAnsi="Times New Roman" w:cs="Times New Roman"/>
          <w:sz w:val="20"/>
          <w:szCs w:val="20"/>
          <w:lang w:val="en-GB"/>
        </w:rPr>
        <w:t>favourable</w:t>
      </w:r>
      <w:r w:rsidR="00CC2A02" w:rsidRPr="003A7898">
        <w:rPr>
          <w:rFonts w:ascii="Times New Roman" w:hAnsi="Times New Roman" w:cs="Times New Roman"/>
          <w:sz w:val="20"/>
          <w:szCs w:val="20"/>
          <w:lang w:val="en-GB"/>
        </w:rPr>
        <w:t xml:space="preserve"> to </w:t>
      </w:r>
      <w:r w:rsidR="007E7574" w:rsidRPr="003A7898">
        <w:rPr>
          <w:rFonts w:ascii="Times New Roman" w:hAnsi="Times New Roman" w:cs="Times New Roman"/>
          <w:sz w:val="20"/>
          <w:szCs w:val="20"/>
          <w:lang w:val="en-GB"/>
        </w:rPr>
        <w:t xml:space="preserve">livelihood creation and retention for </w:t>
      </w:r>
      <w:r w:rsidR="00CC2A02" w:rsidRPr="003A7898">
        <w:rPr>
          <w:rFonts w:ascii="Times New Roman" w:hAnsi="Times New Roman" w:cs="Times New Roman"/>
          <w:sz w:val="20"/>
          <w:szCs w:val="20"/>
          <w:lang w:val="en-GB"/>
        </w:rPr>
        <w:t>young people and women, and capable of substantially reducing poverty and inequality</w:t>
      </w:r>
      <w:r>
        <w:rPr>
          <w:rFonts w:ascii="Times New Roman" w:hAnsi="Times New Roman" w:cs="Times New Roman"/>
          <w:sz w:val="20"/>
          <w:szCs w:val="20"/>
          <w:lang w:val="en-GB"/>
        </w:rPr>
        <w:t xml:space="preserve"> –</w:t>
      </w:r>
      <w:r w:rsidR="00604EBE" w:rsidRPr="003A7898">
        <w:rPr>
          <w:rFonts w:ascii="Times New Roman" w:hAnsi="Times New Roman" w:cs="Times New Roman"/>
          <w:sz w:val="20"/>
          <w:szCs w:val="20"/>
          <w:lang w:val="en-GB"/>
        </w:rPr>
        <w:t xml:space="preserve"> </w:t>
      </w:r>
      <w:r w:rsidR="003F08AE" w:rsidRPr="003A7898">
        <w:rPr>
          <w:rFonts w:ascii="Times New Roman" w:hAnsi="Times New Roman" w:cs="Times New Roman"/>
          <w:sz w:val="20"/>
          <w:szCs w:val="20"/>
          <w:lang w:val="en-GB"/>
        </w:rPr>
        <w:t xml:space="preserve">is developed and implemented, then </w:t>
      </w:r>
      <w:r w:rsidR="00903E8A" w:rsidRPr="003A7898">
        <w:rPr>
          <w:rFonts w:ascii="Times New Roman" w:hAnsi="Times New Roman" w:cs="Times New Roman"/>
          <w:sz w:val="20"/>
          <w:szCs w:val="20"/>
          <w:lang w:val="en-GB"/>
        </w:rPr>
        <w:t xml:space="preserve">national </w:t>
      </w:r>
      <w:r w:rsidR="003F08AE" w:rsidRPr="003A7898">
        <w:rPr>
          <w:rFonts w:ascii="Times New Roman" w:hAnsi="Times New Roman" w:cs="Times New Roman"/>
          <w:sz w:val="20"/>
          <w:szCs w:val="20"/>
          <w:lang w:val="en-GB"/>
        </w:rPr>
        <w:t>economic growth will be inclusive and reduce poverty and inequalities</w:t>
      </w:r>
      <w:r w:rsidR="00CC2A02" w:rsidRPr="003A7898">
        <w:rPr>
          <w:rFonts w:ascii="Times New Roman" w:hAnsi="Times New Roman" w:cs="Times New Roman"/>
          <w:sz w:val="20"/>
          <w:szCs w:val="20"/>
          <w:lang w:val="en-GB"/>
        </w:rPr>
        <w:t>.</w:t>
      </w:r>
    </w:p>
    <w:p w14:paraId="4B753A40" w14:textId="3FA612DD" w:rsidR="00C84CB2" w:rsidRPr="003A7898" w:rsidRDefault="00CE3A87" w:rsidP="00B514B1">
      <w:pPr>
        <w:pStyle w:val="ListParagraph"/>
        <w:numPr>
          <w:ilvl w:val="0"/>
          <w:numId w:val="42"/>
        </w:numPr>
        <w:tabs>
          <w:tab w:val="left" w:pos="126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Significant effort is needed in Haiti to </w:t>
      </w:r>
      <w:r w:rsidR="007051B9">
        <w:rPr>
          <w:rFonts w:ascii="Times New Roman" w:hAnsi="Times New Roman" w:cs="Times New Roman"/>
          <w:sz w:val="20"/>
          <w:szCs w:val="20"/>
          <w:lang w:val="en-GB"/>
        </w:rPr>
        <w:t xml:space="preserve">engage </w:t>
      </w:r>
      <w:r w:rsidRPr="003A7898">
        <w:rPr>
          <w:rFonts w:ascii="Times New Roman" w:hAnsi="Times New Roman" w:cs="Times New Roman"/>
          <w:sz w:val="20"/>
          <w:szCs w:val="20"/>
          <w:lang w:val="en-GB"/>
        </w:rPr>
        <w:t xml:space="preserve">effectively </w:t>
      </w:r>
      <w:r w:rsidR="001B60B0" w:rsidRPr="003A7898">
        <w:rPr>
          <w:rFonts w:ascii="Times New Roman" w:hAnsi="Times New Roman" w:cs="Times New Roman"/>
          <w:sz w:val="20"/>
          <w:szCs w:val="20"/>
          <w:lang w:val="en-GB"/>
        </w:rPr>
        <w:t>in</w:t>
      </w:r>
      <w:r w:rsidRPr="003A7898">
        <w:rPr>
          <w:rFonts w:ascii="Times New Roman" w:hAnsi="Times New Roman" w:cs="Times New Roman"/>
          <w:sz w:val="20"/>
          <w:szCs w:val="20"/>
          <w:lang w:val="en-GB"/>
        </w:rPr>
        <w:t xml:space="preserve"> </w:t>
      </w:r>
      <w:r w:rsidR="001300F1" w:rsidRPr="003A7898">
        <w:rPr>
          <w:rFonts w:ascii="Times New Roman" w:hAnsi="Times New Roman" w:cs="Times New Roman"/>
          <w:sz w:val="20"/>
          <w:szCs w:val="20"/>
          <w:lang w:val="en-GB"/>
        </w:rPr>
        <w:t xml:space="preserve">equitable economic development and </w:t>
      </w:r>
      <w:r w:rsidR="00D83C82" w:rsidRPr="003A7898">
        <w:rPr>
          <w:rFonts w:ascii="Times New Roman" w:hAnsi="Times New Roman" w:cs="Times New Roman"/>
          <w:sz w:val="20"/>
          <w:szCs w:val="20"/>
          <w:lang w:val="en-GB"/>
        </w:rPr>
        <w:t xml:space="preserve">tackle </w:t>
      </w:r>
      <w:r w:rsidR="001300F1" w:rsidRPr="003A7898">
        <w:rPr>
          <w:rFonts w:ascii="Times New Roman" w:hAnsi="Times New Roman" w:cs="Times New Roman"/>
          <w:sz w:val="20"/>
          <w:szCs w:val="20"/>
          <w:lang w:val="en-GB"/>
        </w:rPr>
        <w:t xml:space="preserve">gross </w:t>
      </w:r>
      <w:r w:rsidR="0031538E" w:rsidRPr="003A7898">
        <w:rPr>
          <w:rFonts w:ascii="Times New Roman" w:hAnsi="Times New Roman" w:cs="Times New Roman"/>
          <w:sz w:val="20"/>
          <w:szCs w:val="20"/>
          <w:lang w:val="en-GB"/>
        </w:rPr>
        <w:t xml:space="preserve">economic inequalities. </w:t>
      </w:r>
      <w:r w:rsidR="00C84CB2" w:rsidRPr="003A7898">
        <w:rPr>
          <w:rFonts w:ascii="Times New Roman" w:hAnsi="Times New Roman" w:cs="Times New Roman"/>
          <w:sz w:val="20"/>
          <w:szCs w:val="20"/>
          <w:lang w:val="en-GB"/>
        </w:rPr>
        <w:t xml:space="preserve">UNDP will work with national partners like the Ministry of Economy and Finance, the </w:t>
      </w:r>
      <w:r w:rsidR="00CE0A63" w:rsidRPr="003A7898">
        <w:rPr>
          <w:rFonts w:ascii="Times New Roman" w:hAnsi="Times New Roman" w:cs="Times New Roman"/>
          <w:sz w:val="20"/>
          <w:szCs w:val="20"/>
          <w:lang w:val="en-GB"/>
        </w:rPr>
        <w:t>MPCE</w:t>
      </w:r>
      <w:r w:rsidR="00C84CB2" w:rsidRPr="003A7898">
        <w:rPr>
          <w:rFonts w:ascii="Times New Roman" w:hAnsi="Times New Roman" w:cs="Times New Roman"/>
          <w:sz w:val="20"/>
          <w:szCs w:val="20"/>
          <w:lang w:val="en-GB"/>
        </w:rPr>
        <w:t>, the Ministry of Commerce and Industry</w:t>
      </w:r>
      <w:r w:rsidR="00705F46" w:rsidRPr="003A7898">
        <w:rPr>
          <w:rFonts w:ascii="Times New Roman" w:hAnsi="Times New Roman" w:cs="Times New Roman"/>
          <w:sz w:val="20"/>
          <w:szCs w:val="20"/>
          <w:lang w:val="en-GB"/>
        </w:rPr>
        <w:t xml:space="preserve"> and the Ministry of Public Works</w:t>
      </w:r>
      <w:r w:rsidR="00716F55">
        <w:rPr>
          <w:rFonts w:ascii="Times New Roman" w:hAnsi="Times New Roman" w:cs="Times New Roman"/>
          <w:sz w:val="20"/>
          <w:szCs w:val="20"/>
          <w:lang w:val="en-GB"/>
        </w:rPr>
        <w:t>, Transport and Communication</w:t>
      </w:r>
      <w:r w:rsidR="00705F46" w:rsidRPr="003A7898">
        <w:rPr>
          <w:rFonts w:ascii="Times New Roman" w:hAnsi="Times New Roman" w:cs="Times New Roman"/>
          <w:sz w:val="20"/>
          <w:szCs w:val="20"/>
          <w:lang w:val="en-GB"/>
        </w:rPr>
        <w:t xml:space="preserve"> </w:t>
      </w:r>
      <w:r w:rsidR="00C84CB2" w:rsidRPr="003A7898">
        <w:rPr>
          <w:rFonts w:ascii="Times New Roman" w:hAnsi="Times New Roman" w:cs="Times New Roman"/>
          <w:sz w:val="20"/>
          <w:szCs w:val="20"/>
          <w:lang w:val="en-GB"/>
        </w:rPr>
        <w:t xml:space="preserve">to </w:t>
      </w:r>
      <w:r w:rsidR="00F0328D" w:rsidRPr="003A7898">
        <w:rPr>
          <w:rFonts w:ascii="Times New Roman" w:hAnsi="Times New Roman" w:cs="Times New Roman"/>
          <w:sz w:val="20"/>
          <w:szCs w:val="20"/>
          <w:lang w:val="en-GB"/>
        </w:rPr>
        <w:t xml:space="preserve">become a </w:t>
      </w:r>
      <w:r w:rsidR="00F31198" w:rsidRPr="003A7898">
        <w:rPr>
          <w:rFonts w:ascii="Times New Roman" w:hAnsi="Times New Roman" w:cs="Times New Roman"/>
          <w:sz w:val="20"/>
          <w:szCs w:val="20"/>
          <w:lang w:val="en-GB"/>
        </w:rPr>
        <w:t xml:space="preserve">recognized </w:t>
      </w:r>
      <w:r w:rsidR="00F0328D" w:rsidRPr="003A7898">
        <w:rPr>
          <w:rFonts w:ascii="Times New Roman" w:hAnsi="Times New Roman" w:cs="Times New Roman"/>
          <w:sz w:val="20"/>
          <w:szCs w:val="20"/>
          <w:lang w:val="en-GB"/>
        </w:rPr>
        <w:t>thought leader</w:t>
      </w:r>
      <w:r w:rsidR="002D57E5" w:rsidRPr="003A7898">
        <w:rPr>
          <w:rFonts w:ascii="Times New Roman" w:hAnsi="Times New Roman" w:cs="Times New Roman"/>
          <w:sz w:val="20"/>
          <w:szCs w:val="20"/>
          <w:lang w:val="en-GB"/>
        </w:rPr>
        <w:t xml:space="preserve"> and to </w:t>
      </w:r>
      <w:r w:rsidR="001D0A16" w:rsidRPr="003A7898">
        <w:rPr>
          <w:rFonts w:ascii="Times New Roman" w:hAnsi="Times New Roman" w:cs="Times New Roman"/>
          <w:sz w:val="20"/>
          <w:szCs w:val="20"/>
          <w:lang w:val="en-GB"/>
        </w:rPr>
        <w:t>further develop public policies in a coordinated manner</w:t>
      </w:r>
      <w:r w:rsidR="00B349C5" w:rsidRPr="003A7898">
        <w:rPr>
          <w:rFonts w:ascii="Times New Roman" w:hAnsi="Times New Roman" w:cs="Times New Roman"/>
          <w:sz w:val="20"/>
          <w:szCs w:val="20"/>
          <w:lang w:val="en-GB"/>
        </w:rPr>
        <w:t>.</w:t>
      </w:r>
      <w:r w:rsidR="00733E7F" w:rsidRPr="003A7898">
        <w:rPr>
          <w:rFonts w:ascii="Times New Roman" w:hAnsi="Times New Roman" w:cs="Times New Roman"/>
          <w:sz w:val="20"/>
          <w:szCs w:val="20"/>
          <w:lang w:val="en-GB"/>
        </w:rPr>
        <w:t xml:space="preserve"> UNDP will focus on</w:t>
      </w:r>
      <w:r w:rsidR="001D0A16" w:rsidRPr="003A7898">
        <w:rPr>
          <w:rFonts w:ascii="Times New Roman" w:hAnsi="Times New Roman" w:cs="Times New Roman"/>
          <w:sz w:val="20"/>
          <w:szCs w:val="20"/>
          <w:lang w:val="en-GB"/>
        </w:rPr>
        <w:t xml:space="preserve"> t</w:t>
      </w:r>
      <w:r w:rsidR="00086DE1" w:rsidRPr="003A7898">
        <w:rPr>
          <w:rFonts w:ascii="Times New Roman" w:hAnsi="Times New Roman" w:cs="Times New Roman"/>
          <w:sz w:val="20"/>
          <w:szCs w:val="20"/>
          <w:lang w:val="en-GB"/>
        </w:rPr>
        <w:t>he</w:t>
      </w:r>
      <w:r w:rsidR="001D0A16" w:rsidRPr="003A7898">
        <w:rPr>
          <w:rFonts w:ascii="Times New Roman" w:hAnsi="Times New Roman" w:cs="Times New Roman"/>
          <w:sz w:val="20"/>
          <w:szCs w:val="20"/>
          <w:lang w:val="en-GB"/>
        </w:rPr>
        <w:t xml:space="preserve"> </w:t>
      </w:r>
      <w:r w:rsidR="00C84CB2" w:rsidRPr="003A7898">
        <w:rPr>
          <w:rFonts w:ascii="Times New Roman" w:hAnsi="Times New Roman" w:cs="Times New Roman"/>
          <w:sz w:val="20"/>
          <w:szCs w:val="20"/>
          <w:lang w:val="en-GB"/>
        </w:rPr>
        <w:t>transition to green, sustained and inclusive economic growth that eliminates economic and social inequalities and leaves no one behind</w:t>
      </w:r>
      <w:r w:rsidR="001D0A16" w:rsidRPr="003A7898">
        <w:rPr>
          <w:rFonts w:ascii="Times New Roman" w:hAnsi="Times New Roman" w:cs="Times New Roman"/>
          <w:sz w:val="20"/>
          <w:szCs w:val="20"/>
          <w:lang w:val="en-GB"/>
        </w:rPr>
        <w:t xml:space="preserve">. </w:t>
      </w:r>
      <w:r w:rsidR="002D57E5" w:rsidRPr="003A7898">
        <w:rPr>
          <w:rFonts w:ascii="Times New Roman" w:hAnsi="Times New Roman" w:cs="Times New Roman"/>
          <w:sz w:val="20"/>
          <w:szCs w:val="20"/>
          <w:lang w:val="en-GB"/>
        </w:rPr>
        <w:t xml:space="preserve">Informed and coordinated public policy development must be based on </w:t>
      </w:r>
      <w:r w:rsidR="00C74CD7" w:rsidRPr="003A7898">
        <w:rPr>
          <w:rFonts w:ascii="Times New Roman" w:hAnsi="Times New Roman" w:cs="Times New Roman"/>
          <w:sz w:val="20"/>
          <w:szCs w:val="20"/>
          <w:lang w:val="en-GB"/>
        </w:rPr>
        <w:t xml:space="preserve">technically sound </w:t>
      </w:r>
      <w:r w:rsidR="001667A3" w:rsidRPr="003A7898">
        <w:rPr>
          <w:rFonts w:ascii="Times New Roman" w:hAnsi="Times New Roman" w:cs="Times New Roman"/>
          <w:sz w:val="20"/>
          <w:szCs w:val="20"/>
          <w:lang w:val="en-GB"/>
        </w:rPr>
        <w:t xml:space="preserve">analysis </w:t>
      </w:r>
      <w:r w:rsidR="003E7EA8">
        <w:rPr>
          <w:rFonts w:ascii="Times New Roman" w:hAnsi="Times New Roman" w:cs="Times New Roman"/>
          <w:sz w:val="20"/>
          <w:szCs w:val="20"/>
          <w:lang w:val="en-GB"/>
        </w:rPr>
        <w:t xml:space="preserve">that </w:t>
      </w:r>
      <w:r w:rsidR="00086DE1" w:rsidRPr="003A7898">
        <w:rPr>
          <w:rFonts w:ascii="Times New Roman" w:hAnsi="Times New Roman" w:cs="Times New Roman"/>
          <w:sz w:val="20"/>
          <w:szCs w:val="20"/>
          <w:lang w:val="en-GB"/>
        </w:rPr>
        <w:t>consider</w:t>
      </w:r>
      <w:r w:rsidR="00F913D4" w:rsidRPr="003A7898">
        <w:rPr>
          <w:rFonts w:ascii="Times New Roman" w:hAnsi="Times New Roman" w:cs="Times New Roman"/>
          <w:sz w:val="20"/>
          <w:szCs w:val="20"/>
          <w:lang w:val="en-GB"/>
        </w:rPr>
        <w:t xml:space="preserve"> the country’s multi-faceted complexities and</w:t>
      </w:r>
      <w:r w:rsidR="00C968CC" w:rsidRPr="003A7898">
        <w:rPr>
          <w:rFonts w:ascii="Times New Roman" w:hAnsi="Times New Roman" w:cs="Times New Roman"/>
          <w:sz w:val="20"/>
          <w:szCs w:val="20"/>
          <w:lang w:val="en-GB"/>
        </w:rPr>
        <w:t xml:space="preserve"> vulnerability to climate-induced disasters</w:t>
      </w:r>
      <w:r w:rsidR="001667A3" w:rsidRPr="003A7898">
        <w:rPr>
          <w:rFonts w:ascii="Times New Roman" w:hAnsi="Times New Roman" w:cs="Times New Roman"/>
          <w:sz w:val="20"/>
          <w:szCs w:val="20"/>
          <w:lang w:val="en-GB"/>
        </w:rPr>
        <w:t xml:space="preserve">. </w:t>
      </w:r>
      <w:r w:rsidR="006A6FC0" w:rsidRPr="003A7898">
        <w:rPr>
          <w:rFonts w:ascii="Times New Roman" w:hAnsi="Times New Roman" w:cs="Times New Roman"/>
          <w:sz w:val="20"/>
          <w:szCs w:val="20"/>
          <w:lang w:val="en-GB"/>
        </w:rPr>
        <w:t>UNDP will explore o</w:t>
      </w:r>
      <w:r w:rsidR="00BF6E7E" w:rsidRPr="003A7898">
        <w:rPr>
          <w:rFonts w:ascii="Times New Roman" w:hAnsi="Times New Roman" w:cs="Times New Roman"/>
          <w:sz w:val="20"/>
          <w:szCs w:val="20"/>
          <w:lang w:val="en-GB"/>
        </w:rPr>
        <w:t>pportunities to support a blue economy</w:t>
      </w:r>
      <w:r w:rsidR="00DA1BCD" w:rsidRPr="003A7898">
        <w:rPr>
          <w:rFonts w:ascii="Times New Roman" w:hAnsi="Times New Roman" w:cs="Times New Roman"/>
          <w:sz w:val="20"/>
          <w:szCs w:val="20"/>
          <w:lang w:val="en-GB"/>
        </w:rPr>
        <w:t xml:space="preserve"> and renewable energy strategies</w:t>
      </w:r>
      <w:r w:rsidR="00BF6E7E" w:rsidRPr="003A7898">
        <w:rPr>
          <w:rFonts w:ascii="Times New Roman" w:hAnsi="Times New Roman" w:cs="Times New Roman"/>
          <w:sz w:val="20"/>
          <w:szCs w:val="20"/>
          <w:lang w:val="en-GB"/>
        </w:rPr>
        <w:t xml:space="preserve">, building on strong examples from other countries in the region and the experiences of other small island developing </w:t>
      </w:r>
      <w:r w:rsidR="00716F55">
        <w:rPr>
          <w:rFonts w:ascii="Times New Roman" w:hAnsi="Times New Roman" w:cs="Times New Roman"/>
          <w:sz w:val="20"/>
          <w:szCs w:val="20"/>
          <w:lang w:val="en-GB"/>
        </w:rPr>
        <w:t>S</w:t>
      </w:r>
      <w:r w:rsidR="00BF6E7E" w:rsidRPr="003A7898">
        <w:rPr>
          <w:rFonts w:ascii="Times New Roman" w:hAnsi="Times New Roman" w:cs="Times New Roman"/>
          <w:sz w:val="20"/>
          <w:szCs w:val="20"/>
          <w:lang w:val="en-GB"/>
        </w:rPr>
        <w:t>tates.</w:t>
      </w:r>
      <w:r w:rsidR="00716F55">
        <w:rPr>
          <w:rFonts w:ascii="Times New Roman" w:hAnsi="Times New Roman" w:cs="Times New Roman"/>
          <w:sz w:val="20"/>
          <w:szCs w:val="20"/>
          <w:lang w:val="en-GB"/>
        </w:rPr>
        <w:t xml:space="preserve"> P</w:t>
      </w:r>
      <w:r w:rsidR="00C84CB2" w:rsidRPr="003A7898">
        <w:rPr>
          <w:rFonts w:ascii="Times New Roman" w:hAnsi="Times New Roman" w:cs="Times New Roman"/>
          <w:sz w:val="20"/>
          <w:szCs w:val="20"/>
          <w:lang w:val="en-GB"/>
        </w:rPr>
        <w:t xml:space="preserve">ublic and private investments and expenditures related to the </w:t>
      </w:r>
      <w:r w:rsidR="0068111B" w:rsidRPr="003A7898">
        <w:rPr>
          <w:rFonts w:ascii="Times New Roman" w:hAnsi="Times New Roman" w:cs="Times New Roman"/>
          <w:sz w:val="20"/>
          <w:szCs w:val="20"/>
          <w:lang w:val="en-GB"/>
        </w:rPr>
        <w:t xml:space="preserve">Sustainable </w:t>
      </w:r>
      <w:r w:rsidR="003F3282" w:rsidRPr="003A7898">
        <w:rPr>
          <w:rFonts w:ascii="Times New Roman" w:hAnsi="Times New Roman" w:cs="Times New Roman"/>
          <w:sz w:val="20"/>
          <w:szCs w:val="20"/>
          <w:lang w:val="en-GB"/>
        </w:rPr>
        <w:t xml:space="preserve">Development Goals will </w:t>
      </w:r>
      <w:r w:rsidR="000112EC" w:rsidRPr="003A7898">
        <w:rPr>
          <w:rFonts w:ascii="Times New Roman" w:hAnsi="Times New Roman" w:cs="Times New Roman"/>
          <w:sz w:val="20"/>
          <w:szCs w:val="20"/>
          <w:lang w:val="en-GB"/>
        </w:rPr>
        <w:t xml:space="preserve">be </w:t>
      </w:r>
      <w:r w:rsidR="00C84CB2" w:rsidRPr="003A7898">
        <w:rPr>
          <w:rFonts w:ascii="Times New Roman" w:hAnsi="Times New Roman" w:cs="Times New Roman"/>
          <w:sz w:val="20"/>
          <w:szCs w:val="20"/>
          <w:lang w:val="en-GB"/>
        </w:rPr>
        <w:t>promoted through an integrated national financing framework</w:t>
      </w:r>
      <w:r w:rsidR="003F3282" w:rsidRPr="003A7898">
        <w:rPr>
          <w:rFonts w:ascii="Times New Roman" w:hAnsi="Times New Roman" w:cs="Times New Roman"/>
          <w:sz w:val="20"/>
          <w:szCs w:val="20"/>
          <w:lang w:val="en-GB"/>
        </w:rPr>
        <w:t xml:space="preserve"> under the leadership of the </w:t>
      </w:r>
      <w:r w:rsidR="0078278B" w:rsidRPr="003A7898">
        <w:rPr>
          <w:rFonts w:ascii="Times New Roman" w:hAnsi="Times New Roman" w:cs="Times New Roman"/>
          <w:sz w:val="20"/>
          <w:szCs w:val="20"/>
          <w:lang w:val="en-GB"/>
        </w:rPr>
        <w:t>MPCE</w:t>
      </w:r>
      <w:r w:rsidR="003F3282" w:rsidRPr="003A7898">
        <w:rPr>
          <w:rFonts w:ascii="Times New Roman" w:hAnsi="Times New Roman" w:cs="Times New Roman"/>
          <w:sz w:val="20"/>
          <w:szCs w:val="20"/>
          <w:lang w:val="en-GB"/>
        </w:rPr>
        <w:t xml:space="preserve"> and </w:t>
      </w:r>
      <w:r w:rsidR="0078278B" w:rsidRPr="003A7898">
        <w:rPr>
          <w:rFonts w:ascii="Times New Roman" w:hAnsi="Times New Roman" w:cs="Times New Roman"/>
          <w:sz w:val="20"/>
          <w:szCs w:val="20"/>
          <w:lang w:val="en-GB"/>
        </w:rPr>
        <w:t xml:space="preserve">the Ministry of </w:t>
      </w:r>
      <w:r w:rsidR="00716F55">
        <w:rPr>
          <w:rFonts w:ascii="Times New Roman" w:hAnsi="Times New Roman" w:cs="Times New Roman"/>
          <w:sz w:val="20"/>
          <w:szCs w:val="20"/>
          <w:lang w:val="en-GB"/>
        </w:rPr>
        <w:t xml:space="preserve">Economy and </w:t>
      </w:r>
      <w:r w:rsidR="003F3282" w:rsidRPr="003A7898">
        <w:rPr>
          <w:rFonts w:ascii="Times New Roman" w:hAnsi="Times New Roman" w:cs="Times New Roman"/>
          <w:sz w:val="20"/>
          <w:szCs w:val="20"/>
          <w:lang w:val="en-GB"/>
        </w:rPr>
        <w:t>Finance</w:t>
      </w:r>
      <w:r w:rsidR="00716F55">
        <w:rPr>
          <w:rFonts w:ascii="Times New Roman" w:hAnsi="Times New Roman" w:cs="Times New Roman"/>
          <w:sz w:val="20"/>
          <w:szCs w:val="20"/>
          <w:lang w:val="en-GB"/>
        </w:rPr>
        <w:t>,</w:t>
      </w:r>
      <w:r w:rsidR="003F3282" w:rsidRPr="003A7898">
        <w:rPr>
          <w:rFonts w:ascii="Times New Roman" w:hAnsi="Times New Roman" w:cs="Times New Roman"/>
          <w:sz w:val="20"/>
          <w:szCs w:val="20"/>
          <w:lang w:val="en-GB"/>
        </w:rPr>
        <w:t xml:space="preserve"> in partnership with the private sector. </w:t>
      </w:r>
      <w:r w:rsidR="00452747" w:rsidRPr="003A7898">
        <w:rPr>
          <w:rFonts w:ascii="Times New Roman" w:hAnsi="Times New Roman" w:cs="Times New Roman"/>
          <w:sz w:val="20"/>
          <w:szCs w:val="20"/>
          <w:lang w:val="en-GB"/>
        </w:rPr>
        <w:t xml:space="preserve">UNDP efforts will contribute to longer-term engagement in reducing economic </w:t>
      </w:r>
      <w:r w:rsidR="005775C4" w:rsidRPr="003A7898">
        <w:rPr>
          <w:rFonts w:ascii="Times New Roman" w:hAnsi="Times New Roman" w:cs="Times New Roman"/>
          <w:sz w:val="20"/>
          <w:szCs w:val="20"/>
          <w:lang w:val="en-GB"/>
        </w:rPr>
        <w:t xml:space="preserve">and social </w:t>
      </w:r>
      <w:r w:rsidR="00452747" w:rsidRPr="003A7898">
        <w:rPr>
          <w:rFonts w:ascii="Times New Roman" w:hAnsi="Times New Roman" w:cs="Times New Roman"/>
          <w:sz w:val="20"/>
          <w:szCs w:val="20"/>
          <w:lang w:val="en-GB"/>
        </w:rPr>
        <w:t>inequalities while remaining flexible enough to respond to sudden-onset crises.</w:t>
      </w:r>
      <w:r w:rsidR="005775C4" w:rsidRPr="003A7898">
        <w:rPr>
          <w:rFonts w:ascii="Times New Roman" w:hAnsi="Times New Roman" w:cs="Times New Roman"/>
          <w:sz w:val="20"/>
          <w:szCs w:val="20"/>
          <w:lang w:val="en-GB"/>
        </w:rPr>
        <w:t xml:space="preserve"> In this manner, UNDP will </w:t>
      </w:r>
      <w:r w:rsidR="00F0328D" w:rsidRPr="003A7898">
        <w:rPr>
          <w:rFonts w:ascii="Times New Roman" w:hAnsi="Times New Roman" w:cs="Times New Roman"/>
          <w:sz w:val="20"/>
          <w:szCs w:val="20"/>
          <w:lang w:val="en-GB"/>
        </w:rPr>
        <w:t xml:space="preserve">contribute to breaking </w:t>
      </w:r>
      <w:r w:rsidR="005775C4" w:rsidRPr="003A7898">
        <w:rPr>
          <w:rFonts w:ascii="Times New Roman" w:hAnsi="Times New Roman" w:cs="Times New Roman"/>
          <w:sz w:val="20"/>
          <w:szCs w:val="20"/>
          <w:lang w:val="en-GB"/>
        </w:rPr>
        <w:t xml:space="preserve">the cycle of </w:t>
      </w:r>
      <w:r w:rsidR="00F0328D" w:rsidRPr="003A7898">
        <w:rPr>
          <w:rFonts w:ascii="Times New Roman" w:hAnsi="Times New Roman" w:cs="Times New Roman"/>
          <w:sz w:val="20"/>
          <w:szCs w:val="20"/>
          <w:lang w:val="en-GB"/>
        </w:rPr>
        <w:t xml:space="preserve">fragility. </w:t>
      </w:r>
    </w:p>
    <w:p w14:paraId="159DD64C" w14:textId="46585615" w:rsidR="002401B1" w:rsidRPr="003A7898" w:rsidRDefault="00DD1D38" w:rsidP="00B514B1">
      <w:pPr>
        <w:pStyle w:val="ListParagraph"/>
        <w:numPr>
          <w:ilvl w:val="0"/>
          <w:numId w:val="42"/>
        </w:numPr>
        <w:tabs>
          <w:tab w:val="left" w:pos="126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UNDP </w:t>
      </w:r>
      <w:r w:rsidR="00DE7A47" w:rsidRPr="003A7898">
        <w:rPr>
          <w:rFonts w:ascii="Times New Roman" w:hAnsi="Times New Roman" w:cs="Times New Roman"/>
          <w:sz w:val="20"/>
          <w:szCs w:val="20"/>
          <w:lang w:val="en-GB"/>
        </w:rPr>
        <w:t xml:space="preserve">will </w:t>
      </w:r>
      <w:r w:rsidRPr="003A7898">
        <w:rPr>
          <w:rFonts w:ascii="Times New Roman" w:hAnsi="Times New Roman" w:cs="Times New Roman"/>
          <w:sz w:val="20"/>
          <w:szCs w:val="20"/>
          <w:lang w:val="en-GB"/>
        </w:rPr>
        <w:t xml:space="preserve">focus its partnership strategy </w:t>
      </w:r>
      <w:r w:rsidR="0000232A" w:rsidRPr="003A7898">
        <w:rPr>
          <w:rFonts w:ascii="Times New Roman" w:hAnsi="Times New Roman" w:cs="Times New Roman"/>
          <w:sz w:val="20"/>
          <w:szCs w:val="20"/>
          <w:lang w:val="en-GB"/>
        </w:rPr>
        <w:t xml:space="preserve">on </w:t>
      </w:r>
      <w:r w:rsidR="00CE57A9" w:rsidRPr="003A7898">
        <w:rPr>
          <w:rFonts w:ascii="Times New Roman" w:hAnsi="Times New Roman" w:cs="Times New Roman"/>
          <w:sz w:val="20"/>
          <w:szCs w:val="20"/>
          <w:lang w:val="en-GB"/>
        </w:rPr>
        <w:t>supporting</w:t>
      </w:r>
      <w:r w:rsidRPr="003A7898">
        <w:rPr>
          <w:rFonts w:ascii="Times New Roman" w:hAnsi="Times New Roman" w:cs="Times New Roman"/>
          <w:sz w:val="20"/>
          <w:szCs w:val="20"/>
          <w:lang w:val="en-GB"/>
        </w:rPr>
        <w:t xml:space="preserve"> </w:t>
      </w:r>
      <w:r w:rsidR="001C4172">
        <w:rPr>
          <w:rFonts w:ascii="Times New Roman" w:hAnsi="Times New Roman" w:cs="Times New Roman"/>
          <w:sz w:val="20"/>
          <w:szCs w:val="20"/>
          <w:lang w:val="en-GB"/>
        </w:rPr>
        <w:t xml:space="preserve">the </w:t>
      </w:r>
      <w:r w:rsidR="00CE57A9" w:rsidRPr="003A7898">
        <w:rPr>
          <w:rFonts w:ascii="Times New Roman" w:hAnsi="Times New Roman" w:cs="Times New Roman"/>
          <w:sz w:val="20"/>
          <w:szCs w:val="20"/>
          <w:lang w:val="en-GB"/>
        </w:rPr>
        <w:t>develop</w:t>
      </w:r>
      <w:r w:rsidR="00716F55">
        <w:rPr>
          <w:rFonts w:ascii="Times New Roman" w:hAnsi="Times New Roman" w:cs="Times New Roman"/>
          <w:sz w:val="20"/>
          <w:szCs w:val="20"/>
          <w:lang w:val="en-GB"/>
        </w:rPr>
        <w:t xml:space="preserve">ment of </w:t>
      </w:r>
      <w:r w:rsidRPr="003A7898">
        <w:rPr>
          <w:rFonts w:ascii="Times New Roman" w:hAnsi="Times New Roman" w:cs="Times New Roman"/>
          <w:sz w:val="20"/>
          <w:szCs w:val="20"/>
          <w:lang w:val="en-GB"/>
        </w:rPr>
        <w:t>national capacit</w:t>
      </w:r>
      <w:r w:rsidR="00CE57A9" w:rsidRPr="003A7898">
        <w:rPr>
          <w:rFonts w:ascii="Times New Roman" w:hAnsi="Times New Roman" w:cs="Times New Roman"/>
          <w:sz w:val="20"/>
          <w:szCs w:val="20"/>
          <w:lang w:val="en-GB"/>
        </w:rPr>
        <w:t>ies</w:t>
      </w:r>
      <w:r w:rsidRPr="003A7898">
        <w:rPr>
          <w:rFonts w:ascii="Times New Roman" w:hAnsi="Times New Roman" w:cs="Times New Roman"/>
          <w:sz w:val="20"/>
          <w:szCs w:val="20"/>
          <w:lang w:val="en-GB"/>
        </w:rPr>
        <w:t xml:space="preserve">, which is its </w:t>
      </w:r>
      <w:r w:rsidRPr="0034688B">
        <w:rPr>
          <w:rFonts w:ascii="Times New Roman" w:hAnsi="Times New Roman" w:cs="Times New Roman"/>
          <w:sz w:val="20"/>
          <w:szCs w:val="20"/>
          <w:lang w:val="en-GB"/>
        </w:rPr>
        <w:t>raison d'être</w:t>
      </w:r>
      <w:r w:rsidR="00435E9A" w:rsidRPr="003A7898">
        <w:rPr>
          <w:rFonts w:ascii="Times New Roman" w:hAnsi="Times New Roman" w:cs="Times New Roman"/>
          <w:sz w:val="20"/>
          <w:szCs w:val="20"/>
          <w:lang w:val="en-GB"/>
        </w:rPr>
        <w:t xml:space="preserve">. </w:t>
      </w:r>
      <w:r w:rsidR="00AF3988" w:rsidRPr="003A7898">
        <w:rPr>
          <w:rFonts w:ascii="Times New Roman" w:hAnsi="Times New Roman" w:cs="Times New Roman"/>
          <w:sz w:val="20"/>
          <w:szCs w:val="20"/>
          <w:lang w:val="en-GB"/>
        </w:rPr>
        <w:t>Building on the example of its ongoing collaboration with the Ministry of Commerce and Industry, UNDP will</w:t>
      </w:r>
      <w:r w:rsidR="00716F55">
        <w:rPr>
          <w:rFonts w:ascii="Times New Roman" w:hAnsi="Times New Roman" w:cs="Times New Roman"/>
          <w:sz w:val="20"/>
          <w:szCs w:val="20"/>
          <w:lang w:val="en-GB"/>
        </w:rPr>
        <w:t>:</w:t>
      </w:r>
      <w:r w:rsidR="00AF3988" w:rsidRPr="003A7898">
        <w:rPr>
          <w:rFonts w:ascii="Times New Roman" w:hAnsi="Times New Roman" w:cs="Times New Roman"/>
          <w:sz w:val="20"/>
          <w:szCs w:val="20"/>
          <w:lang w:val="en-GB"/>
        </w:rPr>
        <w:t xml:space="preserve"> </w:t>
      </w:r>
      <w:r w:rsidR="00622D19" w:rsidRPr="003A7898">
        <w:rPr>
          <w:rFonts w:ascii="Times New Roman" w:hAnsi="Times New Roman" w:cs="Times New Roman"/>
          <w:sz w:val="20"/>
          <w:szCs w:val="20"/>
          <w:lang w:val="en-GB"/>
        </w:rPr>
        <w:t>(</w:t>
      </w:r>
      <w:r w:rsidR="00716F55">
        <w:rPr>
          <w:rFonts w:ascii="Times New Roman" w:hAnsi="Times New Roman" w:cs="Times New Roman"/>
          <w:sz w:val="20"/>
          <w:szCs w:val="20"/>
          <w:lang w:val="en-GB"/>
        </w:rPr>
        <w:t>a</w:t>
      </w:r>
      <w:r w:rsidR="00AD073E" w:rsidRPr="003A7898">
        <w:rPr>
          <w:rFonts w:ascii="Times New Roman" w:hAnsi="Times New Roman" w:cs="Times New Roman"/>
          <w:sz w:val="20"/>
          <w:szCs w:val="20"/>
          <w:lang w:val="en-GB"/>
        </w:rPr>
        <w:t xml:space="preserve">) </w:t>
      </w:r>
      <w:r w:rsidR="00764D46" w:rsidRPr="003A7898">
        <w:rPr>
          <w:rFonts w:ascii="Times New Roman" w:hAnsi="Times New Roman" w:cs="Times New Roman"/>
          <w:sz w:val="20"/>
          <w:szCs w:val="20"/>
          <w:lang w:val="en-GB"/>
        </w:rPr>
        <w:t>strengthen</w:t>
      </w:r>
      <w:r w:rsidR="00C0465E" w:rsidRPr="003A7898">
        <w:rPr>
          <w:rFonts w:ascii="Times New Roman" w:hAnsi="Times New Roman" w:cs="Times New Roman"/>
          <w:sz w:val="20"/>
          <w:szCs w:val="20"/>
          <w:lang w:val="en-GB"/>
        </w:rPr>
        <w:t xml:space="preserve"> institutional capacit</w:t>
      </w:r>
      <w:r w:rsidR="00764D46" w:rsidRPr="003A7898">
        <w:rPr>
          <w:rFonts w:ascii="Times New Roman" w:hAnsi="Times New Roman" w:cs="Times New Roman"/>
          <w:sz w:val="20"/>
          <w:szCs w:val="20"/>
          <w:lang w:val="en-GB"/>
        </w:rPr>
        <w:t>ies</w:t>
      </w:r>
      <w:r w:rsidR="00C0465E" w:rsidRPr="003A7898">
        <w:rPr>
          <w:rFonts w:ascii="Times New Roman" w:hAnsi="Times New Roman" w:cs="Times New Roman"/>
          <w:sz w:val="20"/>
          <w:szCs w:val="20"/>
          <w:lang w:val="en-GB"/>
        </w:rPr>
        <w:t xml:space="preserve"> </w:t>
      </w:r>
      <w:r w:rsidR="001C4172">
        <w:rPr>
          <w:rFonts w:ascii="Times New Roman" w:hAnsi="Times New Roman" w:cs="Times New Roman"/>
          <w:sz w:val="20"/>
          <w:szCs w:val="20"/>
          <w:lang w:val="en-GB"/>
        </w:rPr>
        <w:t xml:space="preserve">for more equitable provision of </w:t>
      </w:r>
      <w:r w:rsidR="002C1DB5" w:rsidRPr="003A7898">
        <w:rPr>
          <w:rFonts w:ascii="Times New Roman" w:hAnsi="Times New Roman" w:cs="Times New Roman"/>
          <w:sz w:val="20"/>
          <w:szCs w:val="20"/>
          <w:lang w:val="en-GB"/>
        </w:rPr>
        <w:t>services to economic actors, particularly micro and small enterprises</w:t>
      </w:r>
      <w:r w:rsidR="001C4172">
        <w:rPr>
          <w:rFonts w:ascii="Times New Roman" w:hAnsi="Times New Roman" w:cs="Times New Roman"/>
          <w:sz w:val="20"/>
          <w:szCs w:val="20"/>
          <w:lang w:val="en-GB"/>
        </w:rPr>
        <w:t>;</w:t>
      </w:r>
      <w:r w:rsidR="005E560B" w:rsidRPr="003A7898">
        <w:rPr>
          <w:rFonts w:ascii="Times New Roman" w:hAnsi="Times New Roman" w:cs="Times New Roman"/>
          <w:sz w:val="20"/>
          <w:szCs w:val="20"/>
          <w:lang w:val="en-GB"/>
        </w:rPr>
        <w:t xml:space="preserve"> and </w:t>
      </w:r>
      <w:r w:rsidR="00AD073E" w:rsidRPr="003A7898">
        <w:rPr>
          <w:rFonts w:ascii="Times New Roman" w:hAnsi="Times New Roman" w:cs="Times New Roman"/>
          <w:sz w:val="20"/>
          <w:szCs w:val="20"/>
          <w:lang w:val="en-GB"/>
        </w:rPr>
        <w:t>(</w:t>
      </w:r>
      <w:r w:rsidR="001C4172">
        <w:rPr>
          <w:rFonts w:ascii="Times New Roman" w:hAnsi="Times New Roman" w:cs="Times New Roman"/>
          <w:sz w:val="20"/>
          <w:szCs w:val="20"/>
          <w:lang w:val="en-GB"/>
        </w:rPr>
        <w:t>b</w:t>
      </w:r>
      <w:r w:rsidR="00AD073E" w:rsidRPr="003A7898">
        <w:rPr>
          <w:rFonts w:ascii="Times New Roman" w:hAnsi="Times New Roman" w:cs="Times New Roman"/>
          <w:sz w:val="20"/>
          <w:szCs w:val="20"/>
          <w:lang w:val="en-GB"/>
        </w:rPr>
        <w:t xml:space="preserve">) </w:t>
      </w:r>
      <w:r w:rsidR="005E560B" w:rsidRPr="003A7898">
        <w:rPr>
          <w:rFonts w:ascii="Times New Roman" w:hAnsi="Times New Roman" w:cs="Times New Roman"/>
          <w:sz w:val="20"/>
          <w:szCs w:val="20"/>
          <w:lang w:val="en-GB"/>
        </w:rPr>
        <w:t xml:space="preserve">promote sustainable consumption and production within </w:t>
      </w:r>
      <w:r w:rsidR="001C4172">
        <w:rPr>
          <w:rFonts w:ascii="Times New Roman" w:hAnsi="Times New Roman" w:cs="Times New Roman"/>
          <w:sz w:val="20"/>
          <w:szCs w:val="20"/>
          <w:lang w:val="en-GB"/>
        </w:rPr>
        <w:t xml:space="preserve">the </w:t>
      </w:r>
      <w:r w:rsidR="005E560B" w:rsidRPr="003A7898">
        <w:rPr>
          <w:rFonts w:ascii="Times New Roman" w:hAnsi="Times New Roman" w:cs="Times New Roman"/>
          <w:sz w:val="20"/>
          <w:szCs w:val="20"/>
          <w:lang w:val="en-GB"/>
        </w:rPr>
        <w:t>public and private sectors</w:t>
      </w:r>
      <w:r w:rsidR="002C1DB5" w:rsidRPr="003A7898">
        <w:rPr>
          <w:rFonts w:ascii="Times New Roman" w:hAnsi="Times New Roman" w:cs="Times New Roman"/>
          <w:sz w:val="20"/>
          <w:szCs w:val="20"/>
          <w:lang w:val="en-GB"/>
        </w:rPr>
        <w:t>.</w:t>
      </w:r>
      <w:r w:rsidR="00AD073E" w:rsidRPr="003A7898">
        <w:rPr>
          <w:rFonts w:ascii="Times New Roman" w:hAnsi="Times New Roman" w:cs="Times New Roman"/>
          <w:sz w:val="20"/>
          <w:szCs w:val="20"/>
          <w:lang w:val="en-GB"/>
        </w:rPr>
        <w:t xml:space="preserve"> UNDP</w:t>
      </w:r>
      <w:r w:rsidRPr="003A7898">
        <w:rPr>
          <w:rFonts w:ascii="Times New Roman" w:hAnsi="Times New Roman" w:cs="Times New Roman"/>
          <w:sz w:val="20"/>
          <w:szCs w:val="20"/>
          <w:lang w:val="en-GB"/>
        </w:rPr>
        <w:t xml:space="preserve"> will </w:t>
      </w:r>
      <w:r w:rsidR="00A4139E" w:rsidRPr="003A7898">
        <w:rPr>
          <w:rFonts w:ascii="Times New Roman" w:hAnsi="Times New Roman" w:cs="Times New Roman"/>
          <w:sz w:val="20"/>
          <w:szCs w:val="20"/>
          <w:lang w:val="en-GB"/>
        </w:rPr>
        <w:t xml:space="preserve">rely </w:t>
      </w:r>
      <w:r w:rsidRPr="003A7898">
        <w:rPr>
          <w:rFonts w:ascii="Times New Roman" w:hAnsi="Times New Roman" w:cs="Times New Roman"/>
          <w:sz w:val="20"/>
          <w:szCs w:val="20"/>
          <w:lang w:val="en-GB"/>
        </w:rPr>
        <w:t xml:space="preserve">on the added value of the </w:t>
      </w:r>
      <w:r w:rsidR="00755EEB" w:rsidRPr="003A7898">
        <w:rPr>
          <w:rFonts w:ascii="Times New Roman" w:hAnsi="Times New Roman" w:cs="Times New Roman"/>
          <w:sz w:val="20"/>
          <w:szCs w:val="20"/>
          <w:lang w:val="en-GB"/>
        </w:rPr>
        <w:t xml:space="preserve">United Nations </w:t>
      </w:r>
      <w:r w:rsidR="001C4172">
        <w:rPr>
          <w:rFonts w:ascii="Times New Roman" w:hAnsi="Times New Roman" w:cs="Times New Roman"/>
          <w:sz w:val="20"/>
          <w:szCs w:val="20"/>
          <w:lang w:val="en-GB"/>
        </w:rPr>
        <w:t>s</w:t>
      </w:r>
      <w:r w:rsidR="00755EEB" w:rsidRPr="003A7898">
        <w:rPr>
          <w:rFonts w:ascii="Times New Roman" w:hAnsi="Times New Roman" w:cs="Times New Roman"/>
          <w:sz w:val="20"/>
          <w:szCs w:val="20"/>
          <w:lang w:val="en-GB"/>
        </w:rPr>
        <w:t xml:space="preserve">ystem </w:t>
      </w:r>
      <w:r w:rsidR="001C4172" w:rsidRPr="003A7898">
        <w:rPr>
          <w:rFonts w:ascii="Times New Roman" w:hAnsi="Times New Roman" w:cs="Times New Roman"/>
          <w:sz w:val="20"/>
          <w:szCs w:val="20"/>
          <w:lang w:val="en-GB"/>
        </w:rPr>
        <w:t xml:space="preserve">agencies, funds and programmes </w:t>
      </w:r>
      <w:r w:rsidRPr="003A7898">
        <w:rPr>
          <w:rFonts w:ascii="Times New Roman" w:hAnsi="Times New Roman" w:cs="Times New Roman"/>
          <w:sz w:val="20"/>
          <w:szCs w:val="20"/>
          <w:lang w:val="en-GB"/>
        </w:rPr>
        <w:t xml:space="preserve">present in </w:t>
      </w:r>
      <w:r w:rsidR="0034688B">
        <w:rPr>
          <w:rFonts w:ascii="Times New Roman" w:hAnsi="Times New Roman" w:cs="Times New Roman"/>
          <w:sz w:val="20"/>
          <w:szCs w:val="20"/>
          <w:lang w:val="en-GB"/>
        </w:rPr>
        <w:t>Haiti</w:t>
      </w:r>
      <w:r w:rsidRPr="003A7898">
        <w:rPr>
          <w:rFonts w:ascii="Times New Roman" w:hAnsi="Times New Roman" w:cs="Times New Roman"/>
          <w:sz w:val="20"/>
          <w:szCs w:val="20"/>
          <w:lang w:val="en-GB"/>
        </w:rPr>
        <w:t xml:space="preserve"> and the partnerships it can forge with technical expertise available outside the country</w:t>
      </w:r>
      <w:r w:rsidR="00A4139E" w:rsidRPr="003A7898">
        <w:rPr>
          <w:rFonts w:ascii="Times New Roman" w:hAnsi="Times New Roman" w:cs="Times New Roman"/>
          <w:sz w:val="20"/>
          <w:szCs w:val="20"/>
          <w:lang w:val="en-GB"/>
        </w:rPr>
        <w:t>,</w:t>
      </w:r>
      <w:r w:rsidRPr="003A7898">
        <w:rPr>
          <w:rFonts w:ascii="Times New Roman" w:hAnsi="Times New Roman" w:cs="Times New Roman"/>
          <w:sz w:val="20"/>
          <w:szCs w:val="20"/>
          <w:lang w:val="en-GB"/>
        </w:rPr>
        <w:t xml:space="preserve"> such as the Economic Commission </w:t>
      </w:r>
      <w:r w:rsidR="007051B9">
        <w:rPr>
          <w:rFonts w:ascii="Times New Roman" w:hAnsi="Times New Roman" w:cs="Times New Roman"/>
          <w:sz w:val="20"/>
          <w:szCs w:val="20"/>
          <w:lang w:val="en-GB"/>
        </w:rPr>
        <w:t>for</w:t>
      </w:r>
      <w:r w:rsidRPr="003A7898">
        <w:rPr>
          <w:rFonts w:ascii="Times New Roman" w:hAnsi="Times New Roman" w:cs="Times New Roman"/>
          <w:sz w:val="20"/>
          <w:szCs w:val="20"/>
          <w:lang w:val="en-GB"/>
        </w:rPr>
        <w:t xml:space="preserve"> </w:t>
      </w:r>
      <w:r w:rsidR="007051B9">
        <w:rPr>
          <w:rFonts w:ascii="Times New Roman" w:hAnsi="Times New Roman" w:cs="Times New Roman"/>
          <w:sz w:val="20"/>
          <w:szCs w:val="20"/>
          <w:lang w:val="en-GB"/>
        </w:rPr>
        <w:t xml:space="preserve">Latin </w:t>
      </w:r>
      <w:r w:rsidRPr="003A7898">
        <w:rPr>
          <w:rFonts w:ascii="Times New Roman" w:hAnsi="Times New Roman" w:cs="Times New Roman"/>
          <w:sz w:val="20"/>
          <w:szCs w:val="20"/>
          <w:lang w:val="en-GB"/>
        </w:rPr>
        <w:t xml:space="preserve">America and </w:t>
      </w:r>
      <w:r w:rsidR="000946F2">
        <w:rPr>
          <w:rFonts w:ascii="Times New Roman" w:hAnsi="Times New Roman" w:cs="Times New Roman"/>
          <w:sz w:val="20"/>
          <w:szCs w:val="20"/>
          <w:lang w:val="en-GB"/>
        </w:rPr>
        <w:t xml:space="preserve">the </w:t>
      </w:r>
      <w:r w:rsidRPr="003A7898">
        <w:rPr>
          <w:rFonts w:ascii="Times New Roman" w:hAnsi="Times New Roman" w:cs="Times New Roman"/>
          <w:sz w:val="20"/>
          <w:szCs w:val="20"/>
          <w:lang w:val="en-GB"/>
        </w:rPr>
        <w:t>Caribbean (ECLAC)</w:t>
      </w:r>
      <w:r w:rsidR="00B16753" w:rsidRPr="003A7898">
        <w:rPr>
          <w:rFonts w:ascii="Times New Roman" w:hAnsi="Times New Roman" w:cs="Times New Roman"/>
          <w:sz w:val="20"/>
          <w:szCs w:val="20"/>
          <w:lang w:val="en-GB"/>
        </w:rPr>
        <w:t xml:space="preserve"> and the United Nations Conference on Trade and Development</w:t>
      </w:r>
      <w:r w:rsidRPr="003A7898">
        <w:rPr>
          <w:rFonts w:ascii="Times New Roman" w:hAnsi="Times New Roman" w:cs="Times New Roman"/>
          <w:sz w:val="20"/>
          <w:szCs w:val="20"/>
          <w:lang w:val="en-GB"/>
        </w:rPr>
        <w:t xml:space="preserve">, </w:t>
      </w:r>
      <w:r w:rsidR="00B16753" w:rsidRPr="003A7898">
        <w:rPr>
          <w:rFonts w:ascii="Times New Roman" w:hAnsi="Times New Roman" w:cs="Times New Roman"/>
          <w:sz w:val="20"/>
          <w:szCs w:val="20"/>
          <w:lang w:val="en-GB"/>
        </w:rPr>
        <w:t xml:space="preserve">and will work with agencies with experience in Haiti such as </w:t>
      </w:r>
      <w:r w:rsidRPr="003A7898">
        <w:rPr>
          <w:rFonts w:ascii="Times New Roman" w:hAnsi="Times New Roman" w:cs="Times New Roman"/>
          <w:sz w:val="20"/>
          <w:szCs w:val="20"/>
          <w:lang w:val="en-GB"/>
        </w:rPr>
        <w:t xml:space="preserve">the International Labour </w:t>
      </w:r>
      <w:r w:rsidR="0078278B" w:rsidRPr="003A7898">
        <w:rPr>
          <w:rFonts w:ascii="Times New Roman" w:hAnsi="Times New Roman" w:cs="Times New Roman"/>
          <w:sz w:val="20"/>
          <w:szCs w:val="20"/>
          <w:lang w:val="en-GB"/>
        </w:rPr>
        <w:t>Organization</w:t>
      </w:r>
      <w:r w:rsidRPr="003A7898">
        <w:rPr>
          <w:rFonts w:ascii="Times New Roman" w:hAnsi="Times New Roman" w:cs="Times New Roman"/>
          <w:sz w:val="20"/>
          <w:szCs w:val="20"/>
          <w:lang w:val="en-GB"/>
        </w:rPr>
        <w:t>, the United Nations Environment Programme and the United Nations Office on Drugs and Crime</w:t>
      </w:r>
      <w:r w:rsidR="00BC3E1D" w:rsidRPr="003A7898">
        <w:rPr>
          <w:rFonts w:ascii="Times New Roman" w:hAnsi="Times New Roman" w:cs="Times New Roman"/>
          <w:sz w:val="20"/>
          <w:szCs w:val="20"/>
          <w:lang w:val="en-GB"/>
        </w:rPr>
        <w:t xml:space="preserve">. </w:t>
      </w:r>
      <w:r w:rsidR="00131E9F" w:rsidRPr="003A7898">
        <w:rPr>
          <w:rFonts w:ascii="Times New Roman" w:hAnsi="Times New Roman" w:cs="Times New Roman"/>
          <w:sz w:val="20"/>
          <w:szCs w:val="20"/>
          <w:lang w:val="en-GB"/>
        </w:rPr>
        <w:t xml:space="preserve">UNDP will support national partners to engage </w:t>
      </w:r>
      <w:r w:rsidR="003A1153" w:rsidRPr="003A7898">
        <w:rPr>
          <w:rFonts w:ascii="Times New Roman" w:hAnsi="Times New Roman" w:cs="Times New Roman"/>
          <w:sz w:val="20"/>
          <w:szCs w:val="20"/>
          <w:lang w:val="en-GB"/>
        </w:rPr>
        <w:t xml:space="preserve">with new and different sources of financing for development, building on the initial </w:t>
      </w:r>
      <w:r w:rsidR="001C4172">
        <w:rPr>
          <w:rFonts w:ascii="Times New Roman" w:hAnsi="Times New Roman" w:cs="Times New Roman"/>
          <w:sz w:val="20"/>
          <w:szCs w:val="20"/>
          <w:lang w:val="en-GB"/>
        </w:rPr>
        <w:t xml:space="preserve">support for </w:t>
      </w:r>
      <w:r w:rsidR="003A1153" w:rsidRPr="003A7898">
        <w:rPr>
          <w:rFonts w:ascii="Times New Roman" w:hAnsi="Times New Roman" w:cs="Times New Roman"/>
          <w:sz w:val="20"/>
          <w:szCs w:val="20"/>
          <w:lang w:val="en-GB"/>
        </w:rPr>
        <w:t xml:space="preserve">the </w:t>
      </w:r>
      <w:r w:rsidR="001C4172" w:rsidRPr="003A7898">
        <w:rPr>
          <w:rFonts w:ascii="Times New Roman" w:hAnsi="Times New Roman" w:cs="Times New Roman"/>
          <w:sz w:val="20"/>
          <w:szCs w:val="20"/>
          <w:lang w:val="en-GB"/>
        </w:rPr>
        <w:t xml:space="preserve">integrated national financing framework </w:t>
      </w:r>
      <w:r w:rsidR="003A7554" w:rsidRPr="003A7898">
        <w:rPr>
          <w:rFonts w:ascii="Times New Roman" w:hAnsi="Times New Roman" w:cs="Times New Roman"/>
          <w:sz w:val="20"/>
          <w:szCs w:val="20"/>
          <w:lang w:val="en-GB"/>
        </w:rPr>
        <w:t xml:space="preserve">in </w:t>
      </w:r>
      <w:r w:rsidR="006476EE" w:rsidRPr="003A7898">
        <w:rPr>
          <w:rFonts w:ascii="Times New Roman" w:hAnsi="Times New Roman" w:cs="Times New Roman"/>
          <w:sz w:val="20"/>
          <w:szCs w:val="20"/>
          <w:lang w:val="en-GB"/>
        </w:rPr>
        <w:t>2021 and 2022.</w:t>
      </w:r>
    </w:p>
    <w:p w14:paraId="507F5C42" w14:textId="77777777" w:rsidR="008B38C0" w:rsidRDefault="008B38C0">
      <w:pPr>
        <w:rPr>
          <w:rFonts w:ascii="Times New Roman" w:hAnsi="Times New Roman" w:cs="Times New Roman"/>
          <w:b/>
          <w:bCs/>
          <w:sz w:val="20"/>
          <w:szCs w:val="20"/>
          <w:lang w:val="en-GB" w:eastAsia="fr-FR"/>
        </w:rPr>
      </w:pPr>
      <w:r>
        <w:rPr>
          <w:rFonts w:ascii="Times New Roman" w:hAnsi="Times New Roman" w:cs="Times New Roman"/>
          <w:b/>
          <w:bCs/>
          <w:sz w:val="20"/>
          <w:szCs w:val="20"/>
          <w:lang w:val="en-GB" w:eastAsia="fr-FR"/>
        </w:rPr>
        <w:br w:type="page"/>
      </w:r>
    </w:p>
    <w:p w14:paraId="5315E589" w14:textId="5A5A2D0E" w:rsidR="00A85E05" w:rsidRPr="003A7898" w:rsidRDefault="002C54CD" w:rsidP="003A7898">
      <w:pPr>
        <w:spacing w:after="120" w:line="240" w:lineRule="exact"/>
        <w:ind w:left="1080" w:right="612"/>
        <w:jc w:val="both"/>
        <w:rPr>
          <w:rFonts w:ascii="Times New Roman" w:hAnsi="Times New Roman" w:cs="Times New Roman"/>
          <w:b/>
          <w:bCs/>
          <w:sz w:val="20"/>
          <w:szCs w:val="20"/>
          <w:lang w:val="en-GB" w:eastAsia="fr-FR"/>
        </w:rPr>
      </w:pPr>
      <w:r w:rsidRPr="003A7898">
        <w:rPr>
          <w:rFonts w:ascii="Times New Roman" w:hAnsi="Times New Roman" w:cs="Times New Roman"/>
          <w:b/>
          <w:bCs/>
          <w:sz w:val="20"/>
          <w:szCs w:val="20"/>
          <w:lang w:val="en-GB" w:eastAsia="fr-FR"/>
        </w:rPr>
        <w:lastRenderedPageBreak/>
        <w:t xml:space="preserve">Priority </w:t>
      </w:r>
      <w:r w:rsidR="009646A5">
        <w:rPr>
          <w:rFonts w:ascii="Times New Roman" w:hAnsi="Times New Roman" w:cs="Times New Roman"/>
          <w:b/>
          <w:bCs/>
          <w:sz w:val="20"/>
          <w:szCs w:val="20"/>
          <w:lang w:val="en-GB" w:eastAsia="fr-FR"/>
        </w:rPr>
        <w:t>a</w:t>
      </w:r>
      <w:r w:rsidRPr="003A7898">
        <w:rPr>
          <w:rFonts w:ascii="Times New Roman" w:hAnsi="Times New Roman" w:cs="Times New Roman"/>
          <w:b/>
          <w:bCs/>
          <w:sz w:val="20"/>
          <w:szCs w:val="20"/>
          <w:lang w:val="en-GB" w:eastAsia="fr-FR"/>
        </w:rPr>
        <w:t xml:space="preserve">rea 3 (UNSDCF </w:t>
      </w:r>
      <w:r w:rsidR="009646A5">
        <w:rPr>
          <w:rFonts w:ascii="Times New Roman" w:hAnsi="Times New Roman" w:cs="Times New Roman"/>
          <w:b/>
          <w:bCs/>
          <w:sz w:val="20"/>
          <w:szCs w:val="20"/>
          <w:lang w:val="en-GB" w:eastAsia="fr-FR"/>
        </w:rPr>
        <w:t>p</w:t>
      </w:r>
      <w:r w:rsidRPr="003A7898">
        <w:rPr>
          <w:rFonts w:ascii="Times New Roman" w:hAnsi="Times New Roman" w:cs="Times New Roman"/>
          <w:b/>
          <w:bCs/>
          <w:sz w:val="20"/>
          <w:szCs w:val="20"/>
          <w:lang w:val="en-GB" w:eastAsia="fr-FR"/>
        </w:rPr>
        <w:t xml:space="preserve">illar 3): </w:t>
      </w:r>
      <w:r w:rsidR="006A1C8C" w:rsidRPr="003A7898">
        <w:rPr>
          <w:rFonts w:ascii="Times New Roman" w:hAnsi="Times New Roman" w:cs="Times New Roman"/>
          <w:b/>
          <w:bCs/>
          <w:sz w:val="20"/>
          <w:szCs w:val="20"/>
          <w:lang w:val="en-GB" w:eastAsia="fr-FR"/>
        </w:rPr>
        <w:t>Social services, protection and inclusion</w:t>
      </w:r>
    </w:p>
    <w:p w14:paraId="03998556" w14:textId="665F4B00" w:rsidR="005E562E" w:rsidRPr="003A7898" w:rsidRDefault="009646A5"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This hypothesis is that i</w:t>
      </w:r>
      <w:r w:rsidR="00A3607E" w:rsidRPr="003A7898">
        <w:rPr>
          <w:rFonts w:ascii="Times New Roman" w:hAnsi="Times New Roman" w:cs="Times New Roman"/>
          <w:sz w:val="20"/>
          <w:szCs w:val="20"/>
          <w:lang w:val="en-GB"/>
        </w:rPr>
        <w:t xml:space="preserve">f </w:t>
      </w:r>
      <w:r w:rsidR="00CB5030" w:rsidRPr="003A7898">
        <w:rPr>
          <w:rFonts w:ascii="Times New Roman" w:hAnsi="Times New Roman" w:cs="Times New Roman"/>
          <w:sz w:val="20"/>
          <w:szCs w:val="20"/>
          <w:lang w:val="en-GB"/>
        </w:rPr>
        <w:t xml:space="preserve">national policies are designed and implemented </w:t>
      </w:r>
      <w:r w:rsidR="00BD2454" w:rsidRPr="003A7898">
        <w:rPr>
          <w:rFonts w:ascii="Times New Roman" w:hAnsi="Times New Roman" w:cs="Times New Roman"/>
          <w:sz w:val="20"/>
          <w:szCs w:val="20"/>
          <w:lang w:val="en-GB"/>
        </w:rPr>
        <w:t>to strengthen the social contract and improve</w:t>
      </w:r>
      <w:r w:rsidR="00724D9C" w:rsidRPr="003A7898">
        <w:rPr>
          <w:rFonts w:ascii="Times New Roman" w:hAnsi="Times New Roman" w:cs="Times New Roman"/>
          <w:sz w:val="20"/>
          <w:szCs w:val="20"/>
          <w:lang w:val="en-GB"/>
        </w:rPr>
        <w:t xml:space="preserve"> access </w:t>
      </w:r>
      <w:r w:rsidR="005C4234" w:rsidRPr="003A7898">
        <w:rPr>
          <w:rFonts w:ascii="Times New Roman" w:hAnsi="Times New Roman" w:cs="Times New Roman"/>
          <w:sz w:val="20"/>
          <w:szCs w:val="20"/>
          <w:lang w:val="en-GB"/>
        </w:rPr>
        <w:t xml:space="preserve">to </w:t>
      </w:r>
      <w:r w:rsidR="0065006D" w:rsidRPr="003A7898">
        <w:rPr>
          <w:rFonts w:ascii="Times New Roman" w:hAnsi="Times New Roman" w:cs="Times New Roman"/>
          <w:sz w:val="20"/>
          <w:szCs w:val="20"/>
          <w:lang w:val="en-GB"/>
        </w:rPr>
        <w:t xml:space="preserve">quality basic social services </w:t>
      </w:r>
      <w:r w:rsidR="004E67DF" w:rsidRPr="003A7898">
        <w:rPr>
          <w:rFonts w:ascii="Times New Roman" w:hAnsi="Times New Roman" w:cs="Times New Roman"/>
          <w:sz w:val="20"/>
          <w:szCs w:val="20"/>
          <w:lang w:val="en-GB"/>
        </w:rPr>
        <w:t>for the most vulnerable</w:t>
      </w:r>
      <w:r w:rsidR="005C4234" w:rsidRPr="003A7898">
        <w:rPr>
          <w:rFonts w:ascii="Times New Roman" w:hAnsi="Times New Roman" w:cs="Times New Roman"/>
          <w:sz w:val="20"/>
          <w:szCs w:val="20"/>
          <w:lang w:val="en-GB"/>
        </w:rPr>
        <w:t xml:space="preserve">, then </w:t>
      </w:r>
      <w:r w:rsidR="00C51077" w:rsidRPr="003A7898">
        <w:rPr>
          <w:rFonts w:ascii="Times New Roman" w:hAnsi="Times New Roman" w:cs="Times New Roman"/>
          <w:sz w:val="20"/>
          <w:szCs w:val="20"/>
          <w:lang w:val="en-GB"/>
        </w:rPr>
        <w:t xml:space="preserve">the </w:t>
      </w:r>
      <w:r w:rsidR="00141052" w:rsidRPr="003A7898">
        <w:rPr>
          <w:rFonts w:ascii="Times New Roman" w:hAnsi="Times New Roman" w:cs="Times New Roman"/>
          <w:sz w:val="20"/>
          <w:szCs w:val="20"/>
          <w:lang w:val="en-GB"/>
        </w:rPr>
        <w:t>population will be more resilient to shocks.</w:t>
      </w:r>
    </w:p>
    <w:p w14:paraId="1CD10571" w14:textId="7855CEB6" w:rsidR="005E562E" w:rsidRPr="003A7898" w:rsidRDefault="00515145"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UNDP will </w:t>
      </w:r>
      <w:r w:rsidR="000D1D24" w:rsidRPr="003A7898">
        <w:rPr>
          <w:rFonts w:ascii="Times New Roman" w:hAnsi="Times New Roman" w:cs="Times New Roman"/>
          <w:sz w:val="20"/>
          <w:szCs w:val="20"/>
          <w:lang w:val="en-GB"/>
        </w:rPr>
        <w:t>direct</w:t>
      </w:r>
      <w:r w:rsidRPr="003A7898">
        <w:rPr>
          <w:rFonts w:ascii="Times New Roman" w:hAnsi="Times New Roman" w:cs="Times New Roman"/>
          <w:sz w:val="20"/>
          <w:szCs w:val="20"/>
          <w:lang w:val="en-GB"/>
        </w:rPr>
        <w:t xml:space="preserve"> its unique efforts and capacities </w:t>
      </w:r>
      <w:r w:rsidR="00676B5D" w:rsidRPr="003A7898">
        <w:rPr>
          <w:rFonts w:ascii="Times New Roman" w:hAnsi="Times New Roman" w:cs="Times New Roman"/>
          <w:sz w:val="20"/>
          <w:szCs w:val="20"/>
          <w:lang w:val="en-GB"/>
        </w:rPr>
        <w:t>(</w:t>
      </w:r>
      <w:r w:rsidR="00981732" w:rsidRPr="003A7898">
        <w:rPr>
          <w:rFonts w:ascii="Times New Roman" w:hAnsi="Times New Roman" w:cs="Times New Roman"/>
          <w:sz w:val="20"/>
          <w:szCs w:val="20"/>
          <w:lang w:val="en-GB"/>
        </w:rPr>
        <w:t xml:space="preserve">using a </w:t>
      </w:r>
      <w:r w:rsidRPr="003A7898">
        <w:rPr>
          <w:rFonts w:ascii="Times New Roman" w:hAnsi="Times New Roman" w:cs="Times New Roman"/>
          <w:sz w:val="20"/>
          <w:szCs w:val="20"/>
          <w:lang w:val="en-GB"/>
        </w:rPr>
        <w:t>human right</w:t>
      </w:r>
      <w:r w:rsidR="00981732" w:rsidRPr="003A7898">
        <w:rPr>
          <w:rFonts w:ascii="Times New Roman" w:hAnsi="Times New Roman" w:cs="Times New Roman"/>
          <w:sz w:val="20"/>
          <w:szCs w:val="20"/>
          <w:lang w:val="en-GB"/>
        </w:rPr>
        <w:t xml:space="preserve">s-based approach </w:t>
      </w:r>
      <w:r w:rsidR="009D14EC">
        <w:rPr>
          <w:rFonts w:ascii="Times New Roman" w:hAnsi="Times New Roman" w:cs="Times New Roman"/>
          <w:sz w:val="20"/>
          <w:szCs w:val="20"/>
          <w:lang w:val="en-GB"/>
        </w:rPr>
        <w:t xml:space="preserve">grounded in </w:t>
      </w:r>
      <w:r w:rsidR="00B83549" w:rsidRPr="003A7898">
        <w:rPr>
          <w:rFonts w:ascii="Times New Roman" w:hAnsi="Times New Roman" w:cs="Times New Roman"/>
          <w:sz w:val="20"/>
          <w:szCs w:val="20"/>
          <w:lang w:val="en-GB"/>
        </w:rPr>
        <w:t>the principle of leaving no one behind</w:t>
      </w:r>
      <w:r w:rsidR="00676B5D" w:rsidRPr="003A7898">
        <w:rPr>
          <w:rFonts w:ascii="Times New Roman" w:hAnsi="Times New Roman" w:cs="Times New Roman"/>
          <w:sz w:val="20"/>
          <w:szCs w:val="20"/>
          <w:lang w:val="en-GB"/>
        </w:rPr>
        <w:t>)</w:t>
      </w:r>
      <w:r w:rsidR="00B83549" w:rsidRPr="003A7898">
        <w:rPr>
          <w:rFonts w:ascii="Times New Roman" w:hAnsi="Times New Roman" w:cs="Times New Roman"/>
          <w:sz w:val="20"/>
          <w:szCs w:val="20"/>
          <w:lang w:val="en-GB"/>
        </w:rPr>
        <w:t xml:space="preserve"> </w:t>
      </w:r>
      <w:r w:rsidR="00676B5D" w:rsidRPr="003A7898">
        <w:rPr>
          <w:rFonts w:ascii="Times New Roman" w:hAnsi="Times New Roman" w:cs="Times New Roman"/>
          <w:sz w:val="20"/>
          <w:szCs w:val="20"/>
          <w:lang w:val="en-GB"/>
        </w:rPr>
        <w:t xml:space="preserve">to </w:t>
      </w:r>
      <w:r w:rsidRPr="003A7898">
        <w:rPr>
          <w:rFonts w:ascii="Times New Roman" w:hAnsi="Times New Roman" w:cs="Times New Roman"/>
          <w:sz w:val="20"/>
          <w:szCs w:val="20"/>
          <w:lang w:val="en-GB"/>
        </w:rPr>
        <w:t xml:space="preserve">bring together and </w:t>
      </w:r>
      <w:r w:rsidR="00F31198" w:rsidRPr="003A7898">
        <w:rPr>
          <w:rFonts w:ascii="Times New Roman" w:hAnsi="Times New Roman" w:cs="Times New Roman"/>
          <w:sz w:val="20"/>
          <w:szCs w:val="20"/>
          <w:lang w:val="en-GB"/>
        </w:rPr>
        <w:t>mobiliz</w:t>
      </w:r>
      <w:r w:rsidR="00676B5D" w:rsidRPr="003A7898">
        <w:rPr>
          <w:rFonts w:ascii="Times New Roman" w:hAnsi="Times New Roman" w:cs="Times New Roman"/>
          <w:sz w:val="20"/>
          <w:szCs w:val="20"/>
          <w:lang w:val="en-GB"/>
        </w:rPr>
        <w:t>e</w:t>
      </w:r>
      <w:r w:rsidR="00F31198" w:rsidRPr="003A7898">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 xml:space="preserve">national and international actors to support the </w:t>
      </w:r>
      <w:r w:rsidR="009646A5">
        <w:rPr>
          <w:rFonts w:ascii="Times New Roman" w:hAnsi="Times New Roman" w:cs="Times New Roman"/>
          <w:sz w:val="20"/>
          <w:szCs w:val="20"/>
          <w:lang w:val="en-GB"/>
        </w:rPr>
        <w:t>G</w:t>
      </w:r>
      <w:r w:rsidRPr="003A7898">
        <w:rPr>
          <w:rFonts w:ascii="Times New Roman" w:hAnsi="Times New Roman" w:cs="Times New Roman"/>
          <w:sz w:val="20"/>
          <w:szCs w:val="20"/>
          <w:lang w:val="en-GB"/>
        </w:rPr>
        <w:t xml:space="preserve">overnment’s promotion of inter-institutional and multi-stakeholder </w:t>
      </w:r>
      <w:r w:rsidR="006D7A6E" w:rsidRPr="003A7898">
        <w:rPr>
          <w:rFonts w:ascii="Times New Roman" w:hAnsi="Times New Roman" w:cs="Times New Roman"/>
          <w:sz w:val="20"/>
          <w:szCs w:val="20"/>
          <w:lang w:val="en-GB"/>
        </w:rPr>
        <w:t>policy</w:t>
      </w:r>
      <w:r w:rsidR="00FB4429" w:rsidRPr="003A7898">
        <w:rPr>
          <w:rFonts w:ascii="Times New Roman" w:hAnsi="Times New Roman" w:cs="Times New Roman"/>
          <w:sz w:val="20"/>
          <w:szCs w:val="20"/>
          <w:lang w:val="en-GB"/>
        </w:rPr>
        <w:t xml:space="preserve"> development and implementation, particularly </w:t>
      </w:r>
      <w:r w:rsidR="00BD2454" w:rsidRPr="003A7898">
        <w:rPr>
          <w:rFonts w:ascii="Times New Roman" w:hAnsi="Times New Roman" w:cs="Times New Roman"/>
          <w:sz w:val="20"/>
          <w:szCs w:val="20"/>
          <w:lang w:val="en-GB"/>
        </w:rPr>
        <w:t>concerning</w:t>
      </w:r>
      <w:r w:rsidR="00FB4429" w:rsidRPr="003A7898">
        <w:rPr>
          <w:rFonts w:ascii="Times New Roman" w:hAnsi="Times New Roman" w:cs="Times New Roman"/>
          <w:sz w:val="20"/>
          <w:szCs w:val="20"/>
          <w:lang w:val="en-GB"/>
        </w:rPr>
        <w:t xml:space="preserve"> social protection and access to basic social services. </w:t>
      </w:r>
      <w:r w:rsidR="00BD2946" w:rsidRPr="003A7898">
        <w:rPr>
          <w:rFonts w:ascii="Times New Roman" w:hAnsi="Times New Roman" w:cs="Times New Roman"/>
          <w:sz w:val="20"/>
          <w:szCs w:val="20"/>
          <w:lang w:val="en-GB"/>
        </w:rPr>
        <w:t xml:space="preserve">UNDP will support </w:t>
      </w:r>
      <w:r w:rsidR="00603D43" w:rsidRPr="003A7898">
        <w:rPr>
          <w:rFonts w:ascii="Times New Roman" w:hAnsi="Times New Roman" w:cs="Times New Roman"/>
          <w:sz w:val="20"/>
          <w:szCs w:val="20"/>
          <w:lang w:val="en-GB"/>
        </w:rPr>
        <w:t>institutionali</w:t>
      </w:r>
      <w:r w:rsidR="009646A5">
        <w:rPr>
          <w:rFonts w:ascii="Times New Roman" w:hAnsi="Times New Roman" w:cs="Times New Roman"/>
          <w:sz w:val="20"/>
          <w:szCs w:val="20"/>
          <w:lang w:val="en-GB"/>
        </w:rPr>
        <w:t>z</w:t>
      </w:r>
      <w:r w:rsidR="00603D43" w:rsidRPr="003A7898">
        <w:rPr>
          <w:rFonts w:ascii="Times New Roman" w:hAnsi="Times New Roman" w:cs="Times New Roman"/>
          <w:sz w:val="20"/>
          <w:szCs w:val="20"/>
          <w:lang w:val="en-GB"/>
        </w:rPr>
        <w:t>ing</w:t>
      </w:r>
      <w:r w:rsidR="00DD1608" w:rsidRPr="003A7898">
        <w:rPr>
          <w:rFonts w:ascii="Times New Roman" w:hAnsi="Times New Roman" w:cs="Times New Roman"/>
          <w:sz w:val="20"/>
          <w:szCs w:val="20"/>
          <w:lang w:val="en-GB"/>
        </w:rPr>
        <w:t xml:space="preserve"> the national architecture established in the PNPPS</w:t>
      </w:r>
      <w:r w:rsidR="00B06B7D" w:rsidRPr="003A7898">
        <w:rPr>
          <w:rFonts w:ascii="Times New Roman" w:hAnsi="Times New Roman" w:cs="Times New Roman"/>
          <w:sz w:val="20"/>
          <w:szCs w:val="20"/>
          <w:lang w:val="en-GB"/>
        </w:rPr>
        <w:t xml:space="preserve">. UNDP will collaborate </w:t>
      </w:r>
      <w:r w:rsidR="00201787" w:rsidRPr="003A7898">
        <w:rPr>
          <w:rFonts w:ascii="Times New Roman" w:hAnsi="Times New Roman" w:cs="Times New Roman"/>
          <w:sz w:val="20"/>
          <w:szCs w:val="20"/>
          <w:lang w:val="en-GB"/>
        </w:rPr>
        <w:t>with</w:t>
      </w:r>
      <w:r w:rsidR="00DD1608" w:rsidRPr="003A7898">
        <w:rPr>
          <w:rFonts w:ascii="Times New Roman" w:hAnsi="Times New Roman" w:cs="Times New Roman"/>
          <w:sz w:val="20"/>
          <w:szCs w:val="20"/>
          <w:lang w:val="en-GB"/>
        </w:rPr>
        <w:t xml:space="preserve"> </w:t>
      </w:r>
      <w:r w:rsidR="009646A5">
        <w:rPr>
          <w:rFonts w:ascii="Times New Roman" w:hAnsi="Times New Roman" w:cs="Times New Roman"/>
          <w:sz w:val="20"/>
          <w:szCs w:val="20"/>
          <w:lang w:val="en-GB"/>
        </w:rPr>
        <w:t xml:space="preserve">ECLAC, UNFPA, </w:t>
      </w:r>
      <w:r w:rsidR="00FF28D3" w:rsidRPr="003A7898">
        <w:rPr>
          <w:rFonts w:ascii="Times New Roman" w:hAnsi="Times New Roman" w:cs="Times New Roman"/>
          <w:sz w:val="20"/>
          <w:szCs w:val="20"/>
          <w:lang w:val="en-GB"/>
        </w:rPr>
        <w:t>UNICEF</w:t>
      </w:r>
      <w:r w:rsidR="009646A5">
        <w:rPr>
          <w:rFonts w:ascii="Times New Roman" w:hAnsi="Times New Roman" w:cs="Times New Roman"/>
          <w:sz w:val="20"/>
          <w:szCs w:val="20"/>
          <w:lang w:val="en-GB"/>
        </w:rPr>
        <w:t xml:space="preserve"> and </w:t>
      </w:r>
      <w:r w:rsidR="00FF28D3" w:rsidRPr="003A7898">
        <w:rPr>
          <w:rFonts w:ascii="Times New Roman" w:hAnsi="Times New Roman" w:cs="Times New Roman"/>
          <w:sz w:val="20"/>
          <w:szCs w:val="20"/>
          <w:lang w:val="en-GB"/>
        </w:rPr>
        <w:t>WFP</w:t>
      </w:r>
      <w:r w:rsidR="009646A5">
        <w:rPr>
          <w:rFonts w:ascii="Times New Roman" w:hAnsi="Times New Roman" w:cs="Times New Roman"/>
          <w:sz w:val="20"/>
          <w:szCs w:val="20"/>
          <w:lang w:val="en-GB"/>
        </w:rPr>
        <w:t>, which</w:t>
      </w:r>
      <w:r w:rsidR="00FF28D3" w:rsidRPr="003A7898">
        <w:rPr>
          <w:rFonts w:ascii="Times New Roman" w:hAnsi="Times New Roman" w:cs="Times New Roman"/>
          <w:sz w:val="20"/>
          <w:szCs w:val="20"/>
          <w:lang w:val="en-GB"/>
        </w:rPr>
        <w:t xml:space="preserve"> have considerable experience in this regard. Lessons</w:t>
      </w:r>
      <w:r w:rsidR="00603D43" w:rsidRPr="003A7898">
        <w:rPr>
          <w:rFonts w:ascii="Times New Roman" w:hAnsi="Times New Roman" w:cs="Times New Roman"/>
          <w:sz w:val="20"/>
          <w:szCs w:val="20"/>
          <w:lang w:val="en-GB"/>
        </w:rPr>
        <w:t xml:space="preserve"> </w:t>
      </w:r>
      <w:r w:rsidR="00FF28D3" w:rsidRPr="003A7898">
        <w:rPr>
          <w:rFonts w:ascii="Times New Roman" w:hAnsi="Times New Roman" w:cs="Times New Roman"/>
          <w:sz w:val="20"/>
          <w:szCs w:val="20"/>
          <w:lang w:val="en-GB"/>
        </w:rPr>
        <w:t xml:space="preserve">learned from previous experiences will be applied to </w:t>
      </w:r>
      <w:r w:rsidR="004579EE" w:rsidRPr="003A7898">
        <w:rPr>
          <w:rFonts w:ascii="Times New Roman" w:hAnsi="Times New Roman" w:cs="Times New Roman"/>
          <w:sz w:val="20"/>
          <w:szCs w:val="20"/>
          <w:lang w:val="en-GB"/>
        </w:rPr>
        <w:t xml:space="preserve">advocate for a continued expansion </w:t>
      </w:r>
      <w:r w:rsidR="00201787" w:rsidRPr="003A7898">
        <w:rPr>
          <w:rFonts w:ascii="Times New Roman" w:hAnsi="Times New Roman" w:cs="Times New Roman"/>
          <w:sz w:val="20"/>
          <w:szCs w:val="20"/>
          <w:lang w:val="en-GB"/>
        </w:rPr>
        <w:t xml:space="preserve">of </w:t>
      </w:r>
      <w:r w:rsidR="004579EE" w:rsidRPr="003A7898">
        <w:rPr>
          <w:rFonts w:ascii="Times New Roman" w:hAnsi="Times New Roman" w:cs="Times New Roman"/>
          <w:sz w:val="20"/>
          <w:szCs w:val="20"/>
          <w:lang w:val="en-GB"/>
        </w:rPr>
        <w:t xml:space="preserve">social protection so that more long-term and sustainable </w:t>
      </w:r>
      <w:r w:rsidR="00227E8B" w:rsidRPr="003A7898">
        <w:rPr>
          <w:rFonts w:ascii="Times New Roman" w:hAnsi="Times New Roman" w:cs="Times New Roman"/>
          <w:sz w:val="20"/>
          <w:szCs w:val="20"/>
          <w:lang w:val="en-GB"/>
        </w:rPr>
        <w:t xml:space="preserve">strategies and programmes </w:t>
      </w:r>
      <w:r w:rsidR="00382271" w:rsidRPr="003A7898">
        <w:rPr>
          <w:rFonts w:ascii="Times New Roman" w:hAnsi="Times New Roman" w:cs="Times New Roman"/>
          <w:sz w:val="20"/>
          <w:szCs w:val="20"/>
          <w:lang w:val="en-GB"/>
        </w:rPr>
        <w:t>are</w:t>
      </w:r>
      <w:r w:rsidR="00227E8B" w:rsidRPr="003A7898">
        <w:rPr>
          <w:rFonts w:ascii="Times New Roman" w:hAnsi="Times New Roman" w:cs="Times New Roman"/>
          <w:sz w:val="20"/>
          <w:szCs w:val="20"/>
          <w:lang w:val="en-GB"/>
        </w:rPr>
        <w:t xml:space="preserve"> </w:t>
      </w:r>
      <w:r w:rsidR="00F31198" w:rsidRPr="003A7898">
        <w:rPr>
          <w:rFonts w:ascii="Times New Roman" w:hAnsi="Times New Roman" w:cs="Times New Roman"/>
          <w:sz w:val="20"/>
          <w:szCs w:val="20"/>
          <w:lang w:val="en-GB"/>
        </w:rPr>
        <w:t>prioritized</w:t>
      </w:r>
      <w:r w:rsidR="00227E8B" w:rsidRPr="003A7898">
        <w:rPr>
          <w:rFonts w:ascii="Times New Roman" w:hAnsi="Times New Roman" w:cs="Times New Roman"/>
          <w:sz w:val="20"/>
          <w:szCs w:val="20"/>
          <w:lang w:val="en-GB"/>
        </w:rPr>
        <w:t xml:space="preserve">. </w:t>
      </w:r>
      <w:r w:rsidR="009646A5">
        <w:rPr>
          <w:rFonts w:ascii="Times New Roman" w:hAnsi="Times New Roman" w:cs="Times New Roman"/>
          <w:sz w:val="20"/>
          <w:szCs w:val="20"/>
          <w:lang w:val="en-GB"/>
        </w:rPr>
        <w:t xml:space="preserve">The </w:t>
      </w:r>
      <w:r w:rsidR="00D70CED" w:rsidRPr="003A7898">
        <w:rPr>
          <w:rFonts w:ascii="Times New Roman" w:hAnsi="Times New Roman" w:cs="Times New Roman"/>
          <w:sz w:val="20"/>
          <w:szCs w:val="20"/>
          <w:lang w:val="en-GB"/>
        </w:rPr>
        <w:t xml:space="preserve">convening </w:t>
      </w:r>
      <w:r w:rsidR="006C0965" w:rsidRPr="003A7898">
        <w:rPr>
          <w:rFonts w:ascii="Times New Roman" w:hAnsi="Times New Roman" w:cs="Times New Roman"/>
          <w:sz w:val="20"/>
          <w:szCs w:val="20"/>
          <w:lang w:val="en-GB"/>
        </w:rPr>
        <w:t xml:space="preserve">power </w:t>
      </w:r>
      <w:r w:rsidR="009646A5">
        <w:rPr>
          <w:rFonts w:ascii="Times New Roman" w:hAnsi="Times New Roman" w:cs="Times New Roman"/>
          <w:sz w:val="20"/>
          <w:szCs w:val="20"/>
          <w:lang w:val="en-GB"/>
        </w:rPr>
        <w:t xml:space="preserve">of UNDP </w:t>
      </w:r>
      <w:r w:rsidR="00E81A85" w:rsidRPr="003A7898">
        <w:rPr>
          <w:rFonts w:ascii="Times New Roman" w:hAnsi="Times New Roman" w:cs="Times New Roman"/>
          <w:sz w:val="20"/>
          <w:szCs w:val="20"/>
          <w:lang w:val="en-GB"/>
        </w:rPr>
        <w:t xml:space="preserve">as </w:t>
      </w:r>
      <w:r w:rsidR="009646A5">
        <w:rPr>
          <w:rFonts w:ascii="Times New Roman" w:hAnsi="Times New Roman" w:cs="Times New Roman"/>
          <w:sz w:val="20"/>
          <w:szCs w:val="20"/>
          <w:lang w:val="en-GB"/>
        </w:rPr>
        <w:t xml:space="preserve">a </w:t>
      </w:r>
      <w:r w:rsidR="00E81A85" w:rsidRPr="003A7898">
        <w:rPr>
          <w:rFonts w:ascii="Times New Roman" w:hAnsi="Times New Roman" w:cs="Times New Roman"/>
          <w:sz w:val="20"/>
          <w:szCs w:val="20"/>
          <w:lang w:val="en-GB"/>
        </w:rPr>
        <w:t>provider of integrated solutions</w:t>
      </w:r>
      <w:r w:rsidR="006C0965" w:rsidRPr="003A7898">
        <w:rPr>
          <w:rFonts w:ascii="Times New Roman" w:hAnsi="Times New Roman" w:cs="Times New Roman"/>
          <w:sz w:val="20"/>
          <w:szCs w:val="20"/>
          <w:lang w:val="en-GB"/>
        </w:rPr>
        <w:t xml:space="preserve"> for the U</w:t>
      </w:r>
      <w:r w:rsidR="009F5978" w:rsidRPr="003A7898">
        <w:rPr>
          <w:rFonts w:ascii="Times New Roman" w:hAnsi="Times New Roman" w:cs="Times New Roman"/>
          <w:sz w:val="20"/>
          <w:szCs w:val="20"/>
          <w:lang w:val="en-GB"/>
        </w:rPr>
        <w:t xml:space="preserve">nited </w:t>
      </w:r>
      <w:r w:rsidR="006C0965" w:rsidRPr="003A7898">
        <w:rPr>
          <w:rFonts w:ascii="Times New Roman" w:hAnsi="Times New Roman" w:cs="Times New Roman"/>
          <w:sz w:val="20"/>
          <w:szCs w:val="20"/>
          <w:lang w:val="en-GB"/>
        </w:rPr>
        <w:t>N</w:t>
      </w:r>
      <w:r w:rsidR="009F5978" w:rsidRPr="003A7898">
        <w:rPr>
          <w:rFonts w:ascii="Times New Roman" w:hAnsi="Times New Roman" w:cs="Times New Roman"/>
          <w:sz w:val="20"/>
          <w:szCs w:val="20"/>
          <w:lang w:val="en-GB"/>
        </w:rPr>
        <w:t>ations</w:t>
      </w:r>
      <w:r w:rsidR="006C0965" w:rsidRPr="003A7898">
        <w:rPr>
          <w:rFonts w:ascii="Times New Roman" w:hAnsi="Times New Roman" w:cs="Times New Roman"/>
          <w:sz w:val="20"/>
          <w:szCs w:val="20"/>
          <w:lang w:val="en-GB"/>
        </w:rPr>
        <w:t xml:space="preserve"> system will be critical in this area. </w:t>
      </w:r>
      <w:r w:rsidR="009646A5">
        <w:rPr>
          <w:rFonts w:ascii="Times New Roman" w:hAnsi="Times New Roman" w:cs="Times New Roman"/>
          <w:sz w:val="20"/>
          <w:szCs w:val="20"/>
          <w:lang w:val="en-GB"/>
        </w:rPr>
        <w:t>P</w:t>
      </w:r>
      <w:r w:rsidR="00D743EC" w:rsidRPr="003A7898">
        <w:rPr>
          <w:rFonts w:ascii="Times New Roman" w:hAnsi="Times New Roman" w:cs="Times New Roman"/>
          <w:sz w:val="20"/>
          <w:szCs w:val="20"/>
          <w:lang w:val="en-GB"/>
        </w:rPr>
        <w:t xml:space="preserve">revious efforts </w:t>
      </w:r>
      <w:r w:rsidR="00127043" w:rsidRPr="003A7898">
        <w:rPr>
          <w:rFonts w:ascii="Times New Roman" w:hAnsi="Times New Roman" w:cs="Times New Roman"/>
          <w:sz w:val="20"/>
          <w:szCs w:val="20"/>
          <w:lang w:val="en-GB"/>
        </w:rPr>
        <w:t>of integrating</w:t>
      </w:r>
      <w:r w:rsidR="00201787" w:rsidRPr="003A7898">
        <w:rPr>
          <w:rFonts w:ascii="Times New Roman" w:hAnsi="Times New Roman" w:cs="Times New Roman"/>
          <w:sz w:val="20"/>
          <w:szCs w:val="20"/>
          <w:lang w:val="en-GB"/>
        </w:rPr>
        <w:t xml:space="preserve"> multi</w:t>
      </w:r>
      <w:r w:rsidR="00830AE0">
        <w:rPr>
          <w:rFonts w:ascii="Times New Roman" w:hAnsi="Times New Roman" w:cs="Times New Roman"/>
          <w:sz w:val="20"/>
          <w:szCs w:val="20"/>
          <w:lang w:val="en-GB"/>
        </w:rPr>
        <w:t>dimensional</w:t>
      </w:r>
      <w:r w:rsidR="00201787" w:rsidRPr="003A7898">
        <w:rPr>
          <w:rFonts w:ascii="Times New Roman" w:hAnsi="Times New Roman" w:cs="Times New Roman"/>
          <w:sz w:val="20"/>
          <w:szCs w:val="20"/>
          <w:lang w:val="en-GB"/>
        </w:rPr>
        <w:t xml:space="preserve"> poverty into vulnerability registers need to be sustained, and,</w:t>
      </w:r>
      <w:r w:rsidR="001A371C" w:rsidRPr="003A7898">
        <w:rPr>
          <w:rFonts w:ascii="Times New Roman" w:hAnsi="Times New Roman" w:cs="Times New Roman"/>
          <w:sz w:val="20"/>
          <w:szCs w:val="20"/>
          <w:lang w:val="en-GB"/>
        </w:rPr>
        <w:t xml:space="preserve"> </w:t>
      </w:r>
      <w:r w:rsidR="005E562E" w:rsidRPr="003A7898">
        <w:rPr>
          <w:rFonts w:ascii="Times New Roman" w:hAnsi="Times New Roman" w:cs="Times New Roman"/>
          <w:sz w:val="20"/>
          <w:szCs w:val="20"/>
          <w:lang w:val="en-GB"/>
        </w:rPr>
        <w:t xml:space="preserve">where possible, complementary </w:t>
      </w:r>
      <w:r w:rsidR="009646A5">
        <w:rPr>
          <w:rFonts w:ascii="Times New Roman" w:hAnsi="Times New Roman" w:cs="Times New Roman"/>
          <w:sz w:val="20"/>
          <w:szCs w:val="20"/>
          <w:lang w:val="en-GB"/>
        </w:rPr>
        <w:t xml:space="preserve">to the </w:t>
      </w:r>
      <w:r w:rsidR="005E562E" w:rsidRPr="003A7898">
        <w:rPr>
          <w:rFonts w:ascii="Times New Roman" w:hAnsi="Times New Roman" w:cs="Times New Roman"/>
          <w:sz w:val="20"/>
          <w:szCs w:val="20"/>
          <w:lang w:val="en-GB"/>
        </w:rPr>
        <w:t xml:space="preserve">existing </w:t>
      </w:r>
      <w:r w:rsidR="009646A5">
        <w:rPr>
          <w:rFonts w:ascii="Times New Roman" w:hAnsi="Times New Roman" w:cs="Times New Roman"/>
          <w:sz w:val="20"/>
          <w:szCs w:val="20"/>
          <w:lang w:val="en-GB"/>
        </w:rPr>
        <w:t xml:space="preserve">UNDP </w:t>
      </w:r>
      <w:r w:rsidR="005E562E" w:rsidRPr="003A7898">
        <w:rPr>
          <w:rFonts w:ascii="Times New Roman" w:hAnsi="Times New Roman" w:cs="Times New Roman"/>
          <w:sz w:val="20"/>
          <w:szCs w:val="20"/>
          <w:lang w:val="en-GB"/>
        </w:rPr>
        <w:t xml:space="preserve">multi-risk mapping. In parallel, UNDP will continue to reinforce the functions, funding and capacities of subnational institutions to provide </w:t>
      </w:r>
      <w:r w:rsidR="00127043" w:rsidRPr="003A7898">
        <w:rPr>
          <w:rFonts w:ascii="Times New Roman" w:hAnsi="Times New Roman" w:cs="Times New Roman"/>
          <w:sz w:val="20"/>
          <w:szCs w:val="20"/>
          <w:lang w:val="en-GB"/>
        </w:rPr>
        <w:t xml:space="preserve">better </w:t>
      </w:r>
      <w:r w:rsidR="005E562E" w:rsidRPr="003A7898">
        <w:rPr>
          <w:rFonts w:ascii="Times New Roman" w:hAnsi="Times New Roman" w:cs="Times New Roman"/>
          <w:sz w:val="20"/>
          <w:szCs w:val="20"/>
          <w:lang w:val="en-GB"/>
        </w:rPr>
        <w:t>basic and quality social services</w:t>
      </w:r>
      <w:r w:rsidR="00B7555D" w:rsidRPr="003A7898">
        <w:rPr>
          <w:rFonts w:ascii="Times New Roman" w:hAnsi="Times New Roman" w:cs="Times New Roman"/>
          <w:sz w:val="20"/>
          <w:szCs w:val="20"/>
          <w:lang w:val="en-GB"/>
        </w:rPr>
        <w:t>, especially in the aftermath of crises,</w:t>
      </w:r>
      <w:r w:rsidR="005E562E" w:rsidRPr="003A7898">
        <w:rPr>
          <w:rFonts w:ascii="Times New Roman" w:hAnsi="Times New Roman" w:cs="Times New Roman"/>
          <w:sz w:val="20"/>
          <w:szCs w:val="20"/>
          <w:lang w:val="en-GB"/>
        </w:rPr>
        <w:t xml:space="preserve"> that meet the needs of the population </w:t>
      </w:r>
      <w:r w:rsidR="009D14EC" w:rsidRPr="003A7898">
        <w:rPr>
          <w:rFonts w:ascii="Times New Roman" w:hAnsi="Times New Roman" w:cs="Times New Roman"/>
          <w:sz w:val="20"/>
          <w:szCs w:val="20"/>
          <w:lang w:val="en-GB"/>
        </w:rPr>
        <w:t>mo</w:t>
      </w:r>
      <w:r w:rsidR="009D14EC">
        <w:rPr>
          <w:rFonts w:ascii="Times New Roman" w:hAnsi="Times New Roman" w:cs="Times New Roman"/>
          <w:sz w:val="20"/>
          <w:szCs w:val="20"/>
          <w:lang w:val="en-GB"/>
        </w:rPr>
        <w:t>st</w:t>
      </w:r>
      <w:r w:rsidR="009D14EC" w:rsidRPr="003A7898">
        <w:rPr>
          <w:rFonts w:ascii="Times New Roman" w:hAnsi="Times New Roman" w:cs="Times New Roman"/>
          <w:sz w:val="20"/>
          <w:szCs w:val="20"/>
          <w:lang w:val="en-GB"/>
        </w:rPr>
        <w:t xml:space="preserve"> </w:t>
      </w:r>
      <w:r w:rsidR="005E562E" w:rsidRPr="003A7898">
        <w:rPr>
          <w:rFonts w:ascii="Times New Roman" w:hAnsi="Times New Roman" w:cs="Times New Roman"/>
          <w:sz w:val="20"/>
          <w:szCs w:val="20"/>
          <w:lang w:val="en-GB"/>
        </w:rPr>
        <w:t xml:space="preserve">at risk of vulnerability, including women and youth, especially victims of gender-based and community violence. </w:t>
      </w:r>
    </w:p>
    <w:p w14:paraId="7C496C28" w14:textId="2786E7B7" w:rsidR="000D1D24" w:rsidRPr="003A7898" w:rsidRDefault="00B63677"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Collaboration </w:t>
      </w:r>
      <w:r w:rsidR="009D14EC">
        <w:rPr>
          <w:rFonts w:ascii="Times New Roman" w:hAnsi="Times New Roman" w:cs="Times New Roman"/>
          <w:sz w:val="20"/>
          <w:szCs w:val="20"/>
          <w:lang w:val="en-GB"/>
        </w:rPr>
        <w:t xml:space="preserve">will be deepened </w:t>
      </w:r>
      <w:r w:rsidRPr="003A7898">
        <w:rPr>
          <w:rFonts w:ascii="Times New Roman" w:hAnsi="Times New Roman" w:cs="Times New Roman"/>
          <w:sz w:val="20"/>
          <w:szCs w:val="20"/>
          <w:lang w:val="en-GB"/>
        </w:rPr>
        <w:t xml:space="preserve">with the </w:t>
      </w:r>
      <w:r w:rsidR="00906199" w:rsidRPr="003A7898">
        <w:rPr>
          <w:rFonts w:ascii="Times New Roman" w:hAnsi="Times New Roman" w:cs="Times New Roman"/>
          <w:sz w:val="20"/>
          <w:szCs w:val="20"/>
          <w:lang w:val="en-GB"/>
        </w:rPr>
        <w:t xml:space="preserve">Ministry of Social Affairs and </w:t>
      </w:r>
      <w:r w:rsidR="00DB0A0A" w:rsidRPr="003A7898">
        <w:rPr>
          <w:rFonts w:ascii="Times New Roman" w:hAnsi="Times New Roman" w:cs="Times New Roman"/>
          <w:sz w:val="20"/>
          <w:szCs w:val="20"/>
          <w:lang w:val="en-GB"/>
        </w:rPr>
        <w:t>Labour (</w:t>
      </w:r>
      <w:r w:rsidR="009646A5" w:rsidRPr="009646A5">
        <w:rPr>
          <w:rFonts w:ascii="Times New Roman" w:hAnsi="Times New Roman" w:cs="Times New Roman"/>
          <w:sz w:val="20"/>
          <w:szCs w:val="20"/>
          <w:lang w:val="en-GB"/>
        </w:rPr>
        <w:t xml:space="preserve">Ministère des Affaires Sociales et du Travail </w:t>
      </w:r>
      <w:r w:rsidR="009646A5">
        <w:rPr>
          <w:rFonts w:ascii="Times New Roman" w:hAnsi="Times New Roman" w:cs="Times New Roman"/>
          <w:sz w:val="20"/>
          <w:szCs w:val="20"/>
          <w:lang w:val="en-GB"/>
        </w:rPr>
        <w:t>(</w:t>
      </w:r>
      <w:r w:rsidR="00DB0A0A" w:rsidRPr="003A7898">
        <w:rPr>
          <w:rFonts w:ascii="Times New Roman" w:hAnsi="Times New Roman" w:cs="Times New Roman"/>
          <w:sz w:val="20"/>
          <w:szCs w:val="20"/>
          <w:lang w:val="en-GB"/>
        </w:rPr>
        <w:t>MAST)</w:t>
      </w:r>
      <w:r w:rsidR="009646A5">
        <w:rPr>
          <w:rFonts w:ascii="Times New Roman" w:hAnsi="Times New Roman" w:cs="Times New Roman"/>
          <w:sz w:val="20"/>
          <w:szCs w:val="20"/>
          <w:lang w:val="en-GB"/>
        </w:rPr>
        <w:t>)</w:t>
      </w:r>
      <w:r w:rsidR="00906199" w:rsidRPr="003A7898">
        <w:rPr>
          <w:rFonts w:ascii="Times New Roman" w:hAnsi="Times New Roman" w:cs="Times New Roman"/>
          <w:sz w:val="20"/>
          <w:szCs w:val="20"/>
          <w:lang w:val="en-GB"/>
        </w:rPr>
        <w:t xml:space="preserve">, the Ministry of Education and Professional </w:t>
      </w:r>
      <w:r w:rsidR="003C1DC8" w:rsidRPr="003A7898">
        <w:rPr>
          <w:rFonts w:ascii="Times New Roman" w:hAnsi="Times New Roman" w:cs="Times New Roman"/>
          <w:sz w:val="20"/>
          <w:szCs w:val="20"/>
          <w:lang w:val="en-GB"/>
        </w:rPr>
        <w:t>Training</w:t>
      </w:r>
      <w:r w:rsidR="00906199" w:rsidRPr="003A7898">
        <w:rPr>
          <w:rFonts w:ascii="Times New Roman" w:hAnsi="Times New Roman" w:cs="Times New Roman"/>
          <w:sz w:val="20"/>
          <w:szCs w:val="20"/>
          <w:lang w:val="en-GB"/>
        </w:rPr>
        <w:t xml:space="preserve">, the </w:t>
      </w:r>
      <w:r w:rsidRPr="003A7898">
        <w:rPr>
          <w:rFonts w:ascii="Times New Roman" w:hAnsi="Times New Roman" w:cs="Times New Roman"/>
          <w:sz w:val="20"/>
          <w:szCs w:val="20"/>
          <w:lang w:val="en-GB"/>
        </w:rPr>
        <w:t>Ministry of Health</w:t>
      </w:r>
      <w:r w:rsidR="00906199" w:rsidRPr="003A7898">
        <w:rPr>
          <w:rFonts w:ascii="Times New Roman" w:hAnsi="Times New Roman" w:cs="Times New Roman"/>
          <w:sz w:val="20"/>
          <w:szCs w:val="20"/>
          <w:lang w:val="en-GB"/>
        </w:rPr>
        <w:t xml:space="preserve"> and local authorities </w:t>
      </w:r>
      <w:r w:rsidR="009D14EC">
        <w:rPr>
          <w:rFonts w:ascii="Times New Roman" w:hAnsi="Times New Roman" w:cs="Times New Roman"/>
          <w:sz w:val="20"/>
          <w:szCs w:val="20"/>
          <w:lang w:val="en-GB"/>
        </w:rPr>
        <w:t>to</w:t>
      </w:r>
      <w:r w:rsidR="009D14EC" w:rsidRPr="003A7898">
        <w:rPr>
          <w:rFonts w:ascii="Times New Roman" w:hAnsi="Times New Roman" w:cs="Times New Roman"/>
          <w:sz w:val="20"/>
          <w:szCs w:val="20"/>
          <w:lang w:val="en-GB"/>
        </w:rPr>
        <w:t xml:space="preserve"> </w:t>
      </w:r>
      <w:r w:rsidR="00010C0B" w:rsidRPr="003A7898">
        <w:rPr>
          <w:rFonts w:ascii="Times New Roman" w:hAnsi="Times New Roman" w:cs="Times New Roman"/>
          <w:sz w:val="20"/>
          <w:szCs w:val="20"/>
          <w:lang w:val="en-GB"/>
        </w:rPr>
        <w:t xml:space="preserve">complement the actions of other international partners in this </w:t>
      </w:r>
      <w:r w:rsidR="003920D2" w:rsidRPr="003A7898">
        <w:rPr>
          <w:rFonts w:ascii="Times New Roman" w:hAnsi="Times New Roman" w:cs="Times New Roman"/>
          <w:sz w:val="20"/>
          <w:szCs w:val="20"/>
          <w:lang w:val="en-GB"/>
        </w:rPr>
        <w:t>sector</w:t>
      </w:r>
      <w:r w:rsidR="003C1DC8" w:rsidRPr="003A7898">
        <w:rPr>
          <w:rFonts w:ascii="Times New Roman" w:hAnsi="Times New Roman" w:cs="Times New Roman"/>
          <w:sz w:val="20"/>
          <w:szCs w:val="20"/>
          <w:lang w:val="en-GB"/>
        </w:rPr>
        <w:t>, in particular</w:t>
      </w:r>
      <w:r w:rsidR="003920D2" w:rsidRPr="003A7898">
        <w:rPr>
          <w:rFonts w:ascii="Times New Roman" w:hAnsi="Times New Roman" w:cs="Times New Roman"/>
          <w:sz w:val="20"/>
          <w:szCs w:val="20"/>
          <w:lang w:val="en-GB"/>
        </w:rPr>
        <w:t xml:space="preserve"> the international financial institutions with major programming and investments in Haiti, </w:t>
      </w:r>
      <w:r w:rsidR="00010C0B" w:rsidRPr="003A7898">
        <w:rPr>
          <w:rFonts w:ascii="Times New Roman" w:hAnsi="Times New Roman" w:cs="Times New Roman"/>
          <w:sz w:val="20"/>
          <w:szCs w:val="20"/>
          <w:lang w:val="en-GB"/>
        </w:rPr>
        <w:t xml:space="preserve">the World Bank </w:t>
      </w:r>
      <w:r w:rsidR="003920D2" w:rsidRPr="003A7898">
        <w:rPr>
          <w:rFonts w:ascii="Times New Roman" w:hAnsi="Times New Roman" w:cs="Times New Roman"/>
          <w:sz w:val="20"/>
          <w:szCs w:val="20"/>
          <w:lang w:val="en-GB"/>
        </w:rPr>
        <w:t xml:space="preserve">and the Inter-American Development Bank. </w:t>
      </w:r>
      <w:r w:rsidR="004304BE" w:rsidRPr="003A7898">
        <w:rPr>
          <w:rFonts w:ascii="Times New Roman" w:hAnsi="Times New Roman" w:cs="Times New Roman"/>
          <w:sz w:val="20"/>
          <w:szCs w:val="20"/>
          <w:lang w:val="en-GB"/>
        </w:rPr>
        <w:t>In working with this diverse range of partners, UNDP</w:t>
      </w:r>
      <w:r w:rsidR="005D040C">
        <w:rPr>
          <w:rFonts w:ascii="Times New Roman" w:hAnsi="Times New Roman" w:cs="Times New Roman"/>
          <w:sz w:val="20"/>
          <w:szCs w:val="20"/>
          <w:lang w:val="en-GB"/>
        </w:rPr>
        <w:t xml:space="preserve"> can leverage its </w:t>
      </w:r>
      <w:r w:rsidR="00E7469C" w:rsidRPr="003A7898">
        <w:rPr>
          <w:rFonts w:ascii="Times New Roman" w:hAnsi="Times New Roman" w:cs="Times New Roman"/>
          <w:sz w:val="20"/>
          <w:szCs w:val="20"/>
          <w:lang w:val="en-GB"/>
        </w:rPr>
        <w:t xml:space="preserve">vast experience in human-centred sustainable development to ensure that </w:t>
      </w:r>
      <w:r w:rsidR="0057436B" w:rsidRPr="003A7898">
        <w:rPr>
          <w:rFonts w:ascii="Times New Roman" w:hAnsi="Times New Roman" w:cs="Times New Roman"/>
          <w:sz w:val="20"/>
          <w:szCs w:val="20"/>
          <w:lang w:val="en-GB"/>
        </w:rPr>
        <w:t xml:space="preserve">the strategies designed by national counterparts </w:t>
      </w:r>
      <w:r w:rsidR="004D196F" w:rsidRPr="003A7898">
        <w:rPr>
          <w:rFonts w:ascii="Times New Roman" w:hAnsi="Times New Roman" w:cs="Times New Roman"/>
          <w:sz w:val="20"/>
          <w:szCs w:val="20"/>
          <w:lang w:val="en-GB"/>
        </w:rPr>
        <w:t xml:space="preserve">include governance reforms and </w:t>
      </w:r>
      <w:r w:rsidR="0057436B" w:rsidRPr="003A7898">
        <w:rPr>
          <w:rFonts w:ascii="Times New Roman" w:hAnsi="Times New Roman" w:cs="Times New Roman"/>
          <w:sz w:val="20"/>
          <w:szCs w:val="20"/>
          <w:lang w:val="en-GB"/>
        </w:rPr>
        <w:t>yield</w:t>
      </w:r>
      <w:r w:rsidR="004D196F" w:rsidRPr="003A7898">
        <w:rPr>
          <w:rFonts w:ascii="Times New Roman" w:hAnsi="Times New Roman" w:cs="Times New Roman"/>
          <w:sz w:val="20"/>
          <w:szCs w:val="20"/>
          <w:lang w:val="en-GB"/>
        </w:rPr>
        <w:t xml:space="preserve"> longer-term dividends beyond crisis management. </w:t>
      </w:r>
    </w:p>
    <w:p w14:paraId="20DE1B8D" w14:textId="47836C8A" w:rsidR="00C970A2" w:rsidRPr="003A7898" w:rsidRDefault="00A85E05" w:rsidP="003A7898">
      <w:pPr>
        <w:spacing w:after="120" w:line="240" w:lineRule="exact"/>
        <w:ind w:left="1080" w:right="612"/>
        <w:jc w:val="both"/>
        <w:rPr>
          <w:rFonts w:ascii="Times New Roman" w:hAnsi="Times New Roman" w:cs="Times New Roman"/>
          <w:b/>
          <w:bCs/>
          <w:sz w:val="20"/>
          <w:szCs w:val="20"/>
          <w:lang w:val="en-GB" w:eastAsia="fr-FR"/>
        </w:rPr>
      </w:pPr>
      <w:r w:rsidRPr="003A7898">
        <w:rPr>
          <w:rFonts w:ascii="Times New Roman" w:hAnsi="Times New Roman" w:cs="Times New Roman"/>
          <w:b/>
          <w:bCs/>
          <w:sz w:val="20"/>
          <w:szCs w:val="20"/>
          <w:lang w:val="en-GB" w:eastAsia="fr-FR"/>
        </w:rPr>
        <w:t xml:space="preserve">Priority </w:t>
      </w:r>
      <w:r w:rsidR="005D040C">
        <w:rPr>
          <w:rFonts w:ascii="Times New Roman" w:hAnsi="Times New Roman" w:cs="Times New Roman"/>
          <w:b/>
          <w:bCs/>
          <w:sz w:val="20"/>
          <w:szCs w:val="20"/>
          <w:lang w:val="en-GB" w:eastAsia="fr-FR"/>
        </w:rPr>
        <w:t>a</w:t>
      </w:r>
      <w:r w:rsidRPr="003A7898">
        <w:rPr>
          <w:rFonts w:ascii="Times New Roman" w:hAnsi="Times New Roman" w:cs="Times New Roman"/>
          <w:b/>
          <w:bCs/>
          <w:sz w:val="20"/>
          <w:szCs w:val="20"/>
          <w:lang w:val="en-GB" w:eastAsia="fr-FR"/>
        </w:rPr>
        <w:t xml:space="preserve">rea 4 (UNSDCF </w:t>
      </w:r>
      <w:r w:rsidR="005D040C">
        <w:rPr>
          <w:rFonts w:ascii="Times New Roman" w:hAnsi="Times New Roman" w:cs="Times New Roman"/>
          <w:b/>
          <w:bCs/>
          <w:sz w:val="20"/>
          <w:szCs w:val="20"/>
          <w:lang w:val="en-GB" w:eastAsia="fr-FR"/>
        </w:rPr>
        <w:t>p</w:t>
      </w:r>
      <w:r w:rsidRPr="003A7898">
        <w:rPr>
          <w:rFonts w:ascii="Times New Roman" w:hAnsi="Times New Roman" w:cs="Times New Roman"/>
          <w:b/>
          <w:bCs/>
          <w:sz w:val="20"/>
          <w:szCs w:val="20"/>
          <w:lang w:val="en-GB" w:eastAsia="fr-FR"/>
        </w:rPr>
        <w:t xml:space="preserve">illar 4): </w:t>
      </w:r>
      <w:r w:rsidR="006A1C8C" w:rsidRPr="003A7898">
        <w:rPr>
          <w:rFonts w:ascii="Times New Roman" w:hAnsi="Times New Roman" w:cs="Times New Roman"/>
          <w:b/>
          <w:bCs/>
          <w:sz w:val="20"/>
          <w:szCs w:val="20"/>
          <w:lang w:val="en-GB" w:eastAsia="fr-FR"/>
        </w:rPr>
        <w:t>M</w:t>
      </w:r>
      <w:r w:rsidR="00C970A2" w:rsidRPr="003A7898">
        <w:rPr>
          <w:rFonts w:ascii="Times New Roman" w:hAnsi="Times New Roman" w:cs="Times New Roman"/>
          <w:b/>
          <w:bCs/>
          <w:sz w:val="20"/>
          <w:szCs w:val="20"/>
          <w:lang w:val="en-GB" w:eastAsia="fr-FR"/>
        </w:rPr>
        <w:t>ultidimensional territorial governance and environmental management.</w:t>
      </w:r>
    </w:p>
    <w:p w14:paraId="6D3CE394" w14:textId="312ADB12" w:rsidR="00583FE5" w:rsidRPr="003A7898" w:rsidRDefault="005D040C"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According to this hypothesis, i</w:t>
      </w:r>
      <w:r w:rsidR="00A3607E" w:rsidRPr="003A7898">
        <w:rPr>
          <w:rFonts w:ascii="Times New Roman" w:hAnsi="Times New Roman" w:cs="Times New Roman"/>
          <w:sz w:val="20"/>
          <w:szCs w:val="20"/>
          <w:lang w:val="en-GB"/>
        </w:rPr>
        <w:t xml:space="preserve">f </w:t>
      </w:r>
      <w:r w:rsidR="004C3EBB" w:rsidRPr="003A7898">
        <w:rPr>
          <w:rFonts w:ascii="Times New Roman" w:hAnsi="Times New Roman" w:cs="Times New Roman"/>
          <w:sz w:val="20"/>
          <w:szCs w:val="20"/>
          <w:lang w:val="en-GB"/>
        </w:rPr>
        <w:t xml:space="preserve">national </w:t>
      </w:r>
      <w:r w:rsidR="00A3607E" w:rsidRPr="003A7898">
        <w:rPr>
          <w:rFonts w:ascii="Times New Roman" w:hAnsi="Times New Roman" w:cs="Times New Roman"/>
          <w:sz w:val="20"/>
          <w:szCs w:val="20"/>
          <w:lang w:val="en-GB"/>
        </w:rPr>
        <w:t>and</w:t>
      </w:r>
      <w:r w:rsidR="004C3EBB" w:rsidRPr="003A7898">
        <w:rPr>
          <w:rFonts w:ascii="Times New Roman" w:hAnsi="Times New Roman" w:cs="Times New Roman"/>
          <w:sz w:val="20"/>
          <w:szCs w:val="20"/>
          <w:lang w:val="en-GB"/>
        </w:rPr>
        <w:t xml:space="preserve"> local authorities</w:t>
      </w:r>
      <w:r w:rsidR="00BB33B8" w:rsidRPr="003A7898">
        <w:rPr>
          <w:rFonts w:ascii="Times New Roman" w:hAnsi="Times New Roman" w:cs="Times New Roman"/>
          <w:sz w:val="20"/>
          <w:szCs w:val="20"/>
          <w:lang w:val="en-GB"/>
        </w:rPr>
        <w:t>,</w:t>
      </w:r>
      <w:r w:rsidR="004C3EBB" w:rsidRPr="003A7898">
        <w:rPr>
          <w:rFonts w:ascii="Times New Roman" w:hAnsi="Times New Roman" w:cs="Times New Roman"/>
          <w:sz w:val="20"/>
          <w:szCs w:val="20"/>
          <w:lang w:val="en-GB"/>
        </w:rPr>
        <w:t xml:space="preserve"> </w:t>
      </w:r>
      <w:r w:rsidR="004A20E8" w:rsidRPr="003A7898">
        <w:rPr>
          <w:rFonts w:ascii="Times New Roman" w:hAnsi="Times New Roman" w:cs="Times New Roman"/>
          <w:sz w:val="20"/>
          <w:szCs w:val="20"/>
          <w:lang w:val="en-GB"/>
        </w:rPr>
        <w:t xml:space="preserve">communities and other relevant </w:t>
      </w:r>
      <w:r w:rsidR="00E8041F" w:rsidRPr="003A7898">
        <w:rPr>
          <w:rFonts w:ascii="Times New Roman" w:hAnsi="Times New Roman" w:cs="Times New Roman"/>
          <w:sz w:val="20"/>
          <w:szCs w:val="20"/>
          <w:lang w:val="en-GB"/>
        </w:rPr>
        <w:t xml:space="preserve">actors </w:t>
      </w:r>
      <w:r w:rsidR="00461C24" w:rsidRPr="003A7898">
        <w:rPr>
          <w:rFonts w:ascii="Times New Roman" w:hAnsi="Times New Roman" w:cs="Times New Roman"/>
          <w:sz w:val="20"/>
          <w:szCs w:val="20"/>
          <w:lang w:val="en-GB"/>
        </w:rPr>
        <w:t xml:space="preserve">are aware of </w:t>
      </w:r>
      <w:r w:rsidR="004A20E8" w:rsidRPr="003A7898">
        <w:rPr>
          <w:rFonts w:ascii="Times New Roman" w:hAnsi="Times New Roman" w:cs="Times New Roman"/>
          <w:sz w:val="20"/>
          <w:szCs w:val="20"/>
          <w:lang w:val="en-GB"/>
        </w:rPr>
        <w:t xml:space="preserve">gender-sensitive normative frameworks to pilot multidimensional risk management to support territorial governance and environmental </w:t>
      </w:r>
      <w:r w:rsidR="00391999" w:rsidRPr="003A7898">
        <w:rPr>
          <w:rFonts w:ascii="Times New Roman" w:hAnsi="Times New Roman" w:cs="Times New Roman"/>
          <w:sz w:val="20"/>
          <w:szCs w:val="20"/>
          <w:lang w:val="en-GB"/>
        </w:rPr>
        <w:t>management</w:t>
      </w:r>
      <w:r w:rsidR="00580C93" w:rsidRPr="003A7898">
        <w:rPr>
          <w:rFonts w:ascii="Times New Roman" w:hAnsi="Times New Roman" w:cs="Times New Roman"/>
          <w:sz w:val="20"/>
          <w:szCs w:val="20"/>
          <w:lang w:val="en-GB"/>
        </w:rPr>
        <w:t xml:space="preserve">, then </w:t>
      </w:r>
      <w:r w:rsidR="0087052B" w:rsidRPr="003A7898">
        <w:rPr>
          <w:rFonts w:ascii="Times New Roman" w:hAnsi="Times New Roman" w:cs="Times New Roman"/>
          <w:sz w:val="20"/>
          <w:szCs w:val="20"/>
          <w:lang w:val="en-GB"/>
        </w:rPr>
        <w:t xml:space="preserve">stakeholders </w:t>
      </w:r>
      <w:r w:rsidR="00583FE5" w:rsidRPr="003A7898">
        <w:rPr>
          <w:rFonts w:ascii="Times New Roman" w:hAnsi="Times New Roman" w:cs="Times New Roman"/>
          <w:sz w:val="20"/>
          <w:szCs w:val="20"/>
          <w:lang w:val="en-GB"/>
        </w:rPr>
        <w:t xml:space="preserve">will be better equipped to </w:t>
      </w:r>
      <w:r w:rsidR="00B3135F" w:rsidRPr="003A7898">
        <w:rPr>
          <w:rFonts w:ascii="Times New Roman" w:hAnsi="Times New Roman" w:cs="Times New Roman"/>
          <w:sz w:val="20"/>
          <w:szCs w:val="20"/>
          <w:lang w:val="en-GB"/>
        </w:rPr>
        <w:t xml:space="preserve">manage risks and develop </w:t>
      </w:r>
      <w:r w:rsidR="0087052B" w:rsidRPr="003A7898">
        <w:rPr>
          <w:rFonts w:ascii="Times New Roman" w:hAnsi="Times New Roman" w:cs="Times New Roman"/>
          <w:sz w:val="20"/>
          <w:szCs w:val="20"/>
          <w:lang w:val="en-GB"/>
        </w:rPr>
        <w:t xml:space="preserve">in a </w:t>
      </w:r>
      <w:r w:rsidR="00B00CBE" w:rsidRPr="003A7898">
        <w:rPr>
          <w:rFonts w:ascii="Times New Roman" w:hAnsi="Times New Roman" w:cs="Times New Roman"/>
          <w:sz w:val="20"/>
          <w:szCs w:val="20"/>
          <w:lang w:val="en-GB"/>
        </w:rPr>
        <w:t>climate-</w:t>
      </w:r>
      <w:r w:rsidR="0087052B" w:rsidRPr="003A7898">
        <w:rPr>
          <w:rFonts w:ascii="Times New Roman" w:hAnsi="Times New Roman" w:cs="Times New Roman"/>
          <w:sz w:val="20"/>
          <w:szCs w:val="20"/>
          <w:lang w:val="en-GB"/>
        </w:rPr>
        <w:t xml:space="preserve">sensitive and resilient manner at the national and local level. </w:t>
      </w:r>
    </w:p>
    <w:p w14:paraId="0232149B" w14:textId="4526D02B" w:rsidR="004A20E8" w:rsidRPr="003A7898" w:rsidRDefault="00415C6B"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Over the last 20 years, UNDP has worked to strengthen the </w:t>
      </w:r>
      <w:r w:rsidR="00B8639E" w:rsidRPr="003A7898">
        <w:rPr>
          <w:rFonts w:ascii="Times New Roman" w:hAnsi="Times New Roman" w:cs="Times New Roman"/>
          <w:sz w:val="20"/>
          <w:szCs w:val="20"/>
          <w:lang w:val="en-GB"/>
        </w:rPr>
        <w:t xml:space="preserve">capacities of national actors </w:t>
      </w:r>
      <w:r w:rsidR="00E8041F" w:rsidRPr="003A7898">
        <w:rPr>
          <w:rFonts w:ascii="Times New Roman" w:hAnsi="Times New Roman" w:cs="Times New Roman"/>
          <w:sz w:val="20"/>
          <w:szCs w:val="20"/>
          <w:lang w:val="en-GB"/>
        </w:rPr>
        <w:t xml:space="preserve">in </w:t>
      </w:r>
      <w:r w:rsidR="001D7DB8" w:rsidRPr="003A7898">
        <w:rPr>
          <w:rFonts w:ascii="Times New Roman" w:hAnsi="Times New Roman" w:cs="Times New Roman"/>
          <w:sz w:val="20"/>
          <w:szCs w:val="20"/>
          <w:lang w:val="en-GB"/>
        </w:rPr>
        <w:t xml:space="preserve">addressing </w:t>
      </w:r>
      <w:r w:rsidRPr="003A7898">
        <w:rPr>
          <w:rFonts w:ascii="Times New Roman" w:hAnsi="Times New Roman" w:cs="Times New Roman"/>
          <w:sz w:val="20"/>
          <w:szCs w:val="20"/>
          <w:lang w:val="en-GB"/>
        </w:rPr>
        <w:t xml:space="preserve">multidimensional </w:t>
      </w:r>
      <w:r w:rsidR="00B8639E" w:rsidRPr="003A7898">
        <w:rPr>
          <w:rFonts w:ascii="Times New Roman" w:hAnsi="Times New Roman" w:cs="Times New Roman"/>
          <w:sz w:val="20"/>
          <w:szCs w:val="20"/>
          <w:lang w:val="en-GB"/>
        </w:rPr>
        <w:t>risk</w:t>
      </w:r>
      <w:r w:rsidR="001D7DB8" w:rsidRPr="003A7898">
        <w:rPr>
          <w:rFonts w:ascii="Times New Roman" w:hAnsi="Times New Roman" w:cs="Times New Roman"/>
          <w:sz w:val="20"/>
          <w:szCs w:val="20"/>
          <w:lang w:val="en-GB"/>
        </w:rPr>
        <w:t>. It</w:t>
      </w:r>
      <w:r w:rsidR="00B8639E" w:rsidRPr="003A7898">
        <w:rPr>
          <w:rFonts w:ascii="Times New Roman" w:hAnsi="Times New Roman" w:cs="Times New Roman"/>
          <w:sz w:val="20"/>
          <w:szCs w:val="20"/>
          <w:lang w:val="en-GB"/>
        </w:rPr>
        <w:t xml:space="preserve"> has sought to ensure that the tools and policies </w:t>
      </w:r>
      <w:r w:rsidR="00E7474D" w:rsidRPr="003A7898">
        <w:rPr>
          <w:rFonts w:ascii="Times New Roman" w:hAnsi="Times New Roman" w:cs="Times New Roman"/>
          <w:sz w:val="20"/>
          <w:szCs w:val="20"/>
          <w:lang w:val="en-GB"/>
        </w:rPr>
        <w:t xml:space="preserve">developed together with the Ministry of </w:t>
      </w:r>
      <w:r w:rsidR="005D040C">
        <w:rPr>
          <w:rFonts w:ascii="Times New Roman" w:hAnsi="Times New Roman" w:cs="Times New Roman"/>
          <w:sz w:val="20"/>
          <w:szCs w:val="20"/>
          <w:lang w:val="en-GB"/>
        </w:rPr>
        <w:t xml:space="preserve">the </w:t>
      </w:r>
      <w:r w:rsidR="00E7474D" w:rsidRPr="003A7898">
        <w:rPr>
          <w:rFonts w:ascii="Times New Roman" w:hAnsi="Times New Roman" w:cs="Times New Roman"/>
          <w:sz w:val="20"/>
          <w:szCs w:val="20"/>
          <w:lang w:val="en-GB"/>
        </w:rPr>
        <w:t xml:space="preserve">Interior </w:t>
      </w:r>
      <w:r w:rsidR="00796D5E" w:rsidRPr="003A7898">
        <w:rPr>
          <w:rFonts w:ascii="Times New Roman" w:hAnsi="Times New Roman" w:cs="Times New Roman"/>
          <w:sz w:val="20"/>
          <w:szCs w:val="20"/>
          <w:lang w:val="en-GB"/>
        </w:rPr>
        <w:t xml:space="preserve">and Territorial </w:t>
      </w:r>
      <w:r w:rsidR="00EB76A7">
        <w:rPr>
          <w:rFonts w:ascii="Times New Roman" w:hAnsi="Times New Roman" w:cs="Times New Roman"/>
          <w:sz w:val="20"/>
          <w:szCs w:val="20"/>
          <w:lang w:val="en-GB"/>
        </w:rPr>
        <w:t>Communities</w:t>
      </w:r>
      <w:r w:rsidR="00EB76A7" w:rsidRPr="003A7898">
        <w:rPr>
          <w:rFonts w:ascii="Times New Roman" w:hAnsi="Times New Roman" w:cs="Times New Roman"/>
          <w:sz w:val="20"/>
          <w:szCs w:val="20"/>
          <w:lang w:val="en-GB"/>
        </w:rPr>
        <w:t xml:space="preserve"> </w:t>
      </w:r>
      <w:r w:rsidR="00E7474D" w:rsidRPr="003A7898">
        <w:rPr>
          <w:rFonts w:ascii="Times New Roman" w:hAnsi="Times New Roman" w:cs="Times New Roman"/>
          <w:sz w:val="20"/>
          <w:szCs w:val="20"/>
          <w:lang w:val="en-GB"/>
        </w:rPr>
        <w:t xml:space="preserve">and its </w:t>
      </w:r>
      <w:r w:rsidR="003A7716" w:rsidRPr="003A7898">
        <w:rPr>
          <w:rFonts w:ascii="Times New Roman" w:hAnsi="Times New Roman" w:cs="Times New Roman"/>
          <w:sz w:val="20"/>
          <w:szCs w:val="20"/>
          <w:lang w:val="en-GB"/>
        </w:rPr>
        <w:t xml:space="preserve">Directorate of Civil Protection, the Ministry of </w:t>
      </w:r>
      <w:r w:rsidR="00E7474D" w:rsidRPr="003A7898">
        <w:rPr>
          <w:rFonts w:ascii="Times New Roman" w:hAnsi="Times New Roman" w:cs="Times New Roman"/>
          <w:sz w:val="20"/>
          <w:szCs w:val="20"/>
          <w:lang w:val="en-GB"/>
        </w:rPr>
        <w:t>Environment</w:t>
      </w:r>
      <w:r w:rsidR="00132109" w:rsidRPr="003A7898">
        <w:rPr>
          <w:rFonts w:ascii="Times New Roman" w:hAnsi="Times New Roman" w:cs="Times New Roman"/>
          <w:sz w:val="20"/>
          <w:szCs w:val="20"/>
          <w:lang w:val="en-GB"/>
        </w:rPr>
        <w:t xml:space="preserve"> </w:t>
      </w:r>
      <w:r w:rsidR="003A7716" w:rsidRPr="003A7898">
        <w:rPr>
          <w:rFonts w:ascii="Times New Roman" w:hAnsi="Times New Roman" w:cs="Times New Roman"/>
          <w:sz w:val="20"/>
          <w:szCs w:val="20"/>
          <w:lang w:val="en-GB"/>
        </w:rPr>
        <w:t xml:space="preserve">and </w:t>
      </w:r>
      <w:r w:rsidR="00E7474D" w:rsidRPr="003A7898">
        <w:rPr>
          <w:rFonts w:ascii="Times New Roman" w:hAnsi="Times New Roman" w:cs="Times New Roman"/>
          <w:sz w:val="20"/>
          <w:szCs w:val="20"/>
          <w:lang w:val="en-GB"/>
        </w:rPr>
        <w:t>the Mini</w:t>
      </w:r>
      <w:r w:rsidR="003A7716" w:rsidRPr="003A7898">
        <w:rPr>
          <w:rFonts w:ascii="Times New Roman" w:hAnsi="Times New Roman" w:cs="Times New Roman"/>
          <w:sz w:val="20"/>
          <w:szCs w:val="20"/>
          <w:lang w:val="en-GB"/>
        </w:rPr>
        <w:t>stry of Agriculture</w:t>
      </w:r>
      <w:r w:rsidR="00590F14" w:rsidRPr="003A7898">
        <w:rPr>
          <w:rFonts w:ascii="Times New Roman" w:hAnsi="Times New Roman" w:cs="Times New Roman"/>
          <w:sz w:val="20"/>
          <w:szCs w:val="20"/>
          <w:lang w:val="en-GB"/>
        </w:rPr>
        <w:t>, Natural Resources</w:t>
      </w:r>
      <w:r w:rsidR="00841863" w:rsidRPr="003A7898">
        <w:rPr>
          <w:rFonts w:ascii="Times New Roman" w:hAnsi="Times New Roman" w:cs="Times New Roman"/>
          <w:sz w:val="20"/>
          <w:szCs w:val="20"/>
          <w:lang w:val="en-GB"/>
        </w:rPr>
        <w:t xml:space="preserve"> and Rural Development</w:t>
      </w:r>
      <w:r w:rsidR="003A7716" w:rsidRPr="003A7898">
        <w:rPr>
          <w:rFonts w:ascii="Times New Roman" w:hAnsi="Times New Roman" w:cs="Times New Roman"/>
          <w:sz w:val="20"/>
          <w:szCs w:val="20"/>
          <w:lang w:val="en-GB"/>
        </w:rPr>
        <w:t>, amon</w:t>
      </w:r>
      <w:r w:rsidR="00EB76A7">
        <w:rPr>
          <w:rFonts w:ascii="Times New Roman" w:hAnsi="Times New Roman" w:cs="Times New Roman"/>
          <w:sz w:val="20"/>
          <w:szCs w:val="20"/>
          <w:lang w:val="en-GB"/>
        </w:rPr>
        <w:t xml:space="preserve">g </w:t>
      </w:r>
      <w:r w:rsidR="003A7716" w:rsidRPr="003A7898">
        <w:rPr>
          <w:rFonts w:ascii="Times New Roman" w:hAnsi="Times New Roman" w:cs="Times New Roman"/>
          <w:sz w:val="20"/>
          <w:szCs w:val="20"/>
          <w:lang w:val="en-GB"/>
        </w:rPr>
        <w:t xml:space="preserve">others, take into account the full range of </w:t>
      </w:r>
      <w:r w:rsidR="00BD210A">
        <w:rPr>
          <w:rFonts w:ascii="Times New Roman" w:hAnsi="Times New Roman" w:cs="Times New Roman"/>
          <w:sz w:val="20"/>
          <w:szCs w:val="20"/>
          <w:lang w:val="en-GB"/>
        </w:rPr>
        <w:t xml:space="preserve">the country’s </w:t>
      </w:r>
      <w:r w:rsidR="003A7716" w:rsidRPr="003A7898">
        <w:rPr>
          <w:rFonts w:ascii="Times New Roman" w:hAnsi="Times New Roman" w:cs="Times New Roman"/>
          <w:sz w:val="20"/>
          <w:szCs w:val="20"/>
          <w:lang w:val="en-GB"/>
        </w:rPr>
        <w:t xml:space="preserve">vulnerabilities to </w:t>
      </w:r>
      <w:r w:rsidR="00CC08FD" w:rsidRPr="003A7898">
        <w:rPr>
          <w:rFonts w:ascii="Times New Roman" w:hAnsi="Times New Roman" w:cs="Times New Roman"/>
          <w:sz w:val="20"/>
          <w:szCs w:val="20"/>
          <w:lang w:val="en-GB"/>
        </w:rPr>
        <w:t>disasters and the impact of climate change.</w:t>
      </w:r>
    </w:p>
    <w:p w14:paraId="055CCD63" w14:textId="1475A4D2" w:rsidR="005D4DF1" w:rsidRPr="003A7898" w:rsidRDefault="0052180C"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UNDP will support </w:t>
      </w:r>
      <w:r w:rsidR="00F31198" w:rsidRPr="003A7898">
        <w:rPr>
          <w:rFonts w:ascii="Times New Roman" w:hAnsi="Times New Roman" w:cs="Times New Roman"/>
          <w:sz w:val="20"/>
          <w:szCs w:val="20"/>
          <w:lang w:val="en-GB"/>
        </w:rPr>
        <w:t>standardizing</w:t>
      </w:r>
      <w:r w:rsidRPr="003A7898">
        <w:rPr>
          <w:rFonts w:ascii="Times New Roman" w:hAnsi="Times New Roman" w:cs="Times New Roman"/>
          <w:sz w:val="20"/>
          <w:szCs w:val="20"/>
          <w:lang w:val="en-GB"/>
        </w:rPr>
        <w:t xml:space="preserve">, </w:t>
      </w:r>
      <w:r w:rsidR="00272F1C" w:rsidRPr="003A7898">
        <w:rPr>
          <w:rFonts w:ascii="Times New Roman" w:hAnsi="Times New Roman" w:cs="Times New Roman"/>
          <w:sz w:val="20"/>
          <w:szCs w:val="20"/>
          <w:lang w:val="en-GB"/>
        </w:rPr>
        <w:t>implement</w:t>
      </w:r>
      <w:r w:rsidR="00B00CBE" w:rsidRPr="003A7898">
        <w:rPr>
          <w:rFonts w:ascii="Times New Roman" w:hAnsi="Times New Roman" w:cs="Times New Roman"/>
          <w:sz w:val="20"/>
          <w:szCs w:val="20"/>
          <w:lang w:val="en-GB"/>
        </w:rPr>
        <w:t>ing</w:t>
      </w:r>
      <w:r w:rsidRPr="003A7898">
        <w:rPr>
          <w:rFonts w:ascii="Times New Roman" w:hAnsi="Times New Roman" w:cs="Times New Roman"/>
          <w:sz w:val="20"/>
          <w:szCs w:val="20"/>
          <w:lang w:val="en-GB"/>
        </w:rPr>
        <w:t xml:space="preserve"> and monitor</w:t>
      </w:r>
      <w:r w:rsidR="00B00CBE" w:rsidRPr="003A7898">
        <w:rPr>
          <w:rFonts w:ascii="Times New Roman" w:hAnsi="Times New Roman" w:cs="Times New Roman"/>
          <w:sz w:val="20"/>
          <w:szCs w:val="20"/>
          <w:lang w:val="en-GB"/>
        </w:rPr>
        <w:t>ing</w:t>
      </w:r>
      <w:r w:rsidRPr="003A7898">
        <w:rPr>
          <w:rFonts w:ascii="Times New Roman" w:hAnsi="Times New Roman" w:cs="Times New Roman"/>
          <w:sz w:val="20"/>
          <w:szCs w:val="20"/>
          <w:lang w:val="en-GB"/>
        </w:rPr>
        <w:t xml:space="preserve"> integrated sectoral, environmental and energy policies that preserve</w:t>
      </w:r>
      <w:r w:rsidR="00272F1C" w:rsidRPr="003A7898">
        <w:rPr>
          <w:rFonts w:ascii="Times New Roman" w:hAnsi="Times New Roman" w:cs="Times New Roman"/>
          <w:sz w:val="20"/>
          <w:szCs w:val="20"/>
          <w:lang w:val="en-GB"/>
        </w:rPr>
        <w:t xml:space="preserve"> and protect</w:t>
      </w:r>
      <w:r w:rsidRPr="003A7898">
        <w:rPr>
          <w:rFonts w:ascii="Times New Roman" w:hAnsi="Times New Roman" w:cs="Times New Roman"/>
          <w:sz w:val="20"/>
          <w:szCs w:val="20"/>
          <w:lang w:val="en-GB"/>
        </w:rPr>
        <w:t xml:space="preserve"> natural ecosystems</w:t>
      </w:r>
      <w:r w:rsidR="00D619C9" w:rsidRPr="003A7898">
        <w:rPr>
          <w:rFonts w:ascii="Times New Roman" w:hAnsi="Times New Roman" w:cs="Times New Roman"/>
          <w:sz w:val="20"/>
          <w:szCs w:val="20"/>
          <w:lang w:val="en-GB"/>
        </w:rPr>
        <w:t xml:space="preserve"> and ensure</w:t>
      </w:r>
      <w:r w:rsidR="00C844FC" w:rsidRPr="003A7898">
        <w:rPr>
          <w:rFonts w:ascii="Times New Roman" w:hAnsi="Times New Roman" w:cs="Times New Roman"/>
          <w:sz w:val="20"/>
          <w:szCs w:val="20"/>
          <w:lang w:val="en-GB"/>
        </w:rPr>
        <w:t xml:space="preserve"> the alignment </w:t>
      </w:r>
      <w:r w:rsidR="002D5E15" w:rsidRPr="003A7898">
        <w:rPr>
          <w:rFonts w:ascii="Times New Roman" w:hAnsi="Times New Roman" w:cs="Times New Roman"/>
          <w:sz w:val="20"/>
          <w:szCs w:val="20"/>
          <w:lang w:val="en-GB"/>
        </w:rPr>
        <w:t xml:space="preserve">of national </w:t>
      </w:r>
      <w:r w:rsidR="00BD210A">
        <w:rPr>
          <w:rFonts w:ascii="Times New Roman" w:hAnsi="Times New Roman" w:cs="Times New Roman"/>
          <w:sz w:val="20"/>
          <w:szCs w:val="20"/>
          <w:lang w:val="en-GB"/>
        </w:rPr>
        <w:t xml:space="preserve">with </w:t>
      </w:r>
      <w:r w:rsidR="002D5E15" w:rsidRPr="003A7898">
        <w:rPr>
          <w:rFonts w:ascii="Times New Roman" w:hAnsi="Times New Roman" w:cs="Times New Roman"/>
          <w:sz w:val="20"/>
          <w:szCs w:val="20"/>
          <w:lang w:val="en-GB"/>
        </w:rPr>
        <w:t>international standards</w:t>
      </w:r>
      <w:r w:rsidRPr="003A7898">
        <w:rPr>
          <w:rFonts w:ascii="Times New Roman" w:hAnsi="Times New Roman" w:cs="Times New Roman"/>
          <w:sz w:val="20"/>
          <w:szCs w:val="20"/>
          <w:lang w:val="en-GB"/>
        </w:rPr>
        <w:t>.</w:t>
      </w:r>
      <w:r w:rsidR="00410C37" w:rsidRPr="003A7898">
        <w:rPr>
          <w:rFonts w:ascii="Times New Roman" w:hAnsi="Times New Roman" w:cs="Times New Roman"/>
          <w:sz w:val="20"/>
          <w:szCs w:val="20"/>
          <w:lang w:val="en-GB"/>
        </w:rPr>
        <w:t xml:space="preserve"> The con</w:t>
      </w:r>
      <w:r w:rsidR="009C2ECE" w:rsidRPr="003A7898">
        <w:rPr>
          <w:rFonts w:ascii="Times New Roman" w:hAnsi="Times New Roman" w:cs="Times New Roman"/>
          <w:sz w:val="20"/>
          <w:szCs w:val="20"/>
          <w:lang w:val="en-GB"/>
        </w:rPr>
        <w:t>solidation and expansion of the progress made to date will depend on</w:t>
      </w:r>
      <w:r w:rsidR="00BD210A">
        <w:rPr>
          <w:rFonts w:ascii="Times New Roman" w:hAnsi="Times New Roman" w:cs="Times New Roman"/>
          <w:sz w:val="20"/>
          <w:szCs w:val="20"/>
          <w:lang w:val="en-GB"/>
        </w:rPr>
        <w:t>:</w:t>
      </w:r>
      <w:r w:rsidR="009C2ECE" w:rsidRPr="003A7898">
        <w:rPr>
          <w:rFonts w:ascii="Times New Roman" w:hAnsi="Times New Roman" w:cs="Times New Roman"/>
          <w:sz w:val="20"/>
          <w:szCs w:val="20"/>
          <w:lang w:val="en-GB"/>
        </w:rPr>
        <w:t xml:space="preserve"> </w:t>
      </w:r>
      <w:r w:rsidR="0033262C" w:rsidRPr="003A7898">
        <w:rPr>
          <w:rFonts w:ascii="Times New Roman" w:hAnsi="Times New Roman" w:cs="Times New Roman"/>
          <w:sz w:val="20"/>
          <w:szCs w:val="20"/>
          <w:lang w:val="en-GB"/>
        </w:rPr>
        <w:t>(</w:t>
      </w:r>
      <w:r w:rsidR="00BD210A">
        <w:rPr>
          <w:rFonts w:ascii="Times New Roman" w:hAnsi="Times New Roman" w:cs="Times New Roman"/>
          <w:sz w:val="20"/>
          <w:szCs w:val="20"/>
          <w:lang w:val="en-GB"/>
        </w:rPr>
        <w:t>a</w:t>
      </w:r>
      <w:r w:rsidR="00C81534" w:rsidRPr="003A7898">
        <w:rPr>
          <w:rFonts w:ascii="Times New Roman" w:hAnsi="Times New Roman" w:cs="Times New Roman"/>
          <w:sz w:val="20"/>
          <w:szCs w:val="20"/>
          <w:lang w:val="en-GB"/>
        </w:rPr>
        <w:t xml:space="preserve">) </w:t>
      </w:r>
      <w:r w:rsidR="009C2ECE" w:rsidRPr="003A7898">
        <w:rPr>
          <w:rFonts w:ascii="Times New Roman" w:hAnsi="Times New Roman" w:cs="Times New Roman"/>
          <w:sz w:val="20"/>
          <w:szCs w:val="20"/>
          <w:lang w:val="en-GB"/>
        </w:rPr>
        <w:t xml:space="preserve">strengthened national capacities (government and civil society) </w:t>
      </w:r>
      <w:r w:rsidR="00584ED2" w:rsidRPr="003A7898">
        <w:rPr>
          <w:rFonts w:ascii="Times New Roman" w:hAnsi="Times New Roman" w:cs="Times New Roman"/>
          <w:sz w:val="20"/>
          <w:szCs w:val="20"/>
          <w:lang w:val="en-GB"/>
        </w:rPr>
        <w:t xml:space="preserve">to </w:t>
      </w:r>
      <w:r w:rsidR="00F31198" w:rsidRPr="003A7898">
        <w:rPr>
          <w:rFonts w:ascii="Times New Roman" w:hAnsi="Times New Roman" w:cs="Times New Roman"/>
          <w:sz w:val="20"/>
          <w:szCs w:val="20"/>
          <w:lang w:val="en-GB"/>
        </w:rPr>
        <w:t xml:space="preserve">institutionalize </w:t>
      </w:r>
      <w:r w:rsidR="004406D7" w:rsidRPr="003A7898">
        <w:rPr>
          <w:rFonts w:ascii="Times New Roman" w:hAnsi="Times New Roman" w:cs="Times New Roman"/>
          <w:sz w:val="20"/>
          <w:szCs w:val="20"/>
          <w:lang w:val="en-GB"/>
        </w:rPr>
        <w:t xml:space="preserve">and disseminate the knowledge and </w:t>
      </w:r>
      <w:r w:rsidR="005C2578" w:rsidRPr="003A7898">
        <w:rPr>
          <w:rFonts w:ascii="Times New Roman" w:hAnsi="Times New Roman" w:cs="Times New Roman"/>
          <w:sz w:val="20"/>
          <w:szCs w:val="20"/>
          <w:lang w:val="en-GB"/>
        </w:rPr>
        <w:t xml:space="preserve">tools </w:t>
      </w:r>
      <w:r w:rsidR="00C81534" w:rsidRPr="003A7898">
        <w:rPr>
          <w:rFonts w:ascii="Times New Roman" w:hAnsi="Times New Roman" w:cs="Times New Roman"/>
          <w:sz w:val="20"/>
          <w:szCs w:val="20"/>
          <w:lang w:val="en-GB"/>
        </w:rPr>
        <w:t xml:space="preserve">related to risk prevention, response and </w:t>
      </w:r>
      <w:r w:rsidR="005D4DF1" w:rsidRPr="003A7898">
        <w:rPr>
          <w:rFonts w:ascii="Times New Roman" w:hAnsi="Times New Roman" w:cs="Times New Roman"/>
          <w:sz w:val="20"/>
          <w:szCs w:val="20"/>
          <w:lang w:val="en-GB"/>
        </w:rPr>
        <w:t>mitigation</w:t>
      </w:r>
      <w:r w:rsidR="00C81534" w:rsidRPr="003A7898">
        <w:rPr>
          <w:rFonts w:ascii="Times New Roman" w:hAnsi="Times New Roman" w:cs="Times New Roman"/>
          <w:sz w:val="20"/>
          <w:szCs w:val="20"/>
          <w:lang w:val="en-GB"/>
        </w:rPr>
        <w:t xml:space="preserve"> as well as climate adaptation</w:t>
      </w:r>
      <w:r w:rsidR="00BD210A">
        <w:rPr>
          <w:rFonts w:ascii="Times New Roman" w:hAnsi="Times New Roman" w:cs="Times New Roman"/>
          <w:sz w:val="20"/>
          <w:szCs w:val="20"/>
          <w:lang w:val="en-GB"/>
        </w:rPr>
        <w:t>;</w:t>
      </w:r>
      <w:r w:rsidR="00C81534" w:rsidRPr="003A7898">
        <w:rPr>
          <w:rFonts w:ascii="Times New Roman" w:hAnsi="Times New Roman" w:cs="Times New Roman"/>
          <w:sz w:val="20"/>
          <w:szCs w:val="20"/>
          <w:lang w:val="en-GB"/>
        </w:rPr>
        <w:t xml:space="preserve"> and </w:t>
      </w:r>
      <w:r w:rsidR="0033262C" w:rsidRPr="003A7898">
        <w:rPr>
          <w:rFonts w:ascii="Times New Roman" w:hAnsi="Times New Roman" w:cs="Times New Roman"/>
          <w:sz w:val="20"/>
          <w:szCs w:val="20"/>
          <w:lang w:val="en-GB"/>
        </w:rPr>
        <w:t>(</w:t>
      </w:r>
      <w:r w:rsidR="00BD210A">
        <w:rPr>
          <w:rFonts w:ascii="Times New Roman" w:hAnsi="Times New Roman" w:cs="Times New Roman"/>
          <w:sz w:val="20"/>
          <w:szCs w:val="20"/>
          <w:lang w:val="en-GB"/>
        </w:rPr>
        <w:t>b</w:t>
      </w:r>
      <w:r w:rsidR="00C81534" w:rsidRPr="003A7898">
        <w:rPr>
          <w:rFonts w:ascii="Times New Roman" w:hAnsi="Times New Roman" w:cs="Times New Roman"/>
          <w:sz w:val="20"/>
          <w:szCs w:val="20"/>
          <w:lang w:val="en-GB"/>
        </w:rPr>
        <w:t xml:space="preserve">) the capacity of stakeholders to apply these </w:t>
      </w:r>
      <w:r w:rsidR="00804F76" w:rsidRPr="003A7898">
        <w:rPr>
          <w:rFonts w:ascii="Times New Roman" w:hAnsi="Times New Roman" w:cs="Times New Roman"/>
          <w:sz w:val="20"/>
          <w:szCs w:val="20"/>
          <w:lang w:val="en-GB"/>
        </w:rPr>
        <w:t xml:space="preserve">tools and strategies </w:t>
      </w:r>
      <w:r w:rsidR="005D4DF1" w:rsidRPr="003A7898">
        <w:rPr>
          <w:rFonts w:ascii="Times New Roman" w:hAnsi="Times New Roman" w:cs="Times New Roman"/>
          <w:sz w:val="20"/>
          <w:szCs w:val="20"/>
          <w:lang w:val="en-GB"/>
        </w:rPr>
        <w:t>at the national and local levels to inform local development</w:t>
      </w:r>
      <w:r w:rsidR="00F54FA4" w:rsidRPr="003A7898">
        <w:rPr>
          <w:rFonts w:ascii="Times New Roman" w:hAnsi="Times New Roman" w:cs="Times New Roman"/>
          <w:sz w:val="20"/>
          <w:szCs w:val="20"/>
          <w:lang w:val="en-GB"/>
        </w:rPr>
        <w:t>, including planning</w:t>
      </w:r>
      <w:r w:rsidR="005D4DF1" w:rsidRPr="003A7898">
        <w:rPr>
          <w:rFonts w:ascii="Times New Roman" w:hAnsi="Times New Roman" w:cs="Times New Roman"/>
          <w:sz w:val="20"/>
          <w:szCs w:val="20"/>
          <w:lang w:val="en-GB"/>
        </w:rPr>
        <w:t xml:space="preserve"> and governance in a resilient manner. </w:t>
      </w:r>
    </w:p>
    <w:p w14:paraId="0259A28B" w14:textId="1A00D553" w:rsidR="00F7500D" w:rsidRPr="003A7898" w:rsidRDefault="009605CB" w:rsidP="00B514B1">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The experience of other small island developing </w:t>
      </w:r>
      <w:r w:rsidR="00BD210A">
        <w:rPr>
          <w:rFonts w:ascii="Times New Roman" w:hAnsi="Times New Roman" w:cs="Times New Roman"/>
          <w:sz w:val="20"/>
          <w:szCs w:val="20"/>
          <w:lang w:val="en-GB"/>
        </w:rPr>
        <w:t>S</w:t>
      </w:r>
      <w:r w:rsidRPr="003A7898">
        <w:rPr>
          <w:rFonts w:ascii="Times New Roman" w:hAnsi="Times New Roman" w:cs="Times New Roman"/>
          <w:sz w:val="20"/>
          <w:szCs w:val="20"/>
          <w:lang w:val="en-GB"/>
        </w:rPr>
        <w:t xml:space="preserve">tates, especially those in the region, will continue to be relevant as Haiti seeks to combat its extreme vulnerability to </w:t>
      </w:r>
      <w:r w:rsidRPr="003A7898">
        <w:rPr>
          <w:rFonts w:ascii="Times New Roman" w:hAnsi="Times New Roman" w:cs="Times New Roman"/>
          <w:sz w:val="20"/>
          <w:szCs w:val="20"/>
          <w:lang w:val="en-GB"/>
        </w:rPr>
        <w:lastRenderedPageBreak/>
        <w:t xml:space="preserve">multidimensional risks and increase its capacity for resilience. Lessons from other contexts where the </w:t>
      </w:r>
      <w:r w:rsidR="00324996" w:rsidRPr="003A7898">
        <w:rPr>
          <w:rFonts w:ascii="Times New Roman" w:hAnsi="Times New Roman" w:cs="Times New Roman"/>
          <w:sz w:val="20"/>
          <w:szCs w:val="20"/>
          <w:lang w:val="en-GB"/>
        </w:rPr>
        <w:t>critical humanitarian, development and peace nexus</w:t>
      </w:r>
      <w:r w:rsidRPr="003A7898">
        <w:rPr>
          <w:rFonts w:ascii="Times New Roman" w:hAnsi="Times New Roman" w:cs="Times New Roman"/>
          <w:sz w:val="20"/>
          <w:szCs w:val="20"/>
          <w:lang w:val="en-GB"/>
        </w:rPr>
        <w:t xml:space="preserve"> will be studied and applied as relevant. Here, </w:t>
      </w:r>
      <w:r w:rsidR="00115BC1">
        <w:rPr>
          <w:rFonts w:ascii="Times New Roman" w:hAnsi="Times New Roman" w:cs="Times New Roman"/>
          <w:sz w:val="20"/>
          <w:szCs w:val="20"/>
          <w:lang w:val="en-GB"/>
        </w:rPr>
        <w:t>UNDP global knowledge and technical capacities</w:t>
      </w:r>
      <w:r w:rsidR="00BD210A">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can be leveraged so that Haiti</w:t>
      </w:r>
      <w:r w:rsidR="00BD210A">
        <w:rPr>
          <w:rFonts w:ascii="Times New Roman" w:hAnsi="Times New Roman" w:cs="Times New Roman"/>
          <w:sz w:val="20"/>
          <w:szCs w:val="20"/>
          <w:lang w:val="en-GB"/>
        </w:rPr>
        <w:t>an</w:t>
      </w:r>
      <w:r w:rsidRPr="003A7898">
        <w:rPr>
          <w:rFonts w:ascii="Times New Roman" w:hAnsi="Times New Roman" w:cs="Times New Roman"/>
          <w:sz w:val="20"/>
          <w:szCs w:val="20"/>
          <w:lang w:val="en-GB"/>
        </w:rPr>
        <w:t xml:space="preserve"> institutions can adapt and develop their strategies in this regard. UNDP programming will also </w:t>
      </w:r>
      <w:r w:rsidR="00B00CBE" w:rsidRPr="003A7898">
        <w:rPr>
          <w:rFonts w:ascii="Times New Roman" w:hAnsi="Times New Roman" w:cs="Times New Roman"/>
          <w:sz w:val="20"/>
          <w:szCs w:val="20"/>
          <w:lang w:val="en-GB"/>
        </w:rPr>
        <w:t>consider</w:t>
      </w:r>
      <w:r w:rsidRPr="003A7898">
        <w:rPr>
          <w:rFonts w:ascii="Times New Roman" w:hAnsi="Times New Roman" w:cs="Times New Roman"/>
          <w:sz w:val="20"/>
          <w:szCs w:val="20"/>
          <w:lang w:val="en-GB"/>
        </w:rPr>
        <w:t xml:space="preserve"> the nexus in its conception and implementation. </w:t>
      </w:r>
    </w:p>
    <w:p w14:paraId="28223E3C" w14:textId="62DF1654" w:rsidR="00B313A5" w:rsidRPr="00591788" w:rsidRDefault="00591788" w:rsidP="00591788">
      <w:pPr>
        <w:pStyle w:val="Heading2"/>
        <w:spacing w:before="200" w:after="200" w:line="240" w:lineRule="exact"/>
        <w:ind w:left="1080" w:right="612" w:hanging="360"/>
        <w:jc w:val="both"/>
        <w:rPr>
          <w:rFonts w:ascii="Times New Roman" w:hAnsi="Times New Roman"/>
          <w:color w:val="000000"/>
          <w:sz w:val="24"/>
          <w:szCs w:val="24"/>
          <w:lang w:val="en-GB"/>
        </w:rPr>
      </w:pPr>
      <w:r w:rsidRPr="00591788">
        <w:rPr>
          <w:rFonts w:ascii="Times New Roman" w:hAnsi="Times New Roman"/>
          <w:color w:val="000000"/>
          <w:sz w:val="24"/>
          <w:szCs w:val="24"/>
          <w:lang w:val="en-GB"/>
        </w:rPr>
        <w:t>III.</w:t>
      </w:r>
      <w:r w:rsidRPr="00591788">
        <w:rPr>
          <w:rFonts w:ascii="Times New Roman" w:hAnsi="Times New Roman"/>
          <w:color w:val="000000"/>
          <w:sz w:val="24"/>
          <w:szCs w:val="24"/>
          <w:lang w:val="en-GB"/>
        </w:rPr>
        <w:tab/>
      </w:r>
      <w:r w:rsidR="002B4DF8" w:rsidRPr="00591788">
        <w:rPr>
          <w:rFonts w:ascii="Times New Roman" w:hAnsi="Times New Roman"/>
          <w:color w:val="000000"/>
          <w:sz w:val="24"/>
          <w:szCs w:val="24"/>
          <w:lang w:val="en-GB"/>
        </w:rPr>
        <w:t>Program</w:t>
      </w:r>
      <w:r w:rsidR="00C729EE" w:rsidRPr="00591788">
        <w:rPr>
          <w:rFonts w:ascii="Times New Roman" w:hAnsi="Times New Roman"/>
          <w:color w:val="000000"/>
          <w:sz w:val="24"/>
          <w:szCs w:val="24"/>
          <w:lang w:val="en-GB"/>
        </w:rPr>
        <w:t>me</w:t>
      </w:r>
      <w:r w:rsidR="002B4DF8" w:rsidRPr="00591788">
        <w:rPr>
          <w:rFonts w:ascii="Times New Roman" w:hAnsi="Times New Roman"/>
          <w:color w:val="000000"/>
          <w:sz w:val="24"/>
          <w:szCs w:val="24"/>
          <w:lang w:val="en-GB"/>
        </w:rPr>
        <w:t xml:space="preserve"> and </w:t>
      </w:r>
      <w:r w:rsidRPr="00591788">
        <w:rPr>
          <w:rFonts w:ascii="Times New Roman" w:hAnsi="Times New Roman"/>
          <w:color w:val="000000"/>
          <w:sz w:val="24"/>
          <w:szCs w:val="24"/>
          <w:lang w:val="en-GB"/>
        </w:rPr>
        <w:t>r</w:t>
      </w:r>
      <w:r w:rsidR="002B4DF8" w:rsidRPr="00591788">
        <w:rPr>
          <w:rFonts w:ascii="Times New Roman" w:hAnsi="Times New Roman"/>
          <w:color w:val="000000"/>
          <w:sz w:val="24"/>
          <w:szCs w:val="24"/>
          <w:lang w:val="en-GB"/>
        </w:rPr>
        <w:t xml:space="preserve">isk </w:t>
      </w:r>
      <w:r w:rsidRPr="00591788">
        <w:rPr>
          <w:rFonts w:ascii="Times New Roman" w:hAnsi="Times New Roman"/>
          <w:color w:val="000000"/>
          <w:sz w:val="24"/>
          <w:szCs w:val="24"/>
          <w:lang w:val="en-GB"/>
        </w:rPr>
        <w:t>m</w:t>
      </w:r>
      <w:r w:rsidR="002B4DF8" w:rsidRPr="00591788">
        <w:rPr>
          <w:rFonts w:ascii="Times New Roman" w:hAnsi="Times New Roman"/>
          <w:color w:val="000000"/>
          <w:sz w:val="24"/>
          <w:szCs w:val="24"/>
          <w:lang w:val="en-GB"/>
        </w:rPr>
        <w:t xml:space="preserve">anagement </w:t>
      </w:r>
    </w:p>
    <w:p w14:paraId="1D0C66C9" w14:textId="6938DE44" w:rsidR="006E2A69" w:rsidRPr="003A7898" w:rsidRDefault="006E2A69" w:rsidP="00591788">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This </w:t>
      </w:r>
      <w:r w:rsidR="00BD210A" w:rsidRPr="003A7898">
        <w:rPr>
          <w:rFonts w:ascii="Times New Roman" w:hAnsi="Times New Roman" w:cs="Times New Roman"/>
          <w:sz w:val="20"/>
          <w:szCs w:val="20"/>
          <w:lang w:val="en-GB"/>
        </w:rPr>
        <w:t xml:space="preserve">country programme </w:t>
      </w:r>
      <w:r w:rsidRPr="003A7898">
        <w:rPr>
          <w:rFonts w:ascii="Times New Roman" w:hAnsi="Times New Roman" w:cs="Times New Roman"/>
          <w:sz w:val="20"/>
          <w:szCs w:val="20"/>
          <w:lang w:val="en-GB"/>
        </w:rPr>
        <w:t xml:space="preserve">document outlines </w:t>
      </w:r>
      <w:r w:rsidR="00BD210A">
        <w:rPr>
          <w:rFonts w:ascii="Times New Roman" w:hAnsi="Times New Roman" w:cs="Times New Roman"/>
          <w:sz w:val="20"/>
          <w:szCs w:val="20"/>
          <w:lang w:val="en-GB"/>
        </w:rPr>
        <w:t xml:space="preserve">the </w:t>
      </w:r>
      <w:r w:rsidR="003B4AEB" w:rsidRPr="003A7898">
        <w:rPr>
          <w:rFonts w:ascii="Times New Roman" w:hAnsi="Times New Roman" w:cs="Times New Roman"/>
          <w:sz w:val="20"/>
          <w:szCs w:val="20"/>
          <w:lang w:val="en-GB"/>
        </w:rPr>
        <w:t xml:space="preserve">UNDP </w:t>
      </w:r>
      <w:r w:rsidRPr="003A7898">
        <w:rPr>
          <w:rFonts w:ascii="Times New Roman" w:hAnsi="Times New Roman" w:cs="Times New Roman"/>
          <w:sz w:val="20"/>
          <w:szCs w:val="20"/>
          <w:lang w:val="en-GB"/>
        </w:rPr>
        <w:t xml:space="preserve">contributions to national results and serves as the primary unit of accountability to the Executive Board for results alignment and resources assigned to the </w:t>
      </w:r>
      <w:r w:rsidR="00BD210A">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at </w:t>
      </w:r>
      <w:r w:rsidR="003501F9">
        <w:rPr>
          <w:rFonts w:ascii="Times New Roman" w:hAnsi="Times New Roman" w:cs="Times New Roman"/>
          <w:sz w:val="20"/>
          <w:szCs w:val="20"/>
          <w:lang w:val="en-GB"/>
        </w:rPr>
        <w:t xml:space="preserve">the </w:t>
      </w:r>
      <w:r w:rsidR="00BD210A">
        <w:rPr>
          <w:rFonts w:ascii="Times New Roman" w:hAnsi="Times New Roman" w:cs="Times New Roman"/>
          <w:sz w:val="20"/>
          <w:szCs w:val="20"/>
          <w:lang w:val="en-GB"/>
        </w:rPr>
        <w:t>c</w:t>
      </w:r>
      <w:r w:rsidRPr="003A7898">
        <w:rPr>
          <w:rFonts w:ascii="Times New Roman" w:hAnsi="Times New Roman" w:cs="Times New Roman"/>
          <w:sz w:val="20"/>
          <w:szCs w:val="20"/>
          <w:lang w:val="en-GB"/>
        </w:rPr>
        <w:t xml:space="preserve">ountry level. Accountabilities of managers at the country, regional and headquarter levels with respect to </w:t>
      </w:r>
      <w:r w:rsidR="00BD210A" w:rsidRPr="003A7898">
        <w:rPr>
          <w:rFonts w:ascii="Times New Roman" w:hAnsi="Times New Roman" w:cs="Times New Roman"/>
          <w:sz w:val="20"/>
          <w:szCs w:val="20"/>
          <w:lang w:val="en-GB"/>
        </w:rPr>
        <w:t xml:space="preserve">country programmes </w:t>
      </w:r>
      <w:r w:rsidR="00BD210A">
        <w:rPr>
          <w:rFonts w:ascii="Times New Roman" w:hAnsi="Times New Roman" w:cs="Times New Roman"/>
          <w:sz w:val="20"/>
          <w:szCs w:val="20"/>
          <w:lang w:val="en-GB"/>
        </w:rPr>
        <w:t>are</w:t>
      </w:r>
      <w:r w:rsidR="00BD210A" w:rsidRPr="003A7898">
        <w:rPr>
          <w:rFonts w:ascii="Times New Roman" w:hAnsi="Times New Roman" w:cs="Times New Roman"/>
          <w:sz w:val="20"/>
          <w:szCs w:val="20"/>
          <w:lang w:val="en-GB"/>
        </w:rPr>
        <w:t xml:space="preserve"> prescribed in the organization’s </w:t>
      </w:r>
      <w:hyperlink r:id="rId12" w:history="1">
        <w:r w:rsidR="00BD210A" w:rsidRPr="003A7898">
          <w:rPr>
            <w:rFonts w:ascii="Times New Roman" w:hAnsi="Times New Roman" w:cs="Times New Roman"/>
            <w:sz w:val="20"/>
            <w:szCs w:val="20"/>
            <w:lang w:val="en-GB"/>
          </w:rPr>
          <w:t>programme and operations policies and procedures</w:t>
        </w:r>
      </w:hyperlink>
      <w:r w:rsidR="00BD210A" w:rsidRPr="003A7898">
        <w:rPr>
          <w:rFonts w:ascii="Times New Roman" w:hAnsi="Times New Roman" w:cs="Times New Roman"/>
          <w:sz w:val="20"/>
          <w:szCs w:val="20"/>
          <w:lang w:val="en-GB"/>
        </w:rPr>
        <w:t xml:space="preserve"> and </w:t>
      </w:r>
      <w:hyperlink r:id="rId13" w:history="1">
        <w:r w:rsidR="00BD210A" w:rsidRPr="003A7898">
          <w:rPr>
            <w:rFonts w:ascii="Times New Roman" w:hAnsi="Times New Roman" w:cs="Times New Roman"/>
            <w:sz w:val="20"/>
            <w:szCs w:val="20"/>
            <w:lang w:val="en-GB"/>
          </w:rPr>
          <w:t>internal control framework</w:t>
        </w:r>
      </w:hyperlink>
      <w:r w:rsidR="00BD210A" w:rsidRPr="003A7898">
        <w:rPr>
          <w:rFonts w:ascii="Times New Roman" w:hAnsi="Times New Roman" w:cs="Times New Roman"/>
          <w:sz w:val="20"/>
          <w:szCs w:val="20"/>
          <w:lang w:val="en-GB"/>
        </w:rPr>
        <w:t>.</w:t>
      </w:r>
    </w:p>
    <w:p w14:paraId="7FCFED9B" w14:textId="69F11F50" w:rsidR="006E2A69" w:rsidRPr="003A7898" w:rsidRDefault="006E2A69" w:rsidP="00591788">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The </w:t>
      </w:r>
      <w:r w:rsidR="00B11CAB">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will be nationally executed. If necessary, national execution may be replaced by direct execution for part or all of the </w:t>
      </w:r>
      <w:r w:rsidR="00B11CAB">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to enable response to</w:t>
      </w:r>
      <w:r w:rsidRPr="00CC5377">
        <w:rPr>
          <w:rFonts w:ascii="Times New Roman" w:hAnsi="Times New Roman" w:cs="Times New Roman"/>
          <w:sz w:val="20"/>
          <w:szCs w:val="20"/>
          <w:lang w:val="en-GB"/>
        </w:rPr>
        <w:t xml:space="preserve"> force majeure.</w:t>
      </w:r>
      <w:r w:rsidRPr="003A7898">
        <w:rPr>
          <w:rFonts w:ascii="Times New Roman" w:hAnsi="Times New Roman" w:cs="Times New Roman"/>
          <w:sz w:val="20"/>
          <w:szCs w:val="20"/>
          <w:lang w:val="en-GB"/>
        </w:rPr>
        <w:t xml:space="preserve"> </w:t>
      </w:r>
      <w:r w:rsidR="00B11CAB">
        <w:rPr>
          <w:rFonts w:ascii="Times New Roman" w:hAnsi="Times New Roman" w:cs="Times New Roman"/>
          <w:sz w:val="20"/>
          <w:szCs w:val="20"/>
          <w:lang w:val="en-GB"/>
        </w:rPr>
        <w:t>The h</w:t>
      </w:r>
      <w:r w:rsidR="00F31198" w:rsidRPr="003A7898">
        <w:rPr>
          <w:rFonts w:ascii="Times New Roman" w:hAnsi="Times New Roman" w:cs="Times New Roman"/>
          <w:sz w:val="20"/>
          <w:szCs w:val="20"/>
          <w:lang w:val="en-GB"/>
        </w:rPr>
        <w:t xml:space="preserve">armonized </w:t>
      </w:r>
      <w:r w:rsidR="00B11CAB">
        <w:rPr>
          <w:rFonts w:ascii="Times New Roman" w:hAnsi="Times New Roman" w:cs="Times New Roman"/>
          <w:sz w:val="20"/>
          <w:szCs w:val="20"/>
          <w:lang w:val="en-GB"/>
        </w:rPr>
        <w:t>a</w:t>
      </w:r>
      <w:r w:rsidRPr="003A7898">
        <w:rPr>
          <w:rFonts w:ascii="Times New Roman" w:hAnsi="Times New Roman" w:cs="Times New Roman"/>
          <w:sz w:val="20"/>
          <w:szCs w:val="20"/>
          <w:lang w:val="en-GB"/>
        </w:rPr>
        <w:t xml:space="preserve">pproach to </w:t>
      </w:r>
      <w:r w:rsidR="00B11CAB">
        <w:rPr>
          <w:rFonts w:ascii="Times New Roman" w:hAnsi="Times New Roman" w:cs="Times New Roman"/>
          <w:sz w:val="20"/>
          <w:szCs w:val="20"/>
          <w:lang w:val="en-GB"/>
        </w:rPr>
        <w:t>c</w:t>
      </w:r>
      <w:r w:rsidRPr="003A7898">
        <w:rPr>
          <w:rFonts w:ascii="Times New Roman" w:hAnsi="Times New Roman" w:cs="Times New Roman"/>
          <w:sz w:val="20"/>
          <w:szCs w:val="20"/>
          <w:lang w:val="en-GB"/>
        </w:rPr>
        <w:t xml:space="preserve">ash </w:t>
      </w:r>
      <w:r w:rsidR="00B11CAB">
        <w:rPr>
          <w:rFonts w:ascii="Times New Roman" w:hAnsi="Times New Roman" w:cs="Times New Roman"/>
          <w:sz w:val="20"/>
          <w:szCs w:val="20"/>
          <w:lang w:val="en-GB"/>
        </w:rPr>
        <w:t>t</w:t>
      </w:r>
      <w:r w:rsidRPr="003A7898">
        <w:rPr>
          <w:rFonts w:ascii="Times New Roman" w:hAnsi="Times New Roman" w:cs="Times New Roman"/>
          <w:sz w:val="20"/>
          <w:szCs w:val="20"/>
          <w:lang w:val="en-GB"/>
        </w:rPr>
        <w:t>ransfers will be used in a coordinated fashion with other U</w:t>
      </w:r>
      <w:r w:rsidR="009538B2" w:rsidRPr="003A7898">
        <w:rPr>
          <w:rFonts w:ascii="Times New Roman" w:hAnsi="Times New Roman" w:cs="Times New Roman"/>
          <w:sz w:val="20"/>
          <w:szCs w:val="20"/>
          <w:lang w:val="en-GB"/>
        </w:rPr>
        <w:t xml:space="preserve">nited </w:t>
      </w:r>
      <w:r w:rsidRPr="003A7898">
        <w:rPr>
          <w:rFonts w:ascii="Times New Roman" w:hAnsi="Times New Roman" w:cs="Times New Roman"/>
          <w:sz w:val="20"/>
          <w:szCs w:val="20"/>
          <w:lang w:val="en-GB"/>
        </w:rPr>
        <w:t>N</w:t>
      </w:r>
      <w:r w:rsidR="009538B2" w:rsidRPr="003A7898">
        <w:rPr>
          <w:rFonts w:ascii="Times New Roman" w:hAnsi="Times New Roman" w:cs="Times New Roman"/>
          <w:sz w:val="20"/>
          <w:szCs w:val="20"/>
          <w:lang w:val="en-GB"/>
        </w:rPr>
        <w:t>ations</w:t>
      </w:r>
      <w:r w:rsidRPr="003A7898">
        <w:rPr>
          <w:rFonts w:ascii="Times New Roman" w:hAnsi="Times New Roman" w:cs="Times New Roman"/>
          <w:sz w:val="20"/>
          <w:szCs w:val="20"/>
          <w:lang w:val="en-GB"/>
        </w:rPr>
        <w:t xml:space="preserve"> agencies to manage financial risks. Cost definitions and classifications for </w:t>
      </w:r>
      <w:r w:rsidR="00B11CAB">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and development effectiveness will be charged to the concerned projects</w:t>
      </w:r>
      <w:r w:rsidR="003B4AEB" w:rsidRPr="003A7898">
        <w:rPr>
          <w:rFonts w:ascii="Times New Roman" w:hAnsi="Times New Roman" w:cs="Times New Roman"/>
          <w:sz w:val="20"/>
          <w:szCs w:val="20"/>
          <w:lang w:val="en-GB"/>
        </w:rPr>
        <w:t>.</w:t>
      </w:r>
    </w:p>
    <w:p w14:paraId="56B098CE" w14:textId="2F60995A" w:rsidR="00B01D9A" w:rsidRPr="003A7898" w:rsidRDefault="008A0DB5" w:rsidP="00591788">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The </w:t>
      </w:r>
      <w:r w:rsidR="00B11CAB">
        <w:rPr>
          <w:rFonts w:ascii="Times New Roman" w:hAnsi="Times New Roman" w:cs="Times New Roman"/>
          <w:sz w:val="20"/>
          <w:szCs w:val="20"/>
          <w:lang w:val="en-GB"/>
        </w:rPr>
        <w:t xml:space="preserve">MPCE </w:t>
      </w:r>
      <w:r w:rsidRPr="003A7898">
        <w:rPr>
          <w:rFonts w:ascii="Times New Roman" w:hAnsi="Times New Roman" w:cs="Times New Roman"/>
          <w:sz w:val="20"/>
          <w:szCs w:val="20"/>
          <w:lang w:val="en-GB"/>
        </w:rPr>
        <w:t xml:space="preserve">will oversee this </w:t>
      </w:r>
      <w:r w:rsidR="00B11CAB">
        <w:rPr>
          <w:rFonts w:ascii="Times New Roman" w:hAnsi="Times New Roman" w:cs="Times New Roman"/>
          <w:sz w:val="20"/>
          <w:szCs w:val="20"/>
          <w:lang w:val="en-GB"/>
        </w:rPr>
        <w:t>p</w:t>
      </w:r>
      <w:r w:rsidR="00F937C6"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w:t>
      </w:r>
      <w:r w:rsidR="002B2F1A" w:rsidRPr="003A7898">
        <w:rPr>
          <w:rFonts w:ascii="Times New Roman" w:hAnsi="Times New Roman" w:cs="Times New Roman"/>
          <w:sz w:val="20"/>
          <w:szCs w:val="20"/>
          <w:lang w:val="en-GB"/>
        </w:rPr>
        <w:t>T</w:t>
      </w:r>
      <w:r w:rsidR="00B01D9A" w:rsidRPr="003A7898">
        <w:rPr>
          <w:rFonts w:ascii="Times New Roman" w:hAnsi="Times New Roman" w:cs="Times New Roman"/>
          <w:sz w:val="20"/>
          <w:szCs w:val="20"/>
          <w:lang w:val="en-GB"/>
        </w:rPr>
        <w:t xml:space="preserve">he </w:t>
      </w:r>
      <w:r w:rsidR="00B11CAB">
        <w:rPr>
          <w:rFonts w:ascii="Times New Roman" w:hAnsi="Times New Roman" w:cs="Times New Roman"/>
          <w:sz w:val="20"/>
          <w:szCs w:val="20"/>
          <w:lang w:val="en-GB" w:eastAsia="fr-FR"/>
        </w:rPr>
        <w:t>m</w:t>
      </w:r>
      <w:r w:rsidR="00B11CAB" w:rsidRPr="003A7898">
        <w:rPr>
          <w:rFonts w:ascii="Times New Roman" w:hAnsi="Times New Roman" w:cs="Times New Roman"/>
          <w:sz w:val="20"/>
          <w:szCs w:val="20"/>
          <w:lang w:val="en-GB" w:eastAsia="fr-FR"/>
        </w:rPr>
        <w:t>ulti-</w:t>
      </w:r>
      <w:r w:rsidR="00B11CAB">
        <w:rPr>
          <w:rFonts w:ascii="Times New Roman" w:hAnsi="Times New Roman" w:cs="Times New Roman"/>
          <w:sz w:val="20"/>
          <w:szCs w:val="20"/>
          <w:lang w:val="en-GB" w:eastAsia="fr-FR"/>
        </w:rPr>
        <w:t>s</w:t>
      </w:r>
      <w:r w:rsidR="00B11CAB" w:rsidRPr="003A7898">
        <w:rPr>
          <w:rFonts w:ascii="Times New Roman" w:hAnsi="Times New Roman" w:cs="Times New Roman"/>
          <w:sz w:val="20"/>
          <w:szCs w:val="20"/>
          <w:lang w:val="en-GB" w:eastAsia="fr-FR"/>
        </w:rPr>
        <w:t xml:space="preserve">takeholder </w:t>
      </w:r>
      <w:r w:rsidR="00B11CAB">
        <w:rPr>
          <w:rFonts w:ascii="Times New Roman" w:hAnsi="Times New Roman" w:cs="Times New Roman"/>
          <w:sz w:val="20"/>
          <w:szCs w:val="20"/>
          <w:lang w:val="en-GB" w:eastAsia="fr-FR"/>
        </w:rPr>
        <w:t>r</w:t>
      </w:r>
      <w:r w:rsidR="00B11CAB" w:rsidRPr="003A7898">
        <w:rPr>
          <w:rFonts w:ascii="Times New Roman" w:hAnsi="Times New Roman" w:cs="Times New Roman"/>
          <w:sz w:val="20"/>
          <w:szCs w:val="20"/>
          <w:lang w:val="en-GB" w:eastAsia="fr-FR"/>
        </w:rPr>
        <w:t xml:space="preserve">eference </w:t>
      </w:r>
      <w:r w:rsidR="00B11CAB">
        <w:rPr>
          <w:rFonts w:ascii="Times New Roman" w:hAnsi="Times New Roman" w:cs="Times New Roman"/>
          <w:sz w:val="20"/>
          <w:szCs w:val="20"/>
          <w:lang w:val="en-GB" w:eastAsia="fr-FR"/>
        </w:rPr>
        <w:t>g</w:t>
      </w:r>
      <w:r w:rsidR="00B11CAB" w:rsidRPr="003A7898">
        <w:rPr>
          <w:rFonts w:ascii="Times New Roman" w:hAnsi="Times New Roman" w:cs="Times New Roman"/>
          <w:sz w:val="20"/>
          <w:szCs w:val="20"/>
          <w:lang w:val="en-GB" w:eastAsia="fr-FR"/>
        </w:rPr>
        <w:t>roup</w:t>
      </w:r>
      <w:r w:rsidR="004B638D">
        <w:rPr>
          <w:rFonts w:ascii="Times New Roman" w:hAnsi="Times New Roman" w:cs="Times New Roman"/>
          <w:sz w:val="20"/>
          <w:szCs w:val="20"/>
          <w:lang w:val="en-GB" w:eastAsia="fr-FR"/>
        </w:rPr>
        <w:t xml:space="preserve">, </w:t>
      </w:r>
      <w:r w:rsidR="00B01D9A" w:rsidRPr="003A7898">
        <w:rPr>
          <w:rFonts w:ascii="Times New Roman" w:hAnsi="Times New Roman" w:cs="Times New Roman"/>
          <w:sz w:val="20"/>
          <w:szCs w:val="20"/>
          <w:lang w:val="en-GB"/>
        </w:rPr>
        <w:t>chaired by the Minister of Planning and External Cooperation and the Resident Coordinator, will oversee the implementation of the UNSDCF.</w:t>
      </w:r>
    </w:p>
    <w:p w14:paraId="121E9AFB" w14:textId="02444893" w:rsidR="0092239C" w:rsidRPr="003A7898" w:rsidRDefault="00092CBE" w:rsidP="00591788">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UNDP </w:t>
      </w:r>
      <w:r w:rsidR="00A672B7" w:rsidRPr="003A7898">
        <w:rPr>
          <w:rFonts w:ascii="Times New Roman" w:hAnsi="Times New Roman" w:cs="Times New Roman"/>
          <w:sz w:val="20"/>
          <w:szCs w:val="20"/>
          <w:lang w:val="en-GB"/>
        </w:rPr>
        <w:t xml:space="preserve">will </w:t>
      </w:r>
      <w:r w:rsidR="00CB6EFD" w:rsidRPr="003A7898">
        <w:rPr>
          <w:rFonts w:ascii="Times New Roman" w:hAnsi="Times New Roman" w:cs="Times New Roman"/>
          <w:sz w:val="20"/>
          <w:szCs w:val="20"/>
          <w:lang w:val="en-GB"/>
        </w:rPr>
        <w:t xml:space="preserve">continue to maintain a degree of flexibility </w:t>
      </w:r>
      <w:r w:rsidR="002D7080" w:rsidRPr="003A7898">
        <w:rPr>
          <w:rFonts w:ascii="Times New Roman" w:hAnsi="Times New Roman" w:cs="Times New Roman"/>
          <w:sz w:val="20"/>
          <w:szCs w:val="20"/>
          <w:lang w:val="en-GB"/>
        </w:rPr>
        <w:t xml:space="preserve">in </w:t>
      </w:r>
      <w:r w:rsidR="00083988" w:rsidRPr="003A7898">
        <w:rPr>
          <w:rFonts w:ascii="Times New Roman" w:hAnsi="Times New Roman" w:cs="Times New Roman"/>
          <w:sz w:val="20"/>
          <w:szCs w:val="20"/>
          <w:lang w:val="en-GB"/>
        </w:rPr>
        <w:t xml:space="preserve">its </w:t>
      </w:r>
      <w:r w:rsidR="007C0CA2" w:rsidRPr="003A7898">
        <w:rPr>
          <w:rFonts w:ascii="Times New Roman" w:hAnsi="Times New Roman" w:cs="Times New Roman"/>
          <w:sz w:val="20"/>
          <w:szCs w:val="20"/>
          <w:lang w:val="en-GB"/>
        </w:rPr>
        <w:t>programming</w:t>
      </w:r>
      <w:r w:rsidR="001B6E27" w:rsidRPr="003A7898">
        <w:rPr>
          <w:rFonts w:ascii="Times New Roman" w:hAnsi="Times New Roman" w:cs="Times New Roman"/>
          <w:sz w:val="20"/>
          <w:szCs w:val="20"/>
          <w:lang w:val="en-GB"/>
        </w:rPr>
        <w:t xml:space="preserve">. </w:t>
      </w:r>
      <w:r w:rsidR="004B7787" w:rsidRPr="003A7898">
        <w:rPr>
          <w:rFonts w:ascii="Times New Roman" w:hAnsi="Times New Roman" w:cs="Times New Roman"/>
          <w:sz w:val="20"/>
          <w:szCs w:val="20"/>
          <w:lang w:val="en-GB"/>
        </w:rPr>
        <w:t xml:space="preserve">Political </w:t>
      </w:r>
      <w:r w:rsidR="00FA427C" w:rsidRPr="003A7898">
        <w:rPr>
          <w:rFonts w:ascii="Times New Roman" w:hAnsi="Times New Roman" w:cs="Times New Roman"/>
          <w:sz w:val="20"/>
          <w:szCs w:val="20"/>
          <w:lang w:val="en-GB"/>
        </w:rPr>
        <w:t>instability</w:t>
      </w:r>
      <w:r w:rsidR="007B0D4F" w:rsidRPr="003A7898">
        <w:rPr>
          <w:rFonts w:ascii="Times New Roman" w:hAnsi="Times New Roman" w:cs="Times New Roman"/>
          <w:sz w:val="20"/>
          <w:szCs w:val="20"/>
          <w:lang w:val="en-GB"/>
        </w:rPr>
        <w:t xml:space="preserve"> </w:t>
      </w:r>
      <w:r w:rsidR="003100DB" w:rsidRPr="003A7898">
        <w:rPr>
          <w:rFonts w:ascii="Times New Roman" w:hAnsi="Times New Roman" w:cs="Times New Roman"/>
          <w:sz w:val="20"/>
          <w:szCs w:val="20"/>
          <w:lang w:val="en-GB"/>
        </w:rPr>
        <w:t xml:space="preserve">and exposure to </w:t>
      </w:r>
      <w:r w:rsidR="006E6A4D" w:rsidRPr="003A7898">
        <w:rPr>
          <w:rFonts w:ascii="Times New Roman" w:hAnsi="Times New Roman" w:cs="Times New Roman"/>
          <w:sz w:val="20"/>
          <w:szCs w:val="20"/>
          <w:lang w:val="en-GB"/>
        </w:rPr>
        <w:t xml:space="preserve">disasters </w:t>
      </w:r>
      <w:r w:rsidR="001C3B88" w:rsidRPr="003A7898">
        <w:rPr>
          <w:rFonts w:ascii="Times New Roman" w:hAnsi="Times New Roman" w:cs="Times New Roman"/>
          <w:sz w:val="20"/>
          <w:szCs w:val="20"/>
          <w:lang w:val="en-GB"/>
        </w:rPr>
        <w:t xml:space="preserve">will require UNDP to </w:t>
      </w:r>
      <w:r w:rsidR="0063119B" w:rsidRPr="003A7898">
        <w:rPr>
          <w:rFonts w:ascii="Times New Roman" w:hAnsi="Times New Roman" w:cs="Times New Roman"/>
          <w:sz w:val="20"/>
          <w:szCs w:val="20"/>
          <w:lang w:val="en-GB"/>
        </w:rPr>
        <w:t>consider the changing dynamics between political, economic</w:t>
      </w:r>
      <w:r w:rsidR="006E6A4D" w:rsidRPr="003A7898">
        <w:rPr>
          <w:rFonts w:ascii="Times New Roman" w:hAnsi="Times New Roman" w:cs="Times New Roman"/>
          <w:sz w:val="20"/>
          <w:szCs w:val="20"/>
          <w:lang w:val="en-GB"/>
        </w:rPr>
        <w:t xml:space="preserve">, </w:t>
      </w:r>
      <w:r w:rsidR="0063119B" w:rsidRPr="003A7898">
        <w:rPr>
          <w:rFonts w:ascii="Times New Roman" w:hAnsi="Times New Roman" w:cs="Times New Roman"/>
          <w:sz w:val="20"/>
          <w:szCs w:val="20"/>
          <w:lang w:val="en-GB"/>
        </w:rPr>
        <w:t xml:space="preserve">social </w:t>
      </w:r>
      <w:r w:rsidR="006E6A4D" w:rsidRPr="003A7898">
        <w:rPr>
          <w:rFonts w:ascii="Times New Roman" w:hAnsi="Times New Roman" w:cs="Times New Roman"/>
          <w:sz w:val="20"/>
          <w:szCs w:val="20"/>
          <w:lang w:val="en-GB"/>
        </w:rPr>
        <w:t xml:space="preserve">and natural </w:t>
      </w:r>
      <w:r w:rsidR="0063119B" w:rsidRPr="003A7898">
        <w:rPr>
          <w:rFonts w:ascii="Times New Roman" w:hAnsi="Times New Roman" w:cs="Times New Roman"/>
          <w:sz w:val="20"/>
          <w:szCs w:val="20"/>
          <w:lang w:val="en-GB"/>
        </w:rPr>
        <w:t>forces</w:t>
      </w:r>
      <w:r w:rsidR="001C3B88" w:rsidRPr="003A7898">
        <w:rPr>
          <w:rFonts w:ascii="Times New Roman" w:hAnsi="Times New Roman" w:cs="Times New Roman"/>
          <w:sz w:val="20"/>
          <w:szCs w:val="20"/>
          <w:lang w:val="en-GB"/>
        </w:rPr>
        <w:t xml:space="preserve"> to </w:t>
      </w:r>
      <w:r w:rsidR="004B2FA2" w:rsidRPr="003A7898">
        <w:rPr>
          <w:rFonts w:ascii="Times New Roman" w:hAnsi="Times New Roman" w:cs="Times New Roman"/>
          <w:sz w:val="20"/>
          <w:szCs w:val="20"/>
          <w:lang w:val="en-GB"/>
        </w:rPr>
        <w:t xml:space="preserve">contribute to the resolution of </w:t>
      </w:r>
      <w:r w:rsidR="001C3B88" w:rsidRPr="003A7898">
        <w:rPr>
          <w:rFonts w:ascii="Times New Roman" w:hAnsi="Times New Roman" w:cs="Times New Roman"/>
          <w:sz w:val="20"/>
          <w:szCs w:val="20"/>
          <w:lang w:val="en-GB"/>
        </w:rPr>
        <w:t>the current crisis</w:t>
      </w:r>
      <w:r w:rsidR="00232B71" w:rsidRPr="003A7898">
        <w:rPr>
          <w:rFonts w:ascii="Times New Roman" w:hAnsi="Times New Roman" w:cs="Times New Roman"/>
          <w:sz w:val="20"/>
          <w:szCs w:val="20"/>
          <w:lang w:val="en-GB"/>
        </w:rPr>
        <w:t>.</w:t>
      </w:r>
      <w:r w:rsidR="007C0CA2" w:rsidRPr="003A7898">
        <w:rPr>
          <w:rFonts w:ascii="Times New Roman" w:hAnsi="Times New Roman" w:cs="Times New Roman"/>
          <w:sz w:val="20"/>
          <w:szCs w:val="20"/>
          <w:lang w:val="en-GB"/>
        </w:rPr>
        <w:t xml:space="preserve"> </w:t>
      </w:r>
      <w:r w:rsidR="00B11CAB">
        <w:rPr>
          <w:rFonts w:ascii="Times New Roman" w:hAnsi="Times New Roman" w:cs="Times New Roman"/>
          <w:sz w:val="20"/>
          <w:szCs w:val="20"/>
          <w:lang w:val="en-GB"/>
        </w:rPr>
        <w:t xml:space="preserve">The </w:t>
      </w:r>
      <w:r w:rsidR="004B2FA2" w:rsidRPr="003A7898">
        <w:rPr>
          <w:rFonts w:ascii="Times New Roman" w:hAnsi="Times New Roman" w:cs="Times New Roman"/>
          <w:sz w:val="20"/>
          <w:szCs w:val="20"/>
          <w:lang w:val="en-GB"/>
        </w:rPr>
        <w:t xml:space="preserve">s </w:t>
      </w:r>
      <w:r w:rsidR="003F49F4" w:rsidRPr="003A7898">
        <w:rPr>
          <w:rFonts w:ascii="Times New Roman" w:hAnsi="Times New Roman" w:cs="Times New Roman"/>
          <w:sz w:val="20"/>
          <w:szCs w:val="20"/>
          <w:lang w:val="en-GB"/>
        </w:rPr>
        <w:t xml:space="preserve">proven ability </w:t>
      </w:r>
      <w:r w:rsidR="00B11CAB">
        <w:rPr>
          <w:rFonts w:ascii="Times New Roman" w:hAnsi="Times New Roman" w:cs="Times New Roman"/>
          <w:sz w:val="20"/>
          <w:szCs w:val="20"/>
          <w:lang w:val="en-GB"/>
        </w:rPr>
        <w:t xml:space="preserve">of UNDP </w:t>
      </w:r>
      <w:r w:rsidR="003F49F4" w:rsidRPr="003A7898">
        <w:rPr>
          <w:rFonts w:ascii="Times New Roman" w:hAnsi="Times New Roman" w:cs="Times New Roman"/>
          <w:sz w:val="20"/>
          <w:szCs w:val="20"/>
          <w:lang w:val="en-GB"/>
        </w:rPr>
        <w:t xml:space="preserve">to strike a balance between </w:t>
      </w:r>
      <w:r w:rsidR="004C59CD" w:rsidRPr="003A7898">
        <w:rPr>
          <w:rFonts w:ascii="Times New Roman" w:hAnsi="Times New Roman" w:cs="Times New Roman"/>
          <w:sz w:val="20"/>
          <w:szCs w:val="20"/>
          <w:lang w:val="en-GB"/>
        </w:rPr>
        <w:t>maintaining the core orientation of its programming while adapting to a highly volatile context will likely continue to be relevant in the programme cycle.</w:t>
      </w:r>
      <w:r w:rsidR="00645C9D" w:rsidRPr="003A7898">
        <w:rPr>
          <w:rFonts w:ascii="Times New Roman" w:hAnsi="Times New Roman" w:cs="Times New Roman"/>
          <w:sz w:val="20"/>
          <w:szCs w:val="20"/>
          <w:lang w:val="en-GB"/>
        </w:rPr>
        <w:t xml:space="preserve"> UNDP will support inclusive platforms for consultation on </w:t>
      </w:r>
      <w:r w:rsidR="009F652A" w:rsidRPr="003A7898">
        <w:rPr>
          <w:rFonts w:ascii="Times New Roman" w:hAnsi="Times New Roman" w:cs="Times New Roman"/>
          <w:sz w:val="20"/>
          <w:szCs w:val="20"/>
          <w:lang w:val="en-GB"/>
        </w:rPr>
        <w:t>national priorities</w:t>
      </w:r>
      <w:r w:rsidR="002D68E5" w:rsidRPr="003A7898">
        <w:rPr>
          <w:rFonts w:ascii="Times New Roman" w:hAnsi="Times New Roman" w:cs="Times New Roman"/>
          <w:sz w:val="20"/>
          <w:szCs w:val="20"/>
          <w:lang w:val="en-GB"/>
        </w:rPr>
        <w:t xml:space="preserve">, to the extent </w:t>
      </w:r>
      <w:r w:rsidR="009F652A" w:rsidRPr="003A7898">
        <w:rPr>
          <w:rFonts w:ascii="Times New Roman" w:hAnsi="Times New Roman" w:cs="Times New Roman"/>
          <w:sz w:val="20"/>
          <w:szCs w:val="20"/>
          <w:lang w:val="en-GB"/>
        </w:rPr>
        <w:t xml:space="preserve">possible, to contribute to a </w:t>
      </w:r>
      <w:r w:rsidR="002D68E5" w:rsidRPr="003A7898">
        <w:rPr>
          <w:rFonts w:ascii="Times New Roman" w:hAnsi="Times New Roman" w:cs="Times New Roman"/>
          <w:sz w:val="20"/>
          <w:szCs w:val="20"/>
          <w:lang w:val="en-GB"/>
        </w:rPr>
        <w:t xml:space="preserve">gradual restoration of confidence between the State and the Haitian population. To </w:t>
      </w:r>
      <w:r w:rsidR="00F31198" w:rsidRPr="003A7898">
        <w:rPr>
          <w:rFonts w:ascii="Times New Roman" w:hAnsi="Times New Roman" w:cs="Times New Roman"/>
          <w:sz w:val="20"/>
          <w:szCs w:val="20"/>
          <w:lang w:val="en-GB"/>
        </w:rPr>
        <w:t xml:space="preserve">minimize </w:t>
      </w:r>
      <w:r w:rsidR="002D68E5" w:rsidRPr="003A7898">
        <w:rPr>
          <w:rFonts w:ascii="Times New Roman" w:hAnsi="Times New Roman" w:cs="Times New Roman"/>
          <w:sz w:val="20"/>
          <w:szCs w:val="20"/>
          <w:lang w:val="en-GB"/>
        </w:rPr>
        <w:t xml:space="preserve">the risk of volatile contexts, UNDP </w:t>
      </w:r>
      <w:r w:rsidR="002713A8" w:rsidRPr="003A7898">
        <w:rPr>
          <w:rFonts w:ascii="Times New Roman" w:hAnsi="Times New Roman" w:cs="Times New Roman"/>
          <w:sz w:val="20"/>
          <w:szCs w:val="20"/>
          <w:lang w:val="en-GB"/>
        </w:rPr>
        <w:t xml:space="preserve">will support its national partners </w:t>
      </w:r>
      <w:r w:rsidR="00620149" w:rsidRPr="003A7898">
        <w:rPr>
          <w:rFonts w:ascii="Times New Roman" w:hAnsi="Times New Roman" w:cs="Times New Roman"/>
          <w:sz w:val="20"/>
          <w:szCs w:val="20"/>
          <w:lang w:val="en-GB"/>
        </w:rPr>
        <w:t>in adopting planning approaches</w:t>
      </w:r>
      <w:r w:rsidR="00452127" w:rsidRPr="003A7898">
        <w:rPr>
          <w:rFonts w:ascii="Times New Roman" w:hAnsi="Times New Roman" w:cs="Times New Roman"/>
          <w:sz w:val="20"/>
          <w:szCs w:val="20"/>
          <w:lang w:val="en-GB"/>
        </w:rPr>
        <w:t xml:space="preserve">, digital transformation and innovation. In collaboration with </w:t>
      </w:r>
      <w:r w:rsidR="00B11CAB">
        <w:rPr>
          <w:rFonts w:ascii="Times New Roman" w:hAnsi="Times New Roman" w:cs="Times New Roman"/>
          <w:sz w:val="20"/>
          <w:szCs w:val="20"/>
          <w:lang w:val="en-GB"/>
        </w:rPr>
        <w:t>c</w:t>
      </w:r>
      <w:r w:rsidR="003D13C3" w:rsidRPr="003A7898">
        <w:rPr>
          <w:rFonts w:ascii="Times New Roman" w:hAnsi="Times New Roman" w:cs="Times New Roman"/>
          <w:sz w:val="20"/>
          <w:szCs w:val="20"/>
          <w:lang w:val="en-GB"/>
        </w:rPr>
        <w:t xml:space="preserve">ivil </w:t>
      </w:r>
      <w:r w:rsidR="00B11CAB">
        <w:rPr>
          <w:rFonts w:ascii="Times New Roman" w:hAnsi="Times New Roman" w:cs="Times New Roman"/>
          <w:sz w:val="20"/>
          <w:szCs w:val="20"/>
          <w:lang w:val="en-GB"/>
        </w:rPr>
        <w:t>s</w:t>
      </w:r>
      <w:r w:rsidR="003D13C3" w:rsidRPr="003A7898">
        <w:rPr>
          <w:rFonts w:ascii="Times New Roman" w:hAnsi="Times New Roman" w:cs="Times New Roman"/>
          <w:sz w:val="20"/>
          <w:szCs w:val="20"/>
          <w:lang w:val="en-GB"/>
        </w:rPr>
        <w:t xml:space="preserve">ociety </w:t>
      </w:r>
      <w:r w:rsidR="00B11CAB">
        <w:rPr>
          <w:rFonts w:ascii="Times New Roman" w:hAnsi="Times New Roman" w:cs="Times New Roman"/>
          <w:sz w:val="20"/>
          <w:szCs w:val="20"/>
          <w:lang w:val="en-GB"/>
        </w:rPr>
        <w:t>o</w:t>
      </w:r>
      <w:r w:rsidR="003D13C3" w:rsidRPr="003A7898">
        <w:rPr>
          <w:rFonts w:ascii="Times New Roman" w:hAnsi="Times New Roman" w:cs="Times New Roman"/>
          <w:sz w:val="20"/>
          <w:szCs w:val="20"/>
          <w:lang w:val="en-GB"/>
        </w:rPr>
        <w:t>rganizations</w:t>
      </w:r>
      <w:r w:rsidR="00452127" w:rsidRPr="003A7898">
        <w:rPr>
          <w:rFonts w:ascii="Times New Roman" w:hAnsi="Times New Roman" w:cs="Times New Roman"/>
          <w:sz w:val="20"/>
          <w:szCs w:val="20"/>
          <w:lang w:val="en-GB"/>
        </w:rPr>
        <w:t xml:space="preserve">, UNDP will facilitate empowerment dialogues and interventions, raising awareness among key stakeholders of the added value, </w:t>
      </w:r>
      <w:r w:rsidR="00BA5F41" w:rsidRPr="003A7898">
        <w:rPr>
          <w:rFonts w:ascii="Times New Roman" w:hAnsi="Times New Roman" w:cs="Times New Roman"/>
          <w:sz w:val="20"/>
          <w:szCs w:val="20"/>
          <w:lang w:val="en-GB"/>
        </w:rPr>
        <w:t>benefits</w:t>
      </w:r>
      <w:r w:rsidR="00452127" w:rsidRPr="003A7898">
        <w:rPr>
          <w:rFonts w:ascii="Times New Roman" w:hAnsi="Times New Roman" w:cs="Times New Roman"/>
          <w:sz w:val="20"/>
          <w:szCs w:val="20"/>
          <w:lang w:val="en-GB"/>
        </w:rPr>
        <w:t xml:space="preserve"> and opportunities that </w:t>
      </w:r>
      <w:r w:rsidR="00F31198" w:rsidRPr="003A7898">
        <w:rPr>
          <w:rFonts w:ascii="Times New Roman" w:hAnsi="Times New Roman" w:cs="Times New Roman"/>
          <w:sz w:val="20"/>
          <w:szCs w:val="20"/>
          <w:lang w:val="en-GB"/>
        </w:rPr>
        <w:t xml:space="preserve">digitalization </w:t>
      </w:r>
      <w:r w:rsidR="00452127" w:rsidRPr="003A7898">
        <w:rPr>
          <w:rFonts w:ascii="Times New Roman" w:hAnsi="Times New Roman" w:cs="Times New Roman"/>
          <w:sz w:val="20"/>
          <w:szCs w:val="20"/>
          <w:lang w:val="en-GB"/>
        </w:rPr>
        <w:t>and innovation can bring to their sectors.</w:t>
      </w:r>
      <w:r w:rsidR="0061644E" w:rsidRPr="003A7898">
        <w:rPr>
          <w:rFonts w:ascii="Times New Roman" w:hAnsi="Times New Roman" w:cs="Times New Roman"/>
          <w:sz w:val="20"/>
          <w:szCs w:val="20"/>
          <w:lang w:val="en-GB"/>
        </w:rPr>
        <w:t xml:space="preserve"> </w:t>
      </w:r>
    </w:p>
    <w:p w14:paraId="06D5B13C" w14:textId="7D7424E1" w:rsidR="006F19AF" w:rsidRPr="003A7898" w:rsidRDefault="006F19AF" w:rsidP="00591788">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UNDP will </w:t>
      </w:r>
      <w:r w:rsidR="002D4FD5" w:rsidRPr="003A7898">
        <w:rPr>
          <w:rFonts w:ascii="Times New Roman" w:hAnsi="Times New Roman" w:cs="Times New Roman"/>
          <w:sz w:val="20"/>
          <w:szCs w:val="20"/>
          <w:lang w:val="en-GB"/>
        </w:rPr>
        <w:t xml:space="preserve">maintain dialogue with all stakeholders to identify potential undue social and environmental harm caused by </w:t>
      </w:r>
      <w:r w:rsidR="00237C77" w:rsidRPr="003A7898">
        <w:rPr>
          <w:rFonts w:ascii="Times New Roman" w:hAnsi="Times New Roman" w:cs="Times New Roman"/>
          <w:sz w:val="20"/>
          <w:szCs w:val="20"/>
          <w:lang w:val="en-GB"/>
        </w:rPr>
        <w:t>UNDP and</w:t>
      </w:r>
      <w:r w:rsidR="00633B75" w:rsidRPr="003A7898">
        <w:rPr>
          <w:rFonts w:ascii="Times New Roman" w:hAnsi="Times New Roman" w:cs="Times New Roman"/>
          <w:sz w:val="20"/>
          <w:szCs w:val="20"/>
          <w:lang w:val="en-GB"/>
        </w:rPr>
        <w:t xml:space="preserve"> will promote the use of </w:t>
      </w:r>
      <w:r w:rsidR="00D647B5" w:rsidRPr="003A7898">
        <w:rPr>
          <w:rFonts w:ascii="Times New Roman" w:hAnsi="Times New Roman" w:cs="Times New Roman"/>
          <w:sz w:val="20"/>
          <w:szCs w:val="20"/>
          <w:lang w:val="en-GB"/>
        </w:rPr>
        <w:t>grievance</w:t>
      </w:r>
      <w:r w:rsidR="00633B75" w:rsidRPr="003A7898">
        <w:rPr>
          <w:rFonts w:ascii="Times New Roman" w:hAnsi="Times New Roman" w:cs="Times New Roman"/>
          <w:sz w:val="20"/>
          <w:szCs w:val="20"/>
          <w:lang w:val="en-GB"/>
        </w:rPr>
        <w:t xml:space="preserve"> mechanisms as appropriate and the application of </w:t>
      </w:r>
      <w:r w:rsidR="00830AE0">
        <w:rPr>
          <w:rFonts w:ascii="Times New Roman" w:hAnsi="Times New Roman" w:cs="Times New Roman"/>
          <w:sz w:val="20"/>
          <w:szCs w:val="20"/>
          <w:lang w:val="en-GB"/>
        </w:rPr>
        <w:t xml:space="preserve">the </w:t>
      </w:r>
      <w:r w:rsidR="00807C83">
        <w:rPr>
          <w:rFonts w:ascii="Times New Roman" w:hAnsi="Times New Roman" w:cs="Times New Roman"/>
          <w:sz w:val="20"/>
          <w:szCs w:val="20"/>
          <w:lang w:val="en-GB"/>
        </w:rPr>
        <w:t>organization’s</w:t>
      </w:r>
      <w:r w:rsidR="00807C83" w:rsidRPr="003A7898">
        <w:rPr>
          <w:rFonts w:ascii="Times New Roman" w:hAnsi="Times New Roman" w:cs="Times New Roman"/>
          <w:sz w:val="20"/>
          <w:szCs w:val="20"/>
          <w:lang w:val="en-GB"/>
        </w:rPr>
        <w:t xml:space="preserve"> </w:t>
      </w:r>
      <w:r w:rsidR="00D647B5" w:rsidRPr="003A7898">
        <w:rPr>
          <w:rFonts w:ascii="Times New Roman" w:hAnsi="Times New Roman" w:cs="Times New Roman"/>
          <w:sz w:val="20"/>
          <w:szCs w:val="20"/>
          <w:lang w:val="en-GB"/>
        </w:rPr>
        <w:t>social</w:t>
      </w:r>
      <w:r w:rsidR="00633B75" w:rsidRPr="003A7898">
        <w:rPr>
          <w:rFonts w:ascii="Times New Roman" w:hAnsi="Times New Roman" w:cs="Times New Roman"/>
          <w:sz w:val="20"/>
          <w:szCs w:val="20"/>
          <w:lang w:val="en-GB"/>
        </w:rPr>
        <w:t xml:space="preserve"> and environmental </w:t>
      </w:r>
      <w:r w:rsidR="00D647B5" w:rsidRPr="003A7898">
        <w:rPr>
          <w:rFonts w:ascii="Times New Roman" w:hAnsi="Times New Roman" w:cs="Times New Roman"/>
          <w:sz w:val="20"/>
          <w:szCs w:val="20"/>
          <w:lang w:val="en-GB"/>
        </w:rPr>
        <w:t xml:space="preserve">policies. </w:t>
      </w:r>
    </w:p>
    <w:p w14:paraId="383A9BE0" w14:textId="0A07C37B" w:rsidR="001A52C9" w:rsidRPr="003A7898" w:rsidRDefault="0026780E" w:rsidP="008B38C0">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UNDP will review its capacity</w:t>
      </w:r>
      <w:r w:rsidR="002B7379" w:rsidRPr="003A7898">
        <w:rPr>
          <w:rFonts w:ascii="Times New Roman" w:hAnsi="Times New Roman" w:cs="Times New Roman"/>
          <w:sz w:val="20"/>
          <w:szCs w:val="20"/>
          <w:lang w:val="en-GB"/>
        </w:rPr>
        <w:t xml:space="preserve"> and determine appropriate measures</w:t>
      </w:r>
      <w:r w:rsidR="004B6B5E" w:rsidRPr="003A7898">
        <w:rPr>
          <w:rFonts w:ascii="Times New Roman" w:hAnsi="Times New Roman" w:cs="Times New Roman"/>
          <w:sz w:val="20"/>
          <w:szCs w:val="20"/>
          <w:lang w:val="en-GB"/>
        </w:rPr>
        <w:t xml:space="preserve"> to ensure </w:t>
      </w:r>
      <w:r w:rsidR="007C0CA2" w:rsidRPr="003A7898">
        <w:rPr>
          <w:rFonts w:ascii="Times New Roman" w:hAnsi="Times New Roman" w:cs="Times New Roman"/>
          <w:sz w:val="20"/>
          <w:szCs w:val="20"/>
          <w:lang w:val="en-GB"/>
        </w:rPr>
        <w:t>its financial</w:t>
      </w:r>
      <w:r w:rsidRPr="003A7898">
        <w:rPr>
          <w:rFonts w:ascii="Times New Roman" w:hAnsi="Times New Roman" w:cs="Times New Roman"/>
          <w:sz w:val="20"/>
          <w:szCs w:val="20"/>
          <w:lang w:val="en-GB"/>
        </w:rPr>
        <w:t xml:space="preserve"> </w:t>
      </w:r>
      <w:r w:rsidR="00613D3A" w:rsidRPr="003A7898">
        <w:rPr>
          <w:rFonts w:ascii="Times New Roman" w:hAnsi="Times New Roman" w:cs="Times New Roman"/>
          <w:sz w:val="20"/>
          <w:szCs w:val="20"/>
          <w:lang w:val="en-GB"/>
        </w:rPr>
        <w:t>sustainability</w:t>
      </w:r>
      <w:r w:rsidR="00B946F5" w:rsidRPr="003A7898">
        <w:rPr>
          <w:rFonts w:ascii="Times New Roman" w:hAnsi="Times New Roman" w:cs="Times New Roman"/>
          <w:sz w:val="20"/>
          <w:szCs w:val="20"/>
          <w:lang w:val="en-GB"/>
        </w:rPr>
        <w:t xml:space="preserve">, including </w:t>
      </w:r>
      <w:r w:rsidR="0063119B" w:rsidRPr="003A7898">
        <w:rPr>
          <w:rFonts w:ascii="Times New Roman" w:hAnsi="Times New Roman" w:cs="Times New Roman"/>
          <w:sz w:val="20"/>
          <w:szCs w:val="20"/>
          <w:lang w:val="en-GB"/>
        </w:rPr>
        <w:t>improving cost management and allocating</w:t>
      </w:r>
      <w:r w:rsidR="00613D3A" w:rsidRPr="003A7898">
        <w:rPr>
          <w:rFonts w:ascii="Times New Roman" w:hAnsi="Times New Roman" w:cs="Times New Roman"/>
          <w:sz w:val="20"/>
          <w:szCs w:val="20"/>
          <w:lang w:val="en-GB"/>
        </w:rPr>
        <w:t xml:space="preserve"> </w:t>
      </w:r>
      <w:r w:rsidR="00065656" w:rsidRPr="003A7898">
        <w:rPr>
          <w:rFonts w:ascii="Times New Roman" w:hAnsi="Times New Roman" w:cs="Times New Roman"/>
          <w:sz w:val="20"/>
          <w:szCs w:val="20"/>
          <w:lang w:val="en-GB"/>
        </w:rPr>
        <w:t xml:space="preserve">human resources according to the </w:t>
      </w:r>
      <w:r w:rsidR="009C33E7">
        <w:rPr>
          <w:rFonts w:ascii="Times New Roman" w:hAnsi="Times New Roman" w:cs="Times New Roman"/>
          <w:sz w:val="20"/>
          <w:szCs w:val="20"/>
          <w:lang w:val="en-GB"/>
        </w:rPr>
        <w:t>programme’s needs</w:t>
      </w:r>
      <w:r w:rsidR="00331F95" w:rsidRPr="003A7898">
        <w:rPr>
          <w:rFonts w:ascii="Times New Roman" w:hAnsi="Times New Roman" w:cs="Times New Roman"/>
          <w:sz w:val="20"/>
          <w:szCs w:val="20"/>
          <w:lang w:val="en-GB"/>
        </w:rPr>
        <w:t xml:space="preserve">. </w:t>
      </w:r>
      <w:r w:rsidR="00337429" w:rsidRPr="003A7898">
        <w:rPr>
          <w:rFonts w:ascii="Times New Roman" w:hAnsi="Times New Roman" w:cs="Times New Roman"/>
          <w:sz w:val="20"/>
          <w:szCs w:val="20"/>
          <w:lang w:val="en-GB"/>
        </w:rPr>
        <w:t xml:space="preserve">UNDP will also need to maintain flexibility to </w:t>
      </w:r>
      <w:r w:rsidR="00F31198" w:rsidRPr="003A7898">
        <w:rPr>
          <w:rFonts w:ascii="Times New Roman" w:hAnsi="Times New Roman" w:cs="Times New Roman"/>
          <w:sz w:val="20"/>
          <w:szCs w:val="20"/>
          <w:lang w:val="en-GB"/>
        </w:rPr>
        <w:t xml:space="preserve">mobilize </w:t>
      </w:r>
      <w:r w:rsidR="00C854CB" w:rsidRPr="003A7898">
        <w:rPr>
          <w:rFonts w:ascii="Times New Roman" w:hAnsi="Times New Roman" w:cs="Times New Roman"/>
          <w:sz w:val="20"/>
          <w:szCs w:val="20"/>
          <w:lang w:val="en-GB"/>
        </w:rPr>
        <w:t xml:space="preserve">relevant human resources </w:t>
      </w:r>
      <w:r w:rsidR="00863F9B">
        <w:rPr>
          <w:rFonts w:ascii="Times New Roman" w:hAnsi="Times New Roman" w:cs="Times New Roman"/>
          <w:sz w:val="20"/>
          <w:szCs w:val="20"/>
          <w:lang w:val="en-GB"/>
        </w:rPr>
        <w:t>according to</w:t>
      </w:r>
      <w:r w:rsidR="00C854CB" w:rsidRPr="003A7898">
        <w:rPr>
          <w:rFonts w:ascii="Times New Roman" w:hAnsi="Times New Roman" w:cs="Times New Roman"/>
          <w:sz w:val="20"/>
          <w:szCs w:val="20"/>
          <w:lang w:val="en-GB"/>
        </w:rPr>
        <w:t xml:space="preserve"> the context and potential increased brain</w:t>
      </w:r>
      <w:r w:rsidR="00830AE0">
        <w:rPr>
          <w:rFonts w:ascii="Times New Roman" w:hAnsi="Times New Roman" w:cs="Times New Roman"/>
          <w:sz w:val="20"/>
          <w:szCs w:val="20"/>
          <w:lang w:val="en-GB"/>
        </w:rPr>
        <w:t xml:space="preserve"> </w:t>
      </w:r>
      <w:r w:rsidR="00C854CB" w:rsidRPr="003A7898">
        <w:rPr>
          <w:rFonts w:ascii="Times New Roman" w:hAnsi="Times New Roman" w:cs="Times New Roman"/>
          <w:sz w:val="20"/>
          <w:szCs w:val="20"/>
          <w:lang w:val="en-GB"/>
        </w:rPr>
        <w:t xml:space="preserve">drain, as well as emerging areas where additional or different expertise might be required. </w:t>
      </w:r>
      <w:r w:rsidR="00A05771" w:rsidRPr="003A7898">
        <w:rPr>
          <w:rFonts w:ascii="Times New Roman" w:hAnsi="Times New Roman" w:cs="Times New Roman"/>
          <w:sz w:val="20"/>
          <w:szCs w:val="20"/>
          <w:lang w:val="en-GB"/>
        </w:rPr>
        <w:t xml:space="preserve">In the event of </w:t>
      </w:r>
      <w:r w:rsidR="00237C77" w:rsidRPr="003A7898">
        <w:rPr>
          <w:rFonts w:ascii="Times New Roman" w:hAnsi="Times New Roman" w:cs="Times New Roman"/>
          <w:sz w:val="20"/>
          <w:szCs w:val="20"/>
          <w:lang w:val="en-GB"/>
        </w:rPr>
        <w:t xml:space="preserve">significant changes to the context, </w:t>
      </w:r>
      <w:r w:rsidR="00F80ED6" w:rsidRPr="003A7898">
        <w:rPr>
          <w:rFonts w:ascii="Times New Roman" w:hAnsi="Times New Roman" w:cs="Times New Roman"/>
          <w:sz w:val="20"/>
          <w:szCs w:val="20"/>
          <w:lang w:val="en-GB"/>
        </w:rPr>
        <w:t>UNDP</w:t>
      </w:r>
      <w:r w:rsidR="00A05771" w:rsidRPr="003A7898">
        <w:rPr>
          <w:rFonts w:ascii="Times New Roman" w:hAnsi="Times New Roman" w:cs="Times New Roman"/>
          <w:sz w:val="20"/>
          <w:szCs w:val="20"/>
          <w:lang w:val="en-GB"/>
        </w:rPr>
        <w:t xml:space="preserve"> will </w:t>
      </w:r>
      <w:r w:rsidR="001A52C9" w:rsidRPr="003A7898">
        <w:rPr>
          <w:rFonts w:ascii="Times New Roman" w:hAnsi="Times New Roman" w:cs="Times New Roman"/>
          <w:sz w:val="20"/>
          <w:szCs w:val="20"/>
          <w:lang w:val="en-GB"/>
        </w:rPr>
        <w:t xml:space="preserve">respond to </w:t>
      </w:r>
      <w:r w:rsidR="00F15C8F" w:rsidRPr="003A7898">
        <w:rPr>
          <w:rFonts w:ascii="Times New Roman" w:hAnsi="Times New Roman" w:cs="Times New Roman"/>
          <w:sz w:val="20"/>
          <w:szCs w:val="20"/>
          <w:lang w:val="en-GB"/>
        </w:rPr>
        <w:t>early warning signals</w:t>
      </w:r>
      <w:r w:rsidR="0063119B" w:rsidRPr="003A7898">
        <w:rPr>
          <w:rFonts w:ascii="Times New Roman" w:hAnsi="Times New Roman" w:cs="Times New Roman"/>
          <w:sz w:val="20"/>
          <w:szCs w:val="20"/>
          <w:lang w:val="en-GB"/>
        </w:rPr>
        <w:t>, activat</w:t>
      </w:r>
      <w:r w:rsidR="001A52C9" w:rsidRPr="003A7898">
        <w:rPr>
          <w:rFonts w:ascii="Times New Roman" w:hAnsi="Times New Roman" w:cs="Times New Roman"/>
          <w:sz w:val="20"/>
          <w:szCs w:val="20"/>
          <w:lang w:val="en-GB"/>
        </w:rPr>
        <w:t>e</w:t>
      </w:r>
      <w:r w:rsidR="0063119B" w:rsidRPr="003A7898">
        <w:rPr>
          <w:rFonts w:ascii="Times New Roman" w:hAnsi="Times New Roman" w:cs="Times New Roman"/>
          <w:sz w:val="20"/>
          <w:szCs w:val="20"/>
          <w:lang w:val="en-GB"/>
        </w:rPr>
        <w:t xml:space="preserve"> the corporate </w:t>
      </w:r>
      <w:r w:rsidR="00B11CAB" w:rsidRPr="003A7898">
        <w:rPr>
          <w:rFonts w:ascii="Times New Roman" w:hAnsi="Times New Roman" w:cs="Times New Roman"/>
          <w:sz w:val="20"/>
          <w:szCs w:val="20"/>
          <w:lang w:val="en-GB"/>
        </w:rPr>
        <w:t>enterprise r</w:t>
      </w:r>
      <w:r w:rsidR="0063119B" w:rsidRPr="003A7898">
        <w:rPr>
          <w:rFonts w:ascii="Times New Roman" w:hAnsi="Times New Roman" w:cs="Times New Roman"/>
          <w:sz w:val="20"/>
          <w:szCs w:val="20"/>
          <w:lang w:val="en-GB"/>
        </w:rPr>
        <w:t>isk policy and escalat</w:t>
      </w:r>
      <w:r w:rsidR="001A52C9" w:rsidRPr="003A7898">
        <w:rPr>
          <w:rFonts w:ascii="Times New Roman" w:hAnsi="Times New Roman" w:cs="Times New Roman"/>
          <w:sz w:val="20"/>
          <w:szCs w:val="20"/>
          <w:lang w:val="en-GB"/>
        </w:rPr>
        <w:t>e</w:t>
      </w:r>
      <w:r w:rsidR="009F6E64" w:rsidRPr="003A7898">
        <w:rPr>
          <w:rFonts w:ascii="Times New Roman" w:hAnsi="Times New Roman" w:cs="Times New Roman"/>
          <w:sz w:val="20"/>
          <w:szCs w:val="20"/>
          <w:lang w:val="en-GB"/>
        </w:rPr>
        <w:t xml:space="preserve"> risks as appropriate. </w:t>
      </w:r>
      <w:r w:rsidR="009871F4" w:rsidRPr="003A7898">
        <w:rPr>
          <w:rFonts w:ascii="Times New Roman" w:hAnsi="Times New Roman" w:cs="Times New Roman"/>
          <w:sz w:val="20"/>
          <w:szCs w:val="20"/>
          <w:lang w:val="en-GB"/>
        </w:rPr>
        <w:t>T</w:t>
      </w:r>
      <w:r w:rsidR="00B07618" w:rsidRPr="003A7898">
        <w:rPr>
          <w:rFonts w:ascii="Times New Roman" w:hAnsi="Times New Roman" w:cs="Times New Roman"/>
          <w:sz w:val="20"/>
          <w:szCs w:val="20"/>
          <w:lang w:val="en-GB"/>
        </w:rPr>
        <w:t xml:space="preserve">he national context </w:t>
      </w:r>
      <w:r w:rsidR="00992665" w:rsidRPr="003A7898">
        <w:rPr>
          <w:rFonts w:ascii="Times New Roman" w:hAnsi="Times New Roman" w:cs="Times New Roman"/>
          <w:sz w:val="20"/>
          <w:szCs w:val="20"/>
          <w:lang w:val="en-GB"/>
        </w:rPr>
        <w:t>has</w:t>
      </w:r>
      <w:r w:rsidR="00B07618" w:rsidRPr="003A7898">
        <w:rPr>
          <w:rFonts w:ascii="Times New Roman" w:hAnsi="Times New Roman" w:cs="Times New Roman"/>
          <w:sz w:val="20"/>
          <w:szCs w:val="20"/>
          <w:lang w:val="en-GB"/>
        </w:rPr>
        <w:t xml:space="preserve"> </w:t>
      </w:r>
      <w:r w:rsidR="00DA6FF2" w:rsidRPr="003A7898">
        <w:rPr>
          <w:rFonts w:ascii="Times New Roman" w:hAnsi="Times New Roman" w:cs="Times New Roman"/>
          <w:sz w:val="20"/>
          <w:szCs w:val="20"/>
          <w:lang w:val="en-GB"/>
        </w:rPr>
        <w:t xml:space="preserve">significant </w:t>
      </w:r>
      <w:r w:rsidR="00B07618" w:rsidRPr="003A7898">
        <w:rPr>
          <w:rFonts w:ascii="Times New Roman" w:hAnsi="Times New Roman" w:cs="Times New Roman"/>
          <w:sz w:val="20"/>
          <w:szCs w:val="20"/>
          <w:lang w:val="en-GB"/>
        </w:rPr>
        <w:t xml:space="preserve">structural fragilities, cyclical crises </w:t>
      </w:r>
      <w:r w:rsidR="0063119B" w:rsidRPr="003A7898">
        <w:rPr>
          <w:rFonts w:ascii="Times New Roman" w:hAnsi="Times New Roman" w:cs="Times New Roman"/>
          <w:sz w:val="20"/>
          <w:szCs w:val="20"/>
          <w:lang w:val="en-GB"/>
        </w:rPr>
        <w:t xml:space="preserve">and </w:t>
      </w:r>
      <w:r w:rsidR="00B07618" w:rsidRPr="003A7898">
        <w:rPr>
          <w:rFonts w:ascii="Times New Roman" w:hAnsi="Times New Roman" w:cs="Times New Roman"/>
          <w:sz w:val="20"/>
          <w:szCs w:val="20"/>
          <w:lang w:val="en-GB"/>
        </w:rPr>
        <w:t>uncertainties</w:t>
      </w:r>
      <w:r w:rsidR="00DA6FF2" w:rsidRPr="003A7898">
        <w:rPr>
          <w:rFonts w:ascii="Times New Roman" w:hAnsi="Times New Roman" w:cs="Times New Roman"/>
          <w:sz w:val="20"/>
          <w:szCs w:val="20"/>
          <w:lang w:val="en-GB"/>
        </w:rPr>
        <w:t xml:space="preserve">; </w:t>
      </w:r>
      <w:r w:rsidR="00B07618" w:rsidRPr="003A7898">
        <w:rPr>
          <w:rFonts w:ascii="Times New Roman" w:hAnsi="Times New Roman" w:cs="Times New Roman"/>
          <w:sz w:val="20"/>
          <w:szCs w:val="20"/>
          <w:lang w:val="en-GB"/>
        </w:rPr>
        <w:t xml:space="preserve">change </w:t>
      </w:r>
      <w:r w:rsidR="00DA6FF2" w:rsidRPr="003A7898">
        <w:rPr>
          <w:rFonts w:ascii="Times New Roman" w:hAnsi="Times New Roman" w:cs="Times New Roman"/>
          <w:sz w:val="20"/>
          <w:szCs w:val="20"/>
          <w:lang w:val="en-GB"/>
        </w:rPr>
        <w:t xml:space="preserve">in any of them </w:t>
      </w:r>
      <w:r w:rsidR="00B07618" w:rsidRPr="003A7898">
        <w:rPr>
          <w:rFonts w:ascii="Times New Roman" w:hAnsi="Times New Roman" w:cs="Times New Roman"/>
          <w:sz w:val="20"/>
          <w:szCs w:val="20"/>
          <w:lang w:val="en-GB"/>
        </w:rPr>
        <w:t>is a source of concern</w:t>
      </w:r>
      <w:r w:rsidR="00F15C8F" w:rsidRPr="003A7898">
        <w:rPr>
          <w:rFonts w:ascii="Times New Roman" w:hAnsi="Times New Roman" w:cs="Times New Roman"/>
          <w:sz w:val="20"/>
          <w:szCs w:val="20"/>
          <w:lang w:val="en-GB"/>
        </w:rPr>
        <w:t xml:space="preserve">. Ongoing and strengthened partnerships at the technical level within national partner institutions </w:t>
      </w:r>
      <w:r w:rsidR="002F2E84" w:rsidRPr="003A7898">
        <w:rPr>
          <w:rFonts w:ascii="Times New Roman" w:hAnsi="Times New Roman" w:cs="Times New Roman"/>
          <w:sz w:val="20"/>
          <w:szCs w:val="20"/>
          <w:lang w:val="en-GB"/>
        </w:rPr>
        <w:t xml:space="preserve">have </w:t>
      </w:r>
      <w:r w:rsidR="00F15C8F" w:rsidRPr="003A7898">
        <w:rPr>
          <w:rFonts w:ascii="Times New Roman" w:hAnsi="Times New Roman" w:cs="Times New Roman"/>
          <w:sz w:val="20"/>
          <w:szCs w:val="20"/>
          <w:lang w:val="en-GB"/>
        </w:rPr>
        <w:t xml:space="preserve">proven to be a </w:t>
      </w:r>
      <w:r w:rsidR="000219FF" w:rsidRPr="003A7898">
        <w:rPr>
          <w:rFonts w:ascii="Times New Roman" w:hAnsi="Times New Roman" w:cs="Times New Roman"/>
          <w:sz w:val="20"/>
          <w:szCs w:val="20"/>
          <w:lang w:val="en-GB"/>
        </w:rPr>
        <w:t>reliable risk mitigation strategy</w:t>
      </w:r>
      <w:r w:rsidR="008F3A3D" w:rsidRPr="003A7898">
        <w:rPr>
          <w:rFonts w:ascii="Times New Roman" w:hAnsi="Times New Roman" w:cs="Times New Roman"/>
          <w:sz w:val="20"/>
          <w:szCs w:val="20"/>
          <w:lang w:val="en-GB"/>
        </w:rPr>
        <w:t xml:space="preserve"> </w:t>
      </w:r>
      <w:r w:rsidR="0063119B" w:rsidRPr="003A7898">
        <w:rPr>
          <w:rFonts w:ascii="Times New Roman" w:hAnsi="Times New Roman" w:cs="Times New Roman"/>
          <w:sz w:val="20"/>
          <w:szCs w:val="20"/>
          <w:lang w:val="en-GB"/>
        </w:rPr>
        <w:t>and</w:t>
      </w:r>
      <w:r w:rsidR="008F3A3D" w:rsidRPr="003A7898">
        <w:rPr>
          <w:rFonts w:ascii="Times New Roman" w:hAnsi="Times New Roman" w:cs="Times New Roman"/>
          <w:sz w:val="20"/>
          <w:szCs w:val="20"/>
          <w:lang w:val="en-GB"/>
        </w:rPr>
        <w:t xml:space="preserve"> a successful vehicle for strengthened national </w:t>
      </w:r>
      <w:r w:rsidR="00C44608" w:rsidRPr="003A7898">
        <w:rPr>
          <w:rFonts w:ascii="Times New Roman" w:hAnsi="Times New Roman" w:cs="Times New Roman"/>
          <w:sz w:val="20"/>
          <w:szCs w:val="20"/>
          <w:lang w:val="en-GB"/>
        </w:rPr>
        <w:t>ownership</w:t>
      </w:r>
      <w:r w:rsidR="000219FF" w:rsidRPr="003A7898">
        <w:rPr>
          <w:rFonts w:ascii="Times New Roman" w:hAnsi="Times New Roman" w:cs="Times New Roman"/>
          <w:sz w:val="20"/>
          <w:szCs w:val="20"/>
          <w:lang w:val="en-GB"/>
        </w:rPr>
        <w:t xml:space="preserve">. </w:t>
      </w:r>
    </w:p>
    <w:p w14:paraId="6091C691" w14:textId="0396EFE7" w:rsidR="00B268C3" w:rsidRPr="003A7898" w:rsidRDefault="007C0CA2" w:rsidP="00591788">
      <w:pPr>
        <w:pStyle w:val="ListParagraph"/>
        <w:numPr>
          <w:ilvl w:val="0"/>
          <w:numId w:val="42"/>
        </w:numPr>
        <w:tabs>
          <w:tab w:val="left" w:pos="1440"/>
        </w:tabs>
        <w:spacing w:after="20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UNDP</w:t>
      </w:r>
      <w:r w:rsidR="0030407D" w:rsidRPr="003A7898">
        <w:rPr>
          <w:rFonts w:ascii="Times New Roman" w:hAnsi="Times New Roman" w:cs="Times New Roman"/>
          <w:sz w:val="20"/>
          <w:szCs w:val="20"/>
          <w:lang w:val="en-GB"/>
        </w:rPr>
        <w:t xml:space="preserve"> will mitigate </w:t>
      </w:r>
      <w:r w:rsidR="0092239C" w:rsidRPr="003A7898">
        <w:rPr>
          <w:rFonts w:ascii="Times New Roman" w:hAnsi="Times New Roman" w:cs="Times New Roman"/>
          <w:sz w:val="20"/>
          <w:szCs w:val="20"/>
          <w:lang w:val="en-GB"/>
        </w:rPr>
        <w:t xml:space="preserve">the risks inherent in the administration of the </w:t>
      </w:r>
      <w:r w:rsidR="00B11CAB">
        <w:rPr>
          <w:rFonts w:ascii="Times New Roman" w:hAnsi="Times New Roman" w:cs="Times New Roman"/>
          <w:sz w:val="20"/>
          <w:szCs w:val="20"/>
          <w:lang w:val="en-GB"/>
        </w:rPr>
        <w:t>p</w:t>
      </w:r>
      <w:r w:rsidR="0092239C" w:rsidRPr="003A7898">
        <w:rPr>
          <w:rFonts w:ascii="Times New Roman" w:hAnsi="Times New Roman" w:cs="Times New Roman"/>
          <w:sz w:val="20"/>
          <w:szCs w:val="20"/>
          <w:lang w:val="en-GB"/>
        </w:rPr>
        <w:t>rogramme through</w:t>
      </w:r>
      <w:r w:rsidR="0030407D" w:rsidRPr="003A7898">
        <w:rPr>
          <w:rFonts w:ascii="Times New Roman" w:hAnsi="Times New Roman" w:cs="Times New Roman"/>
          <w:sz w:val="20"/>
          <w:szCs w:val="20"/>
          <w:lang w:val="en-GB"/>
        </w:rPr>
        <w:t xml:space="preserve"> regular monitoring and scenario-based analysis by making the necessary adjustments if the situation deteriorates</w:t>
      </w:r>
      <w:r w:rsidR="009E2F1C" w:rsidRPr="003A7898">
        <w:rPr>
          <w:rFonts w:ascii="Times New Roman" w:hAnsi="Times New Roman" w:cs="Times New Roman"/>
          <w:sz w:val="20"/>
          <w:szCs w:val="20"/>
          <w:lang w:val="en-GB"/>
        </w:rPr>
        <w:t>.</w:t>
      </w:r>
      <w:r w:rsidR="0030407D" w:rsidRPr="003A7898">
        <w:rPr>
          <w:rFonts w:ascii="Times New Roman" w:hAnsi="Times New Roman" w:cs="Times New Roman"/>
          <w:sz w:val="20"/>
          <w:szCs w:val="20"/>
          <w:lang w:val="en-GB"/>
        </w:rPr>
        <w:t xml:space="preserve"> </w:t>
      </w:r>
    </w:p>
    <w:p w14:paraId="2718C39E" w14:textId="35014F3B" w:rsidR="005B32A8" w:rsidRPr="00591788" w:rsidRDefault="00591788" w:rsidP="00A16113">
      <w:pPr>
        <w:pStyle w:val="Heading2"/>
        <w:spacing w:before="200" w:after="200" w:line="240" w:lineRule="exact"/>
        <w:ind w:left="1080" w:right="612" w:hanging="450"/>
        <w:jc w:val="both"/>
        <w:rPr>
          <w:rFonts w:ascii="Times New Roman" w:hAnsi="Times New Roman"/>
          <w:color w:val="000000"/>
          <w:sz w:val="24"/>
          <w:szCs w:val="24"/>
          <w:lang w:val="en-GB"/>
        </w:rPr>
      </w:pPr>
      <w:r w:rsidRPr="00A16113">
        <w:rPr>
          <w:rFonts w:ascii="Times New Roman" w:hAnsi="Times New Roman"/>
          <w:bCs/>
          <w:color w:val="000000"/>
          <w:sz w:val="24"/>
          <w:szCs w:val="24"/>
          <w:lang w:val="en-GB"/>
        </w:rPr>
        <w:lastRenderedPageBreak/>
        <w:t>IV.</w:t>
      </w:r>
      <w:r w:rsidRPr="00A16113">
        <w:rPr>
          <w:rFonts w:ascii="Times New Roman" w:hAnsi="Times New Roman"/>
          <w:bCs/>
          <w:color w:val="000000"/>
          <w:sz w:val="24"/>
          <w:szCs w:val="24"/>
          <w:lang w:val="en-GB"/>
        </w:rPr>
        <w:tab/>
      </w:r>
      <w:r w:rsidR="002B4DF8" w:rsidRPr="00591788">
        <w:rPr>
          <w:rFonts w:ascii="Times New Roman" w:hAnsi="Times New Roman"/>
          <w:color w:val="000000"/>
          <w:sz w:val="24"/>
          <w:szCs w:val="24"/>
          <w:lang w:val="en-GB"/>
        </w:rPr>
        <w:t xml:space="preserve">Monitoring and </w:t>
      </w:r>
      <w:r w:rsidRPr="00591788">
        <w:rPr>
          <w:rFonts w:ascii="Times New Roman" w:hAnsi="Times New Roman"/>
          <w:color w:val="000000"/>
          <w:sz w:val="24"/>
          <w:szCs w:val="24"/>
          <w:lang w:val="en-GB"/>
        </w:rPr>
        <w:t>e</w:t>
      </w:r>
      <w:r w:rsidR="002B4DF8" w:rsidRPr="00591788">
        <w:rPr>
          <w:rFonts w:ascii="Times New Roman" w:hAnsi="Times New Roman"/>
          <w:color w:val="000000"/>
          <w:sz w:val="24"/>
          <w:szCs w:val="24"/>
          <w:lang w:val="en-GB"/>
        </w:rPr>
        <w:t xml:space="preserve">valuation </w:t>
      </w:r>
    </w:p>
    <w:p w14:paraId="5269F16A" w14:textId="52D51F95" w:rsidR="005B75F1" w:rsidRPr="003A7898" w:rsidRDefault="003D2BA0" w:rsidP="00A16113">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Based on the recommendations of the </w:t>
      </w:r>
      <w:r w:rsidR="00B11CAB">
        <w:rPr>
          <w:rFonts w:ascii="Times New Roman" w:hAnsi="Times New Roman" w:cs="Times New Roman"/>
          <w:sz w:val="20"/>
          <w:szCs w:val="20"/>
          <w:lang w:val="en-GB"/>
        </w:rPr>
        <w:t>evaluation</w:t>
      </w:r>
      <w:r w:rsidR="00B11CAB" w:rsidRPr="003A7898">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 xml:space="preserve">of the </w:t>
      </w:r>
      <w:r w:rsidR="00B11CAB">
        <w:rPr>
          <w:rFonts w:ascii="Times New Roman" w:hAnsi="Times New Roman" w:cs="Times New Roman"/>
          <w:sz w:val="20"/>
          <w:szCs w:val="20"/>
          <w:lang w:val="en-GB"/>
        </w:rPr>
        <w:t>previous p</w:t>
      </w:r>
      <w:r w:rsidR="007C0CA2"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the monitoring system for the implementation and evaluation of the </w:t>
      </w:r>
      <w:r w:rsidR="00B11CAB">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Pr="003A7898">
        <w:rPr>
          <w:rFonts w:ascii="Times New Roman" w:hAnsi="Times New Roman" w:cs="Times New Roman"/>
          <w:sz w:val="20"/>
          <w:szCs w:val="20"/>
          <w:lang w:val="en-GB"/>
        </w:rPr>
        <w:t xml:space="preserve"> will focus on results at the </w:t>
      </w:r>
      <w:r w:rsidR="009F7155" w:rsidRPr="003A7898">
        <w:rPr>
          <w:rFonts w:ascii="Times New Roman" w:hAnsi="Times New Roman" w:cs="Times New Roman"/>
          <w:sz w:val="20"/>
          <w:szCs w:val="20"/>
          <w:lang w:val="en-GB"/>
        </w:rPr>
        <w:t xml:space="preserve">outcome and </w:t>
      </w:r>
      <w:r w:rsidRPr="003A7898">
        <w:rPr>
          <w:rFonts w:ascii="Times New Roman" w:hAnsi="Times New Roman" w:cs="Times New Roman"/>
          <w:sz w:val="20"/>
          <w:szCs w:val="20"/>
          <w:lang w:val="en-GB"/>
        </w:rPr>
        <w:t>output level</w:t>
      </w:r>
      <w:r w:rsidR="009F7155" w:rsidRPr="003A7898">
        <w:rPr>
          <w:rFonts w:ascii="Times New Roman" w:hAnsi="Times New Roman" w:cs="Times New Roman"/>
          <w:sz w:val="20"/>
          <w:szCs w:val="20"/>
          <w:lang w:val="en-GB"/>
        </w:rPr>
        <w:t>s</w:t>
      </w:r>
      <w:r w:rsidRPr="003A7898">
        <w:rPr>
          <w:rFonts w:ascii="Times New Roman" w:hAnsi="Times New Roman" w:cs="Times New Roman"/>
          <w:sz w:val="20"/>
          <w:szCs w:val="20"/>
          <w:lang w:val="en-GB"/>
        </w:rPr>
        <w:t xml:space="preserve">. </w:t>
      </w:r>
      <w:r w:rsidR="00243CB6" w:rsidRPr="003A7898">
        <w:rPr>
          <w:rFonts w:ascii="Times New Roman" w:hAnsi="Times New Roman" w:cs="Times New Roman"/>
          <w:sz w:val="20"/>
          <w:szCs w:val="20"/>
          <w:lang w:val="en-GB"/>
        </w:rPr>
        <w:t xml:space="preserve">This will enable </w:t>
      </w:r>
      <w:r w:rsidR="00B11CAB">
        <w:rPr>
          <w:rFonts w:ascii="Times New Roman" w:hAnsi="Times New Roman" w:cs="Times New Roman"/>
          <w:sz w:val="20"/>
          <w:szCs w:val="20"/>
          <w:lang w:val="en-GB"/>
        </w:rPr>
        <w:t>UNDP</w:t>
      </w:r>
      <w:r w:rsidR="00243CB6" w:rsidRPr="003A7898">
        <w:rPr>
          <w:rFonts w:ascii="Times New Roman" w:hAnsi="Times New Roman" w:cs="Times New Roman"/>
          <w:sz w:val="20"/>
          <w:szCs w:val="20"/>
          <w:lang w:val="en-GB"/>
        </w:rPr>
        <w:t xml:space="preserve"> to strengthen its capacity to </w:t>
      </w:r>
      <w:r w:rsidR="00F31198" w:rsidRPr="003A7898">
        <w:rPr>
          <w:rFonts w:ascii="Times New Roman" w:hAnsi="Times New Roman" w:cs="Times New Roman"/>
          <w:sz w:val="20"/>
          <w:szCs w:val="20"/>
          <w:lang w:val="en-GB"/>
        </w:rPr>
        <w:t>analy</w:t>
      </w:r>
      <w:r w:rsidR="00836E04">
        <w:rPr>
          <w:rFonts w:ascii="Times New Roman" w:hAnsi="Times New Roman" w:cs="Times New Roman"/>
          <w:sz w:val="20"/>
          <w:szCs w:val="20"/>
          <w:lang w:val="en-GB"/>
        </w:rPr>
        <w:t>s</w:t>
      </w:r>
      <w:r w:rsidR="00F31198" w:rsidRPr="003A7898">
        <w:rPr>
          <w:rFonts w:ascii="Times New Roman" w:hAnsi="Times New Roman" w:cs="Times New Roman"/>
          <w:sz w:val="20"/>
          <w:szCs w:val="20"/>
          <w:lang w:val="en-GB"/>
        </w:rPr>
        <w:t xml:space="preserve">e </w:t>
      </w:r>
      <w:r w:rsidR="00243CB6" w:rsidRPr="003A7898">
        <w:rPr>
          <w:rFonts w:ascii="Times New Roman" w:hAnsi="Times New Roman" w:cs="Times New Roman"/>
          <w:sz w:val="20"/>
          <w:szCs w:val="20"/>
          <w:lang w:val="en-GB"/>
        </w:rPr>
        <w:t xml:space="preserve">the impact of its interventions on </w:t>
      </w:r>
      <w:r w:rsidR="008A4118" w:rsidRPr="003A7898">
        <w:rPr>
          <w:rFonts w:ascii="Times New Roman" w:hAnsi="Times New Roman" w:cs="Times New Roman"/>
          <w:sz w:val="20"/>
          <w:szCs w:val="20"/>
          <w:lang w:val="en-GB"/>
        </w:rPr>
        <w:t xml:space="preserve">the UNSDCF </w:t>
      </w:r>
      <w:r w:rsidR="00243CB6" w:rsidRPr="003A7898">
        <w:rPr>
          <w:rFonts w:ascii="Times New Roman" w:hAnsi="Times New Roman" w:cs="Times New Roman"/>
          <w:sz w:val="20"/>
          <w:szCs w:val="20"/>
          <w:lang w:val="en-GB"/>
        </w:rPr>
        <w:t xml:space="preserve">outcomes </w:t>
      </w:r>
      <w:r w:rsidR="00A82B91" w:rsidRPr="003A7898">
        <w:rPr>
          <w:rFonts w:ascii="Times New Roman" w:hAnsi="Times New Roman" w:cs="Times New Roman"/>
          <w:sz w:val="20"/>
          <w:szCs w:val="20"/>
          <w:lang w:val="en-GB"/>
        </w:rPr>
        <w:t>and national priorities to which it is aligned</w:t>
      </w:r>
      <w:r w:rsidR="007B61F2" w:rsidRPr="003A7898">
        <w:rPr>
          <w:rFonts w:ascii="Times New Roman" w:hAnsi="Times New Roman" w:cs="Times New Roman"/>
          <w:sz w:val="20"/>
          <w:szCs w:val="20"/>
          <w:lang w:val="en-GB"/>
        </w:rPr>
        <w:t>, especially considering the limited national statistical capacities in the country.</w:t>
      </w:r>
    </w:p>
    <w:p w14:paraId="7AF505BB" w14:textId="48D9209A" w:rsidR="0011085C" w:rsidRPr="003A7898" w:rsidRDefault="008A4118" w:rsidP="00A16113">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UNDP</w:t>
      </w:r>
      <w:r w:rsidR="004802BB" w:rsidRPr="003A7898">
        <w:rPr>
          <w:rFonts w:ascii="Times New Roman" w:hAnsi="Times New Roman" w:cs="Times New Roman"/>
          <w:sz w:val="20"/>
          <w:szCs w:val="20"/>
          <w:lang w:val="en-GB"/>
        </w:rPr>
        <w:t xml:space="preserve"> will invest resources in </w:t>
      </w:r>
      <w:r w:rsidR="006649B4" w:rsidRPr="003A7898">
        <w:rPr>
          <w:rFonts w:ascii="Times New Roman" w:hAnsi="Times New Roman" w:cs="Times New Roman"/>
          <w:sz w:val="20"/>
          <w:szCs w:val="20"/>
          <w:lang w:val="en-GB"/>
        </w:rPr>
        <w:t>developing</w:t>
      </w:r>
      <w:r w:rsidR="004802BB" w:rsidRPr="003A7898">
        <w:rPr>
          <w:rFonts w:ascii="Times New Roman" w:hAnsi="Times New Roman" w:cs="Times New Roman"/>
          <w:sz w:val="20"/>
          <w:szCs w:val="20"/>
          <w:lang w:val="en-GB"/>
        </w:rPr>
        <w:t xml:space="preserve"> a dynamic gender-sensitive monitoring and evaluation system that </w:t>
      </w:r>
      <w:r w:rsidR="009544E6" w:rsidRPr="003A7898">
        <w:rPr>
          <w:rFonts w:ascii="Times New Roman" w:hAnsi="Times New Roman" w:cs="Times New Roman"/>
          <w:sz w:val="20"/>
          <w:szCs w:val="20"/>
          <w:lang w:val="en-GB"/>
        </w:rPr>
        <w:t xml:space="preserve">supports national </w:t>
      </w:r>
      <w:r w:rsidR="007B61F2" w:rsidRPr="003A7898">
        <w:rPr>
          <w:rFonts w:ascii="Times New Roman" w:hAnsi="Times New Roman" w:cs="Times New Roman"/>
          <w:sz w:val="20"/>
          <w:szCs w:val="20"/>
          <w:lang w:val="en-GB"/>
        </w:rPr>
        <w:t xml:space="preserve">statistical </w:t>
      </w:r>
      <w:r w:rsidR="009544E6" w:rsidRPr="003A7898">
        <w:rPr>
          <w:rFonts w:ascii="Times New Roman" w:hAnsi="Times New Roman" w:cs="Times New Roman"/>
          <w:sz w:val="20"/>
          <w:szCs w:val="20"/>
          <w:lang w:val="en-GB"/>
        </w:rPr>
        <w:t xml:space="preserve">efforts and </w:t>
      </w:r>
      <w:r w:rsidR="004802BB" w:rsidRPr="003A7898">
        <w:rPr>
          <w:rFonts w:ascii="Times New Roman" w:hAnsi="Times New Roman" w:cs="Times New Roman"/>
          <w:sz w:val="20"/>
          <w:szCs w:val="20"/>
          <w:lang w:val="en-GB"/>
        </w:rPr>
        <w:t>integrates learning</w:t>
      </w:r>
      <w:r w:rsidR="00B11CAB">
        <w:rPr>
          <w:rFonts w:ascii="Times New Roman" w:hAnsi="Times New Roman" w:cs="Times New Roman"/>
          <w:sz w:val="20"/>
          <w:szCs w:val="20"/>
          <w:lang w:val="en-GB"/>
        </w:rPr>
        <w:t xml:space="preserve"> and</w:t>
      </w:r>
      <w:r w:rsidR="004802BB" w:rsidRPr="003A7898">
        <w:rPr>
          <w:rFonts w:ascii="Times New Roman" w:hAnsi="Times New Roman" w:cs="Times New Roman"/>
          <w:sz w:val="20"/>
          <w:szCs w:val="20"/>
          <w:lang w:val="en-GB"/>
        </w:rPr>
        <w:t xml:space="preserve"> uses new information technologies, including </w:t>
      </w:r>
      <w:r w:rsidR="00F31198" w:rsidRPr="003A7898">
        <w:rPr>
          <w:rFonts w:ascii="Times New Roman" w:hAnsi="Times New Roman" w:cs="Times New Roman"/>
          <w:sz w:val="20"/>
          <w:szCs w:val="20"/>
          <w:lang w:val="en-GB"/>
        </w:rPr>
        <w:t>digitalization</w:t>
      </w:r>
      <w:r w:rsidR="004802BB" w:rsidRPr="003A7898">
        <w:rPr>
          <w:rFonts w:ascii="Times New Roman" w:hAnsi="Times New Roman" w:cs="Times New Roman"/>
          <w:sz w:val="20"/>
          <w:szCs w:val="20"/>
          <w:lang w:val="en-GB"/>
        </w:rPr>
        <w:t>, to document the impact of its action on change actors disaggregated by age, gender, vulnerability and geographical location.</w:t>
      </w:r>
      <w:r w:rsidR="0011085C" w:rsidRPr="003A7898">
        <w:rPr>
          <w:rFonts w:ascii="Times New Roman" w:hAnsi="Times New Roman" w:cs="Times New Roman"/>
          <w:sz w:val="20"/>
          <w:szCs w:val="20"/>
          <w:lang w:val="en-GB"/>
        </w:rPr>
        <w:t xml:space="preserve"> </w:t>
      </w:r>
      <w:r w:rsidR="006F4654">
        <w:rPr>
          <w:rFonts w:ascii="Times New Roman" w:hAnsi="Times New Roman" w:cs="Times New Roman"/>
          <w:sz w:val="20"/>
          <w:szCs w:val="20"/>
          <w:lang w:val="en-GB"/>
        </w:rPr>
        <w:t xml:space="preserve">The </w:t>
      </w:r>
      <w:r w:rsidR="003B4AEB" w:rsidRPr="003A7898">
        <w:rPr>
          <w:rFonts w:ascii="Times New Roman" w:hAnsi="Times New Roman" w:cs="Times New Roman"/>
          <w:sz w:val="20"/>
          <w:szCs w:val="20"/>
          <w:lang w:val="en-GB"/>
        </w:rPr>
        <w:t>UNDP</w:t>
      </w:r>
      <w:r w:rsidR="0011085C" w:rsidRPr="003A7898">
        <w:rPr>
          <w:rFonts w:ascii="Times New Roman" w:hAnsi="Times New Roman" w:cs="Times New Roman"/>
          <w:sz w:val="20"/>
          <w:szCs w:val="20"/>
          <w:lang w:val="en-GB"/>
        </w:rPr>
        <w:t xml:space="preserve"> gender marker will track gender gaps and ensure that at least </w:t>
      </w:r>
      <w:r w:rsidR="0028348B" w:rsidRPr="003A7898">
        <w:rPr>
          <w:rFonts w:ascii="Times New Roman" w:hAnsi="Times New Roman" w:cs="Times New Roman"/>
          <w:sz w:val="20"/>
          <w:szCs w:val="20"/>
          <w:lang w:val="en-GB"/>
        </w:rPr>
        <w:t>70 per</w:t>
      </w:r>
      <w:r w:rsidR="00085930" w:rsidRPr="003A7898">
        <w:rPr>
          <w:rFonts w:ascii="Times New Roman" w:hAnsi="Times New Roman" w:cs="Times New Roman"/>
          <w:sz w:val="20"/>
          <w:szCs w:val="20"/>
          <w:lang w:val="en-GB"/>
        </w:rPr>
        <w:t xml:space="preserve"> </w:t>
      </w:r>
      <w:r w:rsidR="0028348B" w:rsidRPr="003A7898">
        <w:rPr>
          <w:rFonts w:ascii="Times New Roman" w:hAnsi="Times New Roman" w:cs="Times New Roman"/>
          <w:sz w:val="20"/>
          <w:szCs w:val="20"/>
          <w:lang w:val="en-GB"/>
        </w:rPr>
        <w:t>cent</w:t>
      </w:r>
      <w:r w:rsidR="0011085C" w:rsidRPr="003A7898">
        <w:rPr>
          <w:rFonts w:ascii="Times New Roman" w:hAnsi="Times New Roman" w:cs="Times New Roman"/>
          <w:sz w:val="20"/>
          <w:szCs w:val="20"/>
          <w:lang w:val="en-GB"/>
        </w:rPr>
        <w:t xml:space="preserve"> of total </w:t>
      </w:r>
      <w:r w:rsidR="006F4654">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0011085C" w:rsidRPr="003A7898">
        <w:rPr>
          <w:rFonts w:ascii="Times New Roman" w:hAnsi="Times New Roman" w:cs="Times New Roman"/>
          <w:sz w:val="20"/>
          <w:szCs w:val="20"/>
          <w:lang w:val="en-GB"/>
        </w:rPr>
        <w:t xml:space="preserve"> expenditure is in line with the gender equality strategy. </w:t>
      </w:r>
    </w:p>
    <w:p w14:paraId="3951216F" w14:textId="44AAD82F" w:rsidR="007555AD" w:rsidRPr="003A7898" w:rsidRDefault="00243CB6" w:rsidP="00A16113">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The monitoring and evaluation system will identify the follow-up actions need</w:t>
      </w:r>
      <w:r w:rsidR="006F4654">
        <w:rPr>
          <w:rFonts w:ascii="Times New Roman" w:hAnsi="Times New Roman" w:cs="Times New Roman"/>
          <w:sz w:val="20"/>
          <w:szCs w:val="20"/>
          <w:lang w:val="en-GB"/>
        </w:rPr>
        <w:t>ed</w:t>
      </w:r>
      <w:r w:rsidRPr="003A7898">
        <w:rPr>
          <w:rFonts w:ascii="Times New Roman" w:hAnsi="Times New Roman" w:cs="Times New Roman"/>
          <w:sz w:val="20"/>
          <w:szCs w:val="20"/>
          <w:lang w:val="en-GB"/>
        </w:rPr>
        <w:t xml:space="preserve"> </w:t>
      </w:r>
      <w:r w:rsidR="002E7692" w:rsidRPr="003A7898">
        <w:rPr>
          <w:rFonts w:ascii="Times New Roman" w:hAnsi="Times New Roman" w:cs="Times New Roman"/>
          <w:sz w:val="20"/>
          <w:szCs w:val="20"/>
          <w:lang w:val="en-GB"/>
        </w:rPr>
        <w:t>to support</w:t>
      </w:r>
      <w:r w:rsidRPr="003A7898">
        <w:rPr>
          <w:rFonts w:ascii="Times New Roman" w:hAnsi="Times New Roman" w:cs="Times New Roman"/>
          <w:sz w:val="20"/>
          <w:szCs w:val="20"/>
          <w:lang w:val="en-GB"/>
        </w:rPr>
        <w:t xml:space="preserve"> Haiti </w:t>
      </w:r>
      <w:r w:rsidR="00DC2762">
        <w:rPr>
          <w:rFonts w:ascii="Times New Roman" w:hAnsi="Times New Roman" w:cs="Times New Roman"/>
          <w:sz w:val="20"/>
          <w:szCs w:val="20"/>
          <w:lang w:val="en-GB"/>
        </w:rPr>
        <w:t xml:space="preserve">and </w:t>
      </w:r>
      <w:r w:rsidR="001218BD">
        <w:rPr>
          <w:rFonts w:ascii="Times New Roman" w:hAnsi="Times New Roman" w:cs="Times New Roman"/>
          <w:sz w:val="20"/>
          <w:szCs w:val="20"/>
          <w:lang w:val="en-GB"/>
        </w:rPr>
        <w:t>its</w:t>
      </w:r>
      <w:r w:rsidR="00DC2762">
        <w:rPr>
          <w:rFonts w:ascii="Times New Roman" w:hAnsi="Times New Roman" w:cs="Times New Roman"/>
          <w:sz w:val="20"/>
          <w:szCs w:val="20"/>
          <w:lang w:val="en-GB"/>
        </w:rPr>
        <w:t xml:space="preserve"> </w:t>
      </w:r>
      <w:r w:rsidR="00DC2762" w:rsidRPr="003A7898">
        <w:rPr>
          <w:rFonts w:ascii="Times New Roman" w:hAnsi="Times New Roman" w:cs="Times New Roman"/>
          <w:sz w:val="20"/>
          <w:szCs w:val="20"/>
          <w:lang w:val="en-GB"/>
        </w:rPr>
        <w:t>national monitoring systems</w:t>
      </w:r>
      <w:r w:rsidR="00DC2762">
        <w:rPr>
          <w:rFonts w:ascii="Times New Roman" w:hAnsi="Times New Roman" w:cs="Times New Roman"/>
          <w:sz w:val="20"/>
          <w:szCs w:val="20"/>
          <w:lang w:val="en-GB"/>
        </w:rPr>
        <w:t xml:space="preserve"> </w:t>
      </w:r>
      <w:r w:rsidR="00166C2A">
        <w:rPr>
          <w:rFonts w:ascii="Times New Roman" w:hAnsi="Times New Roman" w:cs="Times New Roman"/>
          <w:sz w:val="20"/>
          <w:szCs w:val="20"/>
          <w:lang w:val="en-GB"/>
        </w:rPr>
        <w:t>in be</w:t>
      </w:r>
      <w:r w:rsidR="003372DB">
        <w:rPr>
          <w:rFonts w:ascii="Times New Roman" w:hAnsi="Times New Roman" w:cs="Times New Roman"/>
          <w:sz w:val="20"/>
          <w:szCs w:val="20"/>
          <w:lang w:val="en-GB"/>
        </w:rPr>
        <w:t>ing</w:t>
      </w:r>
      <w:r w:rsidR="00166C2A">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 xml:space="preserve">back on track </w:t>
      </w:r>
      <w:r w:rsidR="0028348B" w:rsidRPr="003A7898">
        <w:rPr>
          <w:rFonts w:ascii="Times New Roman" w:hAnsi="Times New Roman" w:cs="Times New Roman"/>
          <w:sz w:val="20"/>
          <w:szCs w:val="20"/>
          <w:lang w:val="en-GB"/>
        </w:rPr>
        <w:t>with the</w:t>
      </w:r>
      <w:r w:rsidR="00407221" w:rsidRPr="003A7898">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 xml:space="preserve">Sustainable </w:t>
      </w:r>
      <w:r w:rsidR="00471227" w:rsidRPr="003A7898">
        <w:rPr>
          <w:rFonts w:ascii="Times New Roman" w:hAnsi="Times New Roman" w:cs="Times New Roman"/>
          <w:sz w:val="20"/>
          <w:szCs w:val="20"/>
          <w:lang w:val="en-GB"/>
        </w:rPr>
        <w:t>Development Goals</w:t>
      </w:r>
      <w:r w:rsidRPr="003A7898">
        <w:rPr>
          <w:rFonts w:ascii="Times New Roman" w:hAnsi="Times New Roman" w:cs="Times New Roman"/>
          <w:sz w:val="20"/>
          <w:szCs w:val="20"/>
          <w:lang w:val="en-GB"/>
        </w:rPr>
        <w:t>.</w:t>
      </w:r>
      <w:r w:rsidR="007555AD" w:rsidRPr="003A7898">
        <w:rPr>
          <w:rFonts w:ascii="Times New Roman" w:hAnsi="Times New Roman" w:cs="Times New Roman"/>
          <w:sz w:val="20"/>
          <w:szCs w:val="20"/>
          <w:lang w:val="en-GB"/>
        </w:rPr>
        <w:t xml:space="preserve"> </w:t>
      </w:r>
      <w:r w:rsidR="00063026" w:rsidRPr="003A7898">
        <w:rPr>
          <w:rFonts w:ascii="Times New Roman" w:hAnsi="Times New Roman" w:cs="Times New Roman"/>
          <w:sz w:val="20"/>
          <w:szCs w:val="20"/>
          <w:lang w:val="en-GB"/>
        </w:rPr>
        <w:t xml:space="preserve">To cover monitoring, evaluation and communication costs, UNDP will allocate at least 3 per cent of </w:t>
      </w:r>
      <w:r w:rsidR="00E15040">
        <w:rPr>
          <w:rFonts w:ascii="Times New Roman" w:hAnsi="Times New Roman" w:cs="Times New Roman"/>
          <w:sz w:val="20"/>
          <w:szCs w:val="20"/>
          <w:lang w:val="en-GB"/>
        </w:rPr>
        <w:t xml:space="preserve">project </w:t>
      </w:r>
      <w:r w:rsidR="00063026" w:rsidRPr="003A7898">
        <w:rPr>
          <w:rFonts w:ascii="Times New Roman" w:hAnsi="Times New Roman" w:cs="Times New Roman"/>
          <w:sz w:val="20"/>
          <w:szCs w:val="20"/>
          <w:lang w:val="en-GB"/>
        </w:rPr>
        <w:t>budget</w:t>
      </w:r>
      <w:r w:rsidR="00E15040">
        <w:rPr>
          <w:rFonts w:ascii="Times New Roman" w:hAnsi="Times New Roman" w:cs="Times New Roman"/>
          <w:sz w:val="20"/>
          <w:szCs w:val="20"/>
          <w:lang w:val="en-GB"/>
        </w:rPr>
        <w:t>s</w:t>
      </w:r>
      <w:r w:rsidR="00E15040" w:rsidRPr="00E15040">
        <w:rPr>
          <w:rFonts w:ascii="Times New Roman" w:hAnsi="Times New Roman" w:cs="Times New Roman"/>
          <w:sz w:val="20"/>
          <w:szCs w:val="20"/>
          <w:lang w:val="en-GB"/>
        </w:rPr>
        <w:t xml:space="preserve"> to cover monitoring, evaluation and communication costs</w:t>
      </w:r>
      <w:r w:rsidR="007555AD" w:rsidRPr="003A7898">
        <w:rPr>
          <w:rFonts w:ascii="Times New Roman" w:hAnsi="Times New Roman" w:cs="Times New Roman"/>
          <w:sz w:val="20"/>
          <w:szCs w:val="20"/>
          <w:lang w:val="en-GB"/>
        </w:rPr>
        <w:t xml:space="preserve">. </w:t>
      </w:r>
      <w:r w:rsidR="00202FB3">
        <w:rPr>
          <w:rFonts w:ascii="Times New Roman" w:hAnsi="Times New Roman" w:cs="Times New Roman"/>
          <w:sz w:val="20"/>
          <w:szCs w:val="20"/>
          <w:lang w:val="en-GB"/>
        </w:rPr>
        <w:t xml:space="preserve">UNDP will implement a </w:t>
      </w:r>
      <w:r w:rsidR="007555AD" w:rsidRPr="003A7898">
        <w:rPr>
          <w:rFonts w:ascii="Times New Roman" w:hAnsi="Times New Roman" w:cs="Times New Roman"/>
          <w:sz w:val="20"/>
          <w:szCs w:val="20"/>
          <w:lang w:val="en-GB"/>
        </w:rPr>
        <w:t>balanced evaluation plan to ensure learning and accountability in agreement with the Government</w:t>
      </w:r>
      <w:r w:rsidR="00B10678">
        <w:rPr>
          <w:rFonts w:ascii="Times New Roman" w:hAnsi="Times New Roman" w:cs="Times New Roman"/>
          <w:sz w:val="20"/>
          <w:szCs w:val="20"/>
          <w:lang w:val="en-GB"/>
        </w:rPr>
        <w:t xml:space="preserve"> and</w:t>
      </w:r>
      <w:r w:rsidR="0072773C">
        <w:rPr>
          <w:rFonts w:ascii="Times New Roman" w:hAnsi="Times New Roman" w:cs="Times New Roman"/>
          <w:sz w:val="20"/>
          <w:szCs w:val="20"/>
          <w:lang w:val="en-GB"/>
        </w:rPr>
        <w:t xml:space="preserve"> </w:t>
      </w:r>
      <w:r w:rsidR="007555AD" w:rsidRPr="003A7898">
        <w:rPr>
          <w:rFonts w:ascii="Times New Roman" w:hAnsi="Times New Roman" w:cs="Times New Roman"/>
          <w:sz w:val="20"/>
          <w:szCs w:val="20"/>
          <w:lang w:val="en-GB"/>
        </w:rPr>
        <w:t xml:space="preserve">in line with the UNDP evaluation policy and the </w:t>
      </w:r>
      <w:r w:rsidR="009E76E4">
        <w:rPr>
          <w:rFonts w:ascii="Times New Roman" w:hAnsi="Times New Roman" w:cs="Times New Roman"/>
          <w:sz w:val="20"/>
          <w:szCs w:val="20"/>
          <w:lang w:val="en-GB"/>
        </w:rPr>
        <w:t>United Nations Evaluation Group guidelines</w:t>
      </w:r>
      <w:r w:rsidR="007555AD" w:rsidRPr="003A7898">
        <w:rPr>
          <w:rFonts w:ascii="Times New Roman" w:hAnsi="Times New Roman" w:cs="Times New Roman"/>
          <w:sz w:val="20"/>
          <w:szCs w:val="20"/>
          <w:lang w:val="en-GB"/>
        </w:rPr>
        <w:t>.</w:t>
      </w:r>
    </w:p>
    <w:p w14:paraId="10FC8496" w14:textId="02FE2669" w:rsidR="00711807" w:rsidRPr="003A7898" w:rsidRDefault="004277D6" w:rsidP="00A16113">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UNDP </w:t>
      </w:r>
      <w:r w:rsidR="009A0E4D" w:rsidRPr="003A7898">
        <w:rPr>
          <w:rFonts w:ascii="Times New Roman" w:hAnsi="Times New Roman" w:cs="Times New Roman"/>
          <w:sz w:val="20"/>
          <w:szCs w:val="20"/>
          <w:lang w:val="en-GB"/>
        </w:rPr>
        <w:t xml:space="preserve">will </w:t>
      </w:r>
      <w:r w:rsidRPr="003A7898">
        <w:rPr>
          <w:rFonts w:ascii="Times New Roman" w:hAnsi="Times New Roman" w:cs="Times New Roman"/>
          <w:sz w:val="20"/>
          <w:szCs w:val="20"/>
          <w:lang w:val="en-GB"/>
        </w:rPr>
        <w:t>support</w:t>
      </w:r>
      <w:r w:rsidR="00C649D8" w:rsidRPr="003A7898">
        <w:rPr>
          <w:rFonts w:ascii="Times New Roman" w:hAnsi="Times New Roman" w:cs="Times New Roman"/>
          <w:sz w:val="20"/>
          <w:szCs w:val="20"/>
          <w:lang w:val="en-GB"/>
        </w:rPr>
        <w:t xml:space="preserve"> </w:t>
      </w:r>
      <w:r w:rsidR="0028348B" w:rsidRPr="003A7898">
        <w:rPr>
          <w:rFonts w:ascii="Times New Roman" w:hAnsi="Times New Roman" w:cs="Times New Roman"/>
          <w:sz w:val="20"/>
          <w:szCs w:val="20"/>
          <w:lang w:val="en-GB"/>
        </w:rPr>
        <w:t>the Resident</w:t>
      </w:r>
      <w:r w:rsidR="00C649D8" w:rsidRPr="003A7898">
        <w:rPr>
          <w:rFonts w:ascii="Times New Roman" w:hAnsi="Times New Roman" w:cs="Times New Roman"/>
          <w:sz w:val="20"/>
          <w:szCs w:val="20"/>
          <w:lang w:val="en-GB"/>
        </w:rPr>
        <w:t xml:space="preserve"> Coordinat</w:t>
      </w:r>
      <w:r w:rsidR="0028348B" w:rsidRPr="003A7898">
        <w:rPr>
          <w:rFonts w:ascii="Times New Roman" w:hAnsi="Times New Roman" w:cs="Times New Roman"/>
          <w:sz w:val="20"/>
          <w:szCs w:val="20"/>
          <w:lang w:val="en-GB"/>
        </w:rPr>
        <w:t>or</w:t>
      </w:r>
      <w:r w:rsidR="00C649D8" w:rsidRPr="003A7898">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 xml:space="preserve">in </w:t>
      </w:r>
      <w:r w:rsidR="006F4654">
        <w:rPr>
          <w:rFonts w:ascii="Times New Roman" w:hAnsi="Times New Roman" w:cs="Times New Roman"/>
          <w:sz w:val="20"/>
          <w:szCs w:val="20"/>
          <w:lang w:val="en-GB"/>
        </w:rPr>
        <w:t xml:space="preserve">strengthening </w:t>
      </w:r>
      <w:r w:rsidRPr="003A7898">
        <w:rPr>
          <w:rFonts w:ascii="Times New Roman" w:hAnsi="Times New Roman" w:cs="Times New Roman"/>
          <w:sz w:val="20"/>
          <w:szCs w:val="20"/>
          <w:lang w:val="en-GB"/>
        </w:rPr>
        <w:t>the</w:t>
      </w:r>
      <w:r w:rsidR="00C649D8" w:rsidRPr="003A7898">
        <w:rPr>
          <w:rFonts w:ascii="Times New Roman" w:hAnsi="Times New Roman" w:cs="Times New Roman"/>
          <w:sz w:val="20"/>
          <w:szCs w:val="20"/>
          <w:lang w:val="en-GB"/>
        </w:rPr>
        <w:t xml:space="preserve"> integrated monitoring and evaluation </w:t>
      </w:r>
      <w:r w:rsidR="000E3130" w:rsidRPr="003A7898">
        <w:rPr>
          <w:rFonts w:ascii="Times New Roman" w:hAnsi="Times New Roman" w:cs="Times New Roman"/>
          <w:sz w:val="20"/>
          <w:szCs w:val="20"/>
          <w:lang w:val="en-GB"/>
        </w:rPr>
        <w:t>capacity</w:t>
      </w:r>
      <w:r w:rsidR="00D5255B" w:rsidRPr="003A7898">
        <w:rPr>
          <w:rFonts w:ascii="Times New Roman" w:hAnsi="Times New Roman" w:cs="Times New Roman"/>
          <w:sz w:val="20"/>
          <w:szCs w:val="20"/>
          <w:lang w:val="en-GB"/>
        </w:rPr>
        <w:t xml:space="preserve"> for the UNSDCF</w:t>
      </w:r>
      <w:r w:rsidR="00C649D8" w:rsidRPr="003A7898">
        <w:rPr>
          <w:rFonts w:ascii="Times New Roman" w:hAnsi="Times New Roman" w:cs="Times New Roman"/>
          <w:sz w:val="20"/>
          <w:szCs w:val="20"/>
          <w:lang w:val="en-GB"/>
        </w:rPr>
        <w:t xml:space="preserve">, particularly </w:t>
      </w:r>
      <w:r w:rsidR="002F09F4" w:rsidRPr="003A7898">
        <w:rPr>
          <w:rFonts w:ascii="Times New Roman" w:hAnsi="Times New Roman" w:cs="Times New Roman"/>
          <w:sz w:val="20"/>
          <w:szCs w:val="20"/>
          <w:lang w:val="en-GB"/>
        </w:rPr>
        <w:t xml:space="preserve">in the areas </w:t>
      </w:r>
      <w:r w:rsidR="00F80ED6" w:rsidRPr="003A7898">
        <w:rPr>
          <w:rFonts w:ascii="Times New Roman" w:hAnsi="Times New Roman" w:cs="Times New Roman"/>
          <w:sz w:val="20"/>
          <w:szCs w:val="20"/>
          <w:lang w:val="en-GB"/>
        </w:rPr>
        <w:t>UNDP</w:t>
      </w:r>
      <w:r w:rsidR="00711807" w:rsidRPr="003A7898">
        <w:rPr>
          <w:rFonts w:ascii="Times New Roman" w:hAnsi="Times New Roman" w:cs="Times New Roman"/>
          <w:sz w:val="20"/>
          <w:szCs w:val="20"/>
          <w:lang w:val="en-GB"/>
        </w:rPr>
        <w:t xml:space="preserve"> is </w:t>
      </w:r>
      <w:r w:rsidR="007C0CA2" w:rsidRPr="003A7898">
        <w:rPr>
          <w:rFonts w:ascii="Times New Roman" w:hAnsi="Times New Roman" w:cs="Times New Roman"/>
          <w:sz w:val="20"/>
          <w:szCs w:val="20"/>
          <w:lang w:val="en-GB"/>
        </w:rPr>
        <w:t>committed to</w:t>
      </w:r>
      <w:r w:rsidR="00C649D8" w:rsidRPr="003A7898">
        <w:rPr>
          <w:rFonts w:ascii="Times New Roman" w:hAnsi="Times New Roman" w:cs="Times New Roman"/>
          <w:sz w:val="20"/>
          <w:szCs w:val="20"/>
          <w:lang w:val="en-GB"/>
        </w:rPr>
        <w:t xml:space="preserve"> </w:t>
      </w:r>
      <w:r w:rsidR="007C0CA2" w:rsidRPr="003A7898">
        <w:rPr>
          <w:rFonts w:ascii="Times New Roman" w:hAnsi="Times New Roman" w:cs="Times New Roman"/>
          <w:sz w:val="20"/>
          <w:szCs w:val="20"/>
          <w:lang w:val="en-GB"/>
        </w:rPr>
        <w:t>lead</w:t>
      </w:r>
      <w:r w:rsidR="0095466C">
        <w:rPr>
          <w:rFonts w:ascii="Times New Roman" w:hAnsi="Times New Roman" w:cs="Times New Roman"/>
          <w:sz w:val="20"/>
          <w:szCs w:val="20"/>
          <w:lang w:val="en-GB"/>
        </w:rPr>
        <w:t>ing</w:t>
      </w:r>
      <w:r w:rsidR="00711807" w:rsidRPr="003A7898">
        <w:rPr>
          <w:rFonts w:ascii="Times New Roman" w:hAnsi="Times New Roman" w:cs="Times New Roman"/>
          <w:sz w:val="20"/>
          <w:szCs w:val="20"/>
          <w:lang w:val="en-GB"/>
        </w:rPr>
        <w:t xml:space="preserve"> </w:t>
      </w:r>
      <w:r w:rsidR="002F09F4" w:rsidRPr="003A7898">
        <w:rPr>
          <w:rFonts w:ascii="Times New Roman" w:hAnsi="Times New Roman" w:cs="Times New Roman"/>
          <w:sz w:val="20"/>
          <w:szCs w:val="20"/>
          <w:lang w:val="en-GB"/>
        </w:rPr>
        <w:t xml:space="preserve">on behalf of </w:t>
      </w:r>
      <w:r w:rsidR="00711807" w:rsidRPr="003A7898">
        <w:rPr>
          <w:rFonts w:ascii="Times New Roman" w:hAnsi="Times New Roman" w:cs="Times New Roman"/>
          <w:sz w:val="20"/>
          <w:szCs w:val="20"/>
          <w:lang w:val="en-GB"/>
        </w:rPr>
        <w:t>the United Nations in Haiti.</w:t>
      </w:r>
    </w:p>
    <w:p w14:paraId="49AAA54C" w14:textId="6B14409D" w:rsidR="00C649D8" w:rsidRPr="003A7898" w:rsidRDefault="006F4654" w:rsidP="00A16113">
      <w:pPr>
        <w:pStyle w:val="ListParagraph"/>
        <w:numPr>
          <w:ilvl w:val="0"/>
          <w:numId w:val="42"/>
        </w:numPr>
        <w:tabs>
          <w:tab w:val="left" w:pos="1440"/>
        </w:tabs>
        <w:spacing w:after="120" w:line="240" w:lineRule="exact"/>
        <w:ind w:left="1080" w:right="612" w:firstLine="0"/>
        <w:contextualSpacing w:val="0"/>
        <w:jc w:val="both"/>
        <w:rPr>
          <w:rFonts w:ascii="Times New Roman" w:hAnsi="Times New Roman" w:cs="Times New Roman"/>
          <w:sz w:val="20"/>
          <w:szCs w:val="20"/>
          <w:lang w:val="en-GB"/>
        </w:rPr>
      </w:pPr>
      <w:r>
        <w:rPr>
          <w:rFonts w:ascii="Times New Roman" w:hAnsi="Times New Roman" w:cs="Times New Roman"/>
          <w:sz w:val="20"/>
          <w:szCs w:val="20"/>
          <w:lang w:val="en-GB"/>
        </w:rPr>
        <w:t>C</w:t>
      </w:r>
      <w:r w:rsidR="00C649D8" w:rsidRPr="003A7898">
        <w:rPr>
          <w:rFonts w:ascii="Times New Roman" w:hAnsi="Times New Roman" w:cs="Times New Roman"/>
          <w:sz w:val="20"/>
          <w:szCs w:val="20"/>
          <w:lang w:val="en-GB"/>
        </w:rPr>
        <w:t xml:space="preserve">apacity-building in </w:t>
      </w:r>
      <w:r w:rsidR="00D2039F" w:rsidRPr="003A7898">
        <w:rPr>
          <w:rFonts w:ascii="Times New Roman" w:hAnsi="Times New Roman" w:cs="Times New Roman"/>
          <w:sz w:val="20"/>
          <w:szCs w:val="20"/>
          <w:lang w:val="en-GB"/>
        </w:rPr>
        <w:t>implementing</w:t>
      </w:r>
      <w:r w:rsidR="00C649D8" w:rsidRPr="003A7898">
        <w:rPr>
          <w:rFonts w:ascii="Times New Roman" w:hAnsi="Times New Roman" w:cs="Times New Roman"/>
          <w:sz w:val="20"/>
          <w:szCs w:val="20"/>
          <w:lang w:val="en-GB"/>
        </w:rPr>
        <w:t xml:space="preserve"> the </w:t>
      </w:r>
      <w:r>
        <w:rPr>
          <w:rFonts w:ascii="Times New Roman" w:hAnsi="Times New Roman" w:cs="Times New Roman"/>
          <w:sz w:val="20"/>
          <w:szCs w:val="20"/>
          <w:lang w:val="en-GB"/>
        </w:rPr>
        <w:t>p</w:t>
      </w:r>
      <w:r w:rsidR="007C0CA2" w:rsidRPr="003A7898">
        <w:rPr>
          <w:rFonts w:ascii="Times New Roman" w:hAnsi="Times New Roman" w:cs="Times New Roman"/>
          <w:sz w:val="20"/>
          <w:szCs w:val="20"/>
          <w:lang w:val="en-GB"/>
        </w:rPr>
        <w:t>rogramme</w:t>
      </w:r>
      <w:r w:rsidR="00C649D8" w:rsidRPr="003A7898">
        <w:rPr>
          <w:rFonts w:ascii="Times New Roman" w:hAnsi="Times New Roman" w:cs="Times New Roman"/>
          <w:sz w:val="20"/>
          <w:szCs w:val="20"/>
          <w:lang w:val="en-GB"/>
        </w:rPr>
        <w:t xml:space="preserve"> should enable national partners to adopt </w:t>
      </w:r>
      <w:r w:rsidR="00A17254" w:rsidRPr="003A7898">
        <w:rPr>
          <w:rFonts w:ascii="Times New Roman" w:hAnsi="Times New Roman" w:cs="Times New Roman"/>
          <w:sz w:val="20"/>
          <w:szCs w:val="20"/>
          <w:lang w:val="en-GB"/>
        </w:rPr>
        <w:t xml:space="preserve">and </w:t>
      </w:r>
      <w:r w:rsidR="00C649D8" w:rsidRPr="003A7898">
        <w:rPr>
          <w:rFonts w:ascii="Times New Roman" w:hAnsi="Times New Roman" w:cs="Times New Roman"/>
          <w:sz w:val="20"/>
          <w:szCs w:val="20"/>
          <w:lang w:val="en-GB"/>
        </w:rPr>
        <w:t>use new information and communication technologies for analysis, reflection and decision-making</w:t>
      </w:r>
      <w:r w:rsidR="00D329A7" w:rsidRPr="003A7898">
        <w:rPr>
          <w:rFonts w:ascii="Times New Roman" w:hAnsi="Times New Roman" w:cs="Times New Roman"/>
          <w:sz w:val="20"/>
          <w:szCs w:val="20"/>
          <w:lang w:val="en-GB"/>
        </w:rPr>
        <w:t xml:space="preserve">. Partners such as the </w:t>
      </w:r>
      <w:r>
        <w:rPr>
          <w:rFonts w:ascii="Times New Roman" w:hAnsi="Times New Roman" w:cs="Times New Roman"/>
          <w:sz w:val="20"/>
          <w:szCs w:val="20"/>
          <w:lang w:val="en-GB"/>
        </w:rPr>
        <w:t xml:space="preserve">ministries mentioned above </w:t>
      </w:r>
      <w:r w:rsidR="00D329A7" w:rsidRPr="003A7898">
        <w:rPr>
          <w:rFonts w:ascii="Times New Roman" w:hAnsi="Times New Roman" w:cs="Times New Roman"/>
          <w:sz w:val="20"/>
          <w:szCs w:val="20"/>
          <w:lang w:val="en-GB"/>
        </w:rPr>
        <w:t xml:space="preserve">and their subsidiary organs or </w:t>
      </w:r>
      <w:r w:rsidR="00BE567C" w:rsidRPr="003A7898">
        <w:rPr>
          <w:rFonts w:ascii="Times New Roman" w:hAnsi="Times New Roman" w:cs="Times New Roman"/>
          <w:sz w:val="20"/>
          <w:szCs w:val="20"/>
          <w:lang w:val="en-GB"/>
        </w:rPr>
        <w:t>institutions</w:t>
      </w:r>
      <w:r w:rsidR="00D329A7" w:rsidRPr="003A7898">
        <w:rPr>
          <w:rFonts w:ascii="Times New Roman" w:hAnsi="Times New Roman" w:cs="Times New Roman"/>
          <w:sz w:val="20"/>
          <w:szCs w:val="20"/>
          <w:lang w:val="en-GB"/>
        </w:rPr>
        <w:t xml:space="preserve"> will </w:t>
      </w:r>
      <w:r w:rsidR="00BE567C" w:rsidRPr="003A7898">
        <w:rPr>
          <w:rFonts w:ascii="Times New Roman" w:hAnsi="Times New Roman" w:cs="Times New Roman"/>
          <w:sz w:val="20"/>
          <w:szCs w:val="20"/>
          <w:lang w:val="en-GB"/>
        </w:rPr>
        <w:t>benefit</w:t>
      </w:r>
      <w:r w:rsidR="00D329A7" w:rsidRPr="003A7898">
        <w:rPr>
          <w:rFonts w:ascii="Times New Roman" w:hAnsi="Times New Roman" w:cs="Times New Roman"/>
          <w:sz w:val="20"/>
          <w:szCs w:val="20"/>
          <w:lang w:val="en-GB"/>
        </w:rPr>
        <w:t xml:space="preserve"> from </w:t>
      </w:r>
      <w:r w:rsidR="00BE567C" w:rsidRPr="003A7898">
        <w:rPr>
          <w:rFonts w:ascii="Times New Roman" w:hAnsi="Times New Roman" w:cs="Times New Roman"/>
          <w:sz w:val="20"/>
          <w:szCs w:val="20"/>
          <w:lang w:val="en-GB"/>
        </w:rPr>
        <w:t>strengthened</w:t>
      </w:r>
      <w:r w:rsidR="00D329A7" w:rsidRPr="003A7898">
        <w:rPr>
          <w:rFonts w:ascii="Times New Roman" w:hAnsi="Times New Roman" w:cs="Times New Roman"/>
          <w:sz w:val="20"/>
          <w:szCs w:val="20"/>
          <w:lang w:val="en-GB"/>
        </w:rPr>
        <w:t xml:space="preserve"> </w:t>
      </w:r>
      <w:r w:rsidR="00BE567C" w:rsidRPr="003A7898">
        <w:rPr>
          <w:rFonts w:ascii="Times New Roman" w:hAnsi="Times New Roman" w:cs="Times New Roman"/>
          <w:sz w:val="20"/>
          <w:szCs w:val="20"/>
          <w:lang w:val="en-GB"/>
        </w:rPr>
        <w:t xml:space="preserve">statistical or data analysis capacities. </w:t>
      </w:r>
      <w:r w:rsidR="00B60400" w:rsidRPr="003A7898">
        <w:rPr>
          <w:rFonts w:ascii="Times New Roman" w:hAnsi="Times New Roman" w:cs="Times New Roman"/>
          <w:sz w:val="20"/>
          <w:szCs w:val="20"/>
          <w:lang w:val="en-GB"/>
        </w:rPr>
        <w:t xml:space="preserve">As </w:t>
      </w:r>
      <w:r>
        <w:rPr>
          <w:rFonts w:ascii="Times New Roman" w:hAnsi="Times New Roman" w:cs="Times New Roman"/>
          <w:sz w:val="20"/>
          <w:szCs w:val="20"/>
          <w:lang w:val="en-GB"/>
        </w:rPr>
        <w:t>the</w:t>
      </w:r>
      <w:r w:rsidR="00B60400" w:rsidRPr="003A7898">
        <w:rPr>
          <w:rFonts w:ascii="Times New Roman" w:hAnsi="Times New Roman" w:cs="Times New Roman"/>
          <w:sz w:val="20"/>
          <w:szCs w:val="20"/>
          <w:lang w:val="en-GB"/>
        </w:rPr>
        <w:t xml:space="preserve"> primary institutional partner</w:t>
      </w:r>
      <w:r>
        <w:rPr>
          <w:rFonts w:ascii="Times New Roman" w:hAnsi="Times New Roman" w:cs="Times New Roman"/>
          <w:sz w:val="20"/>
          <w:szCs w:val="20"/>
          <w:lang w:val="en-GB"/>
        </w:rPr>
        <w:t xml:space="preserve"> of UNDP</w:t>
      </w:r>
      <w:r w:rsidR="00B60400" w:rsidRPr="003A7898">
        <w:rPr>
          <w:rFonts w:ascii="Times New Roman" w:hAnsi="Times New Roman" w:cs="Times New Roman"/>
          <w:sz w:val="20"/>
          <w:szCs w:val="20"/>
          <w:lang w:val="en-GB"/>
        </w:rPr>
        <w:t xml:space="preserve">, the </w:t>
      </w:r>
      <w:r w:rsidR="00CE0A63" w:rsidRPr="003A7898">
        <w:rPr>
          <w:rFonts w:ascii="Times New Roman" w:hAnsi="Times New Roman" w:cs="Times New Roman"/>
          <w:sz w:val="20"/>
          <w:szCs w:val="20"/>
          <w:lang w:val="en-GB"/>
        </w:rPr>
        <w:t>MPCE</w:t>
      </w:r>
      <w:r w:rsidR="00B60400" w:rsidRPr="003A7898">
        <w:rPr>
          <w:rFonts w:ascii="Times New Roman" w:hAnsi="Times New Roman" w:cs="Times New Roman"/>
          <w:sz w:val="20"/>
          <w:szCs w:val="20"/>
          <w:lang w:val="en-GB"/>
        </w:rPr>
        <w:t xml:space="preserve"> will be critical to the overall monitoring of progress towards the </w:t>
      </w:r>
      <w:r w:rsidR="00807C83">
        <w:rPr>
          <w:rFonts w:ascii="Times New Roman" w:hAnsi="Times New Roman" w:cs="Times New Roman"/>
          <w:sz w:val="20"/>
          <w:szCs w:val="20"/>
          <w:lang w:val="en-GB"/>
        </w:rPr>
        <w:t xml:space="preserve">targets </w:t>
      </w:r>
      <w:r>
        <w:rPr>
          <w:rFonts w:ascii="Times New Roman" w:hAnsi="Times New Roman" w:cs="Times New Roman"/>
          <w:sz w:val="20"/>
          <w:szCs w:val="20"/>
          <w:lang w:val="en-GB"/>
        </w:rPr>
        <w:t>of the</w:t>
      </w:r>
      <w:r w:rsidR="00B60400" w:rsidRPr="003A7898">
        <w:rPr>
          <w:rFonts w:ascii="Times New Roman" w:hAnsi="Times New Roman" w:cs="Times New Roman"/>
          <w:sz w:val="20"/>
          <w:szCs w:val="20"/>
          <w:lang w:val="en-GB"/>
        </w:rPr>
        <w:t xml:space="preserve"> </w:t>
      </w:r>
      <w:r w:rsidR="006E20B2">
        <w:rPr>
          <w:rFonts w:ascii="Times New Roman" w:hAnsi="Times New Roman" w:cs="Times New Roman"/>
          <w:sz w:val="20"/>
          <w:szCs w:val="20"/>
          <w:lang w:val="en-GB"/>
        </w:rPr>
        <w:t xml:space="preserve">country’s </w:t>
      </w:r>
      <w:r w:rsidR="0068111B" w:rsidRPr="003A7898">
        <w:rPr>
          <w:rFonts w:ascii="Times New Roman" w:hAnsi="Times New Roman" w:cs="Times New Roman"/>
          <w:sz w:val="20"/>
          <w:szCs w:val="20"/>
          <w:lang w:val="en-GB"/>
        </w:rPr>
        <w:t>Sustainable Development Goal</w:t>
      </w:r>
      <w:r w:rsidR="006E20B2">
        <w:rPr>
          <w:rFonts w:ascii="Times New Roman" w:hAnsi="Times New Roman" w:cs="Times New Roman"/>
          <w:sz w:val="20"/>
          <w:szCs w:val="20"/>
          <w:lang w:val="en-GB"/>
        </w:rPr>
        <w:t xml:space="preserve"> action plan</w:t>
      </w:r>
      <w:r w:rsidR="00B60400" w:rsidRPr="003A7898">
        <w:rPr>
          <w:rFonts w:ascii="Times New Roman" w:hAnsi="Times New Roman" w:cs="Times New Roman"/>
          <w:sz w:val="20"/>
          <w:szCs w:val="20"/>
          <w:lang w:val="en-GB"/>
        </w:rPr>
        <w:t>.</w:t>
      </w:r>
    </w:p>
    <w:p w14:paraId="0800202F" w14:textId="0F8EA0C8" w:rsidR="00A16113" w:rsidRDefault="00A216BE" w:rsidP="00AB0FB6">
      <w:pPr>
        <w:pStyle w:val="ListParagraph"/>
        <w:numPr>
          <w:ilvl w:val="0"/>
          <w:numId w:val="42"/>
        </w:numPr>
        <w:tabs>
          <w:tab w:val="left" w:pos="1260"/>
        </w:tabs>
        <w:spacing w:after="120" w:line="240" w:lineRule="exact"/>
        <w:ind w:left="1080" w:right="612" w:firstLine="0"/>
        <w:contextualSpacing w:val="0"/>
        <w:jc w:val="both"/>
        <w:rPr>
          <w:rFonts w:ascii="Times New Roman" w:hAnsi="Times New Roman" w:cs="Times New Roman"/>
          <w:sz w:val="20"/>
          <w:szCs w:val="20"/>
          <w:lang w:val="en-GB"/>
        </w:rPr>
      </w:pPr>
      <w:r w:rsidRPr="003A7898">
        <w:rPr>
          <w:rFonts w:ascii="Times New Roman" w:hAnsi="Times New Roman" w:cs="Times New Roman"/>
          <w:sz w:val="20"/>
          <w:szCs w:val="20"/>
          <w:lang w:val="en-GB"/>
        </w:rPr>
        <w:t xml:space="preserve">Given the current national context, the </w:t>
      </w:r>
      <w:r w:rsidR="0095466C">
        <w:rPr>
          <w:rFonts w:ascii="Times New Roman" w:hAnsi="Times New Roman" w:cs="Times New Roman"/>
          <w:sz w:val="20"/>
          <w:szCs w:val="20"/>
          <w:lang w:val="en-GB"/>
        </w:rPr>
        <w:t>programme’s implementation</w:t>
      </w:r>
      <w:r w:rsidR="00BE567C" w:rsidRPr="003A7898">
        <w:rPr>
          <w:rFonts w:ascii="Times New Roman" w:hAnsi="Times New Roman" w:cs="Times New Roman"/>
          <w:sz w:val="20"/>
          <w:szCs w:val="20"/>
          <w:lang w:val="en-GB"/>
        </w:rPr>
        <w:t xml:space="preserve"> </w:t>
      </w:r>
      <w:r w:rsidRPr="003A7898">
        <w:rPr>
          <w:rFonts w:ascii="Times New Roman" w:hAnsi="Times New Roman" w:cs="Times New Roman"/>
          <w:sz w:val="20"/>
          <w:szCs w:val="20"/>
          <w:lang w:val="en-GB"/>
        </w:rPr>
        <w:t xml:space="preserve">will be reviewed </w:t>
      </w:r>
      <w:r w:rsidR="006E20B2">
        <w:rPr>
          <w:rFonts w:ascii="Times New Roman" w:hAnsi="Times New Roman" w:cs="Times New Roman"/>
          <w:sz w:val="20"/>
          <w:szCs w:val="20"/>
          <w:lang w:val="en-GB"/>
        </w:rPr>
        <w:t>twice a year</w:t>
      </w:r>
      <w:r w:rsidRPr="003A7898">
        <w:rPr>
          <w:rFonts w:ascii="Times New Roman" w:hAnsi="Times New Roman" w:cs="Times New Roman"/>
          <w:sz w:val="20"/>
          <w:szCs w:val="20"/>
          <w:lang w:val="en-GB"/>
        </w:rPr>
        <w:t xml:space="preserve"> to </w:t>
      </w:r>
      <w:r w:rsidR="0026780E" w:rsidRPr="003A7898">
        <w:rPr>
          <w:rFonts w:ascii="Times New Roman" w:hAnsi="Times New Roman" w:cs="Times New Roman"/>
          <w:sz w:val="20"/>
          <w:szCs w:val="20"/>
          <w:lang w:val="en-GB"/>
        </w:rPr>
        <w:t xml:space="preserve">transparently review its relevance and adapt </w:t>
      </w:r>
      <w:r w:rsidR="002F3033" w:rsidRPr="003A7898">
        <w:rPr>
          <w:rFonts w:ascii="Times New Roman" w:hAnsi="Times New Roman" w:cs="Times New Roman"/>
          <w:sz w:val="20"/>
          <w:szCs w:val="20"/>
          <w:lang w:val="en-GB"/>
        </w:rPr>
        <w:t>it,</w:t>
      </w:r>
      <w:r w:rsidR="0026780E" w:rsidRPr="003A7898">
        <w:rPr>
          <w:rFonts w:ascii="Times New Roman" w:hAnsi="Times New Roman" w:cs="Times New Roman"/>
          <w:sz w:val="20"/>
          <w:szCs w:val="20"/>
          <w:lang w:val="en-GB"/>
        </w:rPr>
        <w:t xml:space="preserve"> if </w:t>
      </w:r>
      <w:r w:rsidR="007C0CA2" w:rsidRPr="003A7898">
        <w:rPr>
          <w:rFonts w:ascii="Times New Roman" w:hAnsi="Times New Roman" w:cs="Times New Roman"/>
          <w:sz w:val="20"/>
          <w:szCs w:val="20"/>
          <w:lang w:val="en-GB"/>
        </w:rPr>
        <w:t>necessary,</w:t>
      </w:r>
      <w:r w:rsidR="0026780E" w:rsidRPr="003A7898">
        <w:rPr>
          <w:rFonts w:ascii="Times New Roman" w:hAnsi="Times New Roman" w:cs="Times New Roman"/>
          <w:sz w:val="20"/>
          <w:szCs w:val="20"/>
          <w:lang w:val="en-GB"/>
        </w:rPr>
        <w:t xml:space="preserve"> as </w:t>
      </w:r>
      <w:r w:rsidR="0095466C">
        <w:rPr>
          <w:rFonts w:ascii="Times New Roman" w:hAnsi="Times New Roman" w:cs="Times New Roman"/>
          <w:sz w:val="20"/>
          <w:szCs w:val="20"/>
          <w:lang w:val="en-GB"/>
        </w:rPr>
        <w:t>national governance developments occur</w:t>
      </w:r>
      <w:r w:rsidR="0026780E" w:rsidRPr="003A7898">
        <w:rPr>
          <w:rFonts w:ascii="Times New Roman" w:hAnsi="Times New Roman" w:cs="Times New Roman"/>
          <w:sz w:val="20"/>
          <w:szCs w:val="20"/>
          <w:lang w:val="en-GB"/>
        </w:rPr>
        <w:t>.</w:t>
      </w:r>
    </w:p>
    <w:p w14:paraId="2EA77A03" w14:textId="77777777" w:rsidR="009A60B9" w:rsidRDefault="009A60B9" w:rsidP="00A16113">
      <w:pPr>
        <w:pStyle w:val="ListParagraph"/>
        <w:tabs>
          <w:tab w:val="left" w:pos="1800"/>
        </w:tabs>
        <w:spacing w:after="120" w:line="240" w:lineRule="exact"/>
        <w:ind w:left="1080" w:right="612"/>
        <w:contextualSpacing w:val="0"/>
        <w:jc w:val="both"/>
        <w:rPr>
          <w:rFonts w:ascii="Times New Roman" w:hAnsi="Times New Roman" w:cs="Times New Roman"/>
          <w:sz w:val="20"/>
          <w:szCs w:val="20"/>
          <w:lang w:val="en-GB"/>
        </w:rPr>
      </w:pPr>
    </w:p>
    <w:p w14:paraId="1FA9E370" w14:textId="53B05486" w:rsidR="00A16113" w:rsidRPr="003A7898" w:rsidRDefault="00A16113" w:rsidP="00A16113">
      <w:pPr>
        <w:pStyle w:val="ListParagraph"/>
        <w:tabs>
          <w:tab w:val="left" w:pos="1800"/>
        </w:tabs>
        <w:spacing w:after="120" w:line="240" w:lineRule="exact"/>
        <w:ind w:left="1080" w:right="612"/>
        <w:contextualSpacing w:val="0"/>
        <w:jc w:val="both"/>
        <w:rPr>
          <w:rFonts w:ascii="Times New Roman" w:hAnsi="Times New Roman" w:cs="Times New Roman"/>
          <w:sz w:val="20"/>
          <w:szCs w:val="20"/>
          <w:lang w:val="en-GB"/>
        </w:rPr>
        <w:sectPr w:rsidR="00A16113" w:rsidRPr="003A7898" w:rsidSect="003A7898">
          <w:headerReference w:type="even" r:id="rId14"/>
          <w:headerReference w:type="default" r:id="rId15"/>
          <w:footerReference w:type="even" r:id="rId16"/>
          <w:footerReference w:type="default" r:id="rId17"/>
          <w:headerReference w:type="first" r:id="rId18"/>
          <w:pgSz w:w="11906" w:h="16838"/>
          <w:pgMar w:top="1417" w:right="1417" w:bottom="1417" w:left="1417" w:header="709" w:footer="709" w:gutter="0"/>
          <w:cols w:space="708"/>
          <w:titlePg/>
          <w:docGrid w:linePitch="360"/>
        </w:sectPr>
      </w:pPr>
    </w:p>
    <w:p w14:paraId="6129EE77" w14:textId="37A82875" w:rsidR="006C7266" w:rsidRPr="00775F4C" w:rsidRDefault="006C7266" w:rsidP="00775F4C">
      <w:pPr>
        <w:spacing w:after="120"/>
        <w:rPr>
          <w:rFonts w:ascii="Times New Roman" w:hAnsi="Times New Roman" w:cs="Times New Roman"/>
          <w:b/>
          <w:bCs/>
          <w:sz w:val="16"/>
          <w:szCs w:val="16"/>
          <w:lang w:val="en-GB"/>
        </w:rPr>
      </w:pPr>
      <w:r w:rsidRPr="009C5044">
        <w:rPr>
          <w:rFonts w:ascii="Times New Roman" w:hAnsi="Times New Roman" w:cs="Times New Roman"/>
          <w:b/>
          <w:bCs/>
          <w:lang w:val="en-GB"/>
        </w:rPr>
        <w:lastRenderedPageBreak/>
        <w:t>Annex</w:t>
      </w:r>
      <w:r w:rsidR="00A16113">
        <w:rPr>
          <w:rFonts w:ascii="Times New Roman" w:hAnsi="Times New Roman" w:cs="Times New Roman"/>
          <w:b/>
          <w:bCs/>
          <w:lang w:val="en-GB"/>
        </w:rPr>
        <w:t>.</w:t>
      </w:r>
      <w:r w:rsidRPr="009C5044">
        <w:rPr>
          <w:rFonts w:ascii="Times New Roman" w:hAnsi="Times New Roman" w:cs="Times New Roman"/>
          <w:b/>
          <w:bCs/>
          <w:lang w:val="en-GB"/>
        </w:rPr>
        <w:t xml:space="preserve"> </w:t>
      </w:r>
      <w:r w:rsidR="00775F4C" w:rsidRPr="00775F4C">
        <w:rPr>
          <w:rFonts w:ascii="Times New Roman" w:eastAsia="Times New Roman" w:hAnsi="Times New Roman" w:cs="Times New Roman"/>
          <w:b/>
          <w:bCs/>
          <w:color w:val="000000"/>
          <w:kern w:val="14"/>
          <w:szCs w:val="20"/>
          <w:lang w:val="en-GB"/>
        </w:rPr>
        <w:t>Results and resources framework for Haiti (2023-2027)</w:t>
      </w:r>
    </w:p>
    <w:tbl>
      <w:tblPr>
        <w:tblStyle w:val="TableGrid"/>
        <w:tblW w:w="14035" w:type="dxa"/>
        <w:tblLook w:val="04A0" w:firstRow="1" w:lastRow="0" w:firstColumn="1" w:lastColumn="0" w:noHBand="0" w:noVBand="1"/>
      </w:tblPr>
      <w:tblGrid>
        <w:gridCol w:w="2653"/>
        <w:gridCol w:w="17"/>
        <w:gridCol w:w="24"/>
        <w:gridCol w:w="2602"/>
        <w:gridCol w:w="8"/>
        <w:gridCol w:w="3421"/>
        <w:gridCol w:w="3600"/>
        <w:gridCol w:w="1667"/>
        <w:gridCol w:w="43"/>
      </w:tblGrid>
      <w:tr w:rsidR="006C7266" w:rsidRPr="00813924" w14:paraId="545D72DC" w14:textId="77777777" w:rsidTr="00880283">
        <w:trPr>
          <w:gridAfter w:val="1"/>
          <w:wAfter w:w="43" w:type="dxa"/>
        </w:trPr>
        <w:tc>
          <w:tcPr>
            <w:tcW w:w="13992" w:type="dxa"/>
            <w:gridSpan w:val="8"/>
            <w:shd w:val="clear" w:color="auto" w:fill="D9D9D9" w:themeFill="background1" w:themeFillShade="D9"/>
          </w:tcPr>
          <w:p w14:paraId="20AE28BC" w14:textId="487F0228" w:rsidR="006C7266" w:rsidRPr="00813924" w:rsidRDefault="002B6581" w:rsidP="00816039">
            <w:pPr>
              <w:spacing w:before="60" w:after="60"/>
              <w:rPr>
                <w:rFonts w:ascii="Times New Roman" w:hAnsi="Times New Roman" w:cs="Times New Roman"/>
                <w:sz w:val="17"/>
                <w:szCs w:val="17"/>
                <w:lang w:val="en-GB"/>
              </w:rPr>
            </w:pPr>
            <w:r w:rsidRPr="00813924">
              <w:rPr>
                <w:rFonts w:ascii="Times New Roman" w:hAnsi="Times New Roman" w:cs="Times New Roman"/>
                <w:b/>
                <w:bCs/>
                <w:sz w:val="17"/>
                <w:szCs w:val="17"/>
                <w:lang w:val="en-GB"/>
              </w:rPr>
              <w:t xml:space="preserve">NATIONAL </w:t>
            </w:r>
            <w:r w:rsidR="006C7266" w:rsidRPr="00813924">
              <w:rPr>
                <w:rFonts w:ascii="Times New Roman" w:hAnsi="Times New Roman" w:cs="Times New Roman"/>
                <w:b/>
                <w:bCs/>
                <w:sz w:val="17"/>
                <w:szCs w:val="17"/>
                <w:lang w:val="en-GB"/>
              </w:rPr>
              <w:t xml:space="preserve">PRIORITY: </w:t>
            </w:r>
            <w:r w:rsidR="006C7266" w:rsidRPr="00813924">
              <w:rPr>
                <w:rFonts w:ascii="Times New Roman" w:hAnsi="Times New Roman" w:cs="Times New Roman"/>
                <w:sz w:val="17"/>
                <w:szCs w:val="17"/>
                <w:lang w:val="en-GB"/>
              </w:rPr>
              <w:t>Institutional Rebuilding (PSDH 2012-2030)</w:t>
            </w:r>
          </w:p>
        </w:tc>
      </w:tr>
      <w:tr w:rsidR="006C7266" w:rsidRPr="00813924" w14:paraId="14376D28" w14:textId="77777777" w:rsidTr="00880283">
        <w:trPr>
          <w:gridAfter w:val="1"/>
          <w:wAfter w:w="43" w:type="dxa"/>
        </w:trPr>
        <w:tc>
          <w:tcPr>
            <w:tcW w:w="13992" w:type="dxa"/>
            <w:gridSpan w:val="8"/>
            <w:shd w:val="clear" w:color="auto" w:fill="D9D9D9" w:themeFill="background1" w:themeFillShade="D9"/>
          </w:tcPr>
          <w:p w14:paraId="200C5577" w14:textId="48627E1F" w:rsidR="006C7266" w:rsidRPr="00813924" w:rsidRDefault="006C7266" w:rsidP="00816039">
            <w:pPr>
              <w:spacing w:before="60" w:after="60"/>
              <w:rPr>
                <w:rFonts w:ascii="Times New Roman" w:hAnsi="Times New Roman" w:cs="Times New Roman"/>
                <w:sz w:val="17"/>
                <w:szCs w:val="17"/>
                <w:lang w:val="en-GB"/>
              </w:rPr>
            </w:pPr>
            <w:r w:rsidRPr="00813924">
              <w:rPr>
                <w:rFonts w:ascii="Times New Roman" w:hAnsi="Times New Roman" w:cs="Times New Roman"/>
                <w:b/>
                <w:bCs/>
                <w:color w:val="000000"/>
                <w:sz w:val="17"/>
                <w:szCs w:val="17"/>
                <w:lang w:val="en-GB"/>
              </w:rPr>
              <w:t xml:space="preserve">COOPERATION FRAMEWORK OUTCOME INVOLVING UNDP </w:t>
            </w:r>
            <w:r w:rsidR="000374FD">
              <w:rPr>
                <w:rFonts w:ascii="Times New Roman" w:hAnsi="Times New Roman" w:cs="Times New Roman"/>
                <w:b/>
                <w:bCs/>
                <w:color w:val="000000"/>
                <w:sz w:val="17"/>
                <w:szCs w:val="17"/>
                <w:lang w:val="en-GB"/>
              </w:rPr>
              <w:t>#</w:t>
            </w:r>
            <w:r w:rsidR="00190EE0">
              <w:rPr>
                <w:rFonts w:ascii="Times New Roman" w:hAnsi="Times New Roman" w:cs="Times New Roman"/>
                <w:b/>
                <w:bCs/>
                <w:color w:val="000000"/>
                <w:sz w:val="17"/>
                <w:szCs w:val="17"/>
                <w:lang w:val="en-GB"/>
              </w:rPr>
              <w:t xml:space="preserve">1, </w:t>
            </w:r>
            <w:r w:rsidRPr="00813924">
              <w:rPr>
                <w:rFonts w:ascii="Times New Roman" w:hAnsi="Times New Roman" w:cs="Times New Roman"/>
                <w:b/>
                <w:bCs/>
                <w:color w:val="000000"/>
                <w:sz w:val="17"/>
                <w:szCs w:val="17"/>
                <w:lang w:val="en-GB"/>
              </w:rPr>
              <w:t>UNSDCF Outcome 1</w:t>
            </w:r>
            <w:r w:rsidRPr="00813924">
              <w:rPr>
                <w:rFonts w:ascii="Times New Roman" w:hAnsi="Times New Roman" w:cs="Times New Roman"/>
                <w:b/>
                <w:bCs/>
                <w:sz w:val="17"/>
                <w:szCs w:val="17"/>
                <w:lang w:val="en-GB"/>
              </w:rPr>
              <w:t>:</w:t>
            </w:r>
            <w:r w:rsidR="007D6690" w:rsidRPr="00813924">
              <w:rPr>
                <w:rFonts w:ascii="Times New Roman" w:hAnsi="Times New Roman" w:cs="Times New Roman"/>
                <w:b/>
                <w:bCs/>
                <w:sz w:val="17"/>
                <w:szCs w:val="17"/>
                <w:lang w:val="en-GB"/>
              </w:rPr>
              <w:t xml:space="preserve"> </w:t>
            </w:r>
            <w:r w:rsidR="007D6690" w:rsidRPr="00813924">
              <w:rPr>
                <w:rFonts w:ascii="Times New Roman" w:hAnsi="Times New Roman" w:cs="Times New Roman"/>
                <w:sz w:val="17"/>
                <w:szCs w:val="17"/>
                <w:lang w:val="en-GB"/>
              </w:rPr>
              <w:t>L</w:t>
            </w:r>
            <w:r w:rsidRPr="00813924">
              <w:rPr>
                <w:rFonts w:ascii="Times New Roman" w:hAnsi="Times New Roman" w:cs="Times New Roman"/>
                <w:sz w:val="17"/>
                <w:szCs w:val="17"/>
                <w:lang w:val="en-GB"/>
              </w:rPr>
              <w:t>egitimate and accountable institutions ensure the rule of law, good governance</w:t>
            </w:r>
            <w:r w:rsidR="00830AE0">
              <w:rPr>
                <w:rFonts w:ascii="Times New Roman" w:hAnsi="Times New Roman" w:cs="Times New Roman"/>
                <w:sz w:val="17"/>
                <w:szCs w:val="17"/>
                <w:lang w:val="en-GB"/>
              </w:rPr>
              <w:t xml:space="preserve"> and</w:t>
            </w:r>
            <w:r w:rsidRPr="00813924">
              <w:rPr>
                <w:rFonts w:ascii="Times New Roman" w:hAnsi="Times New Roman" w:cs="Times New Roman"/>
                <w:sz w:val="17"/>
                <w:szCs w:val="17"/>
                <w:lang w:val="en-GB"/>
              </w:rPr>
              <w:t xml:space="preserve"> respect for human rights</w:t>
            </w:r>
          </w:p>
        </w:tc>
      </w:tr>
      <w:tr w:rsidR="006C7266" w:rsidRPr="00813924" w14:paraId="561333F5" w14:textId="77777777" w:rsidTr="00880283">
        <w:trPr>
          <w:gridAfter w:val="1"/>
          <w:wAfter w:w="43" w:type="dxa"/>
        </w:trPr>
        <w:tc>
          <w:tcPr>
            <w:tcW w:w="13992" w:type="dxa"/>
            <w:gridSpan w:val="8"/>
            <w:shd w:val="clear" w:color="auto" w:fill="D9D9D9" w:themeFill="background1" w:themeFillShade="D9"/>
          </w:tcPr>
          <w:p w14:paraId="2D63507A" w14:textId="77777777" w:rsidR="006C7266" w:rsidRPr="00813924" w:rsidRDefault="006C7266" w:rsidP="008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sz w:val="17"/>
                <w:szCs w:val="17"/>
                <w:lang w:val="en-GB"/>
              </w:rPr>
            </w:pPr>
            <w:r w:rsidRPr="00813924">
              <w:rPr>
                <w:rFonts w:ascii="Times New Roman" w:hAnsi="Times New Roman" w:cs="Times New Roman"/>
                <w:b/>
                <w:bCs/>
                <w:color w:val="000000"/>
                <w:sz w:val="17"/>
                <w:szCs w:val="17"/>
                <w:lang w:val="en-GB"/>
              </w:rPr>
              <w:t>RELATED STRATEGIC PLAN OUTCOME</w:t>
            </w:r>
            <w:r w:rsidRPr="00813924">
              <w:rPr>
                <w:rFonts w:ascii="Times New Roman" w:hAnsi="Times New Roman" w:cs="Times New Roman"/>
                <w:sz w:val="17"/>
                <w:szCs w:val="17"/>
                <w:lang w:val="en-GB"/>
              </w:rPr>
              <w:t>: 1. Structural transformation accelerated, particularly green, inclusive and digital transitions;</w:t>
            </w:r>
          </w:p>
        </w:tc>
      </w:tr>
      <w:tr w:rsidR="006C7266" w:rsidRPr="00813924" w14:paraId="54464045" w14:textId="77777777" w:rsidTr="00F204CC">
        <w:trPr>
          <w:gridAfter w:val="1"/>
          <w:wAfter w:w="43" w:type="dxa"/>
        </w:trPr>
        <w:tc>
          <w:tcPr>
            <w:tcW w:w="2653" w:type="dxa"/>
            <w:shd w:val="clear" w:color="auto" w:fill="D9D9D9" w:themeFill="background1" w:themeFillShade="D9"/>
          </w:tcPr>
          <w:p w14:paraId="39BD1D77" w14:textId="4B8288A1" w:rsidR="006C7266" w:rsidRPr="00813924" w:rsidRDefault="00170A6E" w:rsidP="00816039">
            <w:pPr>
              <w:spacing w:before="60" w:after="60"/>
              <w:jc w:val="cente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COOPERATION FRAMEWORK OUTCOME INDICATOR</w:t>
            </w:r>
            <w:r w:rsidR="000F5C54" w:rsidRPr="00813924">
              <w:rPr>
                <w:rFonts w:ascii="Times New Roman" w:hAnsi="Times New Roman" w:cs="Times New Roman"/>
                <w:b/>
                <w:bCs/>
                <w:sz w:val="17"/>
                <w:szCs w:val="17"/>
                <w:lang w:val="en-GB"/>
              </w:rPr>
              <w:t>(S), BASELINES, TARGET(S)</w:t>
            </w:r>
          </w:p>
        </w:tc>
        <w:tc>
          <w:tcPr>
            <w:tcW w:w="2643" w:type="dxa"/>
            <w:gridSpan w:val="3"/>
            <w:shd w:val="clear" w:color="auto" w:fill="D9D9D9" w:themeFill="background1" w:themeFillShade="D9"/>
          </w:tcPr>
          <w:p w14:paraId="27202171" w14:textId="5B376E64" w:rsidR="006C7266" w:rsidRPr="00813924" w:rsidRDefault="000F5C54" w:rsidP="00816039">
            <w:pPr>
              <w:spacing w:before="60" w:after="60"/>
              <w:jc w:val="cente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DATA SOURCE AND FREQUENCY OF DATA</w:t>
            </w:r>
            <w:r w:rsidR="000946F2">
              <w:rPr>
                <w:rFonts w:ascii="Times New Roman" w:hAnsi="Times New Roman" w:cs="Times New Roman"/>
                <w:b/>
                <w:bCs/>
                <w:sz w:val="17"/>
                <w:szCs w:val="17"/>
                <w:lang w:val="en-GB"/>
              </w:rPr>
              <w:t xml:space="preserve"> </w:t>
            </w:r>
            <w:r w:rsidRPr="00813924">
              <w:rPr>
                <w:rFonts w:ascii="Times New Roman" w:hAnsi="Times New Roman" w:cs="Times New Roman"/>
                <w:b/>
                <w:bCs/>
                <w:sz w:val="17"/>
                <w:szCs w:val="17"/>
                <w:lang w:val="en-GB"/>
              </w:rPr>
              <w:t>COLLECTION, AND RESPONSIBILITIES</w:t>
            </w:r>
            <w:r w:rsidR="006C7266" w:rsidRPr="00813924">
              <w:rPr>
                <w:rFonts w:ascii="Times New Roman" w:hAnsi="Times New Roman" w:cs="Times New Roman"/>
                <w:b/>
                <w:bCs/>
                <w:sz w:val="17"/>
                <w:szCs w:val="17"/>
                <w:lang w:val="en-GB"/>
              </w:rPr>
              <w:t xml:space="preserve"> </w:t>
            </w:r>
          </w:p>
        </w:tc>
        <w:tc>
          <w:tcPr>
            <w:tcW w:w="3429" w:type="dxa"/>
            <w:gridSpan w:val="2"/>
            <w:shd w:val="clear" w:color="auto" w:fill="D9D9D9" w:themeFill="background1" w:themeFillShade="D9"/>
          </w:tcPr>
          <w:p w14:paraId="16AFC345" w14:textId="1588D6AE" w:rsidR="006C7266" w:rsidRPr="00813924" w:rsidRDefault="00F83216" w:rsidP="00816039">
            <w:pPr>
              <w:spacing w:before="60" w:after="60"/>
              <w:jc w:val="cente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INDICATIVE COUNTRY PROGRAMME OUTPUTS</w:t>
            </w:r>
          </w:p>
          <w:p w14:paraId="706BC6B7" w14:textId="476EED1D" w:rsidR="006C7266" w:rsidRPr="00813924" w:rsidRDefault="006C7266" w:rsidP="00816039">
            <w:pPr>
              <w:spacing w:before="60" w:after="60"/>
              <w:jc w:val="center"/>
              <w:rPr>
                <w:rFonts w:ascii="Times New Roman" w:hAnsi="Times New Roman" w:cs="Times New Roman"/>
                <w:b/>
                <w:bCs/>
                <w:i/>
                <w:iCs/>
                <w:sz w:val="17"/>
                <w:szCs w:val="17"/>
                <w:lang w:val="en-GB"/>
              </w:rPr>
            </w:pPr>
            <w:r w:rsidRPr="00813924">
              <w:rPr>
                <w:rFonts w:ascii="Times New Roman" w:hAnsi="Times New Roman" w:cs="Times New Roman"/>
                <w:i/>
                <w:iCs/>
                <w:sz w:val="17"/>
                <w:szCs w:val="17"/>
                <w:lang w:val="en-GB"/>
              </w:rPr>
              <w:t>(</w:t>
            </w:r>
            <w:r w:rsidR="00F83216" w:rsidRPr="00813924">
              <w:rPr>
                <w:rFonts w:ascii="Times New Roman" w:hAnsi="Times New Roman" w:cs="Times New Roman"/>
                <w:i/>
                <w:iCs/>
                <w:sz w:val="17"/>
                <w:szCs w:val="17"/>
                <w:lang w:val="en-GB"/>
              </w:rPr>
              <w:t>including i</w:t>
            </w:r>
            <w:r w:rsidRPr="00813924">
              <w:rPr>
                <w:rFonts w:ascii="Times New Roman" w:hAnsi="Times New Roman" w:cs="Times New Roman"/>
                <w:i/>
                <w:iCs/>
                <w:sz w:val="17"/>
                <w:szCs w:val="17"/>
                <w:lang w:val="en-GB"/>
              </w:rPr>
              <w:t>ndicators, baselines and targets</w:t>
            </w:r>
            <w:r w:rsidRPr="00813924">
              <w:rPr>
                <w:rFonts w:ascii="Times New Roman" w:hAnsi="Times New Roman" w:cs="Times New Roman"/>
                <w:b/>
                <w:bCs/>
                <w:i/>
                <w:iCs/>
                <w:sz w:val="17"/>
                <w:szCs w:val="17"/>
                <w:lang w:val="en-GB"/>
              </w:rPr>
              <w:t>)</w:t>
            </w:r>
          </w:p>
        </w:tc>
        <w:tc>
          <w:tcPr>
            <w:tcW w:w="3600" w:type="dxa"/>
            <w:shd w:val="clear" w:color="auto" w:fill="D9D9D9" w:themeFill="background1" w:themeFillShade="D9"/>
          </w:tcPr>
          <w:p w14:paraId="71B3421B" w14:textId="5484A949" w:rsidR="006C7266" w:rsidRPr="00813924" w:rsidRDefault="00471553" w:rsidP="00816039">
            <w:pPr>
              <w:spacing w:before="60" w:after="60"/>
              <w:jc w:val="cente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MAJOR PARTNERS/ PARTNERSHIPS FRAMEWORKS</w:t>
            </w:r>
          </w:p>
        </w:tc>
        <w:tc>
          <w:tcPr>
            <w:tcW w:w="1667" w:type="dxa"/>
            <w:shd w:val="clear" w:color="auto" w:fill="D9D9D9" w:themeFill="background1" w:themeFillShade="D9"/>
          </w:tcPr>
          <w:p w14:paraId="04FBE7BE" w14:textId="4CDFE7A6" w:rsidR="006C7266" w:rsidRPr="00813924" w:rsidRDefault="00471553" w:rsidP="00816039">
            <w:pPr>
              <w:spacing w:before="60" w:after="60"/>
              <w:jc w:val="center"/>
              <w:rPr>
                <w:rFonts w:ascii="Times New Roman" w:hAnsi="Times New Roman" w:cs="Times New Roman"/>
                <w:b/>
                <w:bCs/>
                <w:i/>
                <w:iCs/>
                <w:sz w:val="17"/>
                <w:szCs w:val="17"/>
                <w:lang w:val="en-GB"/>
              </w:rPr>
            </w:pPr>
            <w:r w:rsidRPr="00813924">
              <w:rPr>
                <w:rFonts w:ascii="Times New Roman" w:hAnsi="Times New Roman" w:cs="Times New Roman"/>
                <w:b/>
                <w:bCs/>
                <w:sz w:val="17"/>
                <w:szCs w:val="17"/>
                <w:lang w:val="en-GB"/>
              </w:rPr>
              <w:t>ESTIMATED COST BY OUTCOME ($)</w:t>
            </w:r>
          </w:p>
          <w:p w14:paraId="4EF62715" w14:textId="77777777" w:rsidR="006C7266" w:rsidRPr="00813924" w:rsidRDefault="006C7266" w:rsidP="00816039">
            <w:pPr>
              <w:spacing w:before="60" w:after="60"/>
              <w:jc w:val="center"/>
              <w:rPr>
                <w:rFonts w:ascii="Times New Roman" w:hAnsi="Times New Roman" w:cs="Times New Roman"/>
                <w:b/>
                <w:bCs/>
                <w:sz w:val="17"/>
                <w:szCs w:val="17"/>
                <w:lang w:val="en-GB"/>
              </w:rPr>
            </w:pPr>
          </w:p>
        </w:tc>
      </w:tr>
      <w:tr w:rsidR="006C7266" w:rsidRPr="00813924" w14:paraId="0E121248" w14:textId="77777777" w:rsidTr="00F204CC">
        <w:trPr>
          <w:gridAfter w:val="1"/>
          <w:wAfter w:w="43" w:type="dxa"/>
        </w:trPr>
        <w:tc>
          <w:tcPr>
            <w:tcW w:w="2653" w:type="dxa"/>
            <w:vMerge w:val="restart"/>
          </w:tcPr>
          <w:p w14:paraId="261C89A2" w14:textId="6445B902"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1.1</w:t>
            </w:r>
            <w:r w:rsidR="000C5BEF" w:rsidRPr="00813924">
              <w:rPr>
                <w:rFonts w:ascii="Times New Roman" w:hAnsi="Times New Roman" w:cs="Times New Roman"/>
                <w:sz w:val="17"/>
                <w:szCs w:val="17"/>
                <w:lang w:val="en-GB"/>
              </w:rPr>
              <w:t xml:space="preserve"> Population’s l</w:t>
            </w:r>
            <w:r w:rsidRPr="00813924">
              <w:rPr>
                <w:rFonts w:ascii="Times New Roman" w:hAnsi="Times New Roman" w:cs="Times New Roman"/>
                <w:sz w:val="17"/>
                <w:szCs w:val="17"/>
                <w:lang w:val="en-GB"/>
              </w:rPr>
              <w:t xml:space="preserve">evel of confidence in </w:t>
            </w:r>
            <w:r w:rsidR="000C5BEF" w:rsidRPr="00813924">
              <w:rPr>
                <w:rFonts w:ascii="Times New Roman" w:hAnsi="Times New Roman" w:cs="Times New Roman"/>
                <w:sz w:val="17"/>
                <w:szCs w:val="17"/>
                <w:lang w:val="en-GB"/>
              </w:rPr>
              <w:t xml:space="preserve">the </w:t>
            </w:r>
            <w:r w:rsidRPr="00813924">
              <w:rPr>
                <w:rFonts w:ascii="Times New Roman" w:hAnsi="Times New Roman" w:cs="Times New Roman"/>
                <w:sz w:val="17"/>
                <w:szCs w:val="17"/>
                <w:lang w:val="en-GB"/>
              </w:rPr>
              <w:t>existing Government</w:t>
            </w:r>
            <w:r w:rsidR="000C5BEF" w:rsidRPr="00813924">
              <w:rPr>
                <w:rFonts w:ascii="Times New Roman" w:hAnsi="Times New Roman" w:cs="Times New Roman"/>
                <w:sz w:val="17"/>
                <w:szCs w:val="17"/>
                <w:lang w:val="en-GB"/>
              </w:rPr>
              <w:t>.</w:t>
            </w:r>
          </w:p>
          <w:p w14:paraId="2FD8DB47"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not available</w:t>
            </w:r>
          </w:p>
          <w:p w14:paraId="2D60FAF3"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More than 50% of the population has confidence in the Government </w:t>
            </w:r>
          </w:p>
        </w:tc>
        <w:tc>
          <w:tcPr>
            <w:tcW w:w="2643" w:type="dxa"/>
            <w:gridSpan w:val="3"/>
            <w:vMerge w:val="restart"/>
          </w:tcPr>
          <w:p w14:paraId="7C88130A" w14:textId="75351DA5" w:rsidR="006C7266" w:rsidRPr="00813924" w:rsidRDefault="004B638D" w:rsidP="00780D85">
            <w:pPr>
              <w:rPr>
                <w:rFonts w:ascii="Times New Roman" w:hAnsi="Times New Roman" w:cs="Times New Roman"/>
                <w:sz w:val="17"/>
                <w:szCs w:val="17"/>
                <w:lang w:val="en-GB"/>
              </w:rPr>
            </w:pPr>
            <w:r>
              <w:rPr>
                <w:rFonts w:ascii="Times New Roman" w:hAnsi="Times New Roman" w:cs="Times New Roman"/>
                <w:sz w:val="17"/>
                <w:szCs w:val="17"/>
                <w:lang w:val="en-GB"/>
              </w:rPr>
              <w:t>BINUH</w:t>
            </w:r>
            <w:r w:rsidR="006C7266" w:rsidRPr="00813924">
              <w:rPr>
                <w:rFonts w:ascii="Times New Roman" w:hAnsi="Times New Roman" w:cs="Times New Roman"/>
                <w:sz w:val="17"/>
                <w:szCs w:val="17"/>
                <w:lang w:val="en-GB"/>
              </w:rPr>
              <w:t>, Semi-annual</w:t>
            </w:r>
          </w:p>
          <w:p w14:paraId="0B4F73E0" w14:textId="77777777" w:rsidR="006C7266" w:rsidRPr="00813924" w:rsidRDefault="006C7266" w:rsidP="00780D85">
            <w:pPr>
              <w:rPr>
                <w:rFonts w:ascii="Times New Roman" w:hAnsi="Times New Roman" w:cs="Times New Roman"/>
                <w:sz w:val="17"/>
                <w:szCs w:val="17"/>
                <w:u w:val="single"/>
                <w:lang w:val="en-GB"/>
              </w:rPr>
            </w:pPr>
          </w:p>
          <w:p w14:paraId="021D1AFE"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UNDP, Annual </w:t>
            </w:r>
          </w:p>
          <w:p w14:paraId="31A121BF"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 </w:t>
            </w:r>
          </w:p>
        </w:tc>
        <w:tc>
          <w:tcPr>
            <w:tcW w:w="3429" w:type="dxa"/>
            <w:gridSpan w:val="2"/>
          </w:tcPr>
          <w:p w14:paraId="0D985AF5" w14:textId="61D773C4"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Output1.1: Public and private sector</w:t>
            </w:r>
            <w:r w:rsidR="006C614B" w:rsidRPr="00813924">
              <w:rPr>
                <w:rFonts w:ascii="Times New Roman" w:hAnsi="Times New Roman" w:cs="Times New Roman"/>
                <w:b/>
                <w:bCs/>
                <w:sz w:val="17"/>
                <w:szCs w:val="17"/>
                <w:lang w:val="en-GB"/>
              </w:rPr>
              <w:t>s</w:t>
            </w:r>
            <w:r w:rsidRPr="00813924">
              <w:rPr>
                <w:rFonts w:ascii="Times New Roman" w:hAnsi="Times New Roman" w:cs="Times New Roman"/>
                <w:b/>
                <w:bCs/>
                <w:sz w:val="17"/>
                <w:szCs w:val="17"/>
                <w:lang w:val="en-GB"/>
              </w:rPr>
              <w:t xml:space="preserve"> are encouraged to </w:t>
            </w:r>
            <w:r w:rsidR="00063026" w:rsidRPr="00813924">
              <w:rPr>
                <w:rFonts w:ascii="Times New Roman" w:hAnsi="Times New Roman" w:cs="Times New Roman"/>
                <w:b/>
                <w:bCs/>
                <w:sz w:val="17"/>
                <w:szCs w:val="17"/>
                <w:lang w:val="en-GB"/>
              </w:rPr>
              <w:t xml:space="preserve">restore </w:t>
            </w:r>
            <w:r w:rsidRPr="00813924">
              <w:rPr>
                <w:rFonts w:ascii="Times New Roman" w:hAnsi="Times New Roman" w:cs="Times New Roman"/>
                <w:b/>
                <w:bCs/>
                <w:sz w:val="17"/>
                <w:szCs w:val="17"/>
                <w:lang w:val="en-GB"/>
              </w:rPr>
              <w:t>trust between the authorities and the citizens in electoral matters.</w:t>
            </w:r>
          </w:p>
          <w:p w14:paraId="28E626D2" w14:textId="77777777" w:rsidR="006C7266" w:rsidRPr="00813924" w:rsidRDefault="006C7266" w:rsidP="00780D85">
            <w:pPr>
              <w:rPr>
                <w:rFonts w:ascii="Times New Roman" w:hAnsi="Times New Roman" w:cs="Times New Roman"/>
                <w:sz w:val="17"/>
                <w:szCs w:val="17"/>
                <w:u w:val="single"/>
                <w:lang w:val="en-GB"/>
              </w:rPr>
            </w:pPr>
          </w:p>
          <w:p w14:paraId="206C1A83" w14:textId="6F8C1967"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Indicator 1.1.1</w:t>
            </w:r>
            <w:r w:rsidRPr="00813924">
              <w:rPr>
                <w:rFonts w:ascii="Times New Roman" w:hAnsi="Times New Roman" w:cs="Times New Roman"/>
                <w:sz w:val="17"/>
                <w:szCs w:val="17"/>
                <w:lang w:val="en-GB"/>
              </w:rPr>
              <w:t xml:space="preserve">: Number of inclusive electoral consultation mechanisms, including at least one with women’s </w:t>
            </w:r>
            <w:r w:rsidR="00F31198" w:rsidRPr="00813924">
              <w:rPr>
                <w:rFonts w:ascii="Times New Roman" w:hAnsi="Times New Roman" w:cs="Times New Roman"/>
                <w:sz w:val="17"/>
                <w:szCs w:val="17"/>
                <w:lang w:val="en-GB"/>
              </w:rPr>
              <w:t xml:space="preserve">organizations </w:t>
            </w:r>
            <w:r w:rsidRPr="00813924">
              <w:rPr>
                <w:rFonts w:ascii="Times New Roman" w:hAnsi="Times New Roman" w:cs="Times New Roman"/>
                <w:sz w:val="17"/>
                <w:szCs w:val="17"/>
                <w:lang w:val="en-GB"/>
              </w:rPr>
              <w:t xml:space="preserve">and at least one with youth </w:t>
            </w:r>
            <w:r w:rsidR="00F31198" w:rsidRPr="00813924">
              <w:rPr>
                <w:rFonts w:ascii="Times New Roman" w:hAnsi="Times New Roman" w:cs="Times New Roman"/>
                <w:sz w:val="17"/>
                <w:szCs w:val="17"/>
                <w:lang w:val="en-GB"/>
              </w:rPr>
              <w:t xml:space="preserve">organizations </w:t>
            </w:r>
          </w:p>
          <w:p w14:paraId="6E41CD5B"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0</w:t>
            </w:r>
          </w:p>
          <w:p w14:paraId="6D701DFB"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2</w:t>
            </w:r>
          </w:p>
          <w:p w14:paraId="013B2531" w14:textId="11BF4ADD"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6E20B2">
              <w:rPr>
                <w:rFonts w:ascii="Times New Roman" w:hAnsi="Times New Roman" w:cs="Times New Roman"/>
                <w:sz w:val="17"/>
                <w:szCs w:val="17"/>
                <w:lang w:val="en-GB"/>
              </w:rPr>
              <w:t>Provisional Electoral Council</w:t>
            </w:r>
          </w:p>
          <w:p w14:paraId="550E77C8" w14:textId="77777777" w:rsidR="006C7266" w:rsidRPr="00813924" w:rsidRDefault="006C7266" w:rsidP="00780D85">
            <w:pPr>
              <w:rPr>
                <w:rFonts w:ascii="Times New Roman" w:hAnsi="Times New Roman" w:cs="Times New Roman"/>
                <w:sz w:val="17"/>
                <w:szCs w:val="17"/>
                <w:u w:val="single"/>
                <w:lang w:val="en-GB"/>
              </w:rPr>
            </w:pPr>
          </w:p>
          <w:p w14:paraId="2716093A"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1.1.2</w:t>
            </w:r>
            <w:r w:rsidRPr="00813924">
              <w:rPr>
                <w:rFonts w:ascii="Times New Roman" w:hAnsi="Times New Roman" w:cs="Times New Roman"/>
                <w:sz w:val="17"/>
                <w:szCs w:val="17"/>
                <w:lang w:val="en-GB"/>
              </w:rPr>
              <w:t xml:space="preserve">: Percentage of women in elected positions in parliament and local and regional authorities  </w:t>
            </w:r>
          </w:p>
          <w:p w14:paraId="136CC5A6"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w:t>
            </w:r>
            <w:r w:rsidRPr="00813924">
              <w:rPr>
                <w:rFonts w:ascii="Times New Roman" w:hAnsi="Times New Roman" w:cs="Times New Roman"/>
                <w:sz w:val="17"/>
                <w:szCs w:val="17"/>
                <w:lang w:val="en-GB"/>
              </w:rPr>
              <w:t xml:space="preserve">: </w:t>
            </w:r>
          </w:p>
          <w:p w14:paraId="4EE72109" w14:textId="29D8F46B" w:rsidR="006C7266" w:rsidRPr="00813924" w:rsidRDefault="006C7266" w:rsidP="00780D85">
            <w:pPr>
              <w:pStyle w:val="ListParagraph"/>
              <w:numPr>
                <w:ilvl w:val="0"/>
                <w:numId w:val="22"/>
              </w:numPr>
              <w:ind w:left="436"/>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3% in </w:t>
            </w:r>
            <w:r w:rsidR="008C5EB7">
              <w:rPr>
                <w:rFonts w:ascii="Times New Roman" w:hAnsi="Times New Roman" w:cs="Times New Roman"/>
                <w:sz w:val="17"/>
                <w:szCs w:val="17"/>
                <w:lang w:val="en-GB"/>
              </w:rPr>
              <w:t>p</w:t>
            </w:r>
            <w:r w:rsidRPr="00813924">
              <w:rPr>
                <w:rFonts w:ascii="Times New Roman" w:hAnsi="Times New Roman" w:cs="Times New Roman"/>
                <w:sz w:val="17"/>
                <w:szCs w:val="17"/>
                <w:lang w:val="en-GB"/>
              </w:rPr>
              <w:t>arliament 2016-2021</w:t>
            </w:r>
          </w:p>
          <w:p w14:paraId="13EB24CC" w14:textId="2987F068" w:rsidR="006C7266" w:rsidRPr="00813924" w:rsidRDefault="006C7266" w:rsidP="00780D85">
            <w:pPr>
              <w:pStyle w:val="ListParagraph"/>
              <w:numPr>
                <w:ilvl w:val="0"/>
                <w:numId w:val="22"/>
              </w:numPr>
              <w:ind w:left="436"/>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30% to the Board of Directors of the Communal Section), Assembly of the Communal Section and town halls</w:t>
            </w:r>
          </w:p>
          <w:p w14:paraId="3EEF675F" w14:textId="7230F8ED"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level</w:t>
            </w:r>
            <w:r w:rsidRPr="00813924">
              <w:rPr>
                <w:rFonts w:ascii="Times New Roman" w:hAnsi="Times New Roman" w:cs="Times New Roman"/>
                <w:sz w:val="17"/>
                <w:szCs w:val="17"/>
                <w:lang w:val="en-GB"/>
              </w:rPr>
              <w:t>: 30%</w:t>
            </w:r>
            <w:r w:rsidR="00626BCB" w:rsidRPr="00813924">
              <w:rPr>
                <w:rFonts w:ascii="Times New Roman" w:hAnsi="Times New Roman" w:cs="Times New Roman"/>
                <w:sz w:val="17"/>
                <w:szCs w:val="17"/>
                <w:lang w:val="en-GB"/>
              </w:rPr>
              <w:t xml:space="preserve"> </w:t>
            </w:r>
            <w:r w:rsidR="000E7930" w:rsidRPr="00813924">
              <w:rPr>
                <w:rFonts w:ascii="Times New Roman" w:hAnsi="Times New Roman" w:cs="Times New Roman"/>
                <w:sz w:val="17"/>
                <w:szCs w:val="17"/>
                <w:lang w:val="en-GB"/>
              </w:rPr>
              <w:t>in all instances</w:t>
            </w:r>
          </w:p>
          <w:p w14:paraId="015D895F" w14:textId="5F1E8C23" w:rsidR="006C7266" w:rsidRPr="00813924" w:rsidRDefault="006C7266" w:rsidP="00780D85">
            <w:pPr>
              <w:textAlignment w:val="baseline"/>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6E20B2">
              <w:rPr>
                <w:rFonts w:ascii="Times New Roman" w:hAnsi="Times New Roman" w:cs="Times New Roman"/>
                <w:sz w:val="17"/>
                <w:szCs w:val="17"/>
                <w:lang w:val="en-GB"/>
              </w:rPr>
              <w:t>Provisional Electoral Council</w:t>
            </w:r>
          </w:p>
          <w:p w14:paraId="686EDCC5" w14:textId="77777777" w:rsidR="00FF383A" w:rsidRPr="00813924" w:rsidRDefault="00FF383A" w:rsidP="00780D85">
            <w:pPr>
              <w:textAlignment w:val="baseline"/>
              <w:rPr>
                <w:rFonts w:ascii="Times New Roman" w:hAnsi="Times New Roman" w:cs="Times New Roman"/>
                <w:sz w:val="17"/>
                <w:szCs w:val="17"/>
                <w:lang w:val="en-GB"/>
              </w:rPr>
            </w:pPr>
          </w:p>
          <w:p w14:paraId="7C6BBD87" w14:textId="01D8CC79"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u w:val="single"/>
                <w:lang w:val="en-US"/>
              </w:rPr>
              <w:t>Indicator 1.1.3:</w:t>
            </w:r>
            <w:r w:rsidRPr="00813924">
              <w:rPr>
                <w:rFonts w:ascii="Times New Roman" w:hAnsi="Times New Roman" w:cs="Times New Roman"/>
                <w:sz w:val="17"/>
                <w:szCs w:val="17"/>
                <w:lang w:val="en-US"/>
              </w:rPr>
              <w:t xml:space="preserve"> </w:t>
            </w:r>
            <w:r w:rsidR="00A21749" w:rsidRPr="00813924">
              <w:rPr>
                <w:rFonts w:ascii="Times New Roman" w:hAnsi="Times New Roman" w:cs="Times New Roman"/>
                <w:sz w:val="17"/>
                <w:szCs w:val="17"/>
                <w:lang w:val="en-US"/>
              </w:rPr>
              <w:t>Percentage</w:t>
            </w:r>
            <w:r w:rsidRPr="00813924">
              <w:rPr>
                <w:rFonts w:ascii="Times New Roman" w:hAnsi="Times New Roman" w:cs="Times New Roman"/>
                <w:sz w:val="17"/>
                <w:szCs w:val="17"/>
                <w:lang w:val="en-US"/>
              </w:rPr>
              <w:t xml:space="preserve"> of elected positions filled with elected authorities:</w:t>
            </w:r>
          </w:p>
          <w:p w14:paraId="4C52D0D7" w14:textId="6CB77EEC"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u w:val="single"/>
                <w:lang w:val="en-US"/>
              </w:rPr>
              <w:t>Baseline (2022)</w:t>
            </w:r>
            <w:r w:rsidRPr="00813924">
              <w:rPr>
                <w:rFonts w:ascii="Times New Roman" w:hAnsi="Times New Roman" w:cs="Times New Roman"/>
                <w:sz w:val="17"/>
                <w:szCs w:val="17"/>
                <w:lang w:val="en-US"/>
              </w:rPr>
              <w:t>: 0%</w:t>
            </w:r>
          </w:p>
          <w:p w14:paraId="2022A398" w14:textId="568D2356"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u w:val="single"/>
                <w:lang w:val="en-US"/>
              </w:rPr>
              <w:t>Target (202</w:t>
            </w:r>
            <w:r w:rsidR="00FF383A" w:rsidRPr="00813924">
              <w:rPr>
                <w:rFonts w:ascii="Times New Roman" w:hAnsi="Times New Roman" w:cs="Times New Roman"/>
                <w:sz w:val="17"/>
                <w:szCs w:val="17"/>
                <w:u w:val="single"/>
                <w:lang w:val="en-US"/>
              </w:rPr>
              <w:t>7</w:t>
            </w:r>
            <w:r w:rsidRPr="00813924">
              <w:rPr>
                <w:rFonts w:ascii="Times New Roman" w:hAnsi="Times New Roman" w:cs="Times New Roman"/>
                <w:sz w:val="17"/>
                <w:szCs w:val="17"/>
                <w:u w:val="single"/>
                <w:lang w:val="en-US"/>
              </w:rPr>
              <w:t>)</w:t>
            </w:r>
            <w:r w:rsidR="00F83A49" w:rsidRPr="00813924">
              <w:rPr>
                <w:rFonts w:ascii="Times New Roman" w:hAnsi="Times New Roman" w:cs="Times New Roman"/>
                <w:sz w:val="17"/>
                <w:szCs w:val="17"/>
                <w:u w:val="single"/>
                <w:lang w:val="en-US"/>
              </w:rPr>
              <w:t>:</w:t>
            </w:r>
            <w:r w:rsidRPr="00813924">
              <w:rPr>
                <w:rFonts w:ascii="Times New Roman" w:hAnsi="Times New Roman" w:cs="Times New Roman"/>
                <w:sz w:val="17"/>
                <w:szCs w:val="17"/>
                <w:lang w:val="en-US"/>
              </w:rPr>
              <w:t xml:space="preserve"> 80%</w:t>
            </w:r>
          </w:p>
          <w:p w14:paraId="6BEACFBD" w14:textId="31F30A0F"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lang w:val="en-US"/>
              </w:rPr>
              <w:t xml:space="preserve">Source: </w:t>
            </w:r>
            <w:r w:rsidR="006E20B2">
              <w:rPr>
                <w:rFonts w:ascii="Times New Roman" w:hAnsi="Times New Roman" w:cs="Times New Roman"/>
                <w:sz w:val="17"/>
                <w:szCs w:val="17"/>
                <w:lang w:val="en-GB"/>
              </w:rPr>
              <w:t>Provisional Electoral Council</w:t>
            </w:r>
            <w:r w:rsidR="006E20B2" w:rsidRPr="00813924" w:rsidDel="006E20B2">
              <w:rPr>
                <w:rFonts w:ascii="Times New Roman" w:hAnsi="Times New Roman" w:cs="Times New Roman"/>
                <w:sz w:val="17"/>
                <w:szCs w:val="17"/>
                <w:lang w:val="en-US"/>
              </w:rPr>
              <w:t xml:space="preserve"> </w:t>
            </w:r>
          </w:p>
          <w:p w14:paraId="2A30777A" w14:textId="77777777" w:rsidR="006C7266" w:rsidRPr="00813924" w:rsidRDefault="006C7266" w:rsidP="00780D85">
            <w:pPr>
              <w:rPr>
                <w:rFonts w:ascii="Times New Roman" w:hAnsi="Times New Roman" w:cs="Times New Roman"/>
                <w:sz w:val="17"/>
                <w:szCs w:val="17"/>
                <w:lang w:val="en-GB"/>
              </w:rPr>
            </w:pPr>
          </w:p>
          <w:p w14:paraId="206459DD" w14:textId="5957A45D"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bCs/>
                <w:sz w:val="17"/>
                <w:szCs w:val="17"/>
                <w:u w:val="single"/>
                <w:lang w:val="en-GB"/>
              </w:rPr>
              <w:t>Indicator 1.1.4</w:t>
            </w:r>
            <w:r w:rsidRPr="00813924">
              <w:rPr>
                <w:rFonts w:ascii="Times New Roman" w:hAnsi="Times New Roman" w:cs="Times New Roman"/>
                <w:bCs/>
                <w:sz w:val="17"/>
                <w:szCs w:val="17"/>
                <w:lang w:val="en-GB"/>
              </w:rPr>
              <w:t>:</w:t>
            </w:r>
            <w:r w:rsidRPr="00813924">
              <w:rPr>
                <w:rFonts w:ascii="Times New Roman" w:hAnsi="Times New Roman" w:cs="Times New Roman"/>
                <w:sz w:val="17"/>
                <w:szCs w:val="17"/>
                <w:lang w:val="en-GB"/>
              </w:rPr>
              <w:t xml:space="preserve"> Percentage of public decision-making position</w:t>
            </w:r>
            <w:r w:rsidR="00063026" w:rsidRPr="00813924">
              <w:rPr>
                <w:rFonts w:ascii="Times New Roman" w:hAnsi="Times New Roman" w:cs="Times New Roman"/>
                <w:sz w:val="17"/>
                <w:szCs w:val="17"/>
                <w:lang w:val="en-GB"/>
              </w:rPr>
              <w:t>s</w:t>
            </w:r>
            <w:r w:rsidRPr="00813924">
              <w:rPr>
                <w:rFonts w:ascii="Times New Roman" w:hAnsi="Times New Roman" w:cs="Times New Roman"/>
                <w:sz w:val="17"/>
                <w:szCs w:val="17"/>
                <w:lang w:val="en-GB"/>
              </w:rPr>
              <w:t xml:space="preserve"> held by women</w:t>
            </w:r>
          </w:p>
          <w:p w14:paraId="44D84542"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lastRenderedPageBreak/>
              <w:t>Baseline (2018):</w:t>
            </w:r>
            <w:r w:rsidRPr="00813924">
              <w:rPr>
                <w:rFonts w:ascii="Times New Roman" w:hAnsi="Times New Roman" w:cs="Times New Roman"/>
                <w:sz w:val="17"/>
                <w:szCs w:val="17"/>
                <w:lang w:val="en-GB"/>
              </w:rPr>
              <w:t xml:space="preserve"> 38.5%</w:t>
            </w:r>
          </w:p>
          <w:p w14:paraId="37E5C3E0" w14:textId="10E638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00F83A49" w:rsidRPr="00813924">
              <w:rPr>
                <w:rFonts w:ascii="Times New Roman" w:hAnsi="Times New Roman" w:cs="Times New Roman"/>
                <w:sz w:val="17"/>
                <w:szCs w:val="17"/>
                <w:u w:val="single"/>
                <w:lang w:val="en-GB"/>
              </w:rPr>
              <w:t>:</w:t>
            </w:r>
            <w:r w:rsidRPr="00813924">
              <w:rPr>
                <w:rFonts w:ascii="Times New Roman" w:hAnsi="Times New Roman" w:cs="Times New Roman"/>
                <w:sz w:val="17"/>
                <w:szCs w:val="17"/>
                <w:lang w:val="en-GB"/>
              </w:rPr>
              <w:t xml:space="preserve"> 40%</w:t>
            </w:r>
          </w:p>
          <w:p w14:paraId="61BAD7EF" w14:textId="53D5B824"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ED0D62">
              <w:rPr>
                <w:rFonts w:ascii="Times New Roman" w:hAnsi="Times New Roman" w:cs="Times New Roman"/>
                <w:sz w:val="17"/>
                <w:szCs w:val="17"/>
                <w:lang w:val="en-GB"/>
              </w:rPr>
              <w:t>Office of Management and Human Resources</w:t>
            </w:r>
          </w:p>
        </w:tc>
        <w:tc>
          <w:tcPr>
            <w:tcW w:w="3600" w:type="dxa"/>
            <w:vMerge w:val="restart"/>
          </w:tcPr>
          <w:p w14:paraId="57FAD014"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lastRenderedPageBreak/>
              <w:t>Prime Minister</w:t>
            </w:r>
          </w:p>
          <w:p w14:paraId="5059B421" w14:textId="5E5ADC9F" w:rsidR="006C7266" w:rsidRPr="00ED0D62" w:rsidRDefault="006C7266" w:rsidP="00DD0FED">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Ministr</w:t>
            </w:r>
            <w:r w:rsidR="00ED0D62">
              <w:rPr>
                <w:rFonts w:ascii="Times New Roman" w:hAnsi="Times New Roman" w:cs="Times New Roman"/>
                <w:sz w:val="17"/>
                <w:szCs w:val="17"/>
                <w:lang w:val="en-GB"/>
              </w:rPr>
              <w:t>ies</w:t>
            </w:r>
            <w:r w:rsidRPr="00813924">
              <w:rPr>
                <w:rFonts w:ascii="Times New Roman" w:hAnsi="Times New Roman" w:cs="Times New Roman"/>
                <w:sz w:val="17"/>
                <w:szCs w:val="17"/>
                <w:lang w:val="en-GB"/>
              </w:rPr>
              <w:t xml:space="preserve"> of Defence</w:t>
            </w:r>
            <w:r w:rsidR="00ED0D62">
              <w:rPr>
                <w:rFonts w:ascii="Times New Roman" w:hAnsi="Times New Roman" w:cs="Times New Roman"/>
                <w:sz w:val="17"/>
                <w:szCs w:val="17"/>
                <w:lang w:val="en-GB"/>
              </w:rPr>
              <w:t xml:space="preserve">; of </w:t>
            </w:r>
            <w:r w:rsidRPr="00ED0D62">
              <w:rPr>
                <w:rFonts w:ascii="Times New Roman" w:hAnsi="Times New Roman" w:cs="Times New Roman"/>
                <w:sz w:val="17"/>
                <w:szCs w:val="17"/>
                <w:lang w:val="en-GB"/>
              </w:rPr>
              <w:t>Foreign Affairs</w:t>
            </w:r>
            <w:r w:rsidR="00ED0D62" w:rsidRPr="00ED0D62">
              <w:rPr>
                <w:rFonts w:ascii="Times New Roman" w:hAnsi="Times New Roman" w:cs="Times New Roman"/>
                <w:sz w:val="17"/>
                <w:szCs w:val="17"/>
                <w:lang w:val="en-GB"/>
              </w:rPr>
              <w:t xml:space="preserve">; of Interior and Territorial Collectivities; of Justice and Public Security; of Planning and External Cooperation; </w:t>
            </w:r>
            <w:r w:rsidRPr="00ED0D62">
              <w:rPr>
                <w:rFonts w:ascii="Times New Roman" w:hAnsi="Times New Roman" w:cs="Times New Roman"/>
                <w:sz w:val="17"/>
                <w:szCs w:val="17"/>
                <w:lang w:val="en-GB"/>
              </w:rPr>
              <w:t xml:space="preserve"> of Public Works, Transport and Communication</w:t>
            </w:r>
            <w:r w:rsidR="00ED0D62" w:rsidRPr="00ED0D62">
              <w:rPr>
                <w:rFonts w:ascii="Times New Roman" w:hAnsi="Times New Roman" w:cs="Times New Roman"/>
                <w:sz w:val="17"/>
                <w:szCs w:val="17"/>
                <w:lang w:val="en-GB"/>
              </w:rPr>
              <w:t xml:space="preserve">; </w:t>
            </w:r>
            <w:r w:rsidRPr="00ED0D62">
              <w:rPr>
                <w:rFonts w:ascii="Times New Roman" w:hAnsi="Times New Roman" w:cs="Times New Roman"/>
                <w:sz w:val="17"/>
                <w:szCs w:val="17"/>
                <w:lang w:val="en-GB"/>
              </w:rPr>
              <w:t>of Women’s Affairs and Women’s Rights</w:t>
            </w:r>
            <w:r w:rsidR="00ED0D62" w:rsidRPr="00ED0D62">
              <w:rPr>
                <w:rFonts w:ascii="Times New Roman" w:hAnsi="Times New Roman" w:cs="Times New Roman"/>
                <w:sz w:val="17"/>
                <w:szCs w:val="17"/>
                <w:lang w:val="en-GB"/>
              </w:rPr>
              <w:t>;</w:t>
            </w:r>
            <w:r w:rsidRPr="00ED0D62">
              <w:rPr>
                <w:rFonts w:ascii="Times New Roman" w:hAnsi="Times New Roman" w:cs="Times New Roman"/>
                <w:sz w:val="17"/>
                <w:szCs w:val="17"/>
                <w:lang w:val="en-GB"/>
              </w:rPr>
              <w:t xml:space="preserve"> of Youth, Sports and Civic Action </w:t>
            </w:r>
          </w:p>
          <w:p w14:paraId="1C602A6F"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Superior Council of Judicial Power</w:t>
            </w:r>
          </w:p>
          <w:p w14:paraId="3048B300"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Directorate of the Penitentiary Administration</w:t>
            </w:r>
          </w:p>
          <w:p w14:paraId="7007D632" w14:textId="5ECEB09A"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National Council for Legal Assistance </w:t>
            </w:r>
          </w:p>
          <w:p w14:paraId="77B13C23" w14:textId="3A59F2EA"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Anti-Corruption Unit </w:t>
            </w:r>
          </w:p>
          <w:p w14:paraId="655D1435"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Central Financial Intelligence Unit  </w:t>
            </w:r>
          </w:p>
          <w:p w14:paraId="3EDD1B15" w14:textId="27C8D539"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General Inspectorate of the National Police of Haiti </w:t>
            </w:r>
          </w:p>
          <w:p w14:paraId="4364C8B3" w14:textId="5EA8B9DB"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Inter</w:t>
            </w:r>
            <w:r w:rsidR="00830AE0">
              <w:rPr>
                <w:rFonts w:ascii="Times New Roman" w:hAnsi="Times New Roman" w:cs="Times New Roman"/>
                <w:sz w:val="17"/>
                <w:szCs w:val="17"/>
                <w:lang w:val="en-GB"/>
              </w:rPr>
              <w:t>ministerial</w:t>
            </w:r>
            <w:r w:rsidRPr="00813924">
              <w:rPr>
                <w:rFonts w:ascii="Times New Roman" w:hAnsi="Times New Roman" w:cs="Times New Roman"/>
                <w:sz w:val="17"/>
                <w:szCs w:val="17"/>
                <w:lang w:val="en-GB"/>
              </w:rPr>
              <w:t xml:space="preserve"> Task Force </w:t>
            </w:r>
          </w:p>
          <w:p w14:paraId="0C744D3A" w14:textId="09EEF1B6" w:rsidR="006C7266" w:rsidRPr="00813924" w:rsidRDefault="00ED0D62" w:rsidP="00780D85">
            <w:pPr>
              <w:pStyle w:val="ListParagraph"/>
              <w:numPr>
                <w:ilvl w:val="0"/>
                <w:numId w:val="15"/>
              </w:numPr>
              <w:ind w:left="256" w:hanging="270"/>
              <w:contextualSpacing w:val="0"/>
              <w:rPr>
                <w:rFonts w:ascii="Times New Roman" w:hAnsi="Times New Roman" w:cs="Times New Roman"/>
                <w:sz w:val="17"/>
                <w:szCs w:val="17"/>
                <w:lang w:val="en-GB"/>
              </w:rPr>
            </w:pPr>
            <w:r>
              <w:rPr>
                <w:rFonts w:ascii="Times New Roman" w:hAnsi="Times New Roman" w:cs="Times New Roman"/>
                <w:sz w:val="17"/>
                <w:szCs w:val="17"/>
                <w:lang w:val="en-GB"/>
              </w:rPr>
              <w:t>National Police</w:t>
            </w:r>
          </w:p>
          <w:p w14:paraId="64C36782" w14:textId="2EBB7CDB"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National Commission for Disarmament, Dismantling and Reintegration</w:t>
            </w:r>
          </w:p>
          <w:p w14:paraId="3766E455" w14:textId="49A81C71" w:rsidR="006C7266" w:rsidRPr="00813924" w:rsidRDefault="00CB7BA8" w:rsidP="00780D85">
            <w:pPr>
              <w:pStyle w:val="ListParagraph"/>
              <w:numPr>
                <w:ilvl w:val="0"/>
                <w:numId w:val="15"/>
              </w:numPr>
              <w:ind w:left="256" w:hanging="270"/>
              <w:contextualSpacing w:val="0"/>
              <w:rPr>
                <w:rFonts w:ascii="Times New Roman" w:hAnsi="Times New Roman" w:cs="Times New Roman"/>
                <w:sz w:val="17"/>
                <w:szCs w:val="17"/>
                <w:lang w:val="en-GB"/>
              </w:rPr>
            </w:pPr>
            <w:r>
              <w:rPr>
                <w:rFonts w:ascii="Times New Roman" w:hAnsi="Times New Roman" w:cs="Times New Roman"/>
                <w:sz w:val="17"/>
                <w:szCs w:val="17"/>
                <w:lang w:val="en-GB"/>
              </w:rPr>
              <w:t xml:space="preserve">Provisional </w:t>
            </w:r>
            <w:r w:rsidR="000A4D3A" w:rsidRPr="00813924">
              <w:rPr>
                <w:rFonts w:ascii="Times New Roman" w:hAnsi="Times New Roman" w:cs="Times New Roman"/>
                <w:sz w:val="17"/>
                <w:szCs w:val="17"/>
                <w:lang w:val="en-GB"/>
              </w:rPr>
              <w:t>Electoral Council</w:t>
            </w:r>
          </w:p>
          <w:p w14:paraId="01525F42"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Office for the Protection of the Citizen </w:t>
            </w:r>
          </w:p>
          <w:p w14:paraId="501D1A4D"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Haitian Women’s Collective for Women’s Political Participation</w:t>
            </w:r>
          </w:p>
          <w:p w14:paraId="0786E613"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Foundation Je Klere</w:t>
            </w:r>
          </w:p>
          <w:p w14:paraId="5D352DA2"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People for Development</w:t>
            </w:r>
          </w:p>
          <w:p w14:paraId="5C248BAC" w14:textId="69B197B3" w:rsidR="006C7266" w:rsidRPr="00813924" w:rsidRDefault="00BE29F5" w:rsidP="00780D85">
            <w:pPr>
              <w:pStyle w:val="ListParagraph"/>
              <w:numPr>
                <w:ilvl w:val="0"/>
                <w:numId w:val="15"/>
              </w:numPr>
              <w:ind w:left="256" w:hanging="270"/>
              <w:contextualSpacing w:val="0"/>
              <w:rPr>
                <w:rFonts w:ascii="Times New Roman" w:hAnsi="Times New Roman" w:cs="Times New Roman"/>
                <w:sz w:val="17"/>
                <w:szCs w:val="17"/>
                <w:lang w:val="en-US"/>
              </w:rPr>
            </w:pPr>
            <w:r w:rsidRPr="00813924">
              <w:rPr>
                <w:rFonts w:ascii="Times New Roman" w:hAnsi="Times New Roman" w:cs="Times New Roman"/>
                <w:sz w:val="17"/>
                <w:szCs w:val="17"/>
                <w:lang w:val="en-US"/>
              </w:rPr>
              <w:t xml:space="preserve">Haitian Vision </w:t>
            </w:r>
            <w:r w:rsidR="00D72482" w:rsidRPr="00813924">
              <w:rPr>
                <w:rFonts w:ascii="Times New Roman" w:hAnsi="Times New Roman" w:cs="Times New Roman"/>
                <w:sz w:val="17"/>
                <w:szCs w:val="17"/>
                <w:lang w:val="en-US"/>
              </w:rPr>
              <w:t>of</w:t>
            </w:r>
            <w:r w:rsidRPr="00813924">
              <w:rPr>
                <w:rFonts w:ascii="Times New Roman" w:hAnsi="Times New Roman" w:cs="Times New Roman"/>
                <w:sz w:val="17"/>
                <w:szCs w:val="17"/>
                <w:lang w:val="en-US"/>
              </w:rPr>
              <w:t xml:space="preserve"> Human Rights</w:t>
            </w:r>
            <w:r w:rsidR="006C7266" w:rsidRPr="00813924">
              <w:rPr>
                <w:rFonts w:ascii="Times New Roman" w:hAnsi="Times New Roman" w:cs="Times New Roman"/>
                <w:sz w:val="17"/>
                <w:szCs w:val="17"/>
                <w:lang w:val="en-US"/>
              </w:rPr>
              <w:t xml:space="preserve"> </w:t>
            </w:r>
          </w:p>
          <w:p w14:paraId="010F2DF0" w14:textId="2384E236" w:rsidR="006C7266" w:rsidRPr="00813924" w:rsidRDefault="00F913D4" w:rsidP="00780D85">
            <w:pPr>
              <w:pStyle w:val="ListParagraph"/>
              <w:numPr>
                <w:ilvl w:val="0"/>
                <w:numId w:val="15"/>
              </w:numPr>
              <w:ind w:left="256" w:hanging="270"/>
              <w:contextualSpacing w:val="0"/>
              <w:rPr>
                <w:rFonts w:ascii="Times New Roman" w:hAnsi="Times New Roman" w:cs="Times New Roman"/>
                <w:sz w:val="17"/>
                <w:szCs w:val="17"/>
                <w:lang w:val="en-US"/>
              </w:rPr>
            </w:pPr>
            <w:r w:rsidRPr="00813924">
              <w:rPr>
                <w:rFonts w:ascii="Times New Roman" w:hAnsi="Times New Roman" w:cs="Times New Roman"/>
                <w:sz w:val="17"/>
                <w:szCs w:val="17"/>
                <w:lang w:val="en-US"/>
              </w:rPr>
              <w:t xml:space="preserve">Citizen’s </w:t>
            </w:r>
            <w:r w:rsidR="00A12B93" w:rsidRPr="00813924">
              <w:rPr>
                <w:rFonts w:ascii="Times New Roman" w:hAnsi="Times New Roman" w:cs="Times New Roman"/>
                <w:sz w:val="17"/>
                <w:szCs w:val="17"/>
                <w:lang w:val="en-US"/>
              </w:rPr>
              <w:t>Organization for a New Haiti</w:t>
            </w:r>
          </w:p>
          <w:p w14:paraId="3E620B9B" w14:textId="11A152BD"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Blue Earth</w:t>
            </w:r>
            <w:r w:rsidR="008F1F5B" w:rsidRPr="00813924">
              <w:rPr>
                <w:rFonts w:ascii="Times New Roman" w:hAnsi="Times New Roman" w:cs="Times New Roman"/>
                <w:sz w:val="17"/>
                <w:szCs w:val="17"/>
                <w:lang w:val="en-GB"/>
              </w:rPr>
              <w:t xml:space="preserve"> Foundation</w:t>
            </w:r>
          </w:p>
          <w:p w14:paraId="526414B9"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Lawyers Without Borders -Canada </w:t>
            </w:r>
          </w:p>
          <w:p w14:paraId="647BD339"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Lakou La Pè</w:t>
            </w:r>
          </w:p>
          <w:p w14:paraId="7D631FA0"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Viva Rio</w:t>
            </w:r>
          </w:p>
          <w:p w14:paraId="5EC128DF" w14:textId="273135E3" w:rsidR="006C7266" w:rsidRPr="00813924" w:rsidRDefault="00DE34BD" w:rsidP="00780D85">
            <w:pPr>
              <w:pStyle w:val="ListParagraph"/>
              <w:numPr>
                <w:ilvl w:val="0"/>
                <w:numId w:val="15"/>
              </w:numPr>
              <w:ind w:left="256" w:hanging="270"/>
              <w:contextualSpacing w:val="0"/>
              <w:rPr>
                <w:rFonts w:ascii="Times New Roman" w:hAnsi="Times New Roman" w:cs="Times New Roman"/>
                <w:sz w:val="17"/>
                <w:szCs w:val="17"/>
                <w:lang w:val="en-US"/>
              </w:rPr>
            </w:pPr>
            <w:r w:rsidRPr="00813924">
              <w:rPr>
                <w:rFonts w:ascii="Times New Roman" w:hAnsi="Times New Roman" w:cs="Times New Roman"/>
                <w:sz w:val="17"/>
                <w:szCs w:val="17"/>
                <w:lang w:val="en-US"/>
              </w:rPr>
              <w:lastRenderedPageBreak/>
              <w:t>Mobile Institute for Education and Democracy</w:t>
            </w:r>
          </w:p>
          <w:p w14:paraId="326F8B6B" w14:textId="25ED1903" w:rsidR="006C7266" w:rsidRPr="00813924" w:rsidRDefault="00CB7BA8" w:rsidP="00780D85">
            <w:pPr>
              <w:pStyle w:val="ListParagraph"/>
              <w:numPr>
                <w:ilvl w:val="0"/>
                <w:numId w:val="15"/>
              </w:numPr>
              <w:ind w:left="256" w:hanging="270"/>
              <w:contextualSpacing w:val="0"/>
              <w:rPr>
                <w:rFonts w:ascii="Times New Roman" w:hAnsi="Times New Roman" w:cs="Times New Roman"/>
                <w:sz w:val="17"/>
                <w:szCs w:val="17"/>
                <w:lang w:val="en-GB"/>
              </w:rPr>
            </w:pPr>
            <w:r>
              <w:rPr>
                <w:rFonts w:ascii="Times New Roman" w:hAnsi="Times New Roman" w:cs="Times New Roman"/>
                <w:sz w:val="17"/>
                <w:szCs w:val="17"/>
                <w:lang w:val="en-GB"/>
              </w:rPr>
              <w:t xml:space="preserve">Governments of Canada, France, Germany, Italy, Switzerland, </w:t>
            </w:r>
            <w:r w:rsidR="006C7266" w:rsidRPr="00813924">
              <w:rPr>
                <w:rFonts w:ascii="Times New Roman" w:hAnsi="Times New Roman" w:cs="Times New Roman"/>
                <w:sz w:val="17"/>
                <w:szCs w:val="17"/>
                <w:lang w:val="en-GB"/>
              </w:rPr>
              <w:t xml:space="preserve">United States </w:t>
            </w:r>
          </w:p>
          <w:p w14:paraId="655720F2"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European Union</w:t>
            </w:r>
          </w:p>
          <w:p w14:paraId="0AD5E119" w14:textId="0C0D850F" w:rsidR="006C7266" w:rsidRPr="00813924" w:rsidRDefault="00F31198"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Organization </w:t>
            </w:r>
            <w:r w:rsidR="006C7266" w:rsidRPr="00813924">
              <w:rPr>
                <w:rFonts w:ascii="Times New Roman" w:hAnsi="Times New Roman" w:cs="Times New Roman"/>
                <w:sz w:val="17"/>
                <w:szCs w:val="17"/>
                <w:lang w:val="en-GB"/>
              </w:rPr>
              <w:t>of American States</w:t>
            </w:r>
          </w:p>
          <w:p w14:paraId="4A293999" w14:textId="303ABD55"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IMF</w:t>
            </w:r>
          </w:p>
          <w:p w14:paraId="57A7670A" w14:textId="33C877C2" w:rsidR="006C7266" w:rsidRPr="00813924" w:rsidRDefault="00CB7BA8" w:rsidP="00780D85">
            <w:pPr>
              <w:pStyle w:val="ListParagraph"/>
              <w:numPr>
                <w:ilvl w:val="0"/>
                <w:numId w:val="15"/>
              </w:numPr>
              <w:ind w:left="256" w:hanging="270"/>
              <w:contextualSpacing w:val="0"/>
              <w:rPr>
                <w:rFonts w:ascii="Times New Roman" w:hAnsi="Times New Roman" w:cs="Times New Roman"/>
                <w:sz w:val="17"/>
                <w:szCs w:val="17"/>
                <w:lang w:val="en-GB"/>
              </w:rPr>
            </w:pPr>
            <w:r>
              <w:rPr>
                <w:rFonts w:ascii="Times New Roman" w:hAnsi="Times New Roman" w:cs="Times New Roman"/>
                <w:sz w:val="17"/>
                <w:szCs w:val="17"/>
                <w:lang w:val="en-GB"/>
              </w:rPr>
              <w:t>BINUH</w:t>
            </w:r>
          </w:p>
          <w:p w14:paraId="4C28C598"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IOM</w:t>
            </w:r>
          </w:p>
          <w:p w14:paraId="533145B0"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OHCHR</w:t>
            </w:r>
          </w:p>
          <w:p w14:paraId="244B593D"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UNFPA</w:t>
            </w:r>
          </w:p>
          <w:p w14:paraId="79AB4D00"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UNICEF</w:t>
            </w:r>
          </w:p>
          <w:p w14:paraId="3BB60305"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UNOPS</w:t>
            </w:r>
          </w:p>
          <w:p w14:paraId="509EA0C5" w14:textId="77777777"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UNODC </w:t>
            </w:r>
          </w:p>
          <w:p w14:paraId="228F83F9" w14:textId="1864447E" w:rsidR="006C7266" w:rsidRPr="00813924" w:rsidRDefault="006C7266" w:rsidP="00780D85">
            <w:pPr>
              <w:pStyle w:val="ListParagraph"/>
              <w:numPr>
                <w:ilvl w:val="0"/>
                <w:numId w:val="15"/>
              </w:numPr>
              <w:ind w:left="256" w:hanging="270"/>
              <w:contextualSpacing w:val="0"/>
              <w:rPr>
                <w:rFonts w:ascii="Times New Roman" w:hAnsi="Times New Roman" w:cs="Times New Roman"/>
                <w:sz w:val="17"/>
                <w:szCs w:val="17"/>
                <w:lang w:val="en-GB"/>
              </w:rPr>
            </w:pPr>
            <w:r w:rsidRPr="00813924">
              <w:rPr>
                <w:rFonts w:ascii="Times New Roman" w:hAnsi="Times New Roman" w:cs="Times New Roman"/>
                <w:sz w:val="17"/>
                <w:szCs w:val="17"/>
                <w:lang w:val="en-GB"/>
              </w:rPr>
              <w:t>UN-Women</w:t>
            </w:r>
          </w:p>
        </w:tc>
        <w:tc>
          <w:tcPr>
            <w:tcW w:w="1667" w:type="dxa"/>
            <w:vMerge w:val="restart"/>
            <w:shd w:val="clear" w:color="auto" w:fill="auto"/>
          </w:tcPr>
          <w:p w14:paraId="76C6A57F" w14:textId="14558722"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lastRenderedPageBreak/>
              <w:t xml:space="preserve">Regular </w:t>
            </w:r>
            <w:r w:rsidR="00816039"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r w:rsidRPr="00813924">
              <w:rPr>
                <w:rFonts w:ascii="Times New Roman" w:hAnsi="Times New Roman" w:cs="Times New Roman"/>
                <w:sz w:val="17"/>
                <w:szCs w:val="17"/>
                <w:lang w:val="en-GB"/>
              </w:rPr>
              <w:t xml:space="preserve">: </w:t>
            </w:r>
          </w:p>
          <w:p w14:paraId="61B8D14E" w14:textId="5D96606D" w:rsidR="00EA3523" w:rsidRPr="00813924" w:rsidRDefault="006C7266" w:rsidP="00EA3523">
            <w:pPr>
              <w:rPr>
                <w:rFonts w:ascii="Times New Roman" w:hAnsi="Times New Roman" w:cs="Times New Roman"/>
                <w:sz w:val="17"/>
                <w:szCs w:val="17"/>
                <w:lang w:val="en-GB"/>
              </w:rPr>
            </w:pPr>
            <w:r w:rsidRPr="00813924">
              <w:rPr>
                <w:rFonts w:ascii="Times New Roman" w:hAnsi="Times New Roman" w:cs="Times New Roman"/>
                <w:sz w:val="17"/>
                <w:szCs w:val="17"/>
                <w:lang w:val="en-GB"/>
              </w:rPr>
              <w:t>$</w:t>
            </w:r>
            <w:r w:rsidR="00EA3523" w:rsidRPr="00813924">
              <w:rPr>
                <w:rFonts w:ascii="Times New Roman" w:hAnsi="Times New Roman" w:cs="Times New Roman"/>
                <w:color w:val="000000"/>
                <w:sz w:val="17"/>
                <w:szCs w:val="17"/>
              </w:rPr>
              <w:t>5,</w:t>
            </w:r>
            <w:r w:rsidR="00A6721C" w:rsidRPr="00813924">
              <w:rPr>
                <w:rFonts w:ascii="Times New Roman" w:hAnsi="Times New Roman" w:cs="Times New Roman"/>
                <w:color w:val="000000"/>
                <w:sz w:val="17"/>
                <w:szCs w:val="17"/>
              </w:rPr>
              <w:t>590</w:t>
            </w:r>
            <w:r w:rsidR="00EA3523" w:rsidRPr="00813924">
              <w:rPr>
                <w:rFonts w:ascii="Times New Roman" w:hAnsi="Times New Roman" w:cs="Times New Roman"/>
                <w:color w:val="000000"/>
                <w:sz w:val="17"/>
                <w:szCs w:val="17"/>
              </w:rPr>
              <w:t xml:space="preserve">,000 </w:t>
            </w:r>
          </w:p>
          <w:p w14:paraId="383FF82F" w14:textId="77777777" w:rsidR="006C7266" w:rsidRPr="00813924" w:rsidRDefault="006C7266" w:rsidP="00780D85">
            <w:pPr>
              <w:rPr>
                <w:rFonts w:ascii="Times New Roman" w:hAnsi="Times New Roman" w:cs="Times New Roman"/>
                <w:sz w:val="17"/>
                <w:szCs w:val="17"/>
                <w:lang w:val="en-GB"/>
              </w:rPr>
            </w:pPr>
          </w:p>
          <w:p w14:paraId="092106BC" w14:textId="6AAB4845"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Other </w:t>
            </w:r>
            <w:r w:rsidR="00816039"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r w:rsidRPr="00813924">
              <w:rPr>
                <w:rFonts w:ascii="Times New Roman" w:hAnsi="Times New Roman" w:cs="Times New Roman"/>
                <w:sz w:val="17"/>
                <w:szCs w:val="17"/>
                <w:lang w:val="en-GB"/>
              </w:rPr>
              <w:t xml:space="preserve">: </w:t>
            </w:r>
          </w:p>
          <w:p w14:paraId="4E42C59C" w14:textId="0C1C5BD2" w:rsidR="00891D48" w:rsidRPr="00813924" w:rsidRDefault="006C7266" w:rsidP="00891D48">
            <w:pPr>
              <w:rPr>
                <w:rFonts w:ascii="Times New Roman" w:hAnsi="Times New Roman" w:cs="Times New Roman"/>
                <w:sz w:val="17"/>
                <w:szCs w:val="17"/>
                <w:lang w:val="en-GB"/>
              </w:rPr>
            </w:pPr>
            <w:r w:rsidRPr="00813924">
              <w:rPr>
                <w:rFonts w:ascii="Times New Roman" w:hAnsi="Times New Roman" w:cs="Times New Roman"/>
                <w:sz w:val="17"/>
                <w:szCs w:val="17"/>
                <w:lang w:val="en-GB"/>
              </w:rPr>
              <w:t>$</w:t>
            </w:r>
            <w:r w:rsidR="00891D48" w:rsidRPr="00813924">
              <w:rPr>
                <w:rFonts w:ascii="Times New Roman" w:hAnsi="Times New Roman" w:cs="Times New Roman"/>
                <w:color w:val="000000"/>
                <w:sz w:val="17"/>
                <w:szCs w:val="17"/>
              </w:rPr>
              <w:t xml:space="preserve">77,270,000 </w:t>
            </w:r>
          </w:p>
          <w:p w14:paraId="530BFDBD" w14:textId="35108A08" w:rsidR="006C7266" w:rsidRPr="00813924" w:rsidRDefault="006C7266" w:rsidP="00780D85">
            <w:pPr>
              <w:rPr>
                <w:rFonts w:ascii="Times New Roman" w:hAnsi="Times New Roman" w:cs="Times New Roman"/>
                <w:sz w:val="17"/>
                <w:szCs w:val="17"/>
                <w:lang w:val="en-GB"/>
              </w:rPr>
            </w:pPr>
          </w:p>
        </w:tc>
      </w:tr>
      <w:tr w:rsidR="006C7266" w:rsidRPr="00813924" w14:paraId="6D88FA9B" w14:textId="77777777" w:rsidTr="00F204CC">
        <w:trPr>
          <w:gridAfter w:val="1"/>
          <w:wAfter w:w="43" w:type="dxa"/>
        </w:trPr>
        <w:tc>
          <w:tcPr>
            <w:tcW w:w="2653" w:type="dxa"/>
            <w:vMerge/>
          </w:tcPr>
          <w:p w14:paraId="665406BB" w14:textId="77777777" w:rsidR="006C7266" w:rsidRPr="00813924" w:rsidRDefault="006C7266" w:rsidP="00780D85">
            <w:pPr>
              <w:rPr>
                <w:rFonts w:ascii="Times New Roman" w:hAnsi="Times New Roman" w:cs="Times New Roman"/>
                <w:sz w:val="17"/>
                <w:szCs w:val="17"/>
                <w:lang w:val="en-GB"/>
              </w:rPr>
            </w:pPr>
          </w:p>
        </w:tc>
        <w:tc>
          <w:tcPr>
            <w:tcW w:w="2643" w:type="dxa"/>
            <w:gridSpan w:val="3"/>
            <w:vMerge/>
          </w:tcPr>
          <w:p w14:paraId="40932513" w14:textId="77777777" w:rsidR="006C7266" w:rsidRPr="00813924" w:rsidRDefault="006C7266" w:rsidP="00780D85">
            <w:pPr>
              <w:rPr>
                <w:rFonts w:ascii="Times New Roman" w:hAnsi="Times New Roman" w:cs="Times New Roman"/>
                <w:sz w:val="17"/>
                <w:szCs w:val="17"/>
                <w:lang w:val="en-GB"/>
              </w:rPr>
            </w:pPr>
          </w:p>
        </w:tc>
        <w:tc>
          <w:tcPr>
            <w:tcW w:w="3429" w:type="dxa"/>
            <w:gridSpan w:val="2"/>
          </w:tcPr>
          <w:p w14:paraId="68022E61" w14:textId="13D28326" w:rsidR="006C7266" w:rsidRPr="00813924" w:rsidRDefault="006C7266" w:rsidP="00780D85">
            <w:pPr>
              <w:pStyle w:val="NormalWeb"/>
              <w:shd w:val="clear" w:color="auto" w:fill="FFFFFF"/>
              <w:spacing w:before="0" w:beforeAutospacing="0" w:after="0" w:afterAutospacing="0"/>
              <w:rPr>
                <w:b/>
                <w:bCs/>
                <w:sz w:val="17"/>
                <w:szCs w:val="17"/>
                <w:lang w:val="en-GB"/>
              </w:rPr>
            </w:pPr>
            <w:r w:rsidRPr="00813924">
              <w:rPr>
                <w:b/>
                <w:bCs/>
                <w:sz w:val="17"/>
                <w:szCs w:val="17"/>
                <w:lang w:val="en-GB"/>
              </w:rPr>
              <w:t xml:space="preserve">Output1.2: The judiciary </w:t>
            </w:r>
            <w:r w:rsidR="00153206" w:rsidRPr="00813924">
              <w:rPr>
                <w:b/>
                <w:bCs/>
                <w:sz w:val="17"/>
                <w:szCs w:val="17"/>
                <w:lang w:val="en-GB"/>
              </w:rPr>
              <w:t>is more independent</w:t>
            </w:r>
            <w:r w:rsidR="00063026" w:rsidRPr="00813924">
              <w:rPr>
                <w:b/>
                <w:bCs/>
                <w:sz w:val="17"/>
                <w:szCs w:val="17"/>
                <w:lang w:val="en-GB"/>
              </w:rPr>
              <w:t>,</w:t>
            </w:r>
            <w:r w:rsidR="00153206" w:rsidRPr="00813924">
              <w:rPr>
                <w:b/>
                <w:bCs/>
                <w:sz w:val="17"/>
                <w:szCs w:val="17"/>
                <w:lang w:val="en-GB"/>
              </w:rPr>
              <w:t xml:space="preserve"> </w:t>
            </w:r>
            <w:r w:rsidRPr="00813924">
              <w:rPr>
                <w:b/>
                <w:bCs/>
                <w:sz w:val="17"/>
                <w:szCs w:val="17"/>
                <w:lang w:val="en-GB"/>
              </w:rPr>
              <w:t xml:space="preserve">and the most vulnerable are better able to access fair justice that respects human rights, and the fight against corruption </w:t>
            </w:r>
          </w:p>
          <w:p w14:paraId="36BA2F55" w14:textId="77777777" w:rsidR="006C7266" w:rsidRPr="00813924" w:rsidRDefault="006C7266" w:rsidP="00780D85">
            <w:pPr>
              <w:rPr>
                <w:rFonts w:ascii="Times New Roman" w:hAnsi="Times New Roman" w:cs="Times New Roman"/>
                <w:sz w:val="17"/>
                <w:szCs w:val="17"/>
                <w:u w:val="single"/>
                <w:lang w:val="en-GB"/>
              </w:rPr>
            </w:pPr>
          </w:p>
          <w:p w14:paraId="1FB69F88" w14:textId="3A5E2727"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 xml:space="preserve">Indicator 1.2.1: </w:t>
            </w:r>
            <w:r w:rsidRPr="00813924">
              <w:rPr>
                <w:rFonts w:ascii="Times New Roman" w:eastAsia="Times New Roman" w:hAnsi="Times New Roman" w:cs="Times New Roman"/>
                <w:sz w:val="17"/>
                <w:szCs w:val="17"/>
                <w:lang w:val="en-US"/>
              </w:rPr>
              <w:t>Number of measures to strengthen accountability</w:t>
            </w:r>
            <w:r w:rsidR="001F2BDD" w:rsidRPr="00813924">
              <w:rPr>
                <w:rFonts w:ascii="Times New Roman" w:eastAsia="Times New Roman" w:hAnsi="Times New Roman" w:cs="Times New Roman"/>
                <w:sz w:val="17"/>
                <w:szCs w:val="17"/>
                <w:lang w:val="en-US"/>
              </w:rPr>
              <w:t xml:space="preserve"> </w:t>
            </w:r>
            <w:r w:rsidRPr="00813924">
              <w:rPr>
                <w:rFonts w:ascii="Times New Roman" w:eastAsia="Times New Roman" w:hAnsi="Times New Roman" w:cs="Times New Roman"/>
                <w:sz w:val="17"/>
                <w:szCs w:val="17"/>
                <w:lang w:val="en-US"/>
              </w:rPr>
              <w:t>(including social accountability), prevent and mitigate corruption risks, and integrate</w:t>
            </w:r>
            <w:r w:rsidR="001F2BDD" w:rsidRPr="00813924">
              <w:rPr>
                <w:rFonts w:ascii="Times New Roman" w:eastAsia="Times New Roman" w:hAnsi="Times New Roman" w:cs="Times New Roman"/>
                <w:sz w:val="17"/>
                <w:szCs w:val="17"/>
                <w:lang w:val="en-US"/>
              </w:rPr>
              <w:t xml:space="preserve"> </w:t>
            </w:r>
            <w:r w:rsidRPr="00813924">
              <w:rPr>
                <w:rFonts w:ascii="Times New Roman" w:eastAsia="Times New Roman" w:hAnsi="Times New Roman" w:cs="Times New Roman"/>
                <w:sz w:val="17"/>
                <w:szCs w:val="17"/>
                <w:lang w:val="en-US"/>
              </w:rPr>
              <w:t>anti-corruption in the management of</w:t>
            </w:r>
            <w:r w:rsidR="001F2BDD" w:rsidRPr="00813924">
              <w:rPr>
                <w:rFonts w:ascii="Times New Roman" w:eastAsia="Times New Roman" w:hAnsi="Times New Roman" w:cs="Times New Roman"/>
                <w:sz w:val="17"/>
                <w:szCs w:val="17"/>
                <w:lang w:val="en-US"/>
              </w:rPr>
              <w:t xml:space="preserve"> </w:t>
            </w:r>
            <w:r w:rsidRPr="00813924">
              <w:rPr>
                <w:rFonts w:ascii="Times New Roman" w:eastAsia="Times New Roman" w:hAnsi="Times New Roman" w:cs="Times New Roman"/>
                <w:sz w:val="17"/>
                <w:szCs w:val="17"/>
                <w:lang w:val="en-US"/>
              </w:rPr>
              <w:t xml:space="preserve">public funds, service delivery and other sectors at </w:t>
            </w:r>
            <w:r w:rsidR="00063026" w:rsidRPr="00813924">
              <w:rPr>
                <w:rFonts w:ascii="Times New Roman" w:eastAsia="Times New Roman" w:hAnsi="Times New Roman" w:cs="Times New Roman"/>
                <w:sz w:val="17"/>
                <w:szCs w:val="17"/>
                <w:lang w:val="en-US"/>
              </w:rPr>
              <w:t xml:space="preserve">the </w:t>
            </w:r>
            <w:r w:rsidRPr="00813924">
              <w:rPr>
                <w:rFonts w:ascii="Times New Roman" w:eastAsia="Times New Roman" w:hAnsi="Times New Roman" w:cs="Times New Roman"/>
                <w:sz w:val="17"/>
                <w:szCs w:val="17"/>
                <w:lang w:val="en-US"/>
              </w:rPr>
              <w:t>national and provincial level</w:t>
            </w:r>
            <w:r w:rsidR="00B8351B" w:rsidRPr="00813924">
              <w:rPr>
                <w:rFonts w:ascii="Times New Roman" w:eastAsia="Times New Roman" w:hAnsi="Times New Roman" w:cs="Times New Roman"/>
                <w:sz w:val="17"/>
                <w:szCs w:val="17"/>
                <w:lang w:val="en-US"/>
              </w:rPr>
              <w:t xml:space="preserve"> </w:t>
            </w:r>
            <w:r w:rsidRPr="00813924">
              <w:rPr>
                <w:rFonts w:ascii="Times New Roman" w:hAnsi="Times New Roman" w:cs="Times New Roman"/>
                <w:sz w:val="17"/>
                <w:szCs w:val="17"/>
                <w:lang w:val="en-GB"/>
              </w:rPr>
              <w:t>(</w:t>
            </w:r>
            <w:r w:rsidR="00836E04">
              <w:rPr>
                <w:rFonts w:ascii="Times New Roman" w:hAnsi="Times New Roman" w:cs="Times New Roman"/>
                <w:sz w:val="17"/>
                <w:szCs w:val="17"/>
                <w:lang w:val="en-GB"/>
              </w:rPr>
              <w:t>integrated results and resources framework (</w:t>
            </w:r>
            <w:r w:rsidRPr="00813924">
              <w:rPr>
                <w:rFonts w:ascii="Times New Roman" w:hAnsi="Times New Roman" w:cs="Times New Roman"/>
                <w:sz w:val="17"/>
                <w:szCs w:val="17"/>
                <w:lang w:val="en-GB"/>
              </w:rPr>
              <w:t>IRRF</w:t>
            </w:r>
            <w:r w:rsidR="008C5EB7">
              <w:rPr>
                <w:rFonts w:ascii="Times New Roman" w:hAnsi="Times New Roman" w:cs="Times New Roman"/>
                <w:sz w:val="17"/>
                <w:szCs w:val="17"/>
                <w:lang w:val="en-GB"/>
              </w:rPr>
              <w:t>))</w:t>
            </w:r>
            <w:r w:rsidRPr="00813924">
              <w:rPr>
                <w:rFonts w:ascii="Times New Roman" w:hAnsi="Times New Roman" w:cs="Times New Roman"/>
                <w:sz w:val="17"/>
                <w:szCs w:val="17"/>
                <w:lang w:val="en-GB"/>
              </w:rPr>
              <w:t xml:space="preserve"> indicator)</w:t>
            </w:r>
          </w:p>
          <w:p w14:paraId="3A6C6537"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0</w:t>
            </w:r>
          </w:p>
          <w:p w14:paraId="6B73B09E"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5</w:t>
            </w:r>
          </w:p>
          <w:p w14:paraId="504B7BBC" w14:textId="1FCACC12"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BC7796">
              <w:rPr>
                <w:rFonts w:ascii="Times New Roman" w:hAnsi="Times New Roman" w:cs="Times New Roman"/>
                <w:sz w:val="17"/>
                <w:szCs w:val="17"/>
                <w:lang w:val="en-GB"/>
              </w:rPr>
              <w:t xml:space="preserve">Ministry </w:t>
            </w:r>
            <w:r w:rsidR="00BC7796" w:rsidRPr="00ED0D62">
              <w:rPr>
                <w:rFonts w:ascii="Times New Roman" w:hAnsi="Times New Roman" w:cs="Times New Roman"/>
                <w:sz w:val="17"/>
                <w:szCs w:val="17"/>
                <w:lang w:val="en-GB"/>
              </w:rPr>
              <w:t>of Justice and Public Security</w:t>
            </w:r>
            <w:r w:rsidRPr="00813924">
              <w:rPr>
                <w:rFonts w:ascii="Times New Roman" w:hAnsi="Times New Roman" w:cs="Times New Roman"/>
                <w:sz w:val="17"/>
                <w:szCs w:val="17"/>
                <w:lang w:val="en-GB"/>
              </w:rPr>
              <w:t xml:space="preserve">, </w:t>
            </w:r>
            <w:r w:rsidR="00BC7796" w:rsidRPr="00813924">
              <w:rPr>
                <w:rFonts w:ascii="Times New Roman" w:hAnsi="Times New Roman" w:cs="Times New Roman"/>
                <w:sz w:val="17"/>
                <w:szCs w:val="17"/>
                <w:lang w:val="en-GB"/>
              </w:rPr>
              <w:t>National Council for Legal Assistance</w:t>
            </w:r>
          </w:p>
          <w:p w14:paraId="7AD6A925" w14:textId="77777777" w:rsidR="006C7266" w:rsidRPr="00813924" w:rsidRDefault="006C7266" w:rsidP="00780D85">
            <w:pPr>
              <w:rPr>
                <w:rFonts w:ascii="Times New Roman" w:hAnsi="Times New Roman" w:cs="Times New Roman"/>
                <w:sz w:val="17"/>
                <w:szCs w:val="17"/>
                <w:lang w:val="en-GB"/>
              </w:rPr>
            </w:pPr>
          </w:p>
          <w:p w14:paraId="1823E615" w14:textId="54F94FE5"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1.2.2</w:t>
            </w:r>
            <w:r w:rsidRPr="00813924">
              <w:rPr>
                <w:rFonts w:ascii="Times New Roman" w:hAnsi="Times New Roman" w:cs="Times New Roman"/>
                <w:sz w:val="17"/>
                <w:szCs w:val="17"/>
                <w:lang w:val="en-GB"/>
              </w:rPr>
              <w:t xml:space="preserve">: Number of complaints filed by women </w:t>
            </w:r>
          </w:p>
          <w:p w14:paraId="343E6E00"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0</w:t>
            </w:r>
          </w:p>
          <w:p w14:paraId="5A0EBC95"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5,000</w:t>
            </w:r>
          </w:p>
          <w:p w14:paraId="02657E05" w14:textId="1E90C33E"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BC7796">
              <w:rPr>
                <w:rFonts w:ascii="Times New Roman" w:hAnsi="Times New Roman" w:cs="Times New Roman"/>
                <w:sz w:val="17"/>
                <w:szCs w:val="17"/>
                <w:lang w:val="en-GB"/>
              </w:rPr>
              <w:t xml:space="preserve">Ministry </w:t>
            </w:r>
            <w:r w:rsidR="00BC7796" w:rsidRPr="00ED0D62">
              <w:rPr>
                <w:rFonts w:ascii="Times New Roman" w:hAnsi="Times New Roman" w:cs="Times New Roman"/>
                <w:sz w:val="17"/>
                <w:szCs w:val="17"/>
                <w:lang w:val="en-GB"/>
              </w:rPr>
              <w:t>of Justice and Public Security</w:t>
            </w:r>
            <w:r w:rsidR="00BC7796" w:rsidRPr="00813924">
              <w:rPr>
                <w:rFonts w:ascii="Times New Roman" w:hAnsi="Times New Roman" w:cs="Times New Roman"/>
                <w:sz w:val="17"/>
                <w:szCs w:val="17"/>
                <w:lang w:val="en-GB"/>
              </w:rPr>
              <w:t xml:space="preserve"> </w:t>
            </w:r>
            <w:r w:rsidRPr="00813924">
              <w:rPr>
                <w:rFonts w:ascii="Times New Roman" w:hAnsi="Times New Roman" w:cs="Times New Roman"/>
                <w:sz w:val="17"/>
                <w:szCs w:val="17"/>
                <w:lang w:val="en-GB"/>
              </w:rPr>
              <w:t xml:space="preserve">, </w:t>
            </w:r>
            <w:r w:rsidR="00BC7796" w:rsidRPr="00813924">
              <w:rPr>
                <w:rFonts w:ascii="Times New Roman" w:hAnsi="Times New Roman" w:cs="Times New Roman"/>
                <w:sz w:val="17"/>
                <w:szCs w:val="17"/>
                <w:lang w:val="en-GB"/>
              </w:rPr>
              <w:t>National Council for Legal Assistance</w:t>
            </w:r>
          </w:p>
          <w:p w14:paraId="0AA029C9" w14:textId="77777777" w:rsidR="006C7266" w:rsidRPr="00813924" w:rsidRDefault="006C7266" w:rsidP="00780D85">
            <w:pPr>
              <w:shd w:val="clear" w:color="auto" w:fill="FFFFFF"/>
              <w:rPr>
                <w:rFonts w:ascii="Times New Roman" w:hAnsi="Times New Roman" w:cs="Times New Roman"/>
                <w:sz w:val="17"/>
                <w:szCs w:val="17"/>
                <w:u w:val="single"/>
                <w:lang w:val="en-GB"/>
              </w:rPr>
            </w:pPr>
          </w:p>
          <w:p w14:paraId="3D6FBEB1" w14:textId="329EF55F" w:rsidR="006C7266" w:rsidRPr="00813924" w:rsidRDefault="006C7266" w:rsidP="00780D85">
            <w:pPr>
              <w:shd w:val="clear" w:color="auto" w:fill="FFFFFF"/>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Indicator 1.2.3. </w:t>
            </w:r>
            <w:r w:rsidRPr="00813924">
              <w:rPr>
                <w:rFonts w:ascii="Times New Roman" w:hAnsi="Times New Roman" w:cs="Times New Roman"/>
                <w:sz w:val="17"/>
                <w:szCs w:val="17"/>
                <w:lang w:val="en-GB"/>
              </w:rPr>
              <w:t>Percentage of cases of prolonged pre</w:t>
            </w:r>
            <w:r w:rsidR="00830AE0">
              <w:rPr>
                <w:rFonts w:ascii="Times New Roman" w:hAnsi="Times New Roman" w:cs="Times New Roman"/>
                <w:sz w:val="17"/>
                <w:szCs w:val="17"/>
                <w:lang w:val="en-GB"/>
              </w:rPr>
              <w:t>trial</w:t>
            </w:r>
            <w:r w:rsidRPr="00813924">
              <w:rPr>
                <w:rFonts w:ascii="Times New Roman" w:hAnsi="Times New Roman" w:cs="Times New Roman"/>
                <w:sz w:val="17"/>
                <w:szCs w:val="17"/>
                <w:lang w:val="en-GB"/>
              </w:rPr>
              <w:t xml:space="preserve"> detention in the republic’s detention centres</w:t>
            </w:r>
          </w:p>
          <w:p w14:paraId="02F35F64"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82% </w:t>
            </w:r>
          </w:p>
          <w:p w14:paraId="4D9F3460"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75 %</w:t>
            </w:r>
          </w:p>
          <w:p w14:paraId="6FA937CB"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Source: DAP</w:t>
            </w:r>
          </w:p>
          <w:p w14:paraId="49CE4D53" w14:textId="77777777" w:rsidR="006C7266" w:rsidRPr="00813924" w:rsidRDefault="006C7266" w:rsidP="00780D85">
            <w:pPr>
              <w:rPr>
                <w:rFonts w:ascii="Times New Roman" w:hAnsi="Times New Roman" w:cs="Times New Roman"/>
                <w:sz w:val="17"/>
                <w:szCs w:val="17"/>
                <w:u w:val="single"/>
                <w:lang w:val="en-GB"/>
              </w:rPr>
            </w:pPr>
          </w:p>
          <w:p w14:paraId="0A793642" w14:textId="6DC5E734"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Indicator 1.2.4</w:t>
            </w:r>
            <w:r w:rsidRPr="00813924">
              <w:rPr>
                <w:rFonts w:ascii="Times New Roman" w:hAnsi="Times New Roman" w:cs="Times New Roman"/>
                <w:sz w:val="17"/>
                <w:szCs w:val="17"/>
                <w:lang w:val="en-GB"/>
              </w:rPr>
              <w:t xml:space="preserve">: Percentage </w:t>
            </w:r>
            <w:r w:rsidR="00063026" w:rsidRPr="00813924">
              <w:rPr>
                <w:rFonts w:ascii="Times New Roman" w:hAnsi="Times New Roman" w:cs="Times New Roman"/>
                <w:sz w:val="17"/>
                <w:szCs w:val="17"/>
                <w:lang w:val="en-GB"/>
              </w:rPr>
              <w:t xml:space="preserve">of </w:t>
            </w:r>
            <w:r w:rsidRPr="00813924">
              <w:rPr>
                <w:rFonts w:ascii="Times New Roman" w:hAnsi="Times New Roman" w:cs="Times New Roman"/>
                <w:sz w:val="17"/>
                <w:szCs w:val="17"/>
                <w:lang w:val="en-GB"/>
              </w:rPr>
              <w:t xml:space="preserve">judicial jurisdiction which has a functioning Legal Assistance Office  </w:t>
            </w:r>
          </w:p>
          <w:p w14:paraId="672331EE"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38%</w:t>
            </w:r>
          </w:p>
          <w:p w14:paraId="4C3F5AE4"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100%</w:t>
            </w:r>
          </w:p>
          <w:p w14:paraId="358EB817" w14:textId="1737FACE"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BC7796">
              <w:rPr>
                <w:rFonts w:ascii="Times New Roman" w:hAnsi="Times New Roman" w:cs="Times New Roman"/>
                <w:sz w:val="17"/>
                <w:szCs w:val="17"/>
                <w:lang w:val="en-GB"/>
              </w:rPr>
              <w:t>National Council for Legal Assistance</w:t>
            </w:r>
          </w:p>
          <w:p w14:paraId="3F392D56" w14:textId="77777777" w:rsidR="006C7266" w:rsidRPr="00813924" w:rsidRDefault="006C7266" w:rsidP="00780D85">
            <w:pPr>
              <w:rPr>
                <w:rFonts w:ascii="Times New Roman" w:hAnsi="Times New Roman" w:cs="Times New Roman"/>
                <w:sz w:val="17"/>
                <w:szCs w:val="17"/>
                <w:u w:val="single"/>
                <w:lang w:val="en-GB"/>
              </w:rPr>
            </w:pPr>
          </w:p>
          <w:p w14:paraId="324758CB" w14:textId="7DB657B4"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lastRenderedPageBreak/>
              <w:t>Indicator 1.2.5</w:t>
            </w:r>
            <w:r w:rsidRPr="00813924">
              <w:rPr>
                <w:rFonts w:ascii="Times New Roman" w:hAnsi="Times New Roman" w:cs="Times New Roman"/>
                <w:sz w:val="17"/>
                <w:szCs w:val="17"/>
                <w:lang w:val="en-GB"/>
              </w:rPr>
              <w:t xml:space="preserve">: Corruption Perception Index </w:t>
            </w:r>
          </w:p>
          <w:p w14:paraId="76263950" w14:textId="77777777"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20</w:t>
            </w:r>
          </w:p>
          <w:p w14:paraId="33719C89"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25</w:t>
            </w:r>
          </w:p>
          <w:p w14:paraId="13B0A3D9" w14:textId="326A88D5"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Source: Transparency International</w:t>
            </w:r>
          </w:p>
        </w:tc>
        <w:tc>
          <w:tcPr>
            <w:tcW w:w="3600" w:type="dxa"/>
            <w:vMerge/>
          </w:tcPr>
          <w:p w14:paraId="7A8A6603" w14:textId="77777777" w:rsidR="006C7266" w:rsidRPr="00813924" w:rsidRDefault="006C7266" w:rsidP="00780D85">
            <w:pPr>
              <w:rPr>
                <w:rFonts w:ascii="Times New Roman" w:hAnsi="Times New Roman" w:cs="Times New Roman"/>
                <w:sz w:val="17"/>
                <w:szCs w:val="17"/>
                <w:lang w:val="en-GB"/>
              </w:rPr>
            </w:pPr>
          </w:p>
        </w:tc>
        <w:tc>
          <w:tcPr>
            <w:tcW w:w="1667" w:type="dxa"/>
            <w:vMerge/>
            <w:shd w:val="clear" w:color="auto" w:fill="auto"/>
          </w:tcPr>
          <w:p w14:paraId="2A788B69" w14:textId="77777777" w:rsidR="006C7266" w:rsidRPr="00813924" w:rsidRDefault="006C7266" w:rsidP="00780D85">
            <w:pPr>
              <w:rPr>
                <w:rFonts w:ascii="Times New Roman" w:hAnsi="Times New Roman" w:cs="Times New Roman"/>
                <w:sz w:val="17"/>
                <w:szCs w:val="17"/>
                <w:lang w:val="en-GB"/>
              </w:rPr>
            </w:pPr>
          </w:p>
        </w:tc>
      </w:tr>
      <w:tr w:rsidR="006C7266" w:rsidRPr="00813924" w14:paraId="4AD689EB" w14:textId="77777777" w:rsidTr="00F204CC">
        <w:trPr>
          <w:gridAfter w:val="1"/>
          <w:wAfter w:w="43" w:type="dxa"/>
          <w:trHeight w:val="416"/>
        </w:trPr>
        <w:tc>
          <w:tcPr>
            <w:tcW w:w="2653" w:type="dxa"/>
            <w:vMerge/>
          </w:tcPr>
          <w:p w14:paraId="3B0306BE" w14:textId="77777777" w:rsidR="006C7266" w:rsidRPr="00813924" w:rsidRDefault="006C7266" w:rsidP="00780D85">
            <w:pPr>
              <w:rPr>
                <w:rFonts w:ascii="Times New Roman" w:hAnsi="Times New Roman" w:cs="Times New Roman"/>
                <w:sz w:val="17"/>
                <w:szCs w:val="17"/>
                <w:lang w:val="en-GB"/>
              </w:rPr>
            </w:pPr>
          </w:p>
        </w:tc>
        <w:tc>
          <w:tcPr>
            <w:tcW w:w="2643" w:type="dxa"/>
            <w:gridSpan w:val="3"/>
            <w:vMerge/>
          </w:tcPr>
          <w:p w14:paraId="7E26795E" w14:textId="77777777" w:rsidR="006C7266" w:rsidRPr="00813924" w:rsidRDefault="006C7266" w:rsidP="00780D85">
            <w:pPr>
              <w:rPr>
                <w:rFonts w:ascii="Times New Roman" w:hAnsi="Times New Roman" w:cs="Times New Roman"/>
                <w:sz w:val="17"/>
                <w:szCs w:val="17"/>
                <w:lang w:val="en-GB"/>
              </w:rPr>
            </w:pPr>
          </w:p>
        </w:tc>
        <w:tc>
          <w:tcPr>
            <w:tcW w:w="3429" w:type="dxa"/>
            <w:gridSpan w:val="2"/>
          </w:tcPr>
          <w:p w14:paraId="250AFCE4" w14:textId="574F8AA0"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 xml:space="preserve">Output1.3: The security sector is </w:t>
            </w:r>
            <w:r w:rsidR="00741E92" w:rsidRPr="00813924">
              <w:rPr>
                <w:rFonts w:ascii="Times New Roman" w:hAnsi="Times New Roman" w:cs="Times New Roman"/>
                <w:b/>
                <w:bCs/>
                <w:sz w:val="17"/>
                <w:szCs w:val="17"/>
                <w:lang w:val="en-GB"/>
              </w:rPr>
              <w:t xml:space="preserve">supported to </w:t>
            </w:r>
            <w:r w:rsidRPr="00813924">
              <w:rPr>
                <w:rFonts w:ascii="Times New Roman" w:hAnsi="Times New Roman" w:cs="Times New Roman"/>
                <w:b/>
                <w:bCs/>
                <w:sz w:val="17"/>
                <w:szCs w:val="17"/>
                <w:lang w:val="en-GB"/>
              </w:rPr>
              <w:t>promote human rights and combat impunity, and holistically integrate security, protection of property and people, and recovery of communities affected by violence</w:t>
            </w:r>
          </w:p>
          <w:p w14:paraId="3194867A" w14:textId="77777777" w:rsidR="006C7266" w:rsidRPr="00813924" w:rsidRDefault="006C7266" w:rsidP="00780D85">
            <w:pPr>
              <w:rPr>
                <w:rFonts w:ascii="Times New Roman" w:hAnsi="Times New Roman" w:cs="Times New Roman"/>
                <w:b/>
                <w:bCs/>
                <w:sz w:val="17"/>
                <w:szCs w:val="17"/>
                <w:u w:val="single"/>
                <w:lang w:val="en-GB"/>
              </w:rPr>
            </w:pPr>
          </w:p>
          <w:p w14:paraId="29F7D362"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1.3.1</w:t>
            </w:r>
            <w:r w:rsidRPr="00813924">
              <w:rPr>
                <w:rFonts w:ascii="Times New Roman" w:hAnsi="Times New Roman" w:cs="Times New Roman"/>
                <w:sz w:val="17"/>
                <w:szCs w:val="17"/>
                <w:lang w:val="en-GB"/>
              </w:rPr>
              <w:t>: Ratio of police officers per 100,000 inhabitants</w:t>
            </w:r>
          </w:p>
          <w:p w14:paraId="23752102"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w:t>
            </w:r>
            <w:r w:rsidRPr="00813924">
              <w:rPr>
                <w:rFonts w:ascii="Times New Roman" w:hAnsi="Times New Roman" w:cs="Times New Roman"/>
                <w:sz w:val="17"/>
                <w:szCs w:val="17"/>
                <w:lang w:val="en-GB"/>
              </w:rPr>
              <w:t xml:space="preserve"> (2021): 128</w:t>
            </w:r>
          </w:p>
          <w:p w14:paraId="5F800B5D"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Target </w:t>
            </w:r>
            <w:r w:rsidRPr="00813924">
              <w:rPr>
                <w:rFonts w:ascii="Times New Roman" w:hAnsi="Times New Roman" w:cs="Times New Roman"/>
                <w:sz w:val="17"/>
                <w:szCs w:val="17"/>
                <w:lang w:val="en-GB"/>
              </w:rPr>
              <w:t>(2027): 155</w:t>
            </w:r>
          </w:p>
          <w:p w14:paraId="4BD98F5C" w14:textId="51640D96" w:rsidR="0074693E"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BC7796">
              <w:t xml:space="preserve"> </w:t>
            </w:r>
            <w:r w:rsidR="00BC7796" w:rsidRPr="00BC7796">
              <w:rPr>
                <w:rFonts w:ascii="Times New Roman" w:hAnsi="Times New Roman" w:cs="Times New Roman"/>
                <w:sz w:val="17"/>
                <w:szCs w:val="17"/>
                <w:lang w:val="en-GB"/>
              </w:rPr>
              <w:t>Haitian National Police</w:t>
            </w:r>
          </w:p>
          <w:p w14:paraId="2709EC0A"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1.3.2:</w:t>
            </w:r>
            <w:r w:rsidRPr="00813924">
              <w:rPr>
                <w:rFonts w:ascii="Times New Roman" w:hAnsi="Times New Roman" w:cs="Times New Roman"/>
                <w:sz w:val="17"/>
                <w:szCs w:val="17"/>
                <w:lang w:val="en-GB"/>
              </w:rPr>
              <w:t xml:space="preserve">  Number of national policies, strategies, and action plans for conflict prevention and peacebuilding (IRRF indicator)</w:t>
            </w:r>
          </w:p>
          <w:p w14:paraId="42B103F0"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1</w:t>
            </w:r>
          </w:p>
          <w:p w14:paraId="1BF0F2E5"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4</w:t>
            </w:r>
          </w:p>
          <w:p w14:paraId="05A2F377" w14:textId="066A17FA" w:rsidR="006C7266" w:rsidRPr="00813924" w:rsidRDefault="00BC7796" w:rsidP="00780D85">
            <w:pPr>
              <w:rPr>
                <w:rFonts w:ascii="Times New Roman" w:hAnsi="Times New Roman" w:cs="Times New Roman"/>
                <w:b/>
                <w:bCs/>
                <w:sz w:val="17"/>
                <w:szCs w:val="17"/>
                <w:lang w:val="en-GB"/>
              </w:rPr>
            </w:pPr>
            <w:r>
              <w:t xml:space="preserve"> </w:t>
            </w:r>
            <w:r w:rsidRPr="00BC7796">
              <w:rPr>
                <w:rFonts w:ascii="Times New Roman" w:hAnsi="Times New Roman" w:cs="Times New Roman"/>
                <w:sz w:val="17"/>
                <w:szCs w:val="17"/>
                <w:lang w:val="en-GB"/>
              </w:rPr>
              <w:t>Ministry of Planning and External Cooperation</w:t>
            </w:r>
          </w:p>
        </w:tc>
        <w:tc>
          <w:tcPr>
            <w:tcW w:w="3600" w:type="dxa"/>
            <w:vMerge/>
          </w:tcPr>
          <w:p w14:paraId="5762DF84" w14:textId="77777777" w:rsidR="006C7266" w:rsidRPr="00813924" w:rsidRDefault="006C7266" w:rsidP="00780D85">
            <w:pPr>
              <w:rPr>
                <w:rFonts w:ascii="Times New Roman" w:hAnsi="Times New Roman" w:cs="Times New Roman"/>
                <w:sz w:val="17"/>
                <w:szCs w:val="17"/>
                <w:u w:val="single"/>
                <w:lang w:val="en-GB"/>
              </w:rPr>
            </w:pPr>
          </w:p>
        </w:tc>
        <w:tc>
          <w:tcPr>
            <w:tcW w:w="1667" w:type="dxa"/>
            <w:vMerge/>
            <w:shd w:val="clear" w:color="auto" w:fill="auto"/>
          </w:tcPr>
          <w:p w14:paraId="0725A924" w14:textId="77777777" w:rsidR="006C7266" w:rsidRPr="00813924" w:rsidRDefault="006C7266" w:rsidP="00780D85">
            <w:pPr>
              <w:rPr>
                <w:rFonts w:ascii="Times New Roman" w:hAnsi="Times New Roman" w:cs="Times New Roman"/>
                <w:sz w:val="17"/>
                <w:szCs w:val="17"/>
                <w:lang w:val="en-GB"/>
              </w:rPr>
            </w:pPr>
          </w:p>
        </w:tc>
      </w:tr>
      <w:tr w:rsidR="00B400D6" w:rsidRPr="00813924" w14:paraId="6E99A724" w14:textId="77777777" w:rsidTr="00880283">
        <w:trPr>
          <w:gridAfter w:val="1"/>
          <w:wAfter w:w="43" w:type="dxa"/>
        </w:trPr>
        <w:tc>
          <w:tcPr>
            <w:tcW w:w="13992" w:type="dxa"/>
            <w:gridSpan w:val="8"/>
            <w:shd w:val="clear" w:color="auto" w:fill="D9D9D9" w:themeFill="background1" w:themeFillShade="D9"/>
          </w:tcPr>
          <w:p w14:paraId="37AC788E" w14:textId="21860E3E" w:rsidR="00B400D6" w:rsidRPr="00813924" w:rsidRDefault="002B6581" w:rsidP="00816039">
            <w:pPr>
              <w:spacing w:before="60" w:after="60"/>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 xml:space="preserve">NATIONAL </w:t>
            </w:r>
            <w:r w:rsidR="00B400D6" w:rsidRPr="00813924">
              <w:rPr>
                <w:rFonts w:ascii="Times New Roman" w:hAnsi="Times New Roman" w:cs="Times New Roman"/>
                <w:b/>
                <w:bCs/>
                <w:sz w:val="17"/>
                <w:szCs w:val="17"/>
                <w:lang w:val="en-GB"/>
              </w:rPr>
              <w:t xml:space="preserve">PRIORITY: </w:t>
            </w:r>
            <w:r w:rsidR="00B400D6" w:rsidRPr="00813924">
              <w:rPr>
                <w:rFonts w:ascii="Times New Roman" w:hAnsi="Times New Roman" w:cs="Times New Roman"/>
                <w:sz w:val="17"/>
                <w:szCs w:val="17"/>
                <w:lang w:val="en-GB"/>
              </w:rPr>
              <w:t xml:space="preserve">Economic Refoundation (PSDH 2012-2030) </w:t>
            </w:r>
          </w:p>
        </w:tc>
      </w:tr>
      <w:tr w:rsidR="00B400D6" w:rsidRPr="00813924" w14:paraId="08A2AF4A" w14:textId="77777777" w:rsidTr="00880283">
        <w:trPr>
          <w:gridAfter w:val="1"/>
          <w:wAfter w:w="43" w:type="dxa"/>
        </w:trPr>
        <w:tc>
          <w:tcPr>
            <w:tcW w:w="13992" w:type="dxa"/>
            <w:gridSpan w:val="8"/>
            <w:shd w:val="clear" w:color="auto" w:fill="D9D9D9" w:themeFill="background1" w:themeFillShade="D9"/>
          </w:tcPr>
          <w:p w14:paraId="17ADFBD4" w14:textId="058D43D5" w:rsidR="00B400D6" w:rsidRPr="00813924" w:rsidRDefault="00B400D6" w:rsidP="00816039">
            <w:pPr>
              <w:spacing w:before="60" w:after="60"/>
              <w:rPr>
                <w:rFonts w:ascii="Times New Roman" w:hAnsi="Times New Roman" w:cs="Times New Roman"/>
                <w:sz w:val="17"/>
                <w:szCs w:val="17"/>
                <w:lang w:val="en-GB"/>
              </w:rPr>
            </w:pPr>
            <w:r w:rsidRPr="00813924">
              <w:rPr>
                <w:rFonts w:ascii="Times New Roman" w:hAnsi="Times New Roman" w:cs="Times New Roman"/>
                <w:b/>
                <w:bCs/>
                <w:color w:val="000000"/>
                <w:sz w:val="17"/>
                <w:szCs w:val="17"/>
                <w:lang w:val="en-GB"/>
              </w:rPr>
              <w:t xml:space="preserve">COOPERATION FRAMEWORK OUTCOME </w:t>
            </w:r>
            <w:r w:rsidRPr="00813924">
              <w:rPr>
                <w:rFonts w:ascii="Times New Roman" w:hAnsi="Times New Roman" w:cs="Times New Roman"/>
                <w:b/>
                <w:bCs/>
                <w:sz w:val="17"/>
                <w:szCs w:val="17"/>
                <w:lang w:val="en-GB"/>
              </w:rPr>
              <w:t>INVOLVING UNDP</w:t>
            </w:r>
            <w:r w:rsidR="00190EE0">
              <w:rPr>
                <w:rFonts w:ascii="Times New Roman" w:hAnsi="Times New Roman" w:cs="Times New Roman"/>
                <w:b/>
                <w:bCs/>
                <w:sz w:val="17"/>
                <w:szCs w:val="17"/>
                <w:lang w:val="en-GB"/>
              </w:rPr>
              <w:t xml:space="preserve"> </w:t>
            </w:r>
            <w:r w:rsidR="000374FD">
              <w:rPr>
                <w:rFonts w:ascii="Times New Roman" w:hAnsi="Times New Roman" w:cs="Times New Roman"/>
                <w:b/>
                <w:bCs/>
                <w:sz w:val="17"/>
                <w:szCs w:val="17"/>
                <w:lang w:val="en-GB"/>
              </w:rPr>
              <w:t>#</w:t>
            </w:r>
            <w:r w:rsidR="00190EE0">
              <w:rPr>
                <w:rFonts w:ascii="Times New Roman" w:hAnsi="Times New Roman" w:cs="Times New Roman"/>
                <w:b/>
                <w:bCs/>
                <w:sz w:val="17"/>
                <w:szCs w:val="17"/>
                <w:lang w:val="en-GB"/>
              </w:rPr>
              <w:t>2,</w:t>
            </w:r>
            <w:r w:rsidRPr="00813924">
              <w:rPr>
                <w:rFonts w:ascii="Times New Roman" w:hAnsi="Times New Roman" w:cs="Times New Roman"/>
                <w:b/>
                <w:bCs/>
                <w:sz w:val="17"/>
                <w:szCs w:val="17"/>
                <w:lang w:val="en-GB"/>
              </w:rPr>
              <w:t xml:space="preserve"> UNSDCF OUTCOME </w:t>
            </w:r>
            <w:r w:rsidR="000613B8">
              <w:rPr>
                <w:rFonts w:ascii="Times New Roman" w:hAnsi="Times New Roman" w:cs="Times New Roman"/>
                <w:b/>
                <w:bCs/>
                <w:sz w:val="17"/>
                <w:szCs w:val="17"/>
                <w:lang w:val="en-GB"/>
              </w:rPr>
              <w:t>3</w:t>
            </w:r>
            <w:r w:rsidRPr="00813924">
              <w:rPr>
                <w:rFonts w:ascii="Times New Roman" w:hAnsi="Times New Roman" w:cs="Times New Roman"/>
                <w:b/>
                <w:bCs/>
                <w:sz w:val="17"/>
                <w:szCs w:val="17"/>
                <w:lang w:val="en-GB"/>
              </w:rPr>
              <w:t xml:space="preserve">: </w:t>
            </w:r>
            <w:r w:rsidRPr="00813924">
              <w:rPr>
                <w:rFonts w:ascii="Times New Roman" w:hAnsi="Times New Roman" w:cs="Times New Roman"/>
                <w:sz w:val="17"/>
                <w:szCs w:val="17"/>
                <w:lang w:val="en-GB"/>
              </w:rPr>
              <w:t xml:space="preserve">A new inclusive, equitable economic model, vector of new investments, growth and sustainability, favourable to the rapid creation of decent jobs with a focus on youth and women, capable of substantially reducing poverty and inequalities, is formulated, endorsed and implemented. </w:t>
            </w:r>
          </w:p>
        </w:tc>
      </w:tr>
      <w:tr w:rsidR="00B400D6" w:rsidRPr="00813924" w14:paraId="6CCF196E" w14:textId="77777777" w:rsidTr="00880283">
        <w:trPr>
          <w:gridAfter w:val="1"/>
          <w:wAfter w:w="43" w:type="dxa"/>
        </w:trPr>
        <w:tc>
          <w:tcPr>
            <w:tcW w:w="13992" w:type="dxa"/>
            <w:gridSpan w:val="8"/>
            <w:shd w:val="clear" w:color="auto" w:fill="D9D9D9" w:themeFill="background1" w:themeFillShade="D9"/>
          </w:tcPr>
          <w:p w14:paraId="642B50FE" w14:textId="2F267530" w:rsidR="00B400D6" w:rsidRPr="00F204CC" w:rsidRDefault="00B400D6" w:rsidP="00816039">
            <w:pPr>
              <w:spacing w:before="60" w:after="60"/>
              <w:rPr>
                <w:rFonts w:ascii="Times New Roman" w:hAnsi="Times New Roman" w:cs="Times New Roman"/>
                <w:b/>
                <w:bCs/>
                <w:sz w:val="17"/>
                <w:szCs w:val="17"/>
                <w:lang w:val="en-GB"/>
              </w:rPr>
            </w:pPr>
            <w:r w:rsidRPr="00F204CC">
              <w:rPr>
                <w:rFonts w:ascii="Times New Roman" w:hAnsi="Times New Roman" w:cs="Times New Roman"/>
                <w:b/>
                <w:bCs/>
                <w:color w:val="000000"/>
                <w:sz w:val="17"/>
                <w:szCs w:val="17"/>
                <w:lang w:val="en-GB"/>
              </w:rPr>
              <w:t>RELATED STRATEGIC PLAN OUTCOME</w:t>
            </w:r>
            <w:r w:rsidRPr="00F204CC">
              <w:rPr>
                <w:rFonts w:ascii="Times New Roman" w:hAnsi="Times New Roman" w:cs="Times New Roman"/>
                <w:b/>
                <w:bCs/>
                <w:sz w:val="17"/>
                <w:szCs w:val="17"/>
                <w:lang w:val="en-GB"/>
              </w:rPr>
              <w:t>:</w:t>
            </w:r>
            <w:r w:rsidRPr="00F204CC">
              <w:rPr>
                <w:rFonts w:ascii="Times New Roman" w:hAnsi="Times New Roman" w:cs="Times New Roman"/>
                <w:sz w:val="17"/>
                <w:szCs w:val="17"/>
                <w:lang w:val="en-GB"/>
              </w:rPr>
              <w:t xml:space="preserve"> 2. No one left behind, cent</w:t>
            </w:r>
            <w:r w:rsidR="00830AE0" w:rsidRPr="00F204CC">
              <w:rPr>
                <w:rFonts w:ascii="Times New Roman" w:hAnsi="Times New Roman" w:cs="Times New Roman"/>
                <w:sz w:val="17"/>
                <w:szCs w:val="17"/>
                <w:lang w:val="en-GB"/>
              </w:rPr>
              <w:t>ring</w:t>
            </w:r>
            <w:r w:rsidRPr="00F204CC">
              <w:rPr>
                <w:rFonts w:ascii="Times New Roman" w:hAnsi="Times New Roman" w:cs="Times New Roman"/>
                <w:sz w:val="17"/>
                <w:szCs w:val="17"/>
                <w:lang w:val="en-GB"/>
              </w:rPr>
              <w:t xml:space="preserve"> on equitable access to opportunities and a rights-based approach to human agency and human</w:t>
            </w:r>
            <w:r w:rsidR="00182A9A" w:rsidRPr="00F204CC">
              <w:rPr>
                <w:rFonts w:ascii="Times New Roman" w:hAnsi="Times New Roman" w:cs="Times New Roman"/>
                <w:sz w:val="17"/>
                <w:szCs w:val="17"/>
                <w:lang w:val="en-GB"/>
              </w:rPr>
              <w:t xml:space="preserve"> development</w:t>
            </w:r>
          </w:p>
        </w:tc>
      </w:tr>
      <w:tr w:rsidR="00B400D6" w:rsidRPr="00813924" w14:paraId="187A17D3" w14:textId="77777777" w:rsidTr="00F204CC">
        <w:trPr>
          <w:gridAfter w:val="1"/>
          <w:wAfter w:w="43" w:type="dxa"/>
        </w:trPr>
        <w:tc>
          <w:tcPr>
            <w:tcW w:w="2670" w:type="dxa"/>
            <w:gridSpan w:val="2"/>
            <w:vMerge w:val="restart"/>
          </w:tcPr>
          <w:p w14:paraId="0F8D9015" w14:textId="154AD27E"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2.1 Annual growth rate of real gross domestic product </w:t>
            </w:r>
          </w:p>
          <w:p w14:paraId="44DD3791"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(2020</w:t>
            </w:r>
            <w:r w:rsidRPr="00813924">
              <w:rPr>
                <w:rFonts w:ascii="Times New Roman" w:hAnsi="Times New Roman" w:cs="Times New Roman"/>
                <w:sz w:val="17"/>
                <w:szCs w:val="17"/>
                <w:lang w:val="en-GB"/>
              </w:rPr>
              <w:t xml:space="preserve">): -3.3% </w:t>
            </w:r>
          </w:p>
          <w:p w14:paraId="75A98985"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+3 to +5%</w:t>
            </w:r>
          </w:p>
          <w:p w14:paraId="040D96FA" w14:textId="77777777" w:rsidR="00B400D6" w:rsidRPr="00813924" w:rsidRDefault="00B400D6" w:rsidP="001D531E">
            <w:pPr>
              <w:rPr>
                <w:rFonts w:ascii="Times New Roman" w:hAnsi="Times New Roman" w:cs="Times New Roman"/>
                <w:sz w:val="17"/>
                <w:szCs w:val="17"/>
                <w:u w:val="single"/>
                <w:lang w:val="en-GB"/>
              </w:rPr>
            </w:pPr>
          </w:p>
          <w:p w14:paraId="1865986A" w14:textId="7279DCD9"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2.2</w:t>
            </w:r>
            <w:r w:rsidRPr="00813924">
              <w:rPr>
                <w:rFonts w:ascii="Times New Roman" w:hAnsi="Times New Roman" w:cs="Times New Roman"/>
                <w:sz w:val="17"/>
                <w:szCs w:val="17"/>
                <w:lang w:val="en-GB"/>
              </w:rPr>
              <w:t xml:space="preserve">: Poverty Rate </w:t>
            </w:r>
          </w:p>
          <w:p w14:paraId="0C94D8B4"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59% </w:t>
            </w:r>
          </w:p>
          <w:p w14:paraId="454A1BBA"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56%</w:t>
            </w:r>
          </w:p>
          <w:p w14:paraId="47167A19" w14:textId="77777777" w:rsidR="00B400D6" w:rsidRPr="00813924" w:rsidRDefault="00B400D6" w:rsidP="001D531E">
            <w:pPr>
              <w:rPr>
                <w:rFonts w:ascii="Times New Roman" w:hAnsi="Times New Roman" w:cs="Times New Roman"/>
                <w:sz w:val="17"/>
                <w:szCs w:val="17"/>
                <w:u w:val="single"/>
                <w:lang w:val="en-GB"/>
              </w:rPr>
            </w:pPr>
          </w:p>
          <w:p w14:paraId="4456EE85" w14:textId="481A700F"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2.3</w:t>
            </w:r>
            <w:r w:rsidRPr="00813924">
              <w:rPr>
                <w:rFonts w:ascii="Times New Roman" w:hAnsi="Times New Roman" w:cs="Times New Roman"/>
                <w:sz w:val="17"/>
                <w:szCs w:val="17"/>
                <w:lang w:val="en-GB"/>
              </w:rPr>
              <w:t xml:space="preserve">: Per capita income </w:t>
            </w:r>
          </w:p>
          <w:p w14:paraId="56092B33"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(2019</w:t>
            </w:r>
            <w:r w:rsidRPr="00813924">
              <w:rPr>
                <w:rFonts w:ascii="Times New Roman" w:hAnsi="Times New Roman" w:cs="Times New Roman"/>
                <w:sz w:val="17"/>
                <w:szCs w:val="17"/>
                <w:lang w:val="en-GB"/>
              </w:rPr>
              <w:t xml:space="preserve"> </w:t>
            </w:r>
            <w:r w:rsidRPr="00813924">
              <w:rPr>
                <w:rFonts w:ascii="Times New Roman" w:hAnsi="Times New Roman" w:cs="Times New Roman"/>
                <w:sz w:val="17"/>
                <w:szCs w:val="17"/>
                <w:u w:val="single"/>
                <w:lang w:val="en-GB"/>
              </w:rPr>
              <w:t>):</w:t>
            </w:r>
            <w:r w:rsidRPr="00813924">
              <w:rPr>
                <w:rFonts w:ascii="Times New Roman" w:hAnsi="Times New Roman" w:cs="Times New Roman"/>
                <w:sz w:val="17"/>
                <w:szCs w:val="17"/>
                <w:lang w:val="en-GB"/>
              </w:rPr>
              <w:t xml:space="preserve"> 1,272 USD </w:t>
            </w:r>
          </w:p>
          <w:p w14:paraId="38CB16EC"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1,959 USD</w:t>
            </w:r>
          </w:p>
        </w:tc>
        <w:tc>
          <w:tcPr>
            <w:tcW w:w="2634" w:type="dxa"/>
            <w:gridSpan w:val="3"/>
            <w:vMerge w:val="restart"/>
          </w:tcPr>
          <w:p w14:paraId="354B4BF7"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lang w:val="en-GB"/>
              </w:rPr>
              <w:t>World Bank, Semi-annual</w:t>
            </w:r>
          </w:p>
          <w:p w14:paraId="623B3BF1" w14:textId="73542338" w:rsidR="001C4826" w:rsidRPr="00813924" w:rsidRDefault="001C4826" w:rsidP="006321D0">
            <w:pPr>
              <w:rPr>
                <w:rFonts w:ascii="Times New Roman" w:hAnsi="Times New Roman" w:cs="Times New Roman"/>
                <w:sz w:val="17"/>
                <w:szCs w:val="17"/>
                <w:lang w:val="en-GB"/>
              </w:rPr>
            </w:pPr>
          </w:p>
        </w:tc>
        <w:tc>
          <w:tcPr>
            <w:tcW w:w="3421" w:type="dxa"/>
          </w:tcPr>
          <w:p w14:paraId="15776F16" w14:textId="6296E53E" w:rsidR="00B400D6" w:rsidRPr="00813924" w:rsidRDefault="00B400D6" w:rsidP="001D531E">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 xml:space="preserve">Output2.1.: The inclusive development and implementation of public policies are better coordinated by national institutions to facilitate a transition to green, sustained and inclusive economic growth </w:t>
            </w:r>
          </w:p>
          <w:p w14:paraId="21ED4D00" w14:textId="77777777" w:rsidR="00B400D6" w:rsidRPr="00813924" w:rsidRDefault="00B400D6" w:rsidP="001D531E">
            <w:pPr>
              <w:rPr>
                <w:rFonts w:ascii="Times New Roman" w:hAnsi="Times New Roman" w:cs="Times New Roman"/>
                <w:b/>
                <w:bCs/>
                <w:sz w:val="17"/>
                <w:szCs w:val="17"/>
                <w:lang w:val="en-GB"/>
              </w:rPr>
            </w:pPr>
          </w:p>
          <w:p w14:paraId="27AFC0B5" w14:textId="716A8215"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2.1.1</w:t>
            </w:r>
            <w:r w:rsidRPr="00813924">
              <w:rPr>
                <w:rFonts w:ascii="Times New Roman" w:hAnsi="Times New Roman" w:cs="Times New Roman"/>
                <w:sz w:val="17"/>
                <w:szCs w:val="17"/>
                <w:lang w:val="en-GB"/>
              </w:rPr>
              <w:t xml:space="preserve">: Existence of a </w:t>
            </w:r>
            <w:r w:rsidR="00BD1010" w:rsidRPr="00813924">
              <w:rPr>
                <w:rFonts w:ascii="Times New Roman" w:hAnsi="Times New Roman" w:cs="Times New Roman"/>
                <w:sz w:val="17"/>
                <w:szCs w:val="17"/>
                <w:lang w:val="en-GB"/>
              </w:rPr>
              <w:t xml:space="preserve">national </w:t>
            </w:r>
            <w:r w:rsidRPr="00813924">
              <w:rPr>
                <w:rFonts w:ascii="Times New Roman" w:hAnsi="Times New Roman" w:cs="Times New Roman"/>
                <w:sz w:val="17"/>
                <w:szCs w:val="17"/>
                <w:lang w:val="en-GB"/>
              </w:rPr>
              <w:t>SDG road</w:t>
            </w:r>
            <w:r w:rsidR="00830AE0">
              <w:rPr>
                <w:rFonts w:ascii="Times New Roman" w:hAnsi="Times New Roman" w:cs="Times New Roman"/>
                <w:sz w:val="17"/>
                <w:szCs w:val="17"/>
                <w:lang w:val="en-GB"/>
              </w:rPr>
              <w:t xml:space="preserve"> map</w:t>
            </w:r>
            <w:r w:rsidRPr="00813924">
              <w:rPr>
                <w:rFonts w:ascii="Times New Roman" w:hAnsi="Times New Roman" w:cs="Times New Roman"/>
                <w:sz w:val="17"/>
                <w:szCs w:val="17"/>
                <w:lang w:val="en-GB"/>
              </w:rPr>
              <w:t xml:space="preserve"> </w:t>
            </w:r>
          </w:p>
          <w:p w14:paraId="1C80B314"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Baseline </w:t>
            </w:r>
            <w:r w:rsidRPr="00813924">
              <w:rPr>
                <w:rFonts w:ascii="Times New Roman" w:hAnsi="Times New Roman" w:cs="Times New Roman"/>
                <w:sz w:val="17"/>
                <w:szCs w:val="17"/>
                <w:lang w:val="en-GB"/>
              </w:rPr>
              <w:t>(2022): No</w:t>
            </w:r>
          </w:p>
          <w:p w14:paraId="1062B925"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Yes</w:t>
            </w:r>
          </w:p>
          <w:p w14:paraId="366580BB" w14:textId="1E0D630E"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BC7796">
              <w:t xml:space="preserve"> </w:t>
            </w:r>
            <w:r w:rsidR="00BC7796" w:rsidRPr="00BC7796">
              <w:rPr>
                <w:rFonts w:ascii="Times New Roman" w:hAnsi="Times New Roman" w:cs="Times New Roman"/>
                <w:sz w:val="17"/>
                <w:szCs w:val="17"/>
                <w:lang w:val="en-GB"/>
              </w:rPr>
              <w:t>Ministry of Planning and External Cooperation</w:t>
            </w:r>
          </w:p>
          <w:p w14:paraId="6F0859ED" w14:textId="77777777" w:rsidR="00B400D6" w:rsidRPr="00813924" w:rsidRDefault="00B400D6" w:rsidP="001D531E">
            <w:pPr>
              <w:rPr>
                <w:rFonts w:ascii="Times New Roman" w:hAnsi="Times New Roman" w:cs="Times New Roman"/>
                <w:sz w:val="17"/>
                <w:szCs w:val="17"/>
                <w:lang w:val="en-GB"/>
              </w:rPr>
            </w:pPr>
          </w:p>
          <w:p w14:paraId="4C00130D" w14:textId="7CD99526"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2.1.</w:t>
            </w:r>
            <w:r w:rsidR="00902EEE" w:rsidRPr="00813924">
              <w:rPr>
                <w:rFonts w:ascii="Times New Roman" w:hAnsi="Times New Roman" w:cs="Times New Roman"/>
                <w:sz w:val="17"/>
                <w:szCs w:val="17"/>
                <w:u w:val="single"/>
                <w:lang w:val="en-GB"/>
              </w:rPr>
              <w:t>2</w:t>
            </w:r>
            <w:r w:rsidRPr="00813924">
              <w:rPr>
                <w:rFonts w:ascii="Times New Roman" w:hAnsi="Times New Roman" w:cs="Times New Roman"/>
                <w:sz w:val="17"/>
                <w:szCs w:val="17"/>
                <w:lang w:val="en-GB"/>
              </w:rPr>
              <w:t xml:space="preserve">: Number of institutions strengthened to promote the employability and </w:t>
            </w:r>
            <w:r w:rsidRPr="00813924">
              <w:rPr>
                <w:rFonts w:ascii="Times New Roman" w:hAnsi="Times New Roman" w:cs="Times New Roman"/>
                <w:sz w:val="17"/>
                <w:szCs w:val="17"/>
                <w:lang w:val="en-GB"/>
              </w:rPr>
              <w:lastRenderedPageBreak/>
              <w:t>job creation of youth and women in support of promising sectors of agri</w:t>
            </w:r>
            <w:r w:rsidR="00830AE0">
              <w:rPr>
                <w:rFonts w:ascii="Times New Roman" w:hAnsi="Times New Roman" w:cs="Times New Roman"/>
                <w:sz w:val="17"/>
                <w:szCs w:val="17"/>
                <w:lang w:val="en-GB"/>
              </w:rPr>
              <w:t>food</w:t>
            </w:r>
            <w:r w:rsidRPr="00813924">
              <w:rPr>
                <w:rFonts w:ascii="Times New Roman" w:hAnsi="Times New Roman" w:cs="Times New Roman"/>
                <w:sz w:val="17"/>
                <w:szCs w:val="17"/>
                <w:lang w:val="en-GB"/>
              </w:rPr>
              <w:t>, manufacturing</w:t>
            </w:r>
            <w:r w:rsidR="00830AE0">
              <w:rPr>
                <w:rFonts w:ascii="Times New Roman" w:hAnsi="Times New Roman" w:cs="Times New Roman"/>
                <w:sz w:val="17"/>
                <w:szCs w:val="17"/>
                <w:lang w:val="en-GB"/>
              </w:rPr>
              <w:t xml:space="preserve"> and</w:t>
            </w:r>
            <w:r w:rsidRPr="00813924">
              <w:rPr>
                <w:rFonts w:ascii="Times New Roman" w:hAnsi="Times New Roman" w:cs="Times New Roman"/>
                <w:sz w:val="17"/>
                <w:szCs w:val="17"/>
                <w:lang w:val="en-GB"/>
              </w:rPr>
              <w:t xml:space="preserve"> digital technologies</w:t>
            </w:r>
          </w:p>
          <w:p w14:paraId="39E7BA75"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0</w:t>
            </w:r>
          </w:p>
          <w:p w14:paraId="09E8E117"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3</w:t>
            </w:r>
          </w:p>
          <w:p w14:paraId="7A031796" w14:textId="7A613CEE" w:rsidR="00B400D6" w:rsidRPr="00813924" w:rsidRDefault="00B400D6" w:rsidP="00D326EB">
            <w:pPr>
              <w:rPr>
                <w:rFonts w:ascii="Times New Roman" w:hAnsi="Times New Roman" w:cs="Times New Roman"/>
                <w:sz w:val="17"/>
                <w:szCs w:val="17"/>
                <w:lang w:val="en-GB"/>
              </w:rPr>
            </w:pPr>
            <w:r w:rsidRPr="00813924">
              <w:rPr>
                <w:rFonts w:ascii="Times New Roman" w:hAnsi="Times New Roman" w:cs="Times New Roman"/>
                <w:sz w:val="17"/>
                <w:szCs w:val="17"/>
                <w:lang w:val="en-GB"/>
              </w:rPr>
              <w:t>Source:</w:t>
            </w:r>
            <w:r w:rsidR="00816A37">
              <w:t xml:space="preserve"> </w:t>
            </w:r>
            <w:r w:rsidR="00816A37" w:rsidRPr="00816A37">
              <w:rPr>
                <w:rFonts w:ascii="Times New Roman" w:hAnsi="Times New Roman" w:cs="Times New Roman"/>
                <w:sz w:val="17"/>
                <w:szCs w:val="17"/>
                <w:lang w:val="en-GB"/>
              </w:rPr>
              <w:t>Ministr</w:t>
            </w:r>
            <w:r w:rsidR="00B6561E">
              <w:rPr>
                <w:rFonts w:ascii="Times New Roman" w:hAnsi="Times New Roman" w:cs="Times New Roman"/>
                <w:sz w:val="17"/>
                <w:szCs w:val="17"/>
                <w:lang w:val="en-GB"/>
              </w:rPr>
              <w:t>ies</w:t>
            </w:r>
            <w:r w:rsidR="00816A37" w:rsidRPr="00816A37">
              <w:rPr>
                <w:rFonts w:ascii="Times New Roman" w:hAnsi="Times New Roman" w:cs="Times New Roman"/>
                <w:sz w:val="17"/>
                <w:szCs w:val="17"/>
                <w:lang w:val="en-GB"/>
              </w:rPr>
              <w:t xml:space="preserve"> of Agriculture, Natural Resources and Rural Development</w:t>
            </w:r>
            <w:r w:rsidR="00B6561E">
              <w:rPr>
                <w:rFonts w:ascii="Times New Roman" w:hAnsi="Times New Roman" w:cs="Times New Roman"/>
                <w:sz w:val="17"/>
                <w:szCs w:val="17"/>
                <w:lang w:val="en-GB"/>
              </w:rPr>
              <w:t xml:space="preserve">; </w:t>
            </w:r>
            <w:r w:rsidR="00816A37" w:rsidRPr="00816A37">
              <w:rPr>
                <w:rFonts w:ascii="Times New Roman" w:hAnsi="Times New Roman" w:cs="Times New Roman"/>
                <w:sz w:val="17"/>
                <w:szCs w:val="17"/>
                <w:lang w:val="en-GB"/>
              </w:rPr>
              <w:t>of Commerce and Industry</w:t>
            </w:r>
            <w:r w:rsidR="009B1AC5">
              <w:rPr>
                <w:rFonts w:ascii="Times New Roman" w:hAnsi="Times New Roman" w:cs="Times New Roman"/>
                <w:sz w:val="17"/>
                <w:szCs w:val="17"/>
                <w:lang w:val="en-GB"/>
              </w:rPr>
              <w:t>;</w:t>
            </w:r>
            <w:r w:rsidRPr="00813924">
              <w:rPr>
                <w:rFonts w:ascii="Times New Roman" w:hAnsi="Times New Roman" w:cs="Times New Roman"/>
                <w:sz w:val="17"/>
                <w:szCs w:val="17"/>
                <w:lang w:val="en-GB"/>
              </w:rPr>
              <w:t xml:space="preserve">  IFA</w:t>
            </w:r>
            <w:r w:rsidR="00D326EB" w:rsidRPr="00813924">
              <w:rPr>
                <w:rFonts w:ascii="Times New Roman" w:hAnsi="Times New Roman" w:cs="Times New Roman"/>
                <w:sz w:val="17"/>
                <w:szCs w:val="17"/>
                <w:lang w:val="en-GB"/>
              </w:rPr>
              <w:t>D</w:t>
            </w:r>
          </w:p>
        </w:tc>
        <w:tc>
          <w:tcPr>
            <w:tcW w:w="3600" w:type="dxa"/>
            <w:vMerge w:val="restart"/>
          </w:tcPr>
          <w:p w14:paraId="17F4B803" w14:textId="2210DEAF" w:rsidR="00B400D6" w:rsidRPr="009B1AC5" w:rsidRDefault="00816A37" w:rsidP="00DA6835">
            <w:pPr>
              <w:pStyle w:val="ListParagraph"/>
              <w:numPr>
                <w:ilvl w:val="0"/>
                <w:numId w:val="15"/>
              </w:numPr>
              <w:ind w:left="256" w:hanging="270"/>
              <w:rPr>
                <w:rFonts w:ascii="Times New Roman" w:hAnsi="Times New Roman" w:cs="Times New Roman"/>
                <w:sz w:val="17"/>
                <w:szCs w:val="17"/>
                <w:lang w:val="en-GB"/>
              </w:rPr>
            </w:pPr>
            <w:r w:rsidRPr="009B1AC5">
              <w:rPr>
                <w:rFonts w:ascii="Times New Roman" w:hAnsi="Times New Roman" w:cs="Times New Roman"/>
                <w:sz w:val="17"/>
                <w:szCs w:val="17"/>
                <w:lang w:val="en-GB"/>
              </w:rPr>
              <w:lastRenderedPageBreak/>
              <w:t xml:space="preserve">Ministries of: </w:t>
            </w:r>
            <w:r w:rsidR="00751782" w:rsidRPr="009B1AC5">
              <w:rPr>
                <w:rFonts w:ascii="Times New Roman" w:hAnsi="Times New Roman" w:cs="Times New Roman"/>
                <w:sz w:val="17"/>
                <w:szCs w:val="17"/>
                <w:lang w:val="en-GB"/>
              </w:rPr>
              <w:t>Economy</w:t>
            </w:r>
            <w:r w:rsidRPr="009B1AC5">
              <w:rPr>
                <w:rFonts w:ascii="Times New Roman" w:hAnsi="Times New Roman" w:cs="Times New Roman"/>
                <w:sz w:val="17"/>
                <w:szCs w:val="17"/>
                <w:lang w:val="en-GB"/>
              </w:rPr>
              <w:t xml:space="preserve"> and Finance; </w:t>
            </w:r>
            <w:r w:rsidR="009B1AC5" w:rsidRPr="009B1AC5">
              <w:rPr>
                <w:rFonts w:ascii="Times New Roman" w:hAnsi="Times New Roman" w:cs="Times New Roman"/>
                <w:sz w:val="17"/>
                <w:szCs w:val="17"/>
                <w:lang w:val="en-GB"/>
              </w:rPr>
              <w:t xml:space="preserve"> of Environment; </w:t>
            </w:r>
            <w:r w:rsidRPr="004B638D">
              <w:rPr>
                <w:rFonts w:ascii="Times New Roman" w:hAnsi="Times New Roman" w:cs="Times New Roman"/>
                <w:sz w:val="17"/>
                <w:szCs w:val="17"/>
                <w:lang w:val="en-GB"/>
              </w:rPr>
              <w:t>of Planning and External Cooperation</w:t>
            </w:r>
            <w:r w:rsidR="009B1AC5" w:rsidRPr="004B638D">
              <w:rPr>
                <w:rFonts w:ascii="Times New Roman" w:hAnsi="Times New Roman" w:cs="Times New Roman"/>
                <w:sz w:val="17"/>
                <w:szCs w:val="17"/>
                <w:lang w:val="en-GB"/>
              </w:rPr>
              <w:t xml:space="preserve">; of Social Affairs and Labour; </w:t>
            </w:r>
            <w:r w:rsidR="00B400D6" w:rsidRPr="009B1AC5">
              <w:rPr>
                <w:rFonts w:ascii="Times New Roman" w:hAnsi="Times New Roman" w:cs="Times New Roman"/>
                <w:sz w:val="17"/>
                <w:szCs w:val="17"/>
                <w:lang w:val="en-GB"/>
              </w:rPr>
              <w:t xml:space="preserve">of Trade and Industry </w:t>
            </w:r>
          </w:p>
          <w:p w14:paraId="224416B2"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National Institute of Vocational Training</w:t>
            </w:r>
          </w:p>
          <w:p w14:paraId="292768B5"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Central Bank of Haiti</w:t>
            </w:r>
          </w:p>
          <w:p w14:paraId="67E8AA83"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Chamber of Commerce </w:t>
            </w:r>
          </w:p>
          <w:p w14:paraId="63E25DB9"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Haitian Association of Economic Journalists for Sustainable Development </w:t>
            </w:r>
          </w:p>
          <w:p w14:paraId="7E325EE4"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Groupe Croissance</w:t>
            </w:r>
          </w:p>
          <w:p w14:paraId="6D6F451D" w14:textId="77777777" w:rsidR="00B400D6" w:rsidRPr="009B1AC5" w:rsidRDefault="00B400D6" w:rsidP="001D531E">
            <w:pPr>
              <w:pStyle w:val="ListParagraph"/>
              <w:numPr>
                <w:ilvl w:val="0"/>
                <w:numId w:val="15"/>
              </w:numPr>
              <w:ind w:left="256" w:hanging="270"/>
              <w:rPr>
                <w:rFonts w:ascii="Times New Roman" w:hAnsi="Times New Roman" w:cs="Times New Roman"/>
                <w:sz w:val="17"/>
                <w:szCs w:val="17"/>
                <w:lang w:val="en-GB"/>
              </w:rPr>
            </w:pPr>
            <w:r w:rsidRPr="009B1AC5">
              <w:rPr>
                <w:rFonts w:ascii="Times New Roman" w:hAnsi="Times New Roman" w:cs="Times New Roman"/>
                <w:sz w:val="17"/>
                <w:szCs w:val="17"/>
                <w:lang w:val="en-GB"/>
              </w:rPr>
              <w:t>IMF</w:t>
            </w:r>
          </w:p>
          <w:p w14:paraId="60BB6624"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European Union</w:t>
            </w:r>
          </w:p>
          <w:p w14:paraId="104A4F9E"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World Bank </w:t>
            </w:r>
          </w:p>
          <w:p w14:paraId="0DDD2064"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IDB </w:t>
            </w:r>
          </w:p>
          <w:p w14:paraId="77305472"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University Agency of La Francophonie</w:t>
            </w:r>
          </w:p>
          <w:p w14:paraId="14249B7E"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lastRenderedPageBreak/>
              <w:t>ECLAC</w:t>
            </w:r>
          </w:p>
          <w:p w14:paraId="5B6DF0D6"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FAO</w:t>
            </w:r>
          </w:p>
          <w:p w14:paraId="23BD2732"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ILO</w:t>
            </w:r>
          </w:p>
          <w:p w14:paraId="2A9580C2"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UNCTAD</w:t>
            </w:r>
          </w:p>
          <w:p w14:paraId="447952EA" w14:textId="77777777"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UNICEF</w:t>
            </w:r>
          </w:p>
          <w:p w14:paraId="3DE06C98" w14:textId="645DE61F" w:rsidR="00B400D6" w:rsidRPr="00813924" w:rsidRDefault="00B400D6" w:rsidP="001D531E">
            <w:pPr>
              <w:pStyle w:val="ListParagraph"/>
              <w:numPr>
                <w:ilvl w:val="0"/>
                <w:numId w:val="15"/>
              </w:numPr>
              <w:ind w:left="256" w:hanging="270"/>
              <w:rPr>
                <w:rFonts w:ascii="Times New Roman" w:hAnsi="Times New Roman" w:cs="Times New Roman"/>
                <w:sz w:val="17"/>
                <w:szCs w:val="17"/>
                <w:lang w:val="en-GB"/>
              </w:rPr>
            </w:pPr>
            <w:r w:rsidRPr="00813924">
              <w:rPr>
                <w:rFonts w:ascii="Times New Roman" w:hAnsi="Times New Roman" w:cs="Times New Roman"/>
                <w:sz w:val="17"/>
                <w:szCs w:val="17"/>
                <w:lang w:val="en-GB"/>
              </w:rPr>
              <w:t>UN</w:t>
            </w:r>
            <w:r w:rsidR="009B1AC5">
              <w:rPr>
                <w:rFonts w:ascii="Times New Roman" w:hAnsi="Times New Roman" w:cs="Times New Roman"/>
                <w:sz w:val="17"/>
                <w:szCs w:val="17"/>
                <w:lang w:val="en-GB"/>
              </w:rPr>
              <w:t>-</w:t>
            </w:r>
            <w:r w:rsidRPr="00813924">
              <w:rPr>
                <w:rFonts w:ascii="Times New Roman" w:hAnsi="Times New Roman" w:cs="Times New Roman"/>
                <w:sz w:val="17"/>
                <w:szCs w:val="17"/>
                <w:lang w:val="en-GB"/>
              </w:rPr>
              <w:t>W</w:t>
            </w:r>
            <w:r w:rsidR="009B1AC5" w:rsidRPr="00813924">
              <w:rPr>
                <w:rFonts w:ascii="Times New Roman" w:hAnsi="Times New Roman" w:cs="Times New Roman"/>
                <w:sz w:val="17"/>
                <w:szCs w:val="17"/>
                <w:lang w:val="en-GB"/>
              </w:rPr>
              <w:t>omen</w:t>
            </w:r>
          </w:p>
        </w:tc>
        <w:tc>
          <w:tcPr>
            <w:tcW w:w="1667" w:type="dxa"/>
            <w:vMerge w:val="restart"/>
          </w:tcPr>
          <w:p w14:paraId="65B2E17A" w14:textId="76ED08C1" w:rsidR="00B400D6" w:rsidRPr="00813924" w:rsidRDefault="00B400D6" w:rsidP="001D531E">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lastRenderedPageBreak/>
              <w:t xml:space="preserve">Regular </w:t>
            </w:r>
            <w:r w:rsidR="00880283"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p>
          <w:p w14:paraId="1A80F27E" w14:textId="77777777" w:rsidR="00B400D6" w:rsidRPr="00813924" w:rsidRDefault="00B400D6" w:rsidP="001D531E">
            <w:pPr>
              <w:rPr>
                <w:rFonts w:ascii="Times New Roman" w:hAnsi="Times New Roman" w:cs="Times New Roman"/>
                <w:color w:val="000000"/>
                <w:sz w:val="17"/>
                <w:szCs w:val="17"/>
                <w:lang w:val="en-US"/>
              </w:rPr>
            </w:pPr>
            <w:r w:rsidRPr="00813924">
              <w:rPr>
                <w:rFonts w:ascii="Times New Roman" w:hAnsi="Times New Roman" w:cs="Times New Roman"/>
                <w:color w:val="000000"/>
                <w:sz w:val="17"/>
                <w:szCs w:val="17"/>
              </w:rPr>
              <w:t xml:space="preserve">$6,290,000 </w:t>
            </w:r>
          </w:p>
          <w:p w14:paraId="5FE39833" w14:textId="77777777" w:rsidR="00B400D6" w:rsidRPr="00813924" w:rsidRDefault="00B400D6" w:rsidP="001D531E">
            <w:pPr>
              <w:rPr>
                <w:rFonts w:ascii="Times New Roman" w:hAnsi="Times New Roman" w:cs="Times New Roman"/>
                <w:sz w:val="17"/>
                <w:szCs w:val="17"/>
                <w:u w:val="single"/>
                <w:lang w:val="en-GB"/>
              </w:rPr>
            </w:pPr>
          </w:p>
          <w:p w14:paraId="3952C0DB" w14:textId="063FA396" w:rsidR="00B400D6" w:rsidRPr="00813924" w:rsidRDefault="00B400D6" w:rsidP="001D531E">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 xml:space="preserve">Other </w:t>
            </w:r>
            <w:r w:rsidR="00880283"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p>
          <w:p w14:paraId="36BD73B7" w14:textId="77777777" w:rsidR="00B400D6" w:rsidRPr="00813924" w:rsidRDefault="00B400D6" w:rsidP="001D531E">
            <w:pPr>
              <w:rPr>
                <w:rFonts w:ascii="Times New Roman" w:hAnsi="Times New Roman" w:cs="Times New Roman"/>
                <w:color w:val="000000"/>
                <w:sz w:val="17"/>
                <w:szCs w:val="17"/>
                <w:lang w:val="en-US"/>
              </w:rPr>
            </w:pPr>
            <w:r w:rsidRPr="00813924">
              <w:rPr>
                <w:rFonts w:ascii="Times New Roman" w:hAnsi="Times New Roman" w:cs="Times New Roman"/>
                <w:color w:val="000000"/>
                <w:sz w:val="17"/>
                <w:szCs w:val="17"/>
              </w:rPr>
              <w:t xml:space="preserve">$16,930,000 </w:t>
            </w:r>
          </w:p>
          <w:p w14:paraId="1D0D0B60" w14:textId="77777777" w:rsidR="00B400D6" w:rsidRPr="00813924" w:rsidRDefault="00B400D6" w:rsidP="001D531E">
            <w:pPr>
              <w:rPr>
                <w:rFonts w:ascii="Times New Roman" w:hAnsi="Times New Roman" w:cs="Times New Roman"/>
                <w:sz w:val="17"/>
                <w:szCs w:val="17"/>
                <w:lang w:val="en-GB"/>
              </w:rPr>
            </w:pPr>
          </w:p>
        </w:tc>
      </w:tr>
      <w:tr w:rsidR="00B400D6" w:rsidRPr="00813924" w14:paraId="67B6D061" w14:textId="77777777" w:rsidTr="00F204CC">
        <w:trPr>
          <w:gridAfter w:val="1"/>
          <w:wAfter w:w="43" w:type="dxa"/>
        </w:trPr>
        <w:tc>
          <w:tcPr>
            <w:tcW w:w="2670" w:type="dxa"/>
            <w:gridSpan w:val="2"/>
            <w:vMerge/>
          </w:tcPr>
          <w:p w14:paraId="1EF0CB1A" w14:textId="77777777" w:rsidR="00B400D6" w:rsidRPr="00813924" w:rsidRDefault="00B400D6" w:rsidP="001D531E">
            <w:pPr>
              <w:rPr>
                <w:rFonts w:ascii="Times New Roman" w:hAnsi="Times New Roman" w:cs="Times New Roman"/>
                <w:sz w:val="17"/>
                <w:szCs w:val="17"/>
                <w:lang w:val="en-GB"/>
              </w:rPr>
            </w:pPr>
          </w:p>
        </w:tc>
        <w:tc>
          <w:tcPr>
            <w:tcW w:w="2634" w:type="dxa"/>
            <w:gridSpan w:val="3"/>
            <w:vMerge/>
          </w:tcPr>
          <w:p w14:paraId="16AC68EF" w14:textId="77777777" w:rsidR="00B400D6" w:rsidRPr="00813924" w:rsidRDefault="00B400D6" w:rsidP="001D531E">
            <w:pPr>
              <w:rPr>
                <w:rFonts w:ascii="Times New Roman" w:hAnsi="Times New Roman" w:cs="Times New Roman"/>
                <w:sz w:val="17"/>
                <w:szCs w:val="17"/>
                <w:lang w:val="en-GB"/>
              </w:rPr>
            </w:pPr>
          </w:p>
        </w:tc>
        <w:tc>
          <w:tcPr>
            <w:tcW w:w="3421" w:type="dxa"/>
          </w:tcPr>
          <w:p w14:paraId="6F424D0C" w14:textId="77777777" w:rsidR="00B400D6" w:rsidRPr="00813924" w:rsidRDefault="00B400D6" w:rsidP="001D531E">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Output2.2: Public and private sector invest and promote expenditure on</w:t>
            </w:r>
            <w:r w:rsidRPr="00813924">
              <w:rPr>
                <w:rFonts w:ascii="Times New Roman" w:hAnsi="Times New Roman" w:cs="Times New Roman"/>
                <w:sz w:val="17"/>
                <w:szCs w:val="17"/>
                <w:lang w:val="en-GB"/>
              </w:rPr>
              <w:t xml:space="preserve"> </w:t>
            </w:r>
            <w:r w:rsidRPr="00813924">
              <w:rPr>
                <w:rFonts w:ascii="Times New Roman" w:hAnsi="Times New Roman" w:cs="Times New Roman"/>
                <w:b/>
                <w:bCs/>
                <w:sz w:val="17"/>
                <w:szCs w:val="17"/>
                <w:lang w:val="en-GB"/>
              </w:rPr>
              <w:t>sustainable</w:t>
            </w:r>
            <w:r w:rsidRPr="00813924">
              <w:rPr>
                <w:rFonts w:ascii="Times New Roman" w:hAnsi="Times New Roman" w:cs="Times New Roman"/>
                <w:sz w:val="17"/>
                <w:szCs w:val="17"/>
                <w:lang w:val="en-GB"/>
              </w:rPr>
              <w:t xml:space="preserve"> </w:t>
            </w:r>
            <w:r w:rsidRPr="00813924">
              <w:rPr>
                <w:rFonts w:ascii="Times New Roman" w:hAnsi="Times New Roman" w:cs="Times New Roman"/>
                <w:b/>
                <w:bCs/>
                <w:sz w:val="17"/>
                <w:szCs w:val="17"/>
                <w:lang w:val="en-GB"/>
              </w:rPr>
              <w:t>development through an integrated national approach</w:t>
            </w:r>
          </w:p>
          <w:p w14:paraId="5D92B65A" w14:textId="77777777" w:rsidR="00B400D6" w:rsidRPr="00813924" w:rsidRDefault="00B400D6" w:rsidP="001D531E">
            <w:pPr>
              <w:rPr>
                <w:rFonts w:ascii="Times New Roman" w:hAnsi="Times New Roman" w:cs="Times New Roman"/>
                <w:sz w:val="17"/>
                <w:szCs w:val="17"/>
                <w:u w:val="single"/>
                <w:lang w:val="en-GB"/>
              </w:rPr>
            </w:pPr>
          </w:p>
          <w:p w14:paraId="606A713C"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2.2.1</w:t>
            </w:r>
            <w:r w:rsidRPr="00813924">
              <w:rPr>
                <w:rFonts w:ascii="Times New Roman" w:hAnsi="Times New Roman" w:cs="Times New Roman"/>
                <w:sz w:val="17"/>
                <w:szCs w:val="17"/>
                <w:lang w:val="en-GB"/>
              </w:rPr>
              <w:t xml:space="preserve">: Existence of an integrated national financing framework </w:t>
            </w:r>
          </w:p>
          <w:p w14:paraId="6E870321"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No </w:t>
            </w:r>
          </w:p>
          <w:p w14:paraId="4C8FFE40" w14:textId="77777777" w:rsidR="00B400D6" w:rsidRPr="00813924" w:rsidRDefault="00B400D6" w:rsidP="001D531E">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Yes</w:t>
            </w:r>
          </w:p>
          <w:p w14:paraId="4B19C16E" w14:textId="01522096"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lang w:val="en-GB"/>
              </w:rPr>
              <w:t>Source:</w:t>
            </w:r>
            <w:r w:rsidR="00816A37">
              <w:t xml:space="preserve"> </w:t>
            </w:r>
            <w:r w:rsidR="00816A37" w:rsidRPr="00816A37">
              <w:rPr>
                <w:rFonts w:ascii="Times New Roman" w:hAnsi="Times New Roman" w:cs="Times New Roman"/>
                <w:sz w:val="17"/>
                <w:szCs w:val="17"/>
                <w:lang w:val="en-GB"/>
              </w:rPr>
              <w:t>Ministry of Planning and External Cooperation</w:t>
            </w:r>
            <w:r w:rsidRPr="00813924">
              <w:rPr>
                <w:rFonts w:ascii="Times New Roman" w:hAnsi="Times New Roman" w:cs="Times New Roman"/>
                <w:sz w:val="17"/>
                <w:szCs w:val="17"/>
                <w:lang w:val="en-GB"/>
              </w:rPr>
              <w:t xml:space="preserve"> </w:t>
            </w:r>
          </w:p>
          <w:p w14:paraId="361E6D2E" w14:textId="77777777" w:rsidR="00B400D6" w:rsidRPr="00813924" w:rsidRDefault="00B400D6" w:rsidP="001D531E">
            <w:pPr>
              <w:rPr>
                <w:rFonts w:ascii="Times New Roman" w:hAnsi="Times New Roman" w:cs="Times New Roman"/>
                <w:sz w:val="17"/>
                <w:szCs w:val="17"/>
                <w:lang w:val="en-GB"/>
              </w:rPr>
            </w:pPr>
          </w:p>
          <w:p w14:paraId="484F5DD8"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2.2.2</w:t>
            </w:r>
            <w:r w:rsidRPr="00813924">
              <w:rPr>
                <w:rFonts w:ascii="Times New Roman" w:hAnsi="Times New Roman" w:cs="Times New Roman"/>
                <w:sz w:val="17"/>
                <w:szCs w:val="17"/>
                <w:lang w:val="en-GB"/>
              </w:rPr>
              <w:t>: Number of sectoral ministries involved in monitoring and reviewing progress in different funding flows and controlling public spending in relation to the Sustainable Development Goals.</w:t>
            </w:r>
          </w:p>
          <w:p w14:paraId="27D00308" w14:textId="77777777"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Baseline </w:t>
            </w:r>
            <w:r w:rsidRPr="00813924">
              <w:rPr>
                <w:rFonts w:ascii="Times New Roman" w:hAnsi="Times New Roman" w:cs="Times New Roman"/>
                <w:sz w:val="17"/>
                <w:szCs w:val="17"/>
                <w:lang w:val="en-GB"/>
              </w:rPr>
              <w:t>(2020): 0</w:t>
            </w:r>
          </w:p>
          <w:p w14:paraId="72112265" w14:textId="77777777" w:rsidR="00B400D6" w:rsidRPr="00813924" w:rsidRDefault="00B400D6" w:rsidP="001D531E">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3</w:t>
            </w:r>
          </w:p>
          <w:p w14:paraId="5B50331E" w14:textId="14E8FF14" w:rsidR="00B400D6" w:rsidRPr="00813924" w:rsidRDefault="00B400D6" w:rsidP="001D531E">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816A37" w:rsidRPr="00816A37">
              <w:rPr>
                <w:rFonts w:ascii="Times New Roman" w:hAnsi="Times New Roman" w:cs="Times New Roman"/>
                <w:sz w:val="17"/>
                <w:szCs w:val="17"/>
                <w:lang w:val="en-GB"/>
              </w:rPr>
              <w:t>Ministr</w:t>
            </w:r>
            <w:r w:rsidR="009B1AC5">
              <w:rPr>
                <w:rFonts w:ascii="Times New Roman" w:hAnsi="Times New Roman" w:cs="Times New Roman"/>
                <w:sz w:val="17"/>
                <w:szCs w:val="17"/>
                <w:lang w:val="en-GB"/>
              </w:rPr>
              <w:t xml:space="preserve">ies </w:t>
            </w:r>
            <w:r w:rsidR="00816A37" w:rsidRPr="00816A37">
              <w:rPr>
                <w:rFonts w:ascii="Times New Roman" w:hAnsi="Times New Roman" w:cs="Times New Roman"/>
                <w:sz w:val="17"/>
                <w:szCs w:val="17"/>
                <w:lang w:val="en-GB"/>
              </w:rPr>
              <w:t>of Planning and External Cooperation</w:t>
            </w:r>
            <w:r w:rsidR="009B1AC5">
              <w:rPr>
                <w:rFonts w:ascii="Times New Roman" w:hAnsi="Times New Roman" w:cs="Times New Roman"/>
                <w:sz w:val="17"/>
                <w:szCs w:val="17"/>
                <w:lang w:val="en-GB"/>
              </w:rPr>
              <w:t xml:space="preserve">; of </w:t>
            </w:r>
            <w:r w:rsidR="00816A37" w:rsidRPr="00816A37">
              <w:rPr>
                <w:rFonts w:ascii="Times New Roman" w:hAnsi="Times New Roman" w:cs="Times New Roman"/>
                <w:sz w:val="17"/>
                <w:szCs w:val="17"/>
                <w:lang w:val="en-GB"/>
              </w:rPr>
              <w:t xml:space="preserve"> </w:t>
            </w:r>
            <w:r w:rsidR="009B1AC5">
              <w:rPr>
                <w:rFonts w:ascii="Times New Roman" w:hAnsi="Times New Roman" w:cs="Times New Roman"/>
                <w:sz w:val="17"/>
                <w:szCs w:val="17"/>
                <w:lang w:val="en-GB"/>
              </w:rPr>
              <w:t xml:space="preserve">Economy and Finance; </w:t>
            </w:r>
            <w:r w:rsidR="00816A37" w:rsidRPr="00816A37">
              <w:rPr>
                <w:rFonts w:ascii="Times New Roman" w:hAnsi="Times New Roman" w:cs="Times New Roman"/>
                <w:sz w:val="17"/>
                <w:szCs w:val="17"/>
                <w:lang w:val="en-GB"/>
              </w:rPr>
              <w:t>of Commerce and Industry</w:t>
            </w:r>
          </w:p>
        </w:tc>
        <w:tc>
          <w:tcPr>
            <w:tcW w:w="3600" w:type="dxa"/>
            <w:vMerge/>
          </w:tcPr>
          <w:p w14:paraId="2EC5E476" w14:textId="77777777" w:rsidR="00B400D6" w:rsidRPr="00813924" w:rsidRDefault="00B400D6" w:rsidP="001D531E">
            <w:pPr>
              <w:pStyle w:val="ListParagraph"/>
              <w:numPr>
                <w:ilvl w:val="0"/>
                <w:numId w:val="5"/>
              </w:numPr>
              <w:rPr>
                <w:rFonts w:ascii="Times New Roman" w:hAnsi="Times New Roman" w:cs="Times New Roman"/>
                <w:sz w:val="17"/>
                <w:szCs w:val="17"/>
                <w:lang w:val="en-GB"/>
              </w:rPr>
            </w:pPr>
          </w:p>
        </w:tc>
        <w:tc>
          <w:tcPr>
            <w:tcW w:w="1667" w:type="dxa"/>
            <w:vMerge/>
          </w:tcPr>
          <w:p w14:paraId="78DA3F2E" w14:textId="77777777" w:rsidR="00B400D6" w:rsidRPr="00813924" w:rsidRDefault="00B400D6" w:rsidP="001D531E">
            <w:pPr>
              <w:rPr>
                <w:rFonts w:ascii="Times New Roman" w:hAnsi="Times New Roman" w:cs="Times New Roman"/>
                <w:sz w:val="17"/>
                <w:szCs w:val="17"/>
                <w:lang w:val="en-GB"/>
              </w:rPr>
            </w:pPr>
          </w:p>
        </w:tc>
      </w:tr>
      <w:tr w:rsidR="006C7266" w:rsidRPr="00813924" w14:paraId="08197518" w14:textId="77777777" w:rsidTr="00880283">
        <w:tc>
          <w:tcPr>
            <w:tcW w:w="14035" w:type="dxa"/>
            <w:gridSpan w:val="9"/>
            <w:shd w:val="clear" w:color="auto" w:fill="D9D9D9" w:themeFill="background1" w:themeFillShade="D9"/>
          </w:tcPr>
          <w:p w14:paraId="69A8B44A" w14:textId="70985EBA" w:rsidR="006C7266" w:rsidRPr="00813924" w:rsidRDefault="002B6581" w:rsidP="00816039">
            <w:pPr>
              <w:spacing w:before="60" w:after="60"/>
              <w:rPr>
                <w:rFonts w:ascii="Times New Roman" w:hAnsi="Times New Roman" w:cs="Times New Roman"/>
                <w:sz w:val="17"/>
                <w:szCs w:val="17"/>
                <w:lang w:val="en-GB"/>
              </w:rPr>
            </w:pPr>
            <w:r w:rsidRPr="00813924">
              <w:rPr>
                <w:rFonts w:ascii="Times New Roman" w:hAnsi="Times New Roman" w:cs="Times New Roman"/>
                <w:b/>
                <w:bCs/>
                <w:sz w:val="17"/>
                <w:szCs w:val="17"/>
                <w:lang w:val="en-GB"/>
              </w:rPr>
              <w:t xml:space="preserve">NATIONAL </w:t>
            </w:r>
            <w:r w:rsidR="006C7266" w:rsidRPr="00813924">
              <w:rPr>
                <w:rFonts w:ascii="Times New Roman" w:hAnsi="Times New Roman" w:cs="Times New Roman"/>
                <w:b/>
                <w:bCs/>
                <w:sz w:val="17"/>
                <w:szCs w:val="17"/>
                <w:lang w:val="en-GB"/>
              </w:rPr>
              <w:t>PRIORITY</w:t>
            </w:r>
            <w:r w:rsidR="006C7266" w:rsidRPr="00813924">
              <w:rPr>
                <w:rFonts w:ascii="Times New Roman" w:hAnsi="Times New Roman" w:cs="Times New Roman"/>
                <w:sz w:val="17"/>
                <w:szCs w:val="17"/>
                <w:lang w:val="en-GB"/>
              </w:rPr>
              <w:t>: Social Refoundation (PSDH 2012-2030)</w:t>
            </w:r>
          </w:p>
        </w:tc>
      </w:tr>
      <w:tr w:rsidR="006C7266" w:rsidRPr="00813924" w14:paraId="4F1E57E5" w14:textId="77777777" w:rsidTr="00880283">
        <w:trPr>
          <w:trHeight w:val="313"/>
        </w:trPr>
        <w:tc>
          <w:tcPr>
            <w:tcW w:w="14035" w:type="dxa"/>
            <w:gridSpan w:val="9"/>
            <w:shd w:val="clear" w:color="auto" w:fill="D9D9D9" w:themeFill="background1" w:themeFillShade="D9"/>
          </w:tcPr>
          <w:p w14:paraId="53ADD702" w14:textId="176FEA52" w:rsidR="006C7266" w:rsidRPr="00813924" w:rsidRDefault="006C7266" w:rsidP="00816039">
            <w:pPr>
              <w:spacing w:before="60" w:after="60"/>
              <w:rPr>
                <w:rFonts w:ascii="Times New Roman" w:hAnsi="Times New Roman" w:cs="Times New Roman"/>
                <w:sz w:val="17"/>
                <w:szCs w:val="17"/>
                <w:lang w:val="en-GB"/>
              </w:rPr>
            </w:pPr>
            <w:r w:rsidRPr="00813924">
              <w:rPr>
                <w:rFonts w:ascii="Times New Roman" w:hAnsi="Times New Roman" w:cs="Times New Roman"/>
                <w:b/>
                <w:bCs/>
                <w:color w:val="000000"/>
                <w:sz w:val="17"/>
                <w:szCs w:val="17"/>
                <w:lang w:val="en-GB"/>
              </w:rPr>
              <w:t xml:space="preserve">COOPERATION FRAMEWORK OUTCOME INVOLVING UNDP </w:t>
            </w:r>
            <w:r w:rsidR="000374FD">
              <w:rPr>
                <w:rFonts w:ascii="Times New Roman" w:hAnsi="Times New Roman" w:cs="Times New Roman"/>
                <w:b/>
                <w:bCs/>
                <w:color w:val="000000"/>
                <w:sz w:val="17"/>
                <w:szCs w:val="17"/>
                <w:lang w:val="en-GB"/>
              </w:rPr>
              <w:t xml:space="preserve">#3, </w:t>
            </w:r>
            <w:r w:rsidRPr="00813924">
              <w:rPr>
                <w:rFonts w:ascii="Times New Roman" w:hAnsi="Times New Roman" w:cs="Times New Roman"/>
                <w:b/>
                <w:bCs/>
                <w:color w:val="000000"/>
                <w:sz w:val="17"/>
                <w:szCs w:val="17"/>
                <w:lang w:val="en-GB"/>
              </w:rPr>
              <w:t xml:space="preserve">UNSDCF OUTCOME </w:t>
            </w:r>
            <w:r w:rsidR="000613B8">
              <w:rPr>
                <w:rFonts w:ascii="Times New Roman" w:hAnsi="Times New Roman" w:cs="Times New Roman"/>
                <w:b/>
                <w:bCs/>
                <w:color w:val="000000"/>
                <w:sz w:val="17"/>
                <w:szCs w:val="17"/>
                <w:lang w:val="en-GB"/>
              </w:rPr>
              <w:t>4</w:t>
            </w:r>
            <w:r w:rsidRPr="00813924">
              <w:rPr>
                <w:rFonts w:ascii="Times New Roman" w:hAnsi="Times New Roman" w:cs="Times New Roman"/>
                <w:sz w:val="17"/>
                <w:szCs w:val="17"/>
                <w:lang w:val="en-GB"/>
              </w:rPr>
              <w:t xml:space="preserve">: The population, particularly vulnerable and </w:t>
            </w:r>
            <w:r w:rsidR="00F31198" w:rsidRPr="00813924">
              <w:rPr>
                <w:rFonts w:ascii="Times New Roman" w:hAnsi="Times New Roman" w:cs="Times New Roman"/>
                <w:sz w:val="17"/>
                <w:szCs w:val="17"/>
                <w:lang w:val="en-GB"/>
              </w:rPr>
              <w:t xml:space="preserve">marginalized </w:t>
            </w:r>
            <w:r w:rsidRPr="00813924">
              <w:rPr>
                <w:rFonts w:ascii="Times New Roman" w:hAnsi="Times New Roman" w:cs="Times New Roman"/>
                <w:sz w:val="17"/>
                <w:szCs w:val="17"/>
                <w:lang w:val="en-GB"/>
              </w:rPr>
              <w:t>groups, has better access to equitable, inclusive and quality basic social services, with an emphasis on respect for human rights, gender equality</w:t>
            </w:r>
            <w:r w:rsidR="00830AE0">
              <w:rPr>
                <w:rFonts w:ascii="Times New Roman" w:hAnsi="Times New Roman" w:cs="Times New Roman"/>
                <w:sz w:val="17"/>
                <w:szCs w:val="17"/>
                <w:lang w:val="en-GB"/>
              </w:rPr>
              <w:t xml:space="preserve"> and</w:t>
            </w:r>
            <w:r w:rsidRPr="00813924">
              <w:rPr>
                <w:rFonts w:ascii="Times New Roman" w:hAnsi="Times New Roman" w:cs="Times New Roman"/>
                <w:sz w:val="17"/>
                <w:szCs w:val="17"/>
                <w:lang w:val="en-GB"/>
              </w:rPr>
              <w:t xml:space="preserve"> disability inclusion, with a view of strengthening the social contract</w:t>
            </w:r>
          </w:p>
        </w:tc>
      </w:tr>
      <w:tr w:rsidR="006C7266" w:rsidRPr="00813924" w14:paraId="69245823" w14:textId="77777777" w:rsidTr="00880283">
        <w:trPr>
          <w:trHeight w:val="313"/>
        </w:trPr>
        <w:tc>
          <w:tcPr>
            <w:tcW w:w="14035" w:type="dxa"/>
            <w:gridSpan w:val="9"/>
            <w:shd w:val="clear" w:color="auto" w:fill="D9D9D9" w:themeFill="background1" w:themeFillShade="D9"/>
          </w:tcPr>
          <w:p w14:paraId="5A1EC2CF" w14:textId="77AC86F7" w:rsidR="006C7266" w:rsidRPr="00813924" w:rsidRDefault="006C7266" w:rsidP="008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sz w:val="17"/>
                <w:szCs w:val="17"/>
                <w:lang w:val="en-GB"/>
              </w:rPr>
            </w:pPr>
            <w:r w:rsidRPr="00813924">
              <w:rPr>
                <w:rFonts w:ascii="Times New Roman" w:hAnsi="Times New Roman" w:cs="Times New Roman"/>
                <w:b/>
                <w:bCs/>
                <w:color w:val="000000"/>
                <w:sz w:val="17"/>
                <w:szCs w:val="17"/>
                <w:lang w:val="en-GB"/>
              </w:rPr>
              <w:t>RELATED STRATEGIC PLAN OUTCOME</w:t>
            </w:r>
            <w:r w:rsidRPr="00813924">
              <w:rPr>
                <w:rFonts w:ascii="Times New Roman" w:hAnsi="Times New Roman" w:cs="Times New Roman"/>
                <w:b/>
                <w:bCs/>
                <w:sz w:val="17"/>
                <w:szCs w:val="17"/>
                <w:lang w:val="en-GB"/>
              </w:rPr>
              <w:t>:</w:t>
            </w:r>
            <w:r w:rsidRPr="00813924">
              <w:rPr>
                <w:rFonts w:ascii="Times New Roman" w:hAnsi="Times New Roman" w:cs="Times New Roman"/>
                <w:sz w:val="17"/>
                <w:szCs w:val="17"/>
                <w:lang w:val="en-GB"/>
              </w:rPr>
              <w:t xml:space="preserve"> 2. No one left behind, cent</w:t>
            </w:r>
            <w:r w:rsidR="00830AE0">
              <w:rPr>
                <w:rFonts w:ascii="Times New Roman" w:hAnsi="Times New Roman" w:cs="Times New Roman"/>
                <w:sz w:val="17"/>
                <w:szCs w:val="17"/>
                <w:lang w:val="en-GB"/>
              </w:rPr>
              <w:t>ring</w:t>
            </w:r>
            <w:r w:rsidRPr="00813924">
              <w:rPr>
                <w:rFonts w:ascii="Times New Roman" w:hAnsi="Times New Roman" w:cs="Times New Roman"/>
                <w:sz w:val="17"/>
                <w:szCs w:val="17"/>
                <w:lang w:val="en-GB"/>
              </w:rPr>
              <w:t xml:space="preserve"> on equitable access to opportunities and a rights-based approach to human agency and human development</w:t>
            </w:r>
          </w:p>
        </w:tc>
      </w:tr>
      <w:tr w:rsidR="006C7266" w:rsidRPr="00813924" w14:paraId="4335CE6F" w14:textId="77777777" w:rsidTr="001A1BAC">
        <w:tc>
          <w:tcPr>
            <w:tcW w:w="2694" w:type="dxa"/>
            <w:gridSpan w:val="3"/>
            <w:vMerge w:val="restart"/>
          </w:tcPr>
          <w:p w14:paraId="6144CEA9" w14:textId="0D3B5ABF"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3.1 </w:t>
            </w:r>
            <w:r w:rsidR="00823822" w:rsidRPr="00813924">
              <w:rPr>
                <w:rFonts w:ascii="Times New Roman" w:hAnsi="Times New Roman" w:cs="Times New Roman"/>
                <w:sz w:val="17"/>
                <w:szCs w:val="17"/>
                <w:lang w:val="en-GB"/>
              </w:rPr>
              <w:t>National coverage of the Information System of the Ministry of Social Affairs and Labor</w:t>
            </w:r>
          </w:p>
          <w:p w14:paraId="27B91059"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(2021</w:t>
            </w:r>
            <w:r w:rsidRPr="00813924">
              <w:rPr>
                <w:rFonts w:ascii="Times New Roman" w:hAnsi="Times New Roman" w:cs="Times New Roman"/>
                <w:sz w:val="17"/>
                <w:szCs w:val="17"/>
                <w:lang w:val="en-GB"/>
              </w:rPr>
              <w:t xml:space="preserve">): 25% </w:t>
            </w:r>
          </w:p>
          <w:p w14:paraId="01B4EFD7"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60% </w:t>
            </w:r>
          </w:p>
          <w:p w14:paraId="1561C5DA" w14:textId="77777777" w:rsidR="006C7266" w:rsidRPr="00813924" w:rsidRDefault="006C7266" w:rsidP="00780D85">
            <w:pPr>
              <w:rPr>
                <w:rFonts w:ascii="Times New Roman" w:hAnsi="Times New Roman" w:cs="Times New Roman"/>
                <w:sz w:val="17"/>
                <w:szCs w:val="17"/>
                <w:lang w:val="en-GB"/>
              </w:rPr>
            </w:pPr>
          </w:p>
          <w:p w14:paraId="62EFFF42" w14:textId="3914F979" w:rsidR="006C7266" w:rsidRPr="00813924" w:rsidRDefault="00F54F3D"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3.2 Placement</w:t>
            </w:r>
            <w:r w:rsidR="00755BC2" w:rsidRPr="00813924">
              <w:rPr>
                <w:rFonts w:ascii="Times New Roman" w:hAnsi="Times New Roman" w:cs="Times New Roman"/>
                <w:sz w:val="17"/>
                <w:szCs w:val="17"/>
                <w:lang w:val="en-GB"/>
              </w:rPr>
              <w:t xml:space="preserve"> in the </w:t>
            </w:r>
            <w:r w:rsidR="006C7266" w:rsidRPr="00813924">
              <w:rPr>
                <w:rFonts w:ascii="Times New Roman" w:hAnsi="Times New Roman" w:cs="Times New Roman"/>
                <w:sz w:val="17"/>
                <w:szCs w:val="17"/>
                <w:lang w:val="en-GB"/>
              </w:rPr>
              <w:t>Human Development Index</w:t>
            </w:r>
          </w:p>
          <w:p w14:paraId="2C206743" w14:textId="77777777" w:rsidR="006C7266" w:rsidRPr="00813924" w:rsidRDefault="006C7266" w:rsidP="00780D85">
            <w:pPr>
              <w:shd w:val="clear" w:color="auto" w:fill="FFFFFF" w:themeFill="background1"/>
              <w:rPr>
                <w:rFonts w:ascii="Times New Roman" w:hAnsi="Times New Roman" w:cs="Times New Roman"/>
                <w:sz w:val="17"/>
                <w:szCs w:val="17"/>
                <w:highlight w:val="yellow"/>
                <w:lang w:val="en-GB"/>
              </w:rPr>
            </w:pPr>
            <w:r w:rsidRPr="00813924">
              <w:rPr>
                <w:rFonts w:ascii="Times New Roman" w:hAnsi="Times New Roman" w:cs="Times New Roman"/>
                <w:sz w:val="17"/>
                <w:szCs w:val="17"/>
                <w:u w:val="single"/>
                <w:shd w:val="clear" w:color="auto" w:fill="FFFFFF" w:themeFill="background1"/>
                <w:lang w:val="en-GB"/>
              </w:rPr>
              <w:lastRenderedPageBreak/>
              <w:t>Baseline</w:t>
            </w:r>
            <w:r w:rsidRPr="00813924">
              <w:rPr>
                <w:rFonts w:ascii="Times New Roman" w:hAnsi="Times New Roman" w:cs="Times New Roman"/>
                <w:sz w:val="17"/>
                <w:szCs w:val="17"/>
                <w:shd w:val="clear" w:color="auto" w:fill="FFFFFF" w:themeFill="background1"/>
                <w:lang w:val="en-GB"/>
              </w:rPr>
              <w:t xml:space="preserve"> (2021): 170th</w:t>
            </w:r>
            <w:r w:rsidRPr="00813924">
              <w:rPr>
                <w:rFonts w:ascii="Times New Roman" w:hAnsi="Times New Roman" w:cs="Times New Roman"/>
                <w:sz w:val="17"/>
                <w:szCs w:val="17"/>
                <w:lang w:val="en-GB"/>
              </w:rPr>
              <w:t xml:space="preserve"> place out of 189 countries</w:t>
            </w:r>
          </w:p>
          <w:p w14:paraId="72263879" w14:textId="77777777" w:rsidR="006C7266" w:rsidRPr="00813924" w:rsidRDefault="006C7266" w:rsidP="00780D85">
            <w:pPr>
              <w:shd w:val="clear" w:color="auto" w:fill="FFFFFF" w:themeFill="background1"/>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168</w:t>
            </w:r>
            <w:r w:rsidRPr="00813924">
              <w:rPr>
                <w:rFonts w:ascii="Times New Roman" w:hAnsi="Times New Roman" w:cs="Times New Roman"/>
                <w:sz w:val="17"/>
                <w:szCs w:val="17"/>
                <w:vertAlign w:val="superscript"/>
                <w:lang w:val="en-GB"/>
              </w:rPr>
              <w:t>th</w:t>
            </w:r>
            <w:r w:rsidRPr="00813924">
              <w:rPr>
                <w:rFonts w:ascii="Times New Roman" w:hAnsi="Times New Roman" w:cs="Times New Roman"/>
                <w:sz w:val="17"/>
                <w:szCs w:val="17"/>
                <w:lang w:val="en-GB"/>
              </w:rPr>
              <w:t xml:space="preserve"> place out of 189 countries</w:t>
            </w:r>
          </w:p>
          <w:p w14:paraId="3F517092" w14:textId="77777777" w:rsidR="006C7266" w:rsidRPr="00813924" w:rsidRDefault="006C7266" w:rsidP="00780D85">
            <w:pPr>
              <w:rPr>
                <w:rFonts w:ascii="Times New Roman" w:hAnsi="Times New Roman" w:cs="Times New Roman"/>
                <w:sz w:val="17"/>
                <w:szCs w:val="17"/>
                <w:lang w:val="en-GB"/>
              </w:rPr>
            </w:pPr>
          </w:p>
          <w:p w14:paraId="32585932" w14:textId="74B3779D"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3.3 Level of </w:t>
            </w:r>
            <w:r w:rsidR="00F54F3D" w:rsidRPr="00813924">
              <w:rPr>
                <w:rFonts w:ascii="Times New Roman" w:hAnsi="Times New Roman" w:cs="Times New Roman"/>
                <w:sz w:val="17"/>
                <w:szCs w:val="17"/>
                <w:lang w:val="en-GB"/>
              </w:rPr>
              <w:t xml:space="preserve">financing for the </w:t>
            </w:r>
            <w:r w:rsidRPr="00813924">
              <w:rPr>
                <w:rFonts w:ascii="Times New Roman" w:hAnsi="Times New Roman" w:cs="Times New Roman"/>
                <w:sz w:val="17"/>
                <w:szCs w:val="17"/>
                <w:lang w:val="en-GB"/>
              </w:rPr>
              <w:t>PNPPS</w:t>
            </w:r>
            <w:r w:rsidR="00F54F3D" w:rsidRPr="00813924">
              <w:rPr>
                <w:rFonts w:ascii="Times New Roman" w:hAnsi="Times New Roman" w:cs="Times New Roman"/>
                <w:sz w:val="17"/>
                <w:szCs w:val="17"/>
                <w:lang w:val="en-GB"/>
              </w:rPr>
              <w:t xml:space="preserve"> from the national budget</w:t>
            </w:r>
          </w:p>
          <w:p w14:paraId="0262A9EF"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10%</w:t>
            </w:r>
          </w:p>
          <w:p w14:paraId="1E1DF657"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45 %</w:t>
            </w:r>
          </w:p>
          <w:p w14:paraId="7E802A24" w14:textId="77777777" w:rsidR="006C7266" w:rsidRPr="00813924" w:rsidRDefault="006C7266" w:rsidP="00780D85">
            <w:pPr>
              <w:rPr>
                <w:rFonts w:ascii="Times New Roman" w:hAnsi="Times New Roman" w:cs="Times New Roman"/>
                <w:sz w:val="17"/>
                <w:szCs w:val="17"/>
                <w:lang w:val="en-GB"/>
              </w:rPr>
            </w:pPr>
          </w:p>
          <w:p w14:paraId="15DDA350" w14:textId="77777777" w:rsidR="006C7266" w:rsidRPr="00813924" w:rsidRDefault="006C7266" w:rsidP="00780D85">
            <w:pPr>
              <w:rPr>
                <w:rFonts w:ascii="Times New Roman" w:hAnsi="Times New Roman" w:cs="Times New Roman"/>
                <w:sz w:val="17"/>
                <w:szCs w:val="17"/>
                <w:lang w:val="en-GB"/>
              </w:rPr>
            </w:pPr>
          </w:p>
        </w:tc>
        <w:tc>
          <w:tcPr>
            <w:tcW w:w="2610" w:type="dxa"/>
            <w:gridSpan w:val="2"/>
            <w:vMerge w:val="restart"/>
          </w:tcPr>
          <w:p w14:paraId="72CEEDD4" w14:textId="353451F9" w:rsidR="006C7266" w:rsidRPr="00813924" w:rsidRDefault="00B6561E" w:rsidP="00780D85">
            <w:pPr>
              <w:rPr>
                <w:rFonts w:ascii="Times New Roman" w:hAnsi="Times New Roman" w:cs="Times New Roman"/>
                <w:sz w:val="17"/>
                <w:szCs w:val="17"/>
                <w:lang w:val="en-GB"/>
              </w:rPr>
            </w:pPr>
            <w:r>
              <w:rPr>
                <w:rFonts w:ascii="Times New Roman" w:hAnsi="Times New Roman" w:cs="Times New Roman"/>
                <w:sz w:val="17"/>
                <w:szCs w:val="17"/>
                <w:lang w:val="en-GB"/>
              </w:rPr>
              <w:lastRenderedPageBreak/>
              <w:t xml:space="preserve">Ministry </w:t>
            </w:r>
            <w:r w:rsidR="009B1AC5" w:rsidRPr="009B1AC5">
              <w:rPr>
                <w:rFonts w:ascii="Times New Roman" w:hAnsi="Times New Roman" w:cs="Times New Roman"/>
                <w:sz w:val="17"/>
                <w:szCs w:val="17"/>
                <w:lang w:val="en-GB"/>
              </w:rPr>
              <w:t>of Social Affairs and Labour</w:t>
            </w:r>
            <w:r w:rsidR="006C7266" w:rsidRPr="00813924">
              <w:rPr>
                <w:rFonts w:ascii="Times New Roman" w:hAnsi="Times New Roman" w:cs="Times New Roman"/>
                <w:sz w:val="17"/>
                <w:szCs w:val="17"/>
                <w:lang w:val="en-GB"/>
              </w:rPr>
              <w:t xml:space="preserve"> </w:t>
            </w:r>
          </w:p>
          <w:p w14:paraId="0786DFF2"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Economic and Social Assistance Fund </w:t>
            </w:r>
          </w:p>
          <w:p w14:paraId="5C49F931"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PNPPS, annual</w:t>
            </w:r>
          </w:p>
          <w:p w14:paraId="4AE43C4F" w14:textId="77777777" w:rsidR="006C7266" w:rsidRPr="00813924" w:rsidRDefault="006C7266" w:rsidP="00880283">
            <w:pPr>
              <w:rPr>
                <w:rFonts w:ascii="Times New Roman" w:hAnsi="Times New Roman" w:cs="Times New Roman"/>
                <w:sz w:val="17"/>
                <w:szCs w:val="17"/>
                <w:lang w:val="en-GB"/>
              </w:rPr>
            </w:pPr>
          </w:p>
        </w:tc>
        <w:tc>
          <w:tcPr>
            <w:tcW w:w="3421" w:type="dxa"/>
          </w:tcPr>
          <w:p w14:paraId="30EA8070" w14:textId="5AB7E6D0"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Output</w:t>
            </w:r>
            <w:r w:rsidR="00E70D46" w:rsidRPr="00813924">
              <w:rPr>
                <w:rFonts w:ascii="Times New Roman" w:hAnsi="Times New Roman" w:cs="Times New Roman"/>
                <w:b/>
                <w:bCs/>
                <w:sz w:val="17"/>
                <w:szCs w:val="17"/>
                <w:lang w:val="en-GB"/>
              </w:rPr>
              <w:t xml:space="preserve"> </w:t>
            </w:r>
            <w:r w:rsidRPr="00813924">
              <w:rPr>
                <w:rFonts w:ascii="Times New Roman" w:hAnsi="Times New Roman" w:cs="Times New Roman"/>
                <w:b/>
                <w:bCs/>
                <w:sz w:val="17"/>
                <w:szCs w:val="17"/>
                <w:lang w:val="en-GB"/>
              </w:rPr>
              <w:t xml:space="preserve">3.1: Public institutions are </w:t>
            </w:r>
            <w:r w:rsidR="00B429B2" w:rsidRPr="00813924">
              <w:rPr>
                <w:rFonts w:ascii="Times New Roman" w:hAnsi="Times New Roman" w:cs="Times New Roman"/>
                <w:b/>
                <w:bCs/>
                <w:sz w:val="17"/>
                <w:szCs w:val="17"/>
                <w:lang w:val="en-GB"/>
              </w:rPr>
              <w:t xml:space="preserve">supported </w:t>
            </w:r>
            <w:r w:rsidRPr="00813924">
              <w:rPr>
                <w:rFonts w:ascii="Times New Roman" w:hAnsi="Times New Roman" w:cs="Times New Roman"/>
                <w:b/>
                <w:bCs/>
                <w:sz w:val="17"/>
                <w:szCs w:val="17"/>
                <w:lang w:val="en-GB"/>
              </w:rPr>
              <w:t>in an inclusive way to implement the PNPPS.</w:t>
            </w:r>
          </w:p>
          <w:p w14:paraId="2F4E0515" w14:textId="77777777" w:rsidR="006C7266" w:rsidRPr="00813924" w:rsidRDefault="006C7266" w:rsidP="00780D85">
            <w:pPr>
              <w:rPr>
                <w:rFonts w:ascii="Times New Roman" w:hAnsi="Times New Roman" w:cs="Times New Roman"/>
                <w:b/>
                <w:bCs/>
                <w:sz w:val="17"/>
                <w:szCs w:val="17"/>
                <w:lang w:val="en-GB"/>
              </w:rPr>
            </w:pPr>
          </w:p>
          <w:p w14:paraId="57CA1ABA" w14:textId="1D750749"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3.1.</w:t>
            </w:r>
            <w:r w:rsidR="005D20E4" w:rsidRPr="00813924">
              <w:rPr>
                <w:rFonts w:ascii="Times New Roman" w:hAnsi="Times New Roman" w:cs="Times New Roman"/>
                <w:sz w:val="17"/>
                <w:szCs w:val="17"/>
                <w:u w:val="single"/>
                <w:lang w:val="en-GB"/>
              </w:rPr>
              <w:t>1</w:t>
            </w:r>
            <w:r w:rsidRPr="00813924">
              <w:rPr>
                <w:rFonts w:ascii="Times New Roman" w:hAnsi="Times New Roman" w:cs="Times New Roman"/>
                <w:sz w:val="17"/>
                <w:szCs w:val="17"/>
                <w:lang w:val="en-GB"/>
              </w:rPr>
              <w:t xml:space="preserve">: Number of gender-sensitive reports </w:t>
            </w:r>
            <w:r w:rsidR="00F31198" w:rsidRPr="00813924">
              <w:rPr>
                <w:rFonts w:ascii="Times New Roman" w:hAnsi="Times New Roman" w:cs="Times New Roman"/>
                <w:sz w:val="17"/>
                <w:szCs w:val="17"/>
                <w:lang w:val="en-GB"/>
              </w:rPr>
              <w:t>analy</w:t>
            </w:r>
            <w:r w:rsidR="00836E04">
              <w:rPr>
                <w:rFonts w:ascii="Times New Roman" w:hAnsi="Times New Roman" w:cs="Times New Roman"/>
                <w:sz w:val="17"/>
                <w:szCs w:val="17"/>
                <w:lang w:val="en-GB"/>
              </w:rPr>
              <w:t>s</w:t>
            </w:r>
            <w:r w:rsidR="00F31198" w:rsidRPr="00813924">
              <w:rPr>
                <w:rFonts w:ascii="Times New Roman" w:hAnsi="Times New Roman" w:cs="Times New Roman"/>
                <w:sz w:val="17"/>
                <w:szCs w:val="17"/>
                <w:lang w:val="en-GB"/>
              </w:rPr>
              <w:t xml:space="preserve">ed </w:t>
            </w:r>
            <w:r w:rsidRPr="00813924">
              <w:rPr>
                <w:rFonts w:ascii="Times New Roman" w:hAnsi="Times New Roman" w:cs="Times New Roman"/>
                <w:sz w:val="17"/>
                <w:szCs w:val="17"/>
                <w:lang w:val="en-GB"/>
              </w:rPr>
              <w:t>on the implementation of the PNPPS at the national and departmental level</w:t>
            </w:r>
          </w:p>
          <w:p w14:paraId="7F7034B2"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0</w:t>
            </w:r>
          </w:p>
          <w:p w14:paraId="0EA29CC9"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5</w:t>
            </w:r>
          </w:p>
          <w:p w14:paraId="0F6571E9" w14:textId="41F58139"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lastRenderedPageBreak/>
              <w:t xml:space="preserve">Source: PNPPS Observatory, </w:t>
            </w:r>
            <w:r w:rsidR="00673EC7">
              <w:rPr>
                <w:rFonts w:ascii="Times New Roman" w:hAnsi="Times New Roman" w:cs="Times New Roman"/>
                <w:sz w:val="17"/>
                <w:szCs w:val="17"/>
                <w:lang w:val="en-GB"/>
              </w:rPr>
              <w:t xml:space="preserve">Ministry </w:t>
            </w:r>
            <w:r w:rsidR="009B1AC5" w:rsidRPr="009B1AC5">
              <w:rPr>
                <w:rFonts w:ascii="Times New Roman" w:hAnsi="Times New Roman" w:cs="Times New Roman"/>
                <w:sz w:val="17"/>
                <w:szCs w:val="17"/>
                <w:lang w:val="en-GB"/>
              </w:rPr>
              <w:t>of Social Affairs and Labour</w:t>
            </w:r>
          </w:p>
          <w:p w14:paraId="41CFB589" w14:textId="77777777" w:rsidR="006C7266" w:rsidRPr="00813924" w:rsidRDefault="006C7266" w:rsidP="00780D85">
            <w:pPr>
              <w:rPr>
                <w:rFonts w:ascii="Times New Roman" w:hAnsi="Times New Roman" w:cs="Times New Roman"/>
                <w:sz w:val="17"/>
                <w:szCs w:val="17"/>
                <w:lang w:val="en-GB"/>
              </w:rPr>
            </w:pPr>
          </w:p>
        </w:tc>
        <w:tc>
          <w:tcPr>
            <w:tcW w:w="3600" w:type="dxa"/>
            <w:vMerge w:val="restart"/>
          </w:tcPr>
          <w:p w14:paraId="587423F5" w14:textId="77777777" w:rsidR="006C7266" w:rsidRPr="00813924" w:rsidRDefault="006C7266" w:rsidP="00780D85">
            <w:pPr>
              <w:pStyle w:val="ListParagraph"/>
              <w:numPr>
                <w:ilvl w:val="0"/>
                <w:numId w:val="36"/>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lastRenderedPageBreak/>
              <w:t>Prime Minister</w:t>
            </w:r>
          </w:p>
          <w:p w14:paraId="7A944A03" w14:textId="026B43DF" w:rsidR="006C7266" w:rsidRPr="00813924" w:rsidRDefault="00816A37" w:rsidP="00780D85">
            <w:pPr>
              <w:pStyle w:val="ListParagraph"/>
              <w:numPr>
                <w:ilvl w:val="0"/>
                <w:numId w:val="27"/>
              </w:numPr>
              <w:ind w:left="400"/>
              <w:rPr>
                <w:rFonts w:ascii="Times New Roman" w:hAnsi="Times New Roman" w:cs="Times New Roman"/>
                <w:sz w:val="17"/>
                <w:szCs w:val="17"/>
                <w:lang w:val="en-GB"/>
              </w:rPr>
            </w:pPr>
            <w:r w:rsidRPr="00816A37">
              <w:rPr>
                <w:rFonts w:ascii="Times New Roman" w:hAnsi="Times New Roman" w:cs="Times New Roman"/>
                <w:sz w:val="17"/>
                <w:szCs w:val="17"/>
                <w:lang w:val="en-GB"/>
              </w:rPr>
              <w:t>Ministr</w:t>
            </w:r>
            <w:r w:rsidR="009B1AC5">
              <w:rPr>
                <w:rFonts w:ascii="Times New Roman" w:hAnsi="Times New Roman" w:cs="Times New Roman"/>
                <w:sz w:val="17"/>
                <w:szCs w:val="17"/>
                <w:lang w:val="en-GB"/>
              </w:rPr>
              <w:t>ies</w:t>
            </w:r>
            <w:r w:rsidRPr="00816A37">
              <w:rPr>
                <w:rFonts w:ascii="Times New Roman" w:hAnsi="Times New Roman" w:cs="Times New Roman"/>
                <w:sz w:val="17"/>
                <w:szCs w:val="17"/>
                <w:lang w:val="en-GB"/>
              </w:rPr>
              <w:t xml:space="preserve"> of Planning and External Cooperation</w:t>
            </w:r>
            <w:r w:rsidR="009B1AC5">
              <w:rPr>
                <w:rFonts w:ascii="Times New Roman" w:hAnsi="Times New Roman" w:cs="Times New Roman"/>
                <w:sz w:val="17"/>
                <w:szCs w:val="17"/>
                <w:lang w:val="en-GB"/>
              </w:rPr>
              <w:t xml:space="preserve">; of Economy and Finance; of </w:t>
            </w:r>
          </w:p>
          <w:p w14:paraId="2116FC77" w14:textId="30E1C263" w:rsidR="006C7266" w:rsidRPr="00813924" w:rsidRDefault="009B1AC5" w:rsidP="00673EC7">
            <w:pPr>
              <w:pStyle w:val="ListParagraph"/>
              <w:ind w:left="431"/>
              <w:rPr>
                <w:rFonts w:ascii="Times New Roman" w:hAnsi="Times New Roman" w:cs="Times New Roman"/>
                <w:sz w:val="17"/>
                <w:szCs w:val="17"/>
                <w:lang w:val="en-GB"/>
              </w:rPr>
            </w:pPr>
            <w:r w:rsidRPr="00B6561E">
              <w:rPr>
                <w:rFonts w:ascii="Times New Roman" w:hAnsi="Times New Roman" w:cs="Times New Roman"/>
                <w:sz w:val="17"/>
                <w:szCs w:val="17"/>
                <w:lang w:val="en-GB"/>
              </w:rPr>
              <w:t xml:space="preserve">the Interior and Territorial Collectivities; of </w:t>
            </w:r>
            <w:r w:rsidR="00B6561E" w:rsidRPr="00B6561E">
              <w:rPr>
                <w:rFonts w:ascii="Times New Roman" w:hAnsi="Times New Roman" w:cs="Times New Roman"/>
                <w:sz w:val="17"/>
                <w:szCs w:val="17"/>
                <w:lang w:val="en-GB"/>
              </w:rPr>
              <w:t xml:space="preserve">Social Affairs and Labour; of Women’s Affairs and Women’s Rights; </w:t>
            </w:r>
            <w:r w:rsidR="00673EC7">
              <w:rPr>
                <w:rFonts w:ascii="Times New Roman" w:hAnsi="Times New Roman" w:cs="Times New Roman"/>
                <w:sz w:val="17"/>
                <w:szCs w:val="17"/>
                <w:lang w:val="en-GB"/>
              </w:rPr>
              <w:t>of Youth, Sports and Civil Action</w:t>
            </w:r>
          </w:p>
          <w:p w14:paraId="09E02831"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Economic and Social Assistance Fund</w:t>
            </w:r>
          </w:p>
          <w:p w14:paraId="777293CC"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Local Authorities</w:t>
            </w:r>
          </w:p>
          <w:p w14:paraId="019CFB90"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lastRenderedPageBreak/>
              <w:t>Korea International Cooperation Agency</w:t>
            </w:r>
          </w:p>
          <w:p w14:paraId="7E6B7FED" w14:textId="1C840975" w:rsidR="006C7266" w:rsidRPr="00813924" w:rsidRDefault="00673EC7" w:rsidP="00780D85">
            <w:pPr>
              <w:pStyle w:val="ListParagraph"/>
              <w:numPr>
                <w:ilvl w:val="0"/>
                <w:numId w:val="27"/>
              </w:numPr>
              <w:ind w:left="400"/>
              <w:rPr>
                <w:rFonts w:ascii="Times New Roman" w:hAnsi="Times New Roman" w:cs="Times New Roman"/>
                <w:sz w:val="17"/>
                <w:szCs w:val="17"/>
                <w:lang w:val="en-GB"/>
              </w:rPr>
            </w:pPr>
            <w:r>
              <w:rPr>
                <w:rFonts w:ascii="Times New Roman" w:hAnsi="Times New Roman" w:cs="Times New Roman"/>
                <w:sz w:val="17"/>
                <w:szCs w:val="17"/>
                <w:lang w:val="en-GB"/>
              </w:rPr>
              <w:t xml:space="preserve">Governments of Canada, </w:t>
            </w:r>
            <w:r w:rsidR="006C7266" w:rsidRPr="00813924">
              <w:rPr>
                <w:rFonts w:ascii="Times New Roman" w:hAnsi="Times New Roman" w:cs="Times New Roman"/>
                <w:sz w:val="17"/>
                <w:szCs w:val="17"/>
                <w:lang w:val="en-GB"/>
              </w:rPr>
              <w:t>Chile</w:t>
            </w:r>
            <w:r>
              <w:rPr>
                <w:rFonts w:ascii="Times New Roman" w:hAnsi="Times New Roman" w:cs="Times New Roman"/>
                <w:sz w:val="17"/>
                <w:szCs w:val="17"/>
                <w:lang w:val="en-GB"/>
              </w:rPr>
              <w:t>, Japan</w:t>
            </w:r>
          </w:p>
          <w:p w14:paraId="37AB4271"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IDB</w:t>
            </w:r>
          </w:p>
          <w:p w14:paraId="4020C5AA"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World Bank</w:t>
            </w:r>
          </w:p>
          <w:p w14:paraId="444BD1B7"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ECLAC</w:t>
            </w:r>
          </w:p>
          <w:p w14:paraId="2BB933D8"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FAO</w:t>
            </w:r>
          </w:p>
          <w:p w14:paraId="7B06C18D"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ILO</w:t>
            </w:r>
          </w:p>
          <w:p w14:paraId="4D3C477E"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UNICEF</w:t>
            </w:r>
          </w:p>
          <w:p w14:paraId="1C8F7DA0"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UNFPA</w:t>
            </w:r>
          </w:p>
          <w:p w14:paraId="49C6EC56" w14:textId="4F1D4932" w:rsidR="006C7266" w:rsidRPr="00813924" w:rsidRDefault="006C7266" w:rsidP="00880283">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WFP</w:t>
            </w:r>
          </w:p>
        </w:tc>
        <w:tc>
          <w:tcPr>
            <w:tcW w:w="1710" w:type="dxa"/>
            <w:gridSpan w:val="2"/>
            <w:vMerge w:val="restart"/>
          </w:tcPr>
          <w:p w14:paraId="6F656B97" w14:textId="29DA473F"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lastRenderedPageBreak/>
              <w:t xml:space="preserve">Regular </w:t>
            </w:r>
            <w:r w:rsidR="00880283"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p>
          <w:p w14:paraId="7D9572EC" w14:textId="708704E0" w:rsidR="00AF4B47" w:rsidRPr="00813924" w:rsidRDefault="00EA1E58" w:rsidP="00AF4B47">
            <w:pPr>
              <w:rPr>
                <w:rFonts w:ascii="Times New Roman" w:hAnsi="Times New Roman" w:cs="Times New Roman"/>
                <w:color w:val="000000"/>
                <w:sz w:val="17"/>
                <w:szCs w:val="17"/>
                <w:lang w:val="en-US"/>
              </w:rPr>
            </w:pPr>
            <w:r w:rsidRPr="00813924">
              <w:rPr>
                <w:rFonts w:ascii="Times New Roman" w:hAnsi="Times New Roman" w:cs="Times New Roman"/>
                <w:color w:val="000000"/>
                <w:sz w:val="17"/>
                <w:szCs w:val="17"/>
              </w:rPr>
              <w:t>$</w:t>
            </w:r>
            <w:r w:rsidR="00AF4B47" w:rsidRPr="00813924">
              <w:rPr>
                <w:rFonts w:ascii="Times New Roman" w:hAnsi="Times New Roman" w:cs="Times New Roman"/>
                <w:color w:val="000000"/>
                <w:sz w:val="17"/>
                <w:szCs w:val="17"/>
              </w:rPr>
              <w:t>4,</w:t>
            </w:r>
            <w:r w:rsidR="001F2983" w:rsidRPr="00813924">
              <w:rPr>
                <w:rFonts w:ascii="Times New Roman" w:hAnsi="Times New Roman" w:cs="Times New Roman"/>
                <w:color w:val="000000"/>
                <w:sz w:val="17"/>
                <w:szCs w:val="17"/>
              </w:rPr>
              <w:t>790</w:t>
            </w:r>
            <w:r w:rsidR="00AF4B47" w:rsidRPr="00813924">
              <w:rPr>
                <w:rFonts w:ascii="Times New Roman" w:hAnsi="Times New Roman" w:cs="Times New Roman"/>
                <w:color w:val="000000"/>
                <w:sz w:val="17"/>
                <w:szCs w:val="17"/>
              </w:rPr>
              <w:t xml:space="preserve">,000 </w:t>
            </w:r>
          </w:p>
          <w:p w14:paraId="6D0DAB31" w14:textId="77777777" w:rsidR="006C7266" w:rsidRPr="00813924" w:rsidRDefault="006C7266" w:rsidP="00780D85">
            <w:pPr>
              <w:rPr>
                <w:rFonts w:ascii="Times New Roman" w:hAnsi="Times New Roman" w:cs="Times New Roman"/>
                <w:sz w:val="17"/>
                <w:szCs w:val="17"/>
                <w:lang w:val="en-GB"/>
              </w:rPr>
            </w:pPr>
          </w:p>
          <w:p w14:paraId="406D5C41" w14:textId="381F4AE3"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 xml:space="preserve">Other </w:t>
            </w:r>
            <w:r w:rsidR="00880283"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p>
          <w:p w14:paraId="38803B26" w14:textId="2979D6DA" w:rsidR="00AF4B47" w:rsidRPr="00813924" w:rsidRDefault="00EA1E58" w:rsidP="00AF4B47">
            <w:pPr>
              <w:rPr>
                <w:rFonts w:ascii="Times New Roman" w:hAnsi="Times New Roman" w:cs="Times New Roman"/>
                <w:color w:val="000000"/>
                <w:sz w:val="17"/>
                <w:szCs w:val="17"/>
                <w:lang w:val="en-US"/>
              </w:rPr>
            </w:pPr>
            <w:r w:rsidRPr="00813924">
              <w:rPr>
                <w:rFonts w:ascii="Times New Roman" w:hAnsi="Times New Roman" w:cs="Times New Roman"/>
                <w:color w:val="000000"/>
                <w:sz w:val="17"/>
                <w:szCs w:val="17"/>
              </w:rPr>
              <w:t>$</w:t>
            </w:r>
            <w:r w:rsidR="00AF4B47" w:rsidRPr="00813924">
              <w:rPr>
                <w:rFonts w:ascii="Times New Roman" w:hAnsi="Times New Roman" w:cs="Times New Roman"/>
                <w:color w:val="000000"/>
                <w:sz w:val="17"/>
                <w:szCs w:val="17"/>
              </w:rPr>
              <w:t xml:space="preserve">12,740,000 </w:t>
            </w:r>
          </w:p>
          <w:p w14:paraId="3E79015B" w14:textId="2026F535" w:rsidR="006C7266" w:rsidRPr="00813924" w:rsidRDefault="006C7266" w:rsidP="00780D85">
            <w:pPr>
              <w:rPr>
                <w:rFonts w:ascii="Times New Roman" w:hAnsi="Times New Roman" w:cs="Times New Roman"/>
                <w:sz w:val="17"/>
                <w:szCs w:val="17"/>
                <w:lang w:val="en-GB"/>
              </w:rPr>
            </w:pPr>
          </w:p>
        </w:tc>
      </w:tr>
      <w:tr w:rsidR="006C7266" w:rsidRPr="00813924" w14:paraId="0E73CC27" w14:textId="77777777" w:rsidTr="001A1BAC">
        <w:tc>
          <w:tcPr>
            <w:tcW w:w="2694" w:type="dxa"/>
            <w:gridSpan w:val="3"/>
            <w:vMerge/>
          </w:tcPr>
          <w:p w14:paraId="023D5204" w14:textId="77777777" w:rsidR="006C7266" w:rsidRPr="00813924" w:rsidRDefault="006C7266" w:rsidP="00780D85">
            <w:pPr>
              <w:rPr>
                <w:rFonts w:ascii="Times New Roman" w:hAnsi="Times New Roman" w:cs="Times New Roman"/>
                <w:sz w:val="17"/>
                <w:szCs w:val="17"/>
                <w:lang w:val="en-GB"/>
              </w:rPr>
            </w:pPr>
          </w:p>
        </w:tc>
        <w:tc>
          <w:tcPr>
            <w:tcW w:w="2610" w:type="dxa"/>
            <w:gridSpan w:val="2"/>
            <w:vMerge/>
          </w:tcPr>
          <w:p w14:paraId="05802731" w14:textId="77777777" w:rsidR="006C7266" w:rsidRPr="00813924" w:rsidRDefault="006C7266" w:rsidP="00780D85">
            <w:pPr>
              <w:rPr>
                <w:rFonts w:ascii="Times New Roman" w:hAnsi="Times New Roman" w:cs="Times New Roman"/>
                <w:b/>
                <w:bCs/>
                <w:sz w:val="17"/>
                <w:szCs w:val="17"/>
                <w:lang w:val="en-GB"/>
              </w:rPr>
            </w:pPr>
          </w:p>
        </w:tc>
        <w:tc>
          <w:tcPr>
            <w:tcW w:w="3421" w:type="dxa"/>
          </w:tcPr>
          <w:p w14:paraId="206C3E13" w14:textId="77777777"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Output3.2: Subnational institutions have stronger</w:t>
            </w:r>
            <w:r w:rsidRPr="00813924">
              <w:rPr>
                <w:rFonts w:ascii="Times New Roman" w:hAnsi="Times New Roman" w:cs="Times New Roman"/>
                <w:sz w:val="17"/>
                <w:szCs w:val="17"/>
                <w:lang w:val="en-GB"/>
              </w:rPr>
              <w:t xml:space="preserve"> </w:t>
            </w:r>
            <w:r w:rsidRPr="00813924">
              <w:rPr>
                <w:rFonts w:ascii="Times New Roman" w:hAnsi="Times New Roman" w:cs="Times New Roman"/>
                <w:b/>
                <w:bCs/>
                <w:sz w:val="17"/>
                <w:szCs w:val="17"/>
                <w:lang w:val="en-GB"/>
              </w:rPr>
              <w:t xml:space="preserve">functions, funding and capacities to provide basic and quality social services that meet the needs of the population most exposed to vulnerabilities, including women and youth </w:t>
            </w:r>
          </w:p>
          <w:p w14:paraId="73961D01" w14:textId="77777777" w:rsidR="006C7266" w:rsidRPr="00813924" w:rsidRDefault="006C7266" w:rsidP="00780D85">
            <w:pPr>
              <w:rPr>
                <w:rFonts w:ascii="Times New Roman" w:hAnsi="Times New Roman" w:cs="Times New Roman"/>
                <w:b/>
                <w:bCs/>
                <w:sz w:val="17"/>
                <w:szCs w:val="17"/>
                <w:lang w:val="en-GB"/>
              </w:rPr>
            </w:pPr>
          </w:p>
          <w:p w14:paraId="60E3B692" w14:textId="77777777"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t>Indicator 3.2.1:</w:t>
            </w:r>
          </w:p>
          <w:p w14:paraId="20B1E058" w14:textId="6F67DF98" w:rsidR="00710A7E" w:rsidRPr="00813924" w:rsidRDefault="00710A7E" w:rsidP="00780D85">
            <w:pPr>
              <w:rPr>
                <w:rStyle w:val="test-idfield-value"/>
                <w:rFonts w:ascii="Times New Roman" w:hAnsi="Times New Roman" w:cs="Times New Roman"/>
                <w:sz w:val="17"/>
                <w:szCs w:val="17"/>
                <w:lang w:val="en-US"/>
              </w:rPr>
            </w:pPr>
            <w:r w:rsidRPr="00813924">
              <w:rPr>
                <w:rStyle w:val="test-idfield-value"/>
                <w:rFonts w:ascii="Times New Roman" w:hAnsi="Times New Roman" w:cs="Times New Roman"/>
                <w:sz w:val="17"/>
                <w:szCs w:val="17"/>
                <w:lang w:val="en-US"/>
              </w:rPr>
              <w:t xml:space="preserve">Extent to which the country has policy measures and institutional capacities in place which aim to increase access to social protection schemes targeting </w:t>
            </w:r>
            <w:r w:rsidR="00591B21" w:rsidRPr="00813924">
              <w:rPr>
                <w:rStyle w:val="test-idfield-value"/>
                <w:rFonts w:ascii="Times New Roman" w:hAnsi="Times New Roman" w:cs="Times New Roman"/>
                <w:sz w:val="17"/>
                <w:szCs w:val="17"/>
                <w:lang w:val="en-US"/>
              </w:rPr>
              <w:t>the most vulnerable</w:t>
            </w:r>
            <w:r w:rsidR="00AB3060" w:rsidRPr="00813924">
              <w:rPr>
                <w:rStyle w:val="test-idfield-value"/>
                <w:rFonts w:ascii="Times New Roman" w:hAnsi="Times New Roman" w:cs="Times New Roman"/>
                <w:sz w:val="17"/>
                <w:szCs w:val="17"/>
                <w:lang w:val="en-US"/>
              </w:rPr>
              <w:t>,</w:t>
            </w:r>
            <w:r w:rsidR="001A52C9" w:rsidRPr="00813924">
              <w:rPr>
                <w:rStyle w:val="test-idfield-value"/>
                <w:rFonts w:ascii="Times New Roman" w:hAnsi="Times New Roman" w:cs="Times New Roman"/>
                <w:sz w:val="17"/>
                <w:szCs w:val="17"/>
                <w:lang w:val="en-US"/>
              </w:rPr>
              <w:t xml:space="preserve"> including marginali</w:t>
            </w:r>
            <w:r w:rsidR="00F31198" w:rsidRPr="00813924">
              <w:rPr>
                <w:rStyle w:val="test-idfield-value"/>
                <w:rFonts w:ascii="Times New Roman" w:hAnsi="Times New Roman" w:cs="Times New Roman"/>
                <w:sz w:val="17"/>
                <w:szCs w:val="17"/>
                <w:lang w:val="en-US"/>
              </w:rPr>
              <w:t>z</w:t>
            </w:r>
            <w:r w:rsidR="001A52C9" w:rsidRPr="00813924">
              <w:rPr>
                <w:rStyle w:val="test-idfield-value"/>
                <w:rFonts w:ascii="Times New Roman" w:hAnsi="Times New Roman" w:cs="Times New Roman"/>
                <w:sz w:val="17"/>
                <w:szCs w:val="17"/>
                <w:lang w:val="en-US"/>
              </w:rPr>
              <w:t>ed communities</w:t>
            </w:r>
            <w:r w:rsidR="00591B21" w:rsidRPr="00813924">
              <w:rPr>
                <w:rStyle w:val="test-idfield-value"/>
                <w:rFonts w:ascii="Times New Roman" w:hAnsi="Times New Roman" w:cs="Times New Roman"/>
                <w:sz w:val="17"/>
                <w:szCs w:val="17"/>
                <w:lang w:val="en-US"/>
              </w:rPr>
              <w:t xml:space="preserve"> </w:t>
            </w:r>
            <w:r w:rsidRPr="00813924">
              <w:rPr>
                <w:rStyle w:val="test-idfield-value"/>
                <w:rFonts w:ascii="Times New Roman" w:hAnsi="Times New Roman" w:cs="Times New Roman"/>
                <w:sz w:val="17"/>
                <w:szCs w:val="17"/>
                <w:lang w:val="en-US"/>
              </w:rPr>
              <w:t>(IRRF indicator)</w:t>
            </w:r>
          </w:p>
          <w:p w14:paraId="1A226F4F" w14:textId="32B8306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w:t>
            </w:r>
            <w:r w:rsidR="00FD4CF3" w:rsidRPr="00813924">
              <w:rPr>
                <w:rFonts w:ascii="Times New Roman" w:hAnsi="Times New Roman" w:cs="Times New Roman"/>
                <w:sz w:val="17"/>
                <w:szCs w:val="17"/>
                <w:lang w:val="en-GB"/>
              </w:rPr>
              <w:t>Not adequately</w:t>
            </w:r>
          </w:p>
          <w:p w14:paraId="3614DB3A" w14:textId="0830D2D8"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w:t>
            </w:r>
            <w:r w:rsidR="00FD4CF3" w:rsidRPr="00813924">
              <w:rPr>
                <w:rFonts w:ascii="Times New Roman" w:hAnsi="Times New Roman" w:cs="Times New Roman"/>
                <w:sz w:val="17"/>
                <w:szCs w:val="17"/>
                <w:lang w:val="en-GB"/>
              </w:rPr>
              <w:t>Partially</w:t>
            </w:r>
          </w:p>
          <w:p w14:paraId="592B1C61" w14:textId="2CA23BBF"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673EC7">
              <w:rPr>
                <w:rFonts w:ascii="Times New Roman" w:hAnsi="Times New Roman" w:cs="Times New Roman"/>
                <w:sz w:val="17"/>
                <w:szCs w:val="17"/>
                <w:lang w:val="en-GB"/>
              </w:rPr>
              <w:t xml:space="preserve">Ministries </w:t>
            </w:r>
            <w:r w:rsidR="00B6561E" w:rsidRPr="00B6561E">
              <w:rPr>
                <w:rFonts w:ascii="Times New Roman" w:hAnsi="Times New Roman" w:cs="Times New Roman"/>
                <w:sz w:val="17"/>
                <w:szCs w:val="17"/>
                <w:lang w:val="en-GB"/>
              </w:rPr>
              <w:t>of Social Affairs and Labour</w:t>
            </w:r>
            <w:r w:rsidR="00673EC7">
              <w:rPr>
                <w:rFonts w:ascii="Times New Roman" w:hAnsi="Times New Roman" w:cs="Times New Roman"/>
                <w:sz w:val="17"/>
                <w:szCs w:val="17"/>
                <w:lang w:val="en-GB"/>
              </w:rPr>
              <w:t>;</w:t>
            </w:r>
            <w:r w:rsidRPr="00813924">
              <w:rPr>
                <w:rFonts w:ascii="Times New Roman" w:hAnsi="Times New Roman" w:cs="Times New Roman"/>
                <w:sz w:val="17"/>
                <w:szCs w:val="17"/>
                <w:lang w:val="en-GB"/>
              </w:rPr>
              <w:t xml:space="preserve"> </w:t>
            </w:r>
            <w:r w:rsidR="00B6561E" w:rsidRPr="00ED0D62">
              <w:rPr>
                <w:rFonts w:ascii="Times New Roman" w:hAnsi="Times New Roman" w:cs="Times New Roman"/>
                <w:sz w:val="17"/>
                <w:szCs w:val="17"/>
                <w:lang w:val="en-GB"/>
              </w:rPr>
              <w:t>of Women’s Affairs and Women’s Rights</w:t>
            </w:r>
          </w:p>
          <w:p w14:paraId="65ECAD0C" w14:textId="77777777" w:rsidR="006C7266" w:rsidRPr="00813924" w:rsidRDefault="006C7266" w:rsidP="00780D85">
            <w:pPr>
              <w:rPr>
                <w:rFonts w:ascii="Times New Roman" w:hAnsi="Times New Roman" w:cs="Times New Roman"/>
                <w:sz w:val="17"/>
                <w:szCs w:val="17"/>
                <w:lang w:val="en-GB"/>
              </w:rPr>
            </w:pPr>
          </w:p>
          <w:p w14:paraId="43B79035" w14:textId="77777777"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 xml:space="preserve">Output 3.3: Comprehensive community and gender-based violence prevention and response programmes enable women and men to escape structural violence.  </w:t>
            </w:r>
          </w:p>
          <w:p w14:paraId="74241BD7" w14:textId="77777777" w:rsidR="006C7266" w:rsidRPr="00813924" w:rsidRDefault="006C7266" w:rsidP="00780D85">
            <w:pPr>
              <w:rPr>
                <w:rFonts w:ascii="Times New Roman" w:hAnsi="Times New Roman" w:cs="Times New Roman"/>
                <w:bCs/>
                <w:sz w:val="17"/>
                <w:szCs w:val="17"/>
                <w:lang w:val="en-GB"/>
              </w:rPr>
            </w:pPr>
          </w:p>
          <w:p w14:paraId="284CF819" w14:textId="18FB3576" w:rsidR="006C7266" w:rsidRPr="00813924" w:rsidRDefault="006C7266" w:rsidP="00780D85">
            <w:pPr>
              <w:rPr>
                <w:rFonts w:ascii="Times New Roman" w:hAnsi="Times New Roman" w:cs="Times New Roman"/>
                <w:bCs/>
                <w:sz w:val="17"/>
                <w:szCs w:val="17"/>
                <w:lang w:val="en-GB"/>
              </w:rPr>
            </w:pPr>
            <w:r w:rsidRPr="00813924">
              <w:rPr>
                <w:rFonts w:ascii="Times New Roman" w:hAnsi="Times New Roman" w:cs="Times New Roman"/>
                <w:bCs/>
                <w:sz w:val="17"/>
                <w:szCs w:val="17"/>
                <w:u w:val="single"/>
                <w:lang w:val="en-GB"/>
              </w:rPr>
              <w:t>Indicator 3.3.1</w:t>
            </w:r>
            <w:r w:rsidRPr="00813924">
              <w:rPr>
                <w:rFonts w:ascii="Times New Roman" w:hAnsi="Times New Roman" w:cs="Times New Roman"/>
                <w:bCs/>
                <w:sz w:val="17"/>
                <w:szCs w:val="17"/>
                <w:lang w:val="en-GB"/>
              </w:rPr>
              <w:t xml:space="preserve">. Number of central and local institutions whose capacities have been strengthened to address violence against women and girls. </w:t>
            </w:r>
          </w:p>
          <w:p w14:paraId="2BD6ADA0" w14:textId="77777777" w:rsidR="006C7266" w:rsidRPr="00813924" w:rsidRDefault="006C7266" w:rsidP="00780D85">
            <w:pPr>
              <w:rPr>
                <w:rFonts w:ascii="Times New Roman" w:hAnsi="Times New Roman" w:cs="Times New Roman"/>
                <w:bCs/>
                <w:sz w:val="17"/>
                <w:szCs w:val="17"/>
                <w:lang w:val="en-GB"/>
              </w:rPr>
            </w:pPr>
            <w:r w:rsidRPr="00813924">
              <w:rPr>
                <w:rFonts w:ascii="Times New Roman" w:hAnsi="Times New Roman" w:cs="Times New Roman"/>
                <w:bCs/>
                <w:sz w:val="17"/>
                <w:szCs w:val="17"/>
                <w:u w:val="single"/>
                <w:lang w:val="en-GB"/>
              </w:rPr>
              <w:t>Baseline (2022)</w:t>
            </w:r>
            <w:r w:rsidRPr="00813924">
              <w:rPr>
                <w:rFonts w:ascii="Times New Roman" w:hAnsi="Times New Roman" w:cs="Times New Roman"/>
                <w:bCs/>
                <w:sz w:val="17"/>
                <w:szCs w:val="17"/>
                <w:lang w:val="en-GB"/>
              </w:rPr>
              <w:t>: 200</w:t>
            </w:r>
          </w:p>
          <w:p w14:paraId="65CFA518" w14:textId="77777777" w:rsidR="006C7266" w:rsidRPr="00813924" w:rsidRDefault="006C7266" w:rsidP="00780D85">
            <w:pPr>
              <w:rPr>
                <w:rFonts w:ascii="Times New Roman" w:hAnsi="Times New Roman" w:cs="Times New Roman"/>
                <w:bCs/>
                <w:sz w:val="17"/>
                <w:szCs w:val="17"/>
                <w:lang w:val="en-GB"/>
              </w:rPr>
            </w:pPr>
            <w:r w:rsidRPr="00813924">
              <w:rPr>
                <w:rFonts w:ascii="Times New Roman" w:hAnsi="Times New Roman" w:cs="Times New Roman"/>
                <w:bCs/>
                <w:sz w:val="17"/>
                <w:szCs w:val="17"/>
                <w:u w:val="single"/>
                <w:lang w:val="en-GB"/>
              </w:rPr>
              <w:t>Target (2027)</w:t>
            </w:r>
            <w:r w:rsidRPr="00813924">
              <w:rPr>
                <w:rFonts w:ascii="Times New Roman" w:hAnsi="Times New Roman" w:cs="Times New Roman"/>
                <w:bCs/>
                <w:sz w:val="17"/>
                <w:szCs w:val="17"/>
                <w:lang w:val="en-GB"/>
              </w:rPr>
              <w:t>: 500</w:t>
            </w:r>
          </w:p>
          <w:p w14:paraId="5BA4AF22" w14:textId="110A5D34" w:rsidR="006C7266" w:rsidRPr="00813924" w:rsidRDefault="006C7266" w:rsidP="0078360D">
            <w:pPr>
              <w:rPr>
                <w:rFonts w:ascii="Times New Roman" w:hAnsi="Times New Roman" w:cs="Times New Roman"/>
                <w:sz w:val="17"/>
                <w:szCs w:val="17"/>
                <w:u w:val="single"/>
                <w:lang w:val="en-GB"/>
              </w:rPr>
            </w:pPr>
            <w:r w:rsidRPr="00813924">
              <w:rPr>
                <w:rFonts w:ascii="Times New Roman" w:hAnsi="Times New Roman" w:cs="Times New Roman"/>
                <w:sz w:val="17"/>
                <w:szCs w:val="17"/>
                <w:lang w:val="en-GB"/>
              </w:rPr>
              <w:t xml:space="preserve">Source: </w:t>
            </w:r>
            <w:r w:rsidR="00673EC7">
              <w:rPr>
                <w:rFonts w:ascii="Times New Roman" w:hAnsi="Times New Roman" w:cs="Times New Roman"/>
                <w:sz w:val="17"/>
                <w:szCs w:val="17"/>
                <w:lang w:val="en-GB"/>
              </w:rPr>
              <w:t xml:space="preserve">Ministries </w:t>
            </w:r>
            <w:r w:rsidR="00B6561E" w:rsidRPr="00B6561E">
              <w:rPr>
                <w:rFonts w:ascii="Times New Roman" w:hAnsi="Times New Roman" w:cs="Times New Roman"/>
                <w:sz w:val="17"/>
                <w:szCs w:val="17"/>
                <w:lang w:val="en-GB"/>
              </w:rPr>
              <w:t>of Social Affairs and Labour</w:t>
            </w:r>
            <w:r w:rsidR="00673EC7">
              <w:rPr>
                <w:rFonts w:ascii="Times New Roman" w:hAnsi="Times New Roman" w:cs="Times New Roman"/>
                <w:sz w:val="17"/>
                <w:szCs w:val="17"/>
                <w:lang w:val="en-GB"/>
              </w:rPr>
              <w:t>;</w:t>
            </w:r>
            <w:r w:rsidRPr="00813924">
              <w:rPr>
                <w:rFonts w:ascii="Times New Roman" w:hAnsi="Times New Roman" w:cs="Times New Roman"/>
                <w:sz w:val="17"/>
                <w:szCs w:val="17"/>
                <w:lang w:val="en-GB"/>
              </w:rPr>
              <w:t xml:space="preserve"> </w:t>
            </w:r>
            <w:r w:rsidR="00B6561E" w:rsidRPr="00ED0D62">
              <w:rPr>
                <w:rFonts w:ascii="Times New Roman" w:hAnsi="Times New Roman" w:cs="Times New Roman"/>
                <w:sz w:val="17"/>
                <w:szCs w:val="17"/>
                <w:lang w:val="en-GB"/>
              </w:rPr>
              <w:t>of Women’s Affairs and Women’s Rights</w:t>
            </w:r>
          </w:p>
        </w:tc>
        <w:tc>
          <w:tcPr>
            <w:tcW w:w="3600" w:type="dxa"/>
            <w:vMerge/>
          </w:tcPr>
          <w:p w14:paraId="57DF8F9B" w14:textId="77777777" w:rsidR="006C7266" w:rsidRPr="00813924" w:rsidRDefault="006C7266" w:rsidP="00780D85">
            <w:pPr>
              <w:pStyle w:val="ListParagraph"/>
              <w:ind w:left="400"/>
              <w:rPr>
                <w:rFonts w:ascii="Times New Roman" w:hAnsi="Times New Roman" w:cs="Times New Roman"/>
                <w:sz w:val="17"/>
                <w:szCs w:val="17"/>
                <w:lang w:val="en-GB"/>
              </w:rPr>
            </w:pPr>
          </w:p>
        </w:tc>
        <w:tc>
          <w:tcPr>
            <w:tcW w:w="1710" w:type="dxa"/>
            <w:gridSpan w:val="2"/>
            <w:vMerge/>
          </w:tcPr>
          <w:p w14:paraId="3695087F" w14:textId="77777777" w:rsidR="006C7266" w:rsidRPr="00813924" w:rsidRDefault="006C7266" w:rsidP="00780D85">
            <w:pPr>
              <w:rPr>
                <w:rFonts w:ascii="Times New Roman" w:hAnsi="Times New Roman" w:cs="Times New Roman"/>
                <w:sz w:val="17"/>
                <w:szCs w:val="17"/>
                <w:lang w:val="en-GB"/>
              </w:rPr>
            </w:pPr>
          </w:p>
        </w:tc>
      </w:tr>
    </w:tbl>
    <w:p w14:paraId="342042C9" w14:textId="77777777" w:rsidR="00F204CC" w:rsidRDefault="00F204CC">
      <w:r>
        <w:br w:type="page"/>
      </w:r>
    </w:p>
    <w:tbl>
      <w:tblPr>
        <w:tblStyle w:val="TableGrid"/>
        <w:tblW w:w="13992" w:type="dxa"/>
        <w:tblLook w:val="04A0" w:firstRow="1" w:lastRow="0" w:firstColumn="1" w:lastColumn="0" w:noHBand="0" w:noVBand="1"/>
      </w:tblPr>
      <w:tblGrid>
        <w:gridCol w:w="2694"/>
        <w:gridCol w:w="2610"/>
        <w:gridCol w:w="3421"/>
        <w:gridCol w:w="3600"/>
        <w:gridCol w:w="1667"/>
      </w:tblGrid>
      <w:tr w:rsidR="006C7266" w:rsidRPr="00813924" w14:paraId="4C8D5B8E" w14:textId="77777777" w:rsidTr="00F204CC">
        <w:tc>
          <w:tcPr>
            <w:tcW w:w="13992" w:type="dxa"/>
            <w:gridSpan w:val="5"/>
            <w:shd w:val="clear" w:color="auto" w:fill="D9D9D9" w:themeFill="background1" w:themeFillShade="D9"/>
          </w:tcPr>
          <w:p w14:paraId="4178A637" w14:textId="769458D1" w:rsidR="006C7266" w:rsidRPr="00813924" w:rsidRDefault="002B6581" w:rsidP="00816039">
            <w:pPr>
              <w:spacing w:before="60" w:after="60"/>
              <w:rPr>
                <w:rFonts w:ascii="Times New Roman" w:hAnsi="Times New Roman" w:cs="Times New Roman"/>
                <w:sz w:val="17"/>
                <w:szCs w:val="17"/>
                <w:lang w:val="en-GB"/>
              </w:rPr>
            </w:pPr>
            <w:r w:rsidRPr="00813924">
              <w:rPr>
                <w:rFonts w:ascii="Times New Roman" w:hAnsi="Times New Roman" w:cs="Times New Roman"/>
                <w:b/>
                <w:bCs/>
                <w:sz w:val="17"/>
                <w:szCs w:val="17"/>
                <w:lang w:val="en-GB"/>
              </w:rPr>
              <w:lastRenderedPageBreak/>
              <w:t xml:space="preserve">NATIONAL </w:t>
            </w:r>
            <w:r w:rsidR="006C7266" w:rsidRPr="00813924">
              <w:rPr>
                <w:rFonts w:ascii="Times New Roman" w:hAnsi="Times New Roman" w:cs="Times New Roman"/>
                <w:b/>
                <w:bCs/>
                <w:sz w:val="17"/>
                <w:szCs w:val="17"/>
                <w:lang w:val="en-GB"/>
              </w:rPr>
              <w:t>PRIORITY:</w:t>
            </w:r>
            <w:r w:rsidR="006C7266" w:rsidRPr="00813924">
              <w:rPr>
                <w:rFonts w:ascii="Times New Roman" w:hAnsi="Times New Roman" w:cs="Times New Roman"/>
                <w:sz w:val="17"/>
                <w:szCs w:val="17"/>
                <w:lang w:val="en-GB"/>
              </w:rPr>
              <w:t xml:space="preserve"> Territorial Refoundation (PSDH 2012-2030) </w:t>
            </w:r>
          </w:p>
        </w:tc>
      </w:tr>
      <w:tr w:rsidR="006C7266" w:rsidRPr="00813924" w14:paraId="6304DDBC" w14:textId="77777777" w:rsidTr="00F204CC">
        <w:tc>
          <w:tcPr>
            <w:tcW w:w="13992" w:type="dxa"/>
            <w:gridSpan w:val="5"/>
            <w:shd w:val="clear" w:color="auto" w:fill="D9D9D9" w:themeFill="background1" w:themeFillShade="D9"/>
          </w:tcPr>
          <w:p w14:paraId="65FE2CAD" w14:textId="3B7CF826" w:rsidR="006C7266" w:rsidRPr="00813924" w:rsidRDefault="006C7266" w:rsidP="00816039">
            <w:pPr>
              <w:spacing w:before="60" w:after="60"/>
              <w:rPr>
                <w:rFonts w:ascii="Times New Roman" w:hAnsi="Times New Roman" w:cs="Times New Roman"/>
                <w:sz w:val="17"/>
                <w:szCs w:val="17"/>
                <w:lang w:val="en-GB"/>
              </w:rPr>
            </w:pPr>
            <w:r w:rsidRPr="00813924">
              <w:rPr>
                <w:rFonts w:ascii="Times New Roman" w:hAnsi="Times New Roman" w:cs="Times New Roman"/>
                <w:b/>
                <w:bCs/>
                <w:color w:val="000000"/>
                <w:sz w:val="17"/>
                <w:szCs w:val="17"/>
                <w:lang w:val="en-GB"/>
              </w:rPr>
              <w:t>COOPERATION FRAMEWORK OUTCOME INVOLVING UNDP</w:t>
            </w:r>
            <w:r w:rsidR="000374FD">
              <w:rPr>
                <w:rFonts w:ascii="Times New Roman" w:hAnsi="Times New Roman" w:cs="Times New Roman"/>
                <w:b/>
                <w:bCs/>
                <w:color w:val="000000"/>
                <w:sz w:val="17"/>
                <w:szCs w:val="17"/>
                <w:lang w:val="en-GB"/>
              </w:rPr>
              <w:t xml:space="preserve"> #4,</w:t>
            </w:r>
            <w:r w:rsidRPr="00813924">
              <w:rPr>
                <w:rFonts w:ascii="Times New Roman" w:hAnsi="Times New Roman" w:cs="Times New Roman"/>
                <w:b/>
                <w:bCs/>
                <w:color w:val="000000"/>
                <w:sz w:val="17"/>
                <w:szCs w:val="17"/>
                <w:lang w:val="en-GB"/>
              </w:rPr>
              <w:t xml:space="preserve"> UNSDCF OUTCOME </w:t>
            </w:r>
            <w:r w:rsidR="000613B8">
              <w:rPr>
                <w:rFonts w:ascii="Times New Roman" w:hAnsi="Times New Roman" w:cs="Times New Roman"/>
                <w:b/>
                <w:bCs/>
                <w:color w:val="000000"/>
                <w:sz w:val="17"/>
                <w:szCs w:val="17"/>
                <w:lang w:val="en-GB"/>
              </w:rPr>
              <w:t>5</w:t>
            </w:r>
            <w:r w:rsidRPr="00813924">
              <w:rPr>
                <w:rFonts w:ascii="Times New Roman" w:hAnsi="Times New Roman" w:cs="Times New Roman"/>
                <w:b/>
                <w:bCs/>
                <w:sz w:val="17"/>
                <w:szCs w:val="17"/>
                <w:lang w:val="en-GB"/>
              </w:rPr>
              <w:t xml:space="preserve">:  </w:t>
            </w:r>
            <w:r w:rsidRPr="00813924">
              <w:rPr>
                <w:rFonts w:ascii="Times New Roman" w:hAnsi="Times New Roman" w:cs="Times New Roman"/>
                <w:sz w:val="17"/>
                <w:szCs w:val="17"/>
                <w:lang w:val="en-GB"/>
              </w:rPr>
              <w:t xml:space="preserve">Information systems and financial mechanisms and normative frameworks sensitive to gender, protection and social inclusion, are put in place to help </w:t>
            </w:r>
            <w:r w:rsidR="00830AE0">
              <w:rPr>
                <w:rFonts w:ascii="Times New Roman" w:hAnsi="Times New Roman" w:cs="Times New Roman"/>
                <w:sz w:val="17"/>
                <w:szCs w:val="17"/>
                <w:lang w:val="en-GB"/>
              </w:rPr>
              <w:t>S</w:t>
            </w:r>
            <w:r w:rsidRPr="00813924">
              <w:rPr>
                <w:rFonts w:ascii="Times New Roman" w:hAnsi="Times New Roman" w:cs="Times New Roman"/>
                <w:sz w:val="17"/>
                <w:szCs w:val="17"/>
                <w:lang w:val="en-GB"/>
              </w:rPr>
              <w:t>tate authorities, local communities and other national actors to pilot and coordinate public policies to strengthen resilience based on risk management, territorial governance and environmental management</w:t>
            </w:r>
          </w:p>
        </w:tc>
      </w:tr>
      <w:tr w:rsidR="006C7266" w:rsidRPr="00813924" w14:paraId="4AE8AB97" w14:textId="77777777" w:rsidTr="00F204CC">
        <w:tc>
          <w:tcPr>
            <w:tcW w:w="13992" w:type="dxa"/>
            <w:gridSpan w:val="5"/>
            <w:shd w:val="clear" w:color="auto" w:fill="D9D9D9" w:themeFill="background1" w:themeFillShade="D9"/>
          </w:tcPr>
          <w:p w14:paraId="4CBB5CEC" w14:textId="77777777" w:rsidR="006C7266" w:rsidRPr="00813924" w:rsidRDefault="006C7266" w:rsidP="00816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rFonts w:ascii="Times New Roman" w:hAnsi="Times New Roman" w:cs="Times New Roman"/>
                <w:b/>
                <w:bCs/>
                <w:sz w:val="17"/>
                <w:szCs w:val="17"/>
                <w:lang w:val="en-GB"/>
              </w:rPr>
            </w:pPr>
            <w:r w:rsidRPr="00813924">
              <w:rPr>
                <w:rFonts w:ascii="Times New Roman" w:hAnsi="Times New Roman" w:cs="Times New Roman"/>
                <w:b/>
                <w:bCs/>
                <w:color w:val="000000"/>
                <w:sz w:val="17"/>
                <w:szCs w:val="17"/>
                <w:lang w:val="en-GB"/>
              </w:rPr>
              <w:t>RELATED STRATEGIC PLAN OUTCOME</w:t>
            </w:r>
            <w:r w:rsidRPr="00813924">
              <w:rPr>
                <w:rFonts w:ascii="Times New Roman" w:hAnsi="Times New Roman" w:cs="Times New Roman"/>
                <w:sz w:val="17"/>
                <w:szCs w:val="17"/>
                <w:lang w:val="en-GB"/>
              </w:rPr>
              <w:t>: 3. Resilience built to respond to systemic uncertainty and risk.</w:t>
            </w:r>
          </w:p>
        </w:tc>
      </w:tr>
      <w:tr w:rsidR="006C7266" w:rsidRPr="00813924" w14:paraId="5F83B30F" w14:textId="77777777" w:rsidTr="00F204CC">
        <w:tc>
          <w:tcPr>
            <w:tcW w:w="2694" w:type="dxa"/>
            <w:vMerge w:val="restart"/>
          </w:tcPr>
          <w:p w14:paraId="0016DE88" w14:textId="77777777"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lang w:val="en-US"/>
              </w:rPr>
              <w:t xml:space="preserve">SDG Indicators: </w:t>
            </w:r>
          </w:p>
          <w:p w14:paraId="0863C154" w14:textId="77777777" w:rsidR="006C7266" w:rsidRPr="00813924" w:rsidRDefault="006C7266" w:rsidP="00780D85">
            <w:pPr>
              <w:rPr>
                <w:rFonts w:ascii="Times New Roman" w:hAnsi="Times New Roman" w:cs="Times New Roman"/>
                <w:sz w:val="17"/>
                <w:szCs w:val="17"/>
                <w:lang w:val="en-US"/>
              </w:rPr>
            </w:pPr>
          </w:p>
          <w:p w14:paraId="75FC76A6"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US"/>
              </w:rPr>
              <w:t>11.b.2 Proportion of local governments that adopt and implement local disaster risk reduction strategies in line with national disaster risk reduction strategies</w:t>
            </w:r>
            <w:r w:rsidRPr="00813924" w:rsidDel="001B7286">
              <w:rPr>
                <w:rFonts w:ascii="Times New Roman" w:hAnsi="Times New Roman" w:cs="Times New Roman"/>
                <w:sz w:val="17"/>
                <w:szCs w:val="17"/>
                <w:lang w:val="en-US"/>
              </w:rPr>
              <w:t xml:space="preserve"> </w:t>
            </w: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0</w:t>
            </w:r>
          </w:p>
          <w:p w14:paraId="7160C292"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3</w:t>
            </w:r>
          </w:p>
          <w:p w14:paraId="28154404" w14:textId="77777777" w:rsidR="006C7266" w:rsidRPr="00813924" w:rsidRDefault="006C7266" w:rsidP="00780D85">
            <w:pPr>
              <w:rPr>
                <w:rFonts w:ascii="Times New Roman" w:hAnsi="Times New Roman" w:cs="Times New Roman"/>
                <w:sz w:val="17"/>
                <w:szCs w:val="17"/>
                <w:lang w:val="en-US"/>
              </w:rPr>
            </w:pPr>
          </w:p>
          <w:p w14:paraId="52DF135C" w14:textId="2D2DC13E"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lang w:val="en-US"/>
              </w:rPr>
              <w:t xml:space="preserve">13.b.1 </w:t>
            </w:r>
            <w:r w:rsidR="00582438" w:rsidRPr="00813924">
              <w:rPr>
                <w:rFonts w:ascii="Times New Roman" w:hAnsi="Times New Roman" w:cs="Times New Roman"/>
                <w:sz w:val="17"/>
                <w:szCs w:val="17"/>
                <w:lang w:val="en-US"/>
              </w:rPr>
              <w:t>Existence of</w:t>
            </w:r>
            <w:r w:rsidRPr="00813924">
              <w:rPr>
                <w:rFonts w:ascii="Times New Roman" w:hAnsi="Times New Roman" w:cs="Times New Roman"/>
                <w:sz w:val="17"/>
                <w:szCs w:val="17"/>
                <w:lang w:val="en-US"/>
              </w:rPr>
              <w:t xml:space="preserve"> nationally determined contributions, long-term strategies, national adaptation plans, strategies as reported in adaptation communications and national communications</w:t>
            </w:r>
          </w:p>
          <w:p w14:paraId="52F69C51" w14:textId="4F5B3872"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w:t>
            </w:r>
            <w:r w:rsidR="00B74175" w:rsidRPr="00813924">
              <w:rPr>
                <w:rFonts w:ascii="Times New Roman" w:hAnsi="Times New Roman" w:cs="Times New Roman"/>
                <w:sz w:val="17"/>
                <w:szCs w:val="17"/>
                <w:lang w:val="en-GB"/>
              </w:rPr>
              <w:t>No</w:t>
            </w:r>
          </w:p>
          <w:p w14:paraId="59D7BED8" w14:textId="79914DD8" w:rsidR="006C7266" w:rsidRPr="00813924" w:rsidRDefault="006C7266" w:rsidP="00780D85">
            <w:pPr>
              <w:rPr>
                <w:rFonts w:ascii="Times New Roman" w:hAnsi="Times New Roman" w:cs="Times New Roman"/>
                <w:sz w:val="17"/>
                <w:szCs w:val="17"/>
                <w:lang w:val="en-US"/>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w:t>
            </w:r>
            <w:r w:rsidR="00B74175" w:rsidRPr="00813924">
              <w:rPr>
                <w:rFonts w:ascii="Times New Roman" w:hAnsi="Times New Roman" w:cs="Times New Roman"/>
                <w:sz w:val="17"/>
                <w:szCs w:val="17"/>
                <w:lang w:val="en-GB"/>
              </w:rPr>
              <w:t>Yes</w:t>
            </w:r>
          </w:p>
          <w:p w14:paraId="44C14221" w14:textId="77777777" w:rsidR="006C7266" w:rsidRPr="00813924" w:rsidRDefault="006C7266" w:rsidP="00780D85">
            <w:pPr>
              <w:rPr>
                <w:rFonts w:ascii="Times New Roman" w:hAnsi="Times New Roman" w:cs="Times New Roman"/>
                <w:sz w:val="17"/>
                <w:szCs w:val="17"/>
                <w:lang w:val="en-US"/>
              </w:rPr>
            </w:pPr>
          </w:p>
          <w:p w14:paraId="2D94DE17" w14:textId="25DEA706" w:rsidR="006C7266" w:rsidRPr="00813924" w:rsidRDefault="006C7266" w:rsidP="00780D85">
            <w:pPr>
              <w:rPr>
                <w:rFonts w:ascii="Times New Roman" w:hAnsi="Times New Roman" w:cs="Times New Roman"/>
                <w:sz w:val="17"/>
                <w:szCs w:val="17"/>
                <w:lang w:val="en-GB"/>
              </w:rPr>
            </w:pPr>
          </w:p>
        </w:tc>
        <w:tc>
          <w:tcPr>
            <w:tcW w:w="2610" w:type="dxa"/>
            <w:vMerge w:val="restart"/>
          </w:tcPr>
          <w:p w14:paraId="4318DC3E" w14:textId="1F877886" w:rsidR="006C7266" w:rsidRPr="00813924" w:rsidRDefault="00816A37" w:rsidP="00780D85">
            <w:pPr>
              <w:rPr>
                <w:rFonts w:ascii="Times New Roman" w:hAnsi="Times New Roman" w:cs="Times New Roman"/>
                <w:sz w:val="17"/>
                <w:szCs w:val="17"/>
                <w:lang w:val="en-GB"/>
              </w:rPr>
            </w:pPr>
            <w:r>
              <w:rPr>
                <w:rFonts w:ascii="Times New Roman" w:hAnsi="Times New Roman" w:cs="Times New Roman"/>
                <w:sz w:val="17"/>
                <w:szCs w:val="17"/>
                <w:lang w:val="en-GB"/>
              </w:rPr>
              <w:t>Ministr</w:t>
            </w:r>
            <w:r w:rsidR="00673EC7">
              <w:rPr>
                <w:rFonts w:ascii="Times New Roman" w:hAnsi="Times New Roman" w:cs="Times New Roman"/>
                <w:sz w:val="17"/>
                <w:szCs w:val="17"/>
                <w:lang w:val="en-GB"/>
              </w:rPr>
              <w:t>ies</w:t>
            </w:r>
            <w:r>
              <w:rPr>
                <w:rFonts w:ascii="Times New Roman" w:hAnsi="Times New Roman" w:cs="Times New Roman"/>
                <w:sz w:val="17"/>
                <w:szCs w:val="17"/>
                <w:lang w:val="en-GB"/>
              </w:rPr>
              <w:t xml:space="preserve"> of Planning and External Cooperation</w:t>
            </w:r>
            <w:r w:rsidR="00673EC7">
              <w:rPr>
                <w:rFonts w:ascii="Times New Roman" w:hAnsi="Times New Roman" w:cs="Times New Roman"/>
                <w:sz w:val="17"/>
                <w:szCs w:val="17"/>
                <w:lang w:val="en-GB"/>
              </w:rPr>
              <w:t>;</w:t>
            </w:r>
            <w:r w:rsidR="006C7266" w:rsidRPr="00813924">
              <w:rPr>
                <w:rFonts w:ascii="Times New Roman" w:hAnsi="Times New Roman" w:cs="Times New Roman"/>
                <w:sz w:val="17"/>
                <w:szCs w:val="17"/>
                <w:lang w:val="en-GB"/>
              </w:rPr>
              <w:t xml:space="preserve"> </w:t>
            </w:r>
            <w:r w:rsidR="00673EC7">
              <w:rPr>
                <w:rFonts w:ascii="Times New Roman" w:hAnsi="Times New Roman" w:cs="Times New Roman"/>
                <w:sz w:val="17"/>
                <w:szCs w:val="17"/>
                <w:lang w:val="en-GB"/>
              </w:rPr>
              <w:t>of Environment;</w:t>
            </w:r>
            <w:r w:rsidR="006C7266" w:rsidRPr="00813924">
              <w:rPr>
                <w:rFonts w:ascii="Times New Roman" w:hAnsi="Times New Roman" w:cs="Times New Roman"/>
                <w:sz w:val="17"/>
                <w:szCs w:val="17"/>
                <w:lang w:val="en-GB"/>
              </w:rPr>
              <w:t xml:space="preserve"> </w:t>
            </w:r>
            <w:r w:rsidR="00673EC7">
              <w:rPr>
                <w:rFonts w:ascii="Times New Roman" w:hAnsi="Times New Roman" w:cs="Times New Roman"/>
                <w:sz w:val="17"/>
                <w:szCs w:val="17"/>
                <w:lang w:val="en-GB"/>
              </w:rPr>
              <w:t xml:space="preserve">of </w:t>
            </w:r>
            <w:r w:rsidR="009B1AC5" w:rsidRPr="009B1AC5">
              <w:rPr>
                <w:rFonts w:ascii="Times New Roman" w:hAnsi="Times New Roman" w:cs="Times New Roman"/>
                <w:sz w:val="17"/>
                <w:szCs w:val="17"/>
                <w:lang w:val="en-GB"/>
              </w:rPr>
              <w:t xml:space="preserve">the Interior and Territorial Collectivities </w:t>
            </w:r>
          </w:p>
          <w:p w14:paraId="2BC5FFBB" w14:textId="2B276A1F"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Local authorities on the National Disaster Risk Management Plan </w:t>
            </w:r>
          </w:p>
          <w:p w14:paraId="65F06E2A"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Annual</w:t>
            </w:r>
          </w:p>
          <w:p w14:paraId="53BF3B2A" w14:textId="77777777" w:rsidR="006C7266" w:rsidRPr="00813924" w:rsidRDefault="006C7266" w:rsidP="00780D85">
            <w:pPr>
              <w:rPr>
                <w:rFonts w:ascii="Times New Roman" w:hAnsi="Times New Roman" w:cs="Times New Roman"/>
                <w:sz w:val="17"/>
                <w:szCs w:val="17"/>
                <w:lang w:val="en-GB"/>
              </w:rPr>
            </w:pPr>
          </w:p>
          <w:p w14:paraId="6A4DA866" w14:textId="77777777" w:rsidR="006C7266" w:rsidRPr="00813924" w:rsidRDefault="006C7266" w:rsidP="00780D85">
            <w:pPr>
              <w:jc w:val="both"/>
              <w:rPr>
                <w:rFonts w:ascii="Times New Roman" w:hAnsi="Times New Roman" w:cs="Times New Roman"/>
                <w:sz w:val="17"/>
                <w:szCs w:val="17"/>
                <w:lang w:val="en-GB"/>
              </w:rPr>
            </w:pPr>
            <w:r w:rsidRPr="00813924">
              <w:rPr>
                <w:rFonts w:ascii="Times New Roman" w:hAnsi="Times New Roman" w:cs="Times New Roman"/>
                <w:sz w:val="17"/>
                <w:szCs w:val="17"/>
                <w:lang w:val="en-GB"/>
              </w:rPr>
              <w:t>General Directorate of Civil Protection, Annually</w:t>
            </w:r>
          </w:p>
          <w:p w14:paraId="404251B5" w14:textId="77777777" w:rsidR="006C7266" w:rsidRPr="00813924" w:rsidRDefault="006C7266" w:rsidP="00780D85">
            <w:pPr>
              <w:jc w:val="both"/>
              <w:rPr>
                <w:rFonts w:ascii="Times New Roman" w:hAnsi="Times New Roman" w:cs="Times New Roman"/>
                <w:sz w:val="17"/>
                <w:szCs w:val="17"/>
                <w:lang w:val="en-GB"/>
              </w:rPr>
            </w:pPr>
          </w:p>
          <w:p w14:paraId="4B4561DF" w14:textId="77777777" w:rsidR="006C7266" w:rsidRPr="00813924" w:rsidRDefault="006C7266" w:rsidP="00780D85">
            <w:pPr>
              <w:rPr>
                <w:rFonts w:ascii="Times New Roman" w:hAnsi="Times New Roman" w:cs="Times New Roman"/>
                <w:sz w:val="17"/>
                <w:szCs w:val="17"/>
                <w:lang w:val="en-GB"/>
              </w:rPr>
            </w:pPr>
          </w:p>
        </w:tc>
        <w:tc>
          <w:tcPr>
            <w:tcW w:w="3421" w:type="dxa"/>
          </w:tcPr>
          <w:p w14:paraId="3FC88F0A" w14:textId="56644EE7"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 xml:space="preserve">Output4.1.: Public institutions at the national and local levels have stronger capacities to control and disseminate knowledge in </w:t>
            </w:r>
            <w:r w:rsidR="00157142" w:rsidRPr="00813924">
              <w:rPr>
                <w:rFonts w:ascii="Times New Roman" w:hAnsi="Times New Roman" w:cs="Times New Roman"/>
                <w:b/>
                <w:bCs/>
                <w:sz w:val="17"/>
                <w:szCs w:val="17"/>
                <w:lang w:val="en-GB"/>
              </w:rPr>
              <w:t>preventing and responding to disasters and protecting</w:t>
            </w:r>
            <w:r w:rsidRPr="00813924">
              <w:rPr>
                <w:rFonts w:ascii="Times New Roman" w:hAnsi="Times New Roman" w:cs="Times New Roman"/>
                <w:b/>
                <w:bCs/>
                <w:sz w:val="17"/>
                <w:szCs w:val="17"/>
                <w:lang w:val="en-GB"/>
              </w:rPr>
              <w:t xml:space="preserve"> the environment.</w:t>
            </w:r>
          </w:p>
          <w:p w14:paraId="0C24431C" w14:textId="77777777" w:rsidR="006C7266" w:rsidRPr="00813924" w:rsidRDefault="006C7266" w:rsidP="00780D85">
            <w:pPr>
              <w:rPr>
                <w:rFonts w:ascii="Times New Roman" w:hAnsi="Times New Roman" w:cs="Times New Roman"/>
                <w:sz w:val="17"/>
                <w:szCs w:val="17"/>
                <w:u w:val="single"/>
                <w:lang w:val="en-GB"/>
              </w:rPr>
            </w:pPr>
          </w:p>
          <w:p w14:paraId="662F3FCB"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4.1.1</w:t>
            </w:r>
            <w:r w:rsidRPr="00813924">
              <w:rPr>
                <w:rFonts w:ascii="Times New Roman" w:hAnsi="Times New Roman" w:cs="Times New Roman"/>
                <w:sz w:val="17"/>
                <w:szCs w:val="17"/>
                <w:lang w:val="en-GB"/>
              </w:rPr>
              <w:t>: Number of knowledge dissemination and decision support tools for disaster risk prevention and management and climate change adaptation developed and communicated</w:t>
            </w:r>
          </w:p>
          <w:p w14:paraId="3DAF388C"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12 </w:t>
            </w:r>
          </w:p>
          <w:p w14:paraId="0619189F"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15</w:t>
            </w:r>
          </w:p>
          <w:p w14:paraId="0BD2435D" w14:textId="48AF0759"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D73EA6">
              <w:rPr>
                <w:rFonts w:ascii="Times New Roman" w:hAnsi="Times New Roman" w:cs="Times New Roman"/>
                <w:sz w:val="17"/>
                <w:szCs w:val="17"/>
                <w:lang w:val="en-GB"/>
              </w:rPr>
              <w:t>Civil Protection Agency</w:t>
            </w:r>
            <w:r w:rsidRPr="00813924">
              <w:rPr>
                <w:rFonts w:ascii="Times New Roman" w:hAnsi="Times New Roman" w:cs="Times New Roman"/>
                <w:sz w:val="17"/>
                <w:szCs w:val="17"/>
                <w:lang w:val="en-GB"/>
              </w:rPr>
              <w:t xml:space="preserve"> and </w:t>
            </w:r>
            <w:r w:rsidR="00D73EA6">
              <w:rPr>
                <w:rFonts w:ascii="Times New Roman" w:hAnsi="Times New Roman" w:cs="Times New Roman"/>
                <w:sz w:val="17"/>
                <w:szCs w:val="17"/>
                <w:lang w:val="en-GB"/>
              </w:rPr>
              <w:t>Ministry of Environment</w:t>
            </w:r>
            <w:r w:rsidRPr="00813924">
              <w:rPr>
                <w:rFonts w:ascii="Times New Roman" w:hAnsi="Times New Roman" w:cs="Times New Roman"/>
                <w:sz w:val="17"/>
                <w:szCs w:val="17"/>
                <w:lang w:val="en-GB"/>
              </w:rPr>
              <w:t xml:space="preserve"> annual reports</w:t>
            </w:r>
          </w:p>
          <w:p w14:paraId="1C6EF1B9" w14:textId="77777777" w:rsidR="006C7266" w:rsidRPr="00813924" w:rsidRDefault="006C7266" w:rsidP="00780D85">
            <w:pPr>
              <w:rPr>
                <w:rFonts w:ascii="Times New Roman" w:hAnsi="Times New Roman" w:cs="Times New Roman"/>
                <w:sz w:val="17"/>
                <w:szCs w:val="17"/>
                <w:lang w:val="en-GB"/>
              </w:rPr>
            </w:pPr>
          </w:p>
          <w:p w14:paraId="673BFCC1" w14:textId="1E82B975"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4.1.2</w:t>
            </w:r>
            <w:r w:rsidRPr="00813924">
              <w:rPr>
                <w:rFonts w:ascii="Times New Roman" w:hAnsi="Times New Roman" w:cs="Times New Roman"/>
                <w:sz w:val="17"/>
                <w:szCs w:val="17"/>
                <w:lang w:val="en-GB"/>
              </w:rPr>
              <w:t xml:space="preserve">: Number of new information technologies to disseminate knowledge and good practices in the prevention and management </w:t>
            </w:r>
            <w:r w:rsidR="00157142" w:rsidRPr="00813924">
              <w:rPr>
                <w:rFonts w:ascii="Times New Roman" w:hAnsi="Times New Roman" w:cs="Times New Roman"/>
                <w:sz w:val="17"/>
                <w:szCs w:val="17"/>
                <w:lang w:val="en-GB"/>
              </w:rPr>
              <w:t xml:space="preserve">of </w:t>
            </w:r>
            <w:r w:rsidR="00182A9A" w:rsidRPr="00813924">
              <w:rPr>
                <w:rFonts w:ascii="Times New Roman" w:hAnsi="Times New Roman" w:cs="Times New Roman"/>
                <w:sz w:val="17"/>
                <w:szCs w:val="17"/>
                <w:lang w:val="en-GB"/>
              </w:rPr>
              <w:t xml:space="preserve">disaster </w:t>
            </w:r>
            <w:r w:rsidRPr="00813924">
              <w:rPr>
                <w:rFonts w:ascii="Times New Roman" w:hAnsi="Times New Roman" w:cs="Times New Roman"/>
                <w:sz w:val="17"/>
                <w:szCs w:val="17"/>
                <w:lang w:val="en-GB"/>
              </w:rPr>
              <w:t>risks and environmental protection</w:t>
            </w:r>
          </w:p>
          <w:p w14:paraId="035C5AF3"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1</w:t>
            </w:r>
          </w:p>
          <w:p w14:paraId="0919BFCC"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3 </w:t>
            </w:r>
          </w:p>
          <w:p w14:paraId="0EE30DB3" w14:textId="444891A9" w:rsidR="006C7266" w:rsidRPr="00813924" w:rsidRDefault="006C7266" w:rsidP="008E0254">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D73EA6">
              <w:rPr>
                <w:rFonts w:ascii="Times New Roman" w:hAnsi="Times New Roman" w:cs="Times New Roman"/>
                <w:sz w:val="17"/>
                <w:szCs w:val="17"/>
                <w:lang w:val="en-GB"/>
              </w:rPr>
              <w:t>see 4.1.1 above</w:t>
            </w:r>
          </w:p>
        </w:tc>
        <w:tc>
          <w:tcPr>
            <w:tcW w:w="3600" w:type="dxa"/>
            <w:vMerge w:val="restart"/>
          </w:tcPr>
          <w:p w14:paraId="659FE69D" w14:textId="09CD7091" w:rsidR="006C7266" w:rsidRPr="00813924" w:rsidRDefault="00D73EA6" w:rsidP="009F5FBA">
            <w:pPr>
              <w:pStyle w:val="ListParagraph"/>
              <w:ind w:left="400"/>
              <w:rPr>
                <w:rFonts w:ascii="Times New Roman" w:hAnsi="Times New Roman" w:cs="Times New Roman"/>
                <w:sz w:val="17"/>
                <w:szCs w:val="17"/>
                <w:lang w:val="en-GB"/>
              </w:rPr>
            </w:pPr>
            <w:r w:rsidRPr="00D73EA6">
              <w:rPr>
                <w:rFonts w:ascii="Times New Roman" w:hAnsi="Times New Roman" w:cs="Times New Roman"/>
                <w:sz w:val="17"/>
                <w:szCs w:val="17"/>
                <w:lang w:val="en-GB"/>
              </w:rPr>
              <w:t xml:space="preserve">Ministries of Agriculture, Natural Resources and Rural Development; </w:t>
            </w:r>
            <w:r w:rsidR="009F5FBA">
              <w:rPr>
                <w:rFonts w:ascii="Times New Roman" w:hAnsi="Times New Roman" w:cs="Times New Roman"/>
                <w:sz w:val="17"/>
                <w:szCs w:val="17"/>
                <w:lang w:val="en-GB"/>
              </w:rPr>
              <w:t>o</w:t>
            </w:r>
            <w:r w:rsidR="00673EC7" w:rsidRPr="00D73EA6">
              <w:rPr>
                <w:rFonts w:ascii="Times New Roman" w:hAnsi="Times New Roman" w:cs="Times New Roman"/>
                <w:sz w:val="17"/>
                <w:szCs w:val="17"/>
                <w:lang w:val="en-GB"/>
              </w:rPr>
              <w:t>f Planning And External Cooperation</w:t>
            </w:r>
            <w:r w:rsidR="009F5FBA">
              <w:rPr>
                <w:rFonts w:ascii="Times New Roman" w:hAnsi="Times New Roman" w:cs="Times New Roman"/>
                <w:sz w:val="17"/>
                <w:szCs w:val="17"/>
                <w:lang w:val="en-GB"/>
              </w:rPr>
              <w:t xml:space="preserve">; of Environment; </w:t>
            </w:r>
            <w:r w:rsidR="009B1AC5">
              <w:rPr>
                <w:rFonts w:ascii="Times New Roman" w:hAnsi="Times New Roman" w:cs="Times New Roman"/>
                <w:sz w:val="17"/>
                <w:szCs w:val="17"/>
                <w:lang w:val="en-GB"/>
              </w:rPr>
              <w:t xml:space="preserve"> </w:t>
            </w:r>
            <w:r w:rsidR="009F5FBA">
              <w:rPr>
                <w:rFonts w:ascii="Times New Roman" w:hAnsi="Times New Roman" w:cs="Times New Roman"/>
                <w:sz w:val="17"/>
                <w:szCs w:val="17"/>
                <w:lang w:val="en-GB"/>
              </w:rPr>
              <w:t xml:space="preserve">of </w:t>
            </w:r>
            <w:r w:rsidR="009B1AC5" w:rsidRPr="009B1AC5">
              <w:rPr>
                <w:rFonts w:ascii="Times New Roman" w:hAnsi="Times New Roman" w:cs="Times New Roman"/>
                <w:sz w:val="17"/>
                <w:szCs w:val="17"/>
                <w:lang w:val="en-GB"/>
              </w:rPr>
              <w:t>the Interior and Territorial Collectivities</w:t>
            </w:r>
            <w:r w:rsidR="009F5FBA">
              <w:rPr>
                <w:rFonts w:ascii="Times New Roman" w:hAnsi="Times New Roman" w:cs="Times New Roman"/>
                <w:sz w:val="17"/>
                <w:szCs w:val="17"/>
                <w:lang w:val="en-GB"/>
              </w:rPr>
              <w:t xml:space="preserve">; </w:t>
            </w:r>
            <w:r w:rsidR="006C7266" w:rsidRPr="00813924">
              <w:rPr>
                <w:rFonts w:ascii="Times New Roman" w:hAnsi="Times New Roman" w:cs="Times New Roman"/>
                <w:sz w:val="17"/>
                <w:szCs w:val="17"/>
                <w:lang w:val="en-GB"/>
              </w:rPr>
              <w:t>of Public Health and Population</w:t>
            </w:r>
            <w:r w:rsidR="009F5FBA">
              <w:rPr>
                <w:rFonts w:ascii="Times New Roman" w:hAnsi="Times New Roman" w:cs="Times New Roman"/>
                <w:sz w:val="17"/>
                <w:szCs w:val="17"/>
                <w:lang w:val="en-GB"/>
              </w:rPr>
              <w:t xml:space="preserve">; </w:t>
            </w:r>
          </w:p>
          <w:p w14:paraId="425F11DE" w14:textId="2964195C" w:rsidR="006C7266" w:rsidRPr="00813924" w:rsidRDefault="009F5FBA" w:rsidP="009F5FBA">
            <w:pPr>
              <w:pStyle w:val="ListParagraph"/>
              <w:ind w:left="400"/>
              <w:rPr>
                <w:rFonts w:ascii="Times New Roman" w:hAnsi="Times New Roman" w:cs="Times New Roman"/>
                <w:sz w:val="17"/>
                <w:szCs w:val="17"/>
                <w:lang w:val="en-GB"/>
              </w:rPr>
            </w:pPr>
            <w:r w:rsidRPr="009F5FBA">
              <w:rPr>
                <w:rFonts w:ascii="Times New Roman" w:hAnsi="Times New Roman" w:cs="Times New Roman"/>
                <w:sz w:val="17"/>
                <w:szCs w:val="17"/>
                <w:lang w:val="en-GB"/>
              </w:rPr>
              <w:t xml:space="preserve">of Public Works, Transport and Communication </w:t>
            </w:r>
          </w:p>
          <w:p w14:paraId="543D3CA7"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Local Authorities</w:t>
            </w:r>
          </w:p>
          <w:p w14:paraId="376F506A" w14:textId="57302ACB" w:rsidR="00220143" w:rsidRDefault="002E1FE6" w:rsidP="00780D85">
            <w:pPr>
              <w:pStyle w:val="ListParagraph"/>
              <w:numPr>
                <w:ilvl w:val="0"/>
                <w:numId w:val="27"/>
              </w:numPr>
              <w:ind w:left="400"/>
              <w:rPr>
                <w:rFonts w:ascii="Times New Roman" w:hAnsi="Times New Roman" w:cs="Times New Roman"/>
                <w:sz w:val="17"/>
                <w:szCs w:val="17"/>
                <w:lang w:val="en-GB"/>
              </w:rPr>
            </w:pPr>
            <w:r w:rsidRPr="002E1FE6">
              <w:rPr>
                <w:rFonts w:ascii="Times New Roman" w:hAnsi="Times New Roman" w:cs="Times New Roman"/>
                <w:sz w:val="17"/>
                <w:szCs w:val="17"/>
                <w:lang w:val="en-GB"/>
              </w:rPr>
              <w:t xml:space="preserve">National Directorate of </w:t>
            </w:r>
            <w:r w:rsidR="00220143">
              <w:rPr>
                <w:rFonts w:ascii="Times New Roman" w:hAnsi="Times New Roman" w:cs="Times New Roman"/>
                <w:sz w:val="17"/>
                <w:szCs w:val="17"/>
                <w:lang w:val="en-GB"/>
              </w:rPr>
              <w:t>Potable</w:t>
            </w:r>
            <w:r w:rsidRPr="002E1FE6">
              <w:rPr>
                <w:rFonts w:ascii="Times New Roman" w:hAnsi="Times New Roman" w:cs="Times New Roman"/>
                <w:sz w:val="17"/>
                <w:szCs w:val="17"/>
                <w:lang w:val="en-GB"/>
              </w:rPr>
              <w:t xml:space="preserve"> Water and Sanitation</w:t>
            </w:r>
          </w:p>
          <w:p w14:paraId="655A54E4" w14:textId="24D7A502" w:rsidR="006C7266" w:rsidRPr="00813924" w:rsidRDefault="00861B29" w:rsidP="00780D85">
            <w:pPr>
              <w:pStyle w:val="ListParagraph"/>
              <w:numPr>
                <w:ilvl w:val="0"/>
                <w:numId w:val="27"/>
              </w:numPr>
              <w:ind w:left="400"/>
              <w:rPr>
                <w:rFonts w:ascii="Times New Roman" w:hAnsi="Times New Roman" w:cs="Times New Roman"/>
                <w:sz w:val="17"/>
                <w:szCs w:val="17"/>
                <w:lang w:val="en-GB"/>
              </w:rPr>
            </w:pPr>
            <w:r>
              <w:rPr>
                <w:rFonts w:ascii="Times New Roman" w:hAnsi="Times New Roman" w:cs="Times New Roman"/>
                <w:sz w:val="17"/>
                <w:szCs w:val="17"/>
                <w:lang w:val="en-GB"/>
              </w:rPr>
              <w:t>Ayitica</w:t>
            </w:r>
            <w:r w:rsidR="006C7266" w:rsidRPr="00813924">
              <w:rPr>
                <w:rFonts w:ascii="Times New Roman" w:hAnsi="Times New Roman" w:cs="Times New Roman"/>
                <w:sz w:val="17"/>
                <w:szCs w:val="17"/>
                <w:lang w:val="en-GB"/>
              </w:rPr>
              <w:t xml:space="preserve"> </w:t>
            </w:r>
            <w:r w:rsidR="00B61F6C">
              <w:rPr>
                <w:rFonts w:ascii="Times New Roman" w:hAnsi="Times New Roman" w:cs="Times New Roman"/>
                <w:sz w:val="17"/>
                <w:szCs w:val="17"/>
                <w:lang w:val="en-GB"/>
              </w:rPr>
              <w:t>(company)</w:t>
            </w:r>
          </w:p>
          <w:p w14:paraId="5577A7B0"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Alliance for Risk Management and Business Continuity </w:t>
            </w:r>
          </w:p>
          <w:p w14:paraId="6A68E440"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Media</w:t>
            </w:r>
          </w:p>
          <w:p w14:paraId="550958DE"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Le Nouvelliste, </w:t>
            </w:r>
          </w:p>
          <w:p w14:paraId="62A332E2"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Haiti Climate </w:t>
            </w:r>
          </w:p>
          <w:p w14:paraId="29E3FA12"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Institute of Technology and Animation</w:t>
            </w:r>
          </w:p>
          <w:p w14:paraId="29FD4295"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New Grand’ Anse Foundation</w:t>
            </w:r>
          </w:p>
          <w:p w14:paraId="73F010E3"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IDB </w:t>
            </w:r>
          </w:p>
          <w:p w14:paraId="5BC4CE99"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World Bank </w:t>
            </w:r>
          </w:p>
          <w:p w14:paraId="2836A06C" w14:textId="002D981F" w:rsidR="006C7266" w:rsidRPr="00813924" w:rsidRDefault="009F5FBA" w:rsidP="00780D85">
            <w:pPr>
              <w:pStyle w:val="ListParagraph"/>
              <w:numPr>
                <w:ilvl w:val="0"/>
                <w:numId w:val="27"/>
              </w:numPr>
              <w:ind w:left="400"/>
              <w:rPr>
                <w:rFonts w:ascii="Times New Roman" w:hAnsi="Times New Roman" w:cs="Times New Roman"/>
                <w:sz w:val="17"/>
                <w:szCs w:val="17"/>
                <w:lang w:val="en-GB"/>
              </w:rPr>
            </w:pPr>
            <w:r>
              <w:rPr>
                <w:rFonts w:ascii="Times New Roman" w:hAnsi="Times New Roman" w:cs="Times New Roman"/>
                <w:sz w:val="17"/>
                <w:szCs w:val="17"/>
                <w:lang w:val="en-GB"/>
              </w:rPr>
              <w:t>Government of the United States</w:t>
            </w:r>
          </w:p>
          <w:p w14:paraId="52B504BB" w14:textId="49B120D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Helvetas</w:t>
            </w:r>
            <w:r w:rsidR="00836E04">
              <w:rPr>
                <w:rFonts w:ascii="Times New Roman" w:hAnsi="Times New Roman" w:cs="Times New Roman"/>
                <w:sz w:val="17"/>
                <w:szCs w:val="17"/>
                <w:lang w:val="en-GB"/>
              </w:rPr>
              <w:t xml:space="preserve"> (NGO)</w:t>
            </w:r>
          </w:p>
          <w:p w14:paraId="05836E4D" w14:textId="4F16F5AF"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Heifer</w:t>
            </w:r>
            <w:r w:rsidR="00836E04">
              <w:rPr>
                <w:rFonts w:ascii="Times New Roman" w:hAnsi="Times New Roman" w:cs="Times New Roman"/>
                <w:sz w:val="17"/>
                <w:szCs w:val="17"/>
                <w:lang w:val="en-GB"/>
              </w:rPr>
              <w:t xml:space="preserve"> International</w:t>
            </w:r>
          </w:p>
          <w:p w14:paraId="1E2B36D3"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FAO</w:t>
            </w:r>
          </w:p>
          <w:p w14:paraId="7AE2EEA0"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IOM</w:t>
            </w:r>
          </w:p>
          <w:p w14:paraId="6EE9763E"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UNEP</w:t>
            </w:r>
          </w:p>
          <w:p w14:paraId="0D6A2E20"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UNESCO</w:t>
            </w:r>
          </w:p>
          <w:p w14:paraId="3D783002"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UNFPA </w:t>
            </w:r>
          </w:p>
          <w:p w14:paraId="46D680E9"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UNICEF</w:t>
            </w:r>
          </w:p>
          <w:p w14:paraId="2E1C4FB9"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UNOPS</w:t>
            </w:r>
          </w:p>
          <w:p w14:paraId="03267071" w14:textId="3472E32D"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r w:rsidRPr="00813924">
              <w:rPr>
                <w:rFonts w:ascii="Times New Roman" w:hAnsi="Times New Roman" w:cs="Times New Roman"/>
                <w:sz w:val="17"/>
                <w:szCs w:val="17"/>
                <w:lang w:val="en-GB"/>
              </w:rPr>
              <w:t>WFP</w:t>
            </w:r>
          </w:p>
        </w:tc>
        <w:tc>
          <w:tcPr>
            <w:tcW w:w="1667" w:type="dxa"/>
            <w:vMerge w:val="restart"/>
          </w:tcPr>
          <w:p w14:paraId="74B44D47" w14:textId="108957AE"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Regular </w:t>
            </w:r>
            <w:r w:rsidR="00816039" w:rsidRPr="00813924">
              <w:rPr>
                <w:rFonts w:ascii="Times New Roman" w:hAnsi="Times New Roman" w:cs="Times New Roman"/>
                <w:sz w:val="17"/>
                <w:szCs w:val="17"/>
                <w:u w:val="single"/>
                <w:lang w:val="en-GB"/>
              </w:rPr>
              <w:t>r</w:t>
            </w:r>
            <w:r w:rsidRPr="00813924">
              <w:rPr>
                <w:rFonts w:ascii="Times New Roman" w:hAnsi="Times New Roman" w:cs="Times New Roman"/>
                <w:sz w:val="17"/>
                <w:szCs w:val="17"/>
                <w:u w:val="single"/>
                <w:lang w:val="en-GB"/>
              </w:rPr>
              <w:t>esources</w:t>
            </w:r>
            <w:r w:rsidRPr="00813924">
              <w:rPr>
                <w:rFonts w:ascii="Times New Roman" w:hAnsi="Times New Roman" w:cs="Times New Roman"/>
                <w:sz w:val="17"/>
                <w:szCs w:val="17"/>
                <w:lang w:val="en-GB"/>
              </w:rPr>
              <w:t xml:space="preserve">: </w:t>
            </w:r>
          </w:p>
          <w:p w14:paraId="71B182D0" w14:textId="69345F89" w:rsidR="00AF4B47" w:rsidRPr="00813924" w:rsidRDefault="00EA1E58" w:rsidP="00AF4B47">
            <w:pPr>
              <w:rPr>
                <w:rFonts w:ascii="Times New Roman" w:hAnsi="Times New Roman" w:cs="Times New Roman"/>
                <w:color w:val="000000"/>
                <w:sz w:val="17"/>
                <w:szCs w:val="17"/>
                <w:lang w:val="en-US"/>
              </w:rPr>
            </w:pPr>
            <w:r w:rsidRPr="00813924">
              <w:rPr>
                <w:rFonts w:ascii="Times New Roman" w:hAnsi="Times New Roman" w:cs="Times New Roman"/>
                <w:color w:val="000000"/>
                <w:sz w:val="17"/>
                <w:szCs w:val="17"/>
              </w:rPr>
              <w:t>$</w:t>
            </w:r>
            <w:r w:rsidR="00AF4B47" w:rsidRPr="00813924">
              <w:rPr>
                <w:rFonts w:ascii="Times New Roman" w:hAnsi="Times New Roman" w:cs="Times New Roman"/>
                <w:color w:val="000000"/>
                <w:sz w:val="17"/>
                <w:szCs w:val="17"/>
              </w:rPr>
              <w:t>5,</w:t>
            </w:r>
            <w:r w:rsidR="00164B99">
              <w:rPr>
                <w:rFonts w:ascii="Times New Roman" w:hAnsi="Times New Roman" w:cs="Times New Roman"/>
                <w:color w:val="000000"/>
                <w:sz w:val="17"/>
                <w:szCs w:val="17"/>
              </w:rPr>
              <w:t>600</w:t>
            </w:r>
            <w:r w:rsidR="00AF4B47" w:rsidRPr="00813924">
              <w:rPr>
                <w:rFonts w:ascii="Times New Roman" w:hAnsi="Times New Roman" w:cs="Times New Roman"/>
                <w:color w:val="000000"/>
                <w:sz w:val="17"/>
                <w:szCs w:val="17"/>
              </w:rPr>
              <w:t xml:space="preserve">,000 </w:t>
            </w:r>
          </w:p>
          <w:p w14:paraId="26CF269A" w14:textId="77777777" w:rsidR="006C7266" w:rsidRPr="00813924" w:rsidRDefault="006C7266" w:rsidP="00780D85">
            <w:pPr>
              <w:rPr>
                <w:rFonts w:ascii="Times New Roman" w:hAnsi="Times New Roman" w:cs="Times New Roman"/>
                <w:sz w:val="17"/>
                <w:szCs w:val="17"/>
                <w:lang w:val="en-GB"/>
              </w:rPr>
            </w:pPr>
          </w:p>
          <w:p w14:paraId="7408BA35"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Other resources</w:t>
            </w:r>
            <w:r w:rsidRPr="00813924">
              <w:rPr>
                <w:rFonts w:ascii="Times New Roman" w:hAnsi="Times New Roman" w:cs="Times New Roman"/>
                <w:sz w:val="17"/>
                <w:szCs w:val="17"/>
                <w:lang w:val="en-GB"/>
              </w:rPr>
              <w:t xml:space="preserve">: </w:t>
            </w:r>
          </w:p>
          <w:p w14:paraId="0DDC8269" w14:textId="7E1F08A4" w:rsidR="006C7266" w:rsidRPr="00813924" w:rsidRDefault="00EA1E58" w:rsidP="00780D85">
            <w:pPr>
              <w:rPr>
                <w:rFonts w:ascii="Times New Roman" w:hAnsi="Times New Roman" w:cs="Times New Roman"/>
                <w:color w:val="000000"/>
                <w:sz w:val="17"/>
                <w:szCs w:val="17"/>
                <w:lang w:val="en-US"/>
              </w:rPr>
            </w:pPr>
            <w:r w:rsidRPr="00813924">
              <w:rPr>
                <w:rFonts w:ascii="Times New Roman" w:hAnsi="Times New Roman" w:cs="Times New Roman"/>
                <w:color w:val="000000"/>
                <w:sz w:val="17"/>
                <w:szCs w:val="17"/>
              </w:rPr>
              <w:t>$38,820,000</w:t>
            </w:r>
          </w:p>
        </w:tc>
      </w:tr>
      <w:tr w:rsidR="006C7266" w:rsidRPr="00813924" w14:paraId="147440C3" w14:textId="77777777" w:rsidTr="00F204CC">
        <w:tc>
          <w:tcPr>
            <w:tcW w:w="2694" w:type="dxa"/>
            <w:vMerge/>
          </w:tcPr>
          <w:p w14:paraId="5A793A23" w14:textId="77777777" w:rsidR="006C7266" w:rsidRPr="00813924" w:rsidRDefault="006C7266" w:rsidP="00780D85">
            <w:pPr>
              <w:rPr>
                <w:rFonts w:ascii="Times New Roman" w:hAnsi="Times New Roman" w:cs="Times New Roman"/>
                <w:sz w:val="17"/>
                <w:szCs w:val="17"/>
                <w:u w:val="single"/>
                <w:lang w:val="en-GB"/>
              </w:rPr>
            </w:pPr>
          </w:p>
        </w:tc>
        <w:tc>
          <w:tcPr>
            <w:tcW w:w="2610" w:type="dxa"/>
            <w:vMerge/>
          </w:tcPr>
          <w:p w14:paraId="77B83BEF" w14:textId="77777777" w:rsidR="006C7266" w:rsidRPr="00813924" w:rsidRDefault="006C7266" w:rsidP="00780D85">
            <w:pPr>
              <w:rPr>
                <w:rFonts w:ascii="Times New Roman" w:hAnsi="Times New Roman" w:cs="Times New Roman"/>
                <w:sz w:val="17"/>
                <w:szCs w:val="17"/>
                <w:u w:val="single"/>
                <w:lang w:val="en-GB"/>
              </w:rPr>
            </w:pPr>
          </w:p>
        </w:tc>
        <w:tc>
          <w:tcPr>
            <w:tcW w:w="3421" w:type="dxa"/>
          </w:tcPr>
          <w:p w14:paraId="71E03D40" w14:textId="0B5CD450"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 xml:space="preserve">Output4.2: Public institutions at the national and local levels have stronger capacities for the integrated implementation of the </w:t>
            </w:r>
            <w:r w:rsidR="00673EC7" w:rsidRPr="00673EC7">
              <w:rPr>
                <w:rFonts w:ascii="Times New Roman" w:hAnsi="Times New Roman" w:cs="Times New Roman"/>
                <w:b/>
                <w:bCs/>
                <w:sz w:val="17"/>
                <w:szCs w:val="17"/>
                <w:lang w:val="en-GB"/>
              </w:rPr>
              <w:t>National Disaster Risk Management Plan</w:t>
            </w:r>
            <w:r w:rsidRPr="00813924">
              <w:rPr>
                <w:rFonts w:ascii="Times New Roman" w:hAnsi="Times New Roman" w:cs="Times New Roman"/>
                <w:b/>
                <w:bCs/>
                <w:sz w:val="17"/>
                <w:szCs w:val="17"/>
                <w:lang w:val="en-GB"/>
              </w:rPr>
              <w:t xml:space="preserve"> and the National Climate Change Adaptation Plan .</w:t>
            </w:r>
          </w:p>
          <w:p w14:paraId="429AC326" w14:textId="77777777" w:rsidR="006C7266" w:rsidRPr="00813924" w:rsidRDefault="006C7266" w:rsidP="00780D85">
            <w:pPr>
              <w:rPr>
                <w:rFonts w:ascii="Times New Roman" w:hAnsi="Times New Roman" w:cs="Times New Roman"/>
                <w:sz w:val="17"/>
                <w:szCs w:val="17"/>
                <w:u w:val="single"/>
                <w:lang w:val="en-GB"/>
              </w:rPr>
            </w:pPr>
          </w:p>
          <w:p w14:paraId="463D6F3B" w14:textId="0349B045"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4.2.1</w:t>
            </w:r>
            <w:r w:rsidRPr="00813924">
              <w:rPr>
                <w:rFonts w:ascii="Times New Roman" w:hAnsi="Times New Roman" w:cs="Times New Roman"/>
                <w:sz w:val="17"/>
                <w:szCs w:val="17"/>
                <w:lang w:val="en-GB"/>
              </w:rPr>
              <w:t xml:space="preserve">: Number of </w:t>
            </w:r>
            <w:r w:rsidR="00F4066A" w:rsidRPr="00813924">
              <w:rPr>
                <w:rFonts w:ascii="Times New Roman" w:hAnsi="Times New Roman" w:cs="Times New Roman"/>
                <w:sz w:val="17"/>
                <w:szCs w:val="17"/>
                <w:lang w:val="en-GB"/>
              </w:rPr>
              <w:t xml:space="preserve">members of the </w:t>
            </w:r>
            <w:r w:rsidR="00D73EA6" w:rsidRPr="00D73EA6">
              <w:rPr>
                <w:rFonts w:ascii="Times New Roman" w:hAnsi="Times New Roman" w:cs="Times New Roman"/>
                <w:sz w:val="17"/>
                <w:szCs w:val="17"/>
                <w:lang w:val="en-GB"/>
              </w:rPr>
              <w:t>National Disaster and Risk Management System</w:t>
            </w:r>
            <w:r w:rsidRPr="00813924">
              <w:rPr>
                <w:rFonts w:ascii="Times New Roman" w:hAnsi="Times New Roman" w:cs="Times New Roman"/>
                <w:sz w:val="17"/>
                <w:szCs w:val="17"/>
                <w:lang w:val="en-GB"/>
              </w:rPr>
              <w:t xml:space="preserve"> that integrate multidimensional risks and gender</w:t>
            </w:r>
            <w:r w:rsidR="00D61046" w:rsidRPr="00813924">
              <w:rPr>
                <w:rFonts w:ascii="Times New Roman" w:hAnsi="Times New Roman" w:cs="Times New Roman"/>
                <w:sz w:val="17"/>
                <w:szCs w:val="17"/>
                <w:lang w:val="en-GB"/>
              </w:rPr>
              <w:t>,</w:t>
            </w:r>
            <w:r w:rsidRPr="00813924">
              <w:rPr>
                <w:rFonts w:ascii="Times New Roman" w:hAnsi="Times New Roman" w:cs="Times New Roman"/>
                <w:sz w:val="17"/>
                <w:szCs w:val="17"/>
                <w:lang w:val="en-GB"/>
              </w:rPr>
              <w:t xml:space="preserve"> including the prevention of gender-based violence in disaster contexts in their planning and programming</w:t>
            </w:r>
          </w:p>
          <w:p w14:paraId="3DE10FE3"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0 </w:t>
            </w:r>
          </w:p>
          <w:p w14:paraId="7E2B4F0D"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lastRenderedPageBreak/>
              <w:t>Target (2027)</w:t>
            </w:r>
            <w:r w:rsidRPr="00813924">
              <w:rPr>
                <w:rFonts w:ascii="Times New Roman" w:hAnsi="Times New Roman" w:cs="Times New Roman"/>
                <w:sz w:val="17"/>
                <w:szCs w:val="17"/>
                <w:lang w:val="en-GB"/>
              </w:rPr>
              <w:t xml:space="preserve">: 3 </w:t>
            </w:r>
          </w:p>
          <w:p w14:paraId="5E84B2E3" w14:textId="3CFC0B2D"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D73EA6" w:rsidRPr="00D73EA6">
              <w:rPr>
                <w:rFonts w:ascii="Times New Roman" w:hAnsi="Times New Roman" w:cs="Times New Roman"/>
                <w:sz w:val="17"/>
                <w:szCs w:val="17"/>
                <w:lang w:val="en-GB"/>
              </w:rPr>
              <w:t>National Disaster and Risk Management System</w:t>
            </w:r>
          </w:p>
          <w:p w14:paraId="23CF9066" w14:textId="77777777" w:rsidR="006C7266" w:rsidRPr="00813924" w:rsidRDefault="006C7266" w:rsidP="00780D85">
            <w:pPr>
              <w:rPr>
                <w:rFonts w:ascii="Times New Roman" w:hAnsi="Times New Roman" w:cs="Times New Roman"/>
                <w:sz w:val="17"/>
                <w:szCs w:val="17"/>
                <w:lang w:val="en-GB"/>
              </w:rPr>
            </w:pPr>
          </w:p>
          <w:p w14:paraId="6CE35C0A" w14:textId="78A97CC1" w:rsidR="006C7266" w:rsidRPr="005820FA" w:rsidRDefault="006C7266" w:rsidP="00780D85">
            <w:pPr>
              <w:rPr>
                <w:rFonts w:ascii="Times New Roman" w:hAnsi="Times New Roman" w:cs="Times New Roman"/>
                <w:sz w:val="17"/>
                <w:szCs w:val="17"/>
              </w:rPr>
            </w:pPr>
            <w:r w:rsidRPr="00813924">
              <w:rPr>
                <w:rFonts w:ascii="Times New Roman" w:hAnsi="Times New Roman" w:cs="Times New Roman"/>
                <w:sz w:val="17"/>
                <w:szCs w:val="17"/>
                <w:u w:val="single"/>
                <w:lang w:val="en-GB"/>
              </w:rPr>
              <w:t>Indicator 4.2.2</w:t>
            </w:r>
            <w:r w:rsidRPr="00813924">
              <w:rPr>
                <w:rFonts w:ascii="Times New Roman" w:hAnsi="Times New Roman" w:cs="Times New Roman"/>
                <w:sz w:val="17"/>
                <w:szCs w:val="17"/>
                <w:lang w:val="en-GB"/>
              </w:rPr>
              <w:t xml:space="preserve">: Number of new information technologies to document and update the integrated implementation of the </w:t>
            </w:r>
            <w:r w:rsidR="00D73EA6" w:rsidRPr="00D73EA6">
              <w:rPr>
                <w:rFonts w:ascii="Times New Roman" w:hAnsi="Times New Roman" w:cs="Times New Roman"/>
                <w:sz w:val="17"/>
                <w:szCs w:val="17"/>
                <w:lang w:val="en-GB"/>
              </w:rPr>
              <w:t>National Disaster Risk Management Plan</w:t>
            </w:r>
            <w:r w:rsidRPr="00813924">
              <w:rPr>
                <w:rFonts w:ascii="Times New Roman" w:hAnsi="Times New Roman" w:cs="Times New Roman"/>
                <w:sz w:val="17"/>
                <w:szCs w:val="17"/>
                <w:lang w:val="en-GB"/>
              </w:rPr>
              <w:t xml:space="preserve"> and the </w:t>
            </w:r>
            <w:r w:rsidR="005820FA" w:rsidRPr="005820FA">
              <w:rPr>
                <w:rFonts w:ascii="Times New Roman" w:hAnsi="Times New Roman" w:cs="Times New Roman"/>
                <w:sz w:val="17"/>
                <w:szCs w:val="17"/>
                <w:lang w:val="en-GB"/>
              </w:rPr>
              <w:t>National Action Plan</w:t>
            </w:r>
            <w:r w:rsidR="00860A46">
              <w:rPr>
                <w:rFonts w:ascii="Times New Roman" w:hAnsi="Times New Roman" w:cs="Times New Roman"/>
                <w:sz w:val="17"/>
                <w:szCs w:val="17"/>
                <w:lang w:val="en-GB"/>
              </w:rPr>
              <w:t xml:space="preserve"> for Climate Change</w:t>
            </w:r>
          </w:p>
          <w:p w14:paraId="694ED44E"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4</w:t>
            </w:r>
          </w:p>
          <w:p w14:paraId="1033AB1A"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10 </w:t>
            </w:r>
          </w:p>
          <w:p w14:paraId="2937B41A" w14:textId="294EEE52"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D73EA6" w:rsidRPr="00D73EA6">
              <w:rPr>
                <w:rFonts w:ascii="Times New Roman" w:hAnsi="Times New Roman" w:cs="Times New Roman"/>
                <w:sz w:val="17"/>
                <w:szCs w:val="17"/>
                <w:lang w:val="en-GB"/>
              </w:rPr>
              <w:t>National Disaster Risk Management Plan</w:t>
            </w:r>
            <w:r w:rsidRPr="00813924">
              <w:rPr>
                <w:rFonts w:ascii="Times New Roman" w:hAnsi="Times New Roman" w:cs="Times New Roman"/>
                <w:sz w:val="17"/>
                <w:szCs w:val="17"/>
                <w:lang w:val="en-GB"/>
              </w:rPr>
              <w:t xml:space="preserve">, </w:t>
            </w:r>
            <w:r w:rsidR="005820FA" w:rsidRPr="005820FA">
              <w:rPr>
                <w:rFonts w:ascii="Times New Roman" w:hAnsi="Times New Roman" w:cs="Times New Roman"/>
                <w:sz w:val="17"/>
                <w:szCs w:val="17"/>
                <w:lang w:val="en-GB"/>
              </w:rPr>
              <w:t>National Action Plan</w:t>
            </w:r>
            <w:r w:rsidR="00860A46">
              <w:rPr>
                <w:rFonts w:ascii="Times New Roman" w:hAnsi="Times New Roman" w:cs="Times New Roman"/>
                <w:sz w:val="17"/>
                <w:szCs w:val="17"/>
                <w:lang w:val="en-GB"/>
              </w:rPr>
              <w:t xml:space="preserve"> for Climate Change</w:t>
            </w:r>
          </w:p>
          <w:p w14:paraId="59051100" w14:textId="77777777" w:rsidR="006C7266" w:rsidRPr="00813924" w:rsidRDefault="006C7266" w:rsidP="00780D85">
            <w:pPr>
              <w:rPr>
                <w:rFonts w:ascii="Times New Roman" w:hAnsi="Times New Roman" w:cs="Times New Roman"/>
                <w:sz w:val="17"/>
                <w:szCs w:val="17"/>
                <w:lang w:val="en-GB"/>
              </w:rPr>
            </w:pPr>
          </w:p>
          <w:p w14:paraId="326A18BF" w14:textId="4706BDA0"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Indicator 4.2.3</w:t>
            </w:r>
            <w:r w:rsidRPr="00813924">
              <w:rPr>
                <w:rFonts w:ascii="Times New Roman" w:hAnsi="Times New Roman" w:cs="Times New Roman"/>
                <w:sz w:val="17"/>
                <w:szCs w:val="17"/>
                <w:lang w:val="en-GB"/>
              </w:rPr>
              <w:t xml:space="preserve">: Number of concrete actions for prevention </w:t>
            </w:r>
            <w:r w:rsidR="00CE7F95" w:rsidRPr="00813924">
              <w:rPr>
                <w:rFonts w:ascii="Times New Roman" w:hAnsi="Times New Roman" w:cs="Times New Roman"/>
                <w:sz w:val="17"/>
                <w:szCs w:val="17"/>
                <w:lang w:val="en-GB"/>
              </w:rPr>
              <w:t xml:space="preserve">and </w:t>
            </w:r>
            <w:r w:rsidRPr="00813924">
              <w:rPr>
                <w:rFonts w:ascii="Times New Roman" w:hAnsi="Times New Roman" w:cs="Times New Roman"/>
                <w:sz w:val="17"/>
                <w:szCs w:val="17"/>
                <w:lang w:val="en-GB"/>
              </w:rPr>
              <w:t xml:space="preserve">multidimensional risk reduction at the national and/or local level carried out by </w:t>
            </w:r>
            <w:r w:rsidR="009F5FBA" w:rsidRPr="009F5FBA">
              <w:rPr>
                <w:rFonts w:ascii="Times New Roman" w:hAnsi="Times New Roman" w:cs="Times New Roman"/>
                <w:sz w:val="17"/>
                <w:szCs w:val="17"/>
                <w:lang w:val="en-GB"/>
              </w:rPr>
              <w:t>National Disaster and Risk Management System</w:t>
            </w:r>
            <w:r w:rsidRPr="00813924">
              <w:rPr>
                <w:rFonts w:ascii="Times New Roman" w:hAnsi="Times New Roman" w:cs="Times New Roman"/>
                <w:sz w:val="17"/>
                <w:szCs w:val="17"/>
                <w:lang w:val="en-GB"/>
              </w:rPr>
              <w:t xml:space="preserve"> actors identified and updated using new information technologies disaggregated by gender of its promoters</w:t>
            </w:r>
          </w:p>
          <w:p w14:paraId="2B4438DF"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0 </w:t>
            </w:r>
          </w:p>
          <w:p w14:paraId="7346828C" w14:textId="35FC8E22"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3 of which at least </w:t>
            </w:r>
            <w:r w:rsidR="00950826" w:rsidRPr="00813924">
              <w:rPr>
                <w:rFonts w:ascii="Times New Roman" w:hAnsi="Times New Roman" w:cs="Times New Roman"/>
                <w:sz w:val="17"/>
                <w:szCs w:val="17"/>
                <w:lang w:val="en-GB"/>
              </w:rPr>
              <w:t>1</w:t>
            </w:r>
            <w:r w:rsidRPr="00813924">
              <w:rPr>
                <w:rFonts w:ascii="Times New Roman" w:hAnsi="Times New Roman" w:cs="Times New Roman"/>
                <w:sz w:val="17"/>
                <w:szCs w:val="17"/>
                <w:lang w:val="en-GB"/>
              </w:rPr>
              <w:t xml:space="preserve"> promoted by women </w:t>
            </w:r>
          </w:p>
          <w:p w14:paraId="102D767E" w14:textId="68A5878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9F5FBA">
              <w:rPr>
                <w:rFonts w:ascii="Times New Roman" w:hAnsi="Times New Roman" w:cs="Times New Roman"/>
                <w:sz w:val="17"/>
                <w:szCs w:val="17"/>
                <w:lang w:val="en-GB"/>
              </w:rPr>
              <w:t>Civil Protection Agency</w:t>
            </w:r>
            <w:r w:rsidRPr="00813924">
              <w:rPr>
                <w:rFonts w:ascii="Times New Roman" w:hAnsi="Times New Roman" w:cs="Times New Roman"/>
                <w:sz w:val="17"/>
                <w:szCs w:val="17"/>
                <w:lang w:val="en-GB"/>
              </w:rPr>
              <w:t xml:space="preserve"> Annual reports</w:t>
            </w:r>
          </w:p>
        </w:tc>
        <w:tc>
          <w:tcPr>
            <w:tcW w:w="3600" w:type="dxa"/>
            <w:vMerge/>
          </w:tcPr>
          <w:p w14:paraId="3B2784A2"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p>
        </w:tc>
        <w:tc>
          <w:tcPr>
            <w:tcW w:w="1667" w:type="dxa"/>
            <w:vMerge/>
          </w:tcPr>
          <w:p w14:paraId="761811EA" w14:textId="77777777" w:rsidR="006C7266" w:rsidRPr="00813924" w:rsidRDefault="006C7266" w:rsidP="00780D85">
            <w:pPr>
              <w:rPr>
                <w:rFonts w:ascii="Times New Roman" w:hAnsi="Times New Roman" w:cs="Times New Roman"/>
                <w:sz w:val="17"/>
                <w:szCs w:val="17"/>
                <w:u w:val="single"/>
                <w:lang w:val="en-GB"/>
              </w:rPr>
            </w:pPr>
          </w:p>
        </w:tc>
      </w:tr>
      <w:tr w:rsidR="006C7266" w:rsidRPr="00813924" w14:paraId="2CCAE5F3" w14:textId="77777777" w:rsidTr="00F204CC">
        <w:tc>
          <w:tcPr>
            <w:tcW w:w="2694" w:type="dxa"/>
            <w:vMerge/>
          </w:tcPr>
          <w:p w14:paraId="4AE52AF7" w14:textId="77777777" w:rsidR="006C7266" w:rsidRPr="00813924" w:rsidRDefault="006C7266" w:rsidP="00780D85">
            <w:pPr>
              <w:rPr>
                <w:rFonts w:ascii="Times New Roman" w:hAnsi="Times New Roman" w:cs="Times New Roman"/>
                <w:sz w:val="17"/>
                <w:szCs w:val="17"/>
                <w:u w:val="single"/>
                <w:lang w:val="en-GB"/>
              </w:rPr>
            </w:pPr>
          </w:p>
        </w:tc>
        <w:tc>
          <w:tcPr>
            <w:tcW w:w="2610" w:type="dxa"/>
            <w:vMerge/>
          </w:tcPr>
          <w:p w14:paraId="54AE336D" w14:textId="77777777" w:rsidR="006C7266" w:rsidRPr="00813924" w:rsidRDefault="006C7266" w:rsidP="00780D85">
            <w:pPr>
              <w:rPr>
                <w:rFonts w:ascii="Times New Roman" w:hAnsi="Times New Roman" w:cs="Times New Roman"/>
                <w:sz w:val="17"/>
                <w:szCs w:val="17"/>
                <w:u w:val="single"/>
                <w:lang w:val="en-GB"/>
              </w:rPr>
            </w:pPr>
          </w:p>
        </w:tc>
        <w:tc>
          <w:tcPr>
            <w:tcW w:w="3421" w:type="dxa"/>
          </w:tcPr>
          <w:p w14:paraId="39F7B371" w14:textId="16E4CEF2" w:rsidR="006C7266" w:rsidRPr="00813924" w:rsidRDefault="006C7266" w:rsidP="00780D85">
            <w:pPr>
              <w:rPr>
                <w:rFonts w:ascii="Times New Roman" w:hAnsi="Times New Roman" w:cs="Times New Roman"/>
                <w:b/>
                <w:bCs/>
                <w:sz w:val="17"/>
                <w:szCs w:val="17"/>
                <w:lang w:val="en-GB"/>
              </w:rPr>
            </w:pPr>
            <w:r w:rsidRPr="00813924">
              <w:rPr>
                <w:rFonts w:ascii="Times New Roman" w:hAnsi="Times New Roman" w:cs="Times New Roman"/>
                <w:b/>
                <w:bCs/>
                <w:sz w:val="17"/>
                <w:szCs w:val="17"/>
                <w:lang w:val="en-GB"/>
              </w:rPr>
              <w:t>Output 4.3. Public and private institutions</w:t>
            </w:r>
            <w:r w:rsidR="00D8469C" w:rsidRPr="00813924">
              <w:rPr>
                <w:rFonts w:ascii="Times New Roman" w:hAnsi="Times New Roman" w:cs="Times New Roman"/>
                <w:b/>
                <w:bCs/>
                <w:sz w:val="17"/>
                <w:szCs w:val="17"/>
                <w:lang w:val="en-GB"/>
              </w:rPr>
              <w:t xml:space="preserve">, including civil society, youth and volunteer networks, </w:t>
            </w:r>
            <w:r w:rsidRPr="00813924">
              <w:rPr>
                <w:rFonts w:ascii="Times New Roman" w:hAnsi="Times New Roman" w:cs="Times New Roman"/>
                <w:b/>
                <w:bCs/>
                <w:sz w:val="17"/>
                <w:szCs w:val="17"/>
                <w:lang w:val="en-GB"/>
              </w:rPr>
              <w:t xml:space="preserve">have stronger capacities to support local development and spatial planning with solutions based on terroir and nature that focus on the green and inclusive economy </w:t>
            </w:r>
          </w:p>
          <w:p w14:paraId="6EABBD88" w14:textId="77777777" w:rsidR="006C7266" w:rsidRPr="00813924" w:rsidRDefault="006C7266" w:rsidP="00780D85">
            <w:pPr>
              <w:rPr>
                <w:rFonts w:ascii="Times New Roman" w:hAnsi="Times New Roman" w:cs="Times New Roman"/>
                <w:b/>
                <w:bCs/>
                <w:sz w:val="17"/>
                <w:szCs w:val="17"/>
                <w:u w:val="single"/>
                <w:lang w:val="en-GB"/>
              </w:rPr>
            </w:pPr>
          </w:p>
          <w:p w14:paraId="4D92EF2F"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Indicator 4.3.1: </w:t>
            </w:r>
            <w:r w:rsidRPr="00813924">
              <w:rPr>
                <w:rFonts w:ascii="Times New Roman" w:hAnsi="Times New Roman" w:cs="Times New Roman"/>
                <w:sz w:val="17"/>
                <w:szCs w:val="17"/>
                <w:lang w:val="en-GB"/>
              </w:rPr>
              <w:t>Number of</w:t>
            </w:r>
            <w:r w:rsidRPr="00813924">
              <w:rPr>
                <w:rFonts w:ascii="Times New Roman" w:hAnsi="Times New Roman" w:cs="Times New Roman"/>
                <w:sz w:val="17"/>
                <w:szCs w:val="17"/>
                <w:u w:val="single"/>
                <w:lang w:val="en-GB"/>
              </w:rPr>
              <w:t xml:space="preserve"> </w:t>
            </w:r>
            <w:r w:rsidRPr="00813924">
              <w:rPr>
                <w:rFonts w:ascii="Times New Roman" w:hAnsi="Times New Roman" w:cs="Times New Roman"/>
                <w:sz w:val="17"/>
                <w:szCs w:val="17"/>
                <w:lang w:val="en-GB"/>
              </w:rPr>
              <w:t>transformative models of resilient landscapes that have a concrete impact on the multisectoral resilience of communities implemented on a pilot basis</w:t>
            </w:r>
          </w:p>
          <w:p w14:paraId="18EEC3C1"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1</w:t>
            </w:r>
          </w:p>
          <w:p w14:paraId="1AD88940"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6</w:t>
            </w:r>
          </w:p>
          <w:p w14:paraId="00161054" w14:textId="2D04A419"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830AE0">
              <w:rPr>
                <w:rFonts w:ascii="Times New Roman" w:hAnsi="Times New Roman" w:cs="Times New Roman"/>
                <w:sz w:val="17"/>
                <w:szCs w:val="17"/>
                <w:lang w:val="en-GB"/>
              </w:rPr>
              <w:t xml:space="preserve">Ministries of Environment; </w:t>
            </w:r>
            <w:r w:rsidRPr="00813924">
              <w:rPr>
                <w:rFonts w:ascii="Times New Roman" w:hAnsi="Times New Roman" w:cs="Times New Roman"/>
                <w:sz w:val="17"/>
                <w:szCs w:val="17"/>
                <w:lang w:val="en-GB"/>
              </w:rPr>
              <w:t xml:space="preserve">and </w:t>
            </w:r>
            <w:r w:rsidR="00830AE0">
              <w:rPr>
                <w:rFonts w:ascii="Times New Roman" w:hAnsi="Times New Roman" w:cs="Times New Roman"/>
                <w:sz w:val="17"/>
                <w:szCs w:val="17"/>
                <w:lang w:val="en-GB"/>
              </w:rPr>
              <w:t xml:space="preserve">of </w:t>
            </w:r>
            <w:r w:rsidR="009B1AC5" w:rsidRPr="009B1AC5">
              <w:rPr>
                <w:rFonts w:ascii="Times New Roman" w:hAnsi="Times New Roman" w:cs="Times New Roman"/>
                <w:sz w:val="17"/>
                <w:szCs w:val="17"/>
                <w:lang w:val="en-GB"/>
              </w:rPr>
              <w:t xml:space="preserve">the Interior and Territorial </w:t>
            </w:r>
            <w:r w:rsidR="001F6DCA">
              <w:rPr>
                <w:rFonts w:ascii="Times New Roman" w:hAnsi="Times New Roman" w:cs="Times New Roman"/>
                <w:sz w:val="17"/>
                <w:szCs w:val="17"/>
                <w:lang w:val="en-GB"/>
              </w:rPr>
              <w:t>Communities,</w:t>
            </w:r>
            <w:r w:rsidR="001F6DCA" w:rsidRPr="009B1AC5">
              <w:rPr>
                <w:rFonts w:ascii="Times New Roman" w:hAnsi="Times New Roman" w:cs="Times New Roman"/>
                <w:sz w:val="17"/>
                <w:szCs w:val="17"/>
                <w:lang w:val="en-GB"/>
              </w:rPr>
              <w:t xml:space="preserve"> </w:t>
            </w:r>
            <w:r w:rsidRPr="00813924">
              <w:rPr>
                <w:rFonts w:ascii="Times New Roman" w:hAnsi="Times New Roman" w:cs="Times New Roman"/>
                <w:sz w:val="17"/>
                <w:szCs w:val="17"/>
                <w:lang w:val="en-GB"/>
              </w:rPr>
              <w:t>annual reports</w:t>
            </w:r>
          </w:p>
          <w:p w14:paraId="697D2335" w14:textId="77777777" w:rsidR="006C7266" w:rsidRPr="00813924" w:rsidRDefault="006C7266" w:rsidP="00780D85">
            <w:pPr>
              <w:rPr>
                <w:rFonts w:ascii="Times New Roman" w:hAnsi="Times New Roman" w:cs="Times New Roman"/>
                <w:sz w:val="17"/>
                <w:szCs w:val="17"/>
                <w:lang w:val="en-GB"/>
              </w:rPr>
            </w:pPr>
          </w:p>
          <w:p w14:paraId="00BC870B" w14:textId="428E7425" w:rsidR="006C7266" w:rsidRPr="00813924" w:rsidRDefault="006C7266" w:rsidP="00780D85">
            <w:pPr>
              <w:rPr>
                <w:rFonts w:ascii="Times New Roman" w:hAnsi="Times New Roman" w:cs="Times New Roman"/>
                <w:sz w:val="17"/>
                <w:szCs w:val="17"/>
                <w:u w:val="single"/>
                <w:lang w:val="en-GB"/>
              </w:rPr>
            </w:pPr>
            <w:r w:rsidRPr="00813924">
              <w:rPr>
                <w:rFonts w:ascii="Times New Roman" w:hAnsi="Times New Roman" w:cs="Times New Roman"/>
                <w:sz w:val="17"/>
                <w:szCs w:val="17"/>
                <w:u w:val="single"/>
                <w:lang w:val="en-GB"/>
              </w:rPr>
              <w:lastRenderedPageBreak/>
              <w:t>Indicator 4.3.2</w:t>
            </w:r>
            <w:r w:rsidRPr="00813924">
              <w:rPr>
                <w:rFonts w:ascii="Times New Roman" w:hAnsi="Times New Roman" w:cs="Times New Roman"/>
                <w:sz w:val="17"/>
                <w:szCs w:val="17"/>
                <w:lang w:val="en-GB"/>
              </w:rPr>
              <w:t>: Number of local initiatives</w:t>
            </w:r>
            <w:r w:rsidR="00DE3D27" w:rsidRPr="00813924">
              <w:rPr>
                <w:rFonts w:ascii="Times New Roman" w:hAnsi="Times New Roman" w:cs="Times New Roman"/>
                <w:sz w:val="17"/>
                <w:szCs w:val="17"/>
                <w:lang w:val="en-GB"/>
              </w:rPr>
              <w:t>, including civil society, youth and volunteer networks,</w:t>
            </w:r>
            <w:r w:rsidRPr="00813924">
              <w:rPr>
                <w:rFonts w:ascii="Times New Roman" w:hAnsi="Times New Roman" w:cs="Times New Roman"/>
                <w:sz w:val="17"/>
                <w:szCs w:val="17"/>
                <w:lang w:val="en-GB"/>
              </w:rPr>
              <w:t xml:space="preserve"> supported in the application of green and circular economy standards disaggregated by geographical area and category of intervention, disaggregated by gender of its promoters</w:t>
            </w:r>
          </w:p>
          <w:p w14:paraId="5B95697E"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0 </w:t>
            </w:r>
          </w:p>
          <w:p w14:paraId="0DFCDEF8"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10 total, 3 promoted by women </w:t>
            </w:r>
          </w:p>
          <w:p w14:paraId="39028704" w14:textId="08F0465E"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083FF1">
              <w:rPr>
                <w:rFonts w:ascii="Times New Roman" w:hAnsi="Times New Roman" w:cs="Times New Roman"/>
                <w:sz w:val="17"/>
                <w:szCs w:val="17"/>
                <w:lang w:val="en-GB"/>
              </w:rPr>
              <w:t>Ministries of: Environment;</w:t>
            </w:r>
            <w:r w:rsidR="00083FF1" w:rsidRPr="00813924">
              <w:rPr>
                <w:rFonts w:ascii="Times New Roman" w:hAnsi="Times New Roman" w:cs="Times New Roman"/>
                <w:sz w:val="17"/>
                <w:szCs w:val="17"/>
                <w:lang w:val="en-GB"/>
              </w:rPr>
              <w:t xml:space="preserve"> </w:t>
            </w:r>
            <w:r w:rsidRPr="00813924">
              <w:rPr>
                <w:rFonts w:ascii="Times New Roman" w:hAnsi="Times New Roman" w:cs="Times New Roman"/>
                <w:sz w:val="17"/>
                <w:szCs w:val="17"/>
                <w:lang w:val="en-GB"/>
              </w:rPr>
              <w:t xml:space="preserve">and </w:t>
            </w:r>
            <w:r w:rsidR="00083FF1">
              <w:rPr>
                <w:rFonts w:ascii="Times New Roman" w:hAnsi="Times New Roman" w:cs="Times New Roman"/>
                <w:sz w:val="17"/>
                <w:szCs w:val="17"/>
                <w:lang w:val="en-GB"/>
              </w:rPr>
              <w:t xml:space="preserve">of </w:t>
            </w:r>
            <w:r w:rsidR="009B1AC5" w:rsidRPr="009B1AC5">
              <w:rPr>
                <w:rFonts w:ascii="Times New Roman" w:hAnsi="Times New Roman" w:cs="Times New Roman"/>
                <w:sz w:val="17"/>
                <w:szCs w:val="17"/>
                <w:lang w:val="en-GB"/>
              </w:rPr>
              <w:t xml:space="preserve">the Interior and Territorial </w:t>
            </w:r>
            <w:r w:rsidR="001F6DCA">
              <w:rPr>
                <w:rFonts w:ascii="Times New Roman" w:hAnsi="Times New Roman" w:cs="Times New Roman"/>
                <w:sz w:val="17"/>
                <w:szCs w:val="17"/>
                <w:lang w:val="en-GB"/>
              </w:rPr>
              <w:t>Communities,</w:t>
            </w:r>
            <w:r w:rsidR="001F6DCA" w:rsidRPr="009B1AC5">
              <w:rPr>
                <w:rFonts w:ascii="Times New Roman" w:hAnsi="Times New Roman" w:cs="Times New Roman"/>
                <w:sz w:val="17"/>
                <w:szCs w:val="17"/>
                <w:lang w:val="en-GB"/>
              </w:rPr>
              <w:t xml:space="preserve">  </w:t>
            </w:r>
            <w:r w:rsidRPr="00813924">
              <w:rPr>
                <w:rFonts w:ascii="Times New Roman" w:hAnsi="Times New Roman" w:cs="Times New Roman"/>
                <w:sz w:val="17"/>
                <w:szCs w:val="17"/>
                <w:lang w:val="en-GB"/>
              </w:rPr>
              <w:t>annual reports</w:t>
            </w:r>
          </w:p>
          <w:p w14:paraId="310283C3" w14:textId="77777777" w:rsidR="006C7266" w:rsidRPr="00813924" w:rsidRDefault="006C7266" w:rsidP="00780D85">
            <w:pPr>
              <w:rPr>
                <w:rFonts w:ascii="Times New Roman" w:hAnsi="Times New Roman" w:cs="Times New Roman"/>
                <w:b/>
                <w:bCs/>
                <w:sz w:val="17"/>
                <w:szCs w:val="17"/>
                <w:u w:val="single"/>
                <w:lang w:val="en-GB"/>
              </w:rPr>
            </w:pPr>
          </w:p>
          <w:p w14:paraId="4885AB7A" w14:textId="3C4F9D98"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 xml:space="preserve">Indicator 4.3.3: </w:t>
            </w:r>
            <w:r w:rsidRPr="00813924">
              <w:rPr>
                <w:rFonts w:ascii="Times New Roman" w:hAnsi="Times New Roman" w:cs="Times New Roman"/>
                <w:sz w:val="17"/>
                <w:szCs w:val="17"/>
                <w:lang w:val="en-GB"/>
              </w:rPr>
              <w:t>Number of departmental sector tables and departmental technical councils that improve the quality of public services by integrating the green and circular economy into gender-sensitive local development plans</w:t>
            </w:r>
          </w:p>
          <w:p w14:paraId="4A7829DE"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Baseline (2022)</w:t>
            </w:r>
            <w:r w:rsidRPr="00813924">
              <w:rPr>
                <w:rFonts w:ascii="Times New Roman" w:hAnsi="Times New Roman" w:cs="Times New Roman"/>
                <w:sz w:val="17"/>
                <w:szCs w:val="17"/>
                <w:lang w:val="en-GB"/>
              </w:rPr>
              <w:t xml:space="preserve">: 0 </w:t>
            </w:r>
          </w:p>
          <w:p w14:paraId="7EEB00DD" w14:textId="77777777" w:rsidR="006C7266" w:rsidRPr="00813924" w:rsidRDefault="006C7266" w:rsidP="00780D85">
            <w:pPr>
              <w:rPr>
                <w:rFonts w:ascii="Times New Roman" w:hAnsi="Times New Roman" w:cs="Times New Roman"/>
                <w:sz w:val="17"/>
                <w:szCs w:val="17"/>
                <w:lang w:val="en-GB"/>
              </w:rPr>
            </w:pPr>
            <w:r w:rsidRPr="00813924">
              <w:rPr>
                <w:rFonts w:ascii="Times New Roman" w:hAnsi="Times New Roman" w:cs="Times New Roman"/>
                <w:sz w:val="17"/>
                <w:szCs w:val="17"/>
                <w:u w:val="single"/>
                <w:lang w:val="en-GB"/>
              </w:rPr>
              <w:t>Target (2027)</w:t>
            </w:r>
            <w:r w:rsidRPr="00813924">
              <w:rPr>
                <w:rFonts w:ascii="Times New Roman" w:hAnsi="Times New Roman" w:cs="Times New Roman"/>
                <w:sz w:val="17"/>
                <w:szCs w:val="17"/>
                <w:lang w:val="en-GB"/>
              </w:rPr>
              <w:t xml:space="preserve">: 5 </w:t>
            </w:r>
          </w:p>
          <w:p w14:paraId="759018EB" w14:textId="0EE2B41F" w:rsidR="006C7266" w:rsidRPr="00813924" w:rsidRDefault="006C7266" w:rsidP="00C90CB5">
            <w:pPr>
              <w:spacing w:after="60"/>
              <w:rPr>
                <w:rFonts w:ascii="Times New Roman" w:hAnsi="Times New Roman" w:cs="Times New Roman"/>
                <w:sz w:val="17"/>
                <w:szCs w:val="17"/>
                <w:lang w:val="en-GB"/>
              </w:rPr>
            </w:pPr>
            <w:r w:rsidRPr="00813924">
              <w:rPr>
                <w:rFonts w:ascii="Times New Roman" w:hAnsi="Times New Roman" w:cs="Times New Roman"/>
                <w:sz w:val="17"/>
                <w:szCs w:val="17"/>
                <w:lang w:val="en-GB"/>
              </w:rPr>
              <w:t xml:space="preserve">Source: </w:t>
            </w:r>
            <w:r w:rsidR="00083FF1">
              <w:rPr>
                <w:rFonts w:ascii="Times New Roman" w:hAnsi="Times New Roman" w:cs="Times New Roman"/>
                <w:sz w:val="17"/>
                <w:szCs w:val="17"/>
                <w:lang w:val="en-GB"/>
              </w:rPr>
              <w:t xml:space="preserve">Ministries of the Environment; </w:t>
            </w:r>
            <w:r w:rsidR="00083FF1" w:rsidRPr="00813924">
              <w:rPr>
                <w:rFonts w:ascii="Times New Roman" w:hAnsi="Times New Roman" w:cs="Times New Roman"/>
                <w:sz w:val="17"/>
                <w:szCs w:val="17"/>
                <w:lang w:val="en-GB"/>
              </w:rPr>
              <w:t xml:space="preserve"> </w:t>
            </w:r>
            <w:r w:rsidRPr="00813924">
              <w:rPr>
                <w:rFonts w:ascii="Times New Roman" w:hAnsi="Times New Roman" w:cs="Times New Roman"/>
                <w:sz w:val="17"/>
                <w:szCs w:val="17"/>
                <w:lang w:val="en-GB"/>
              </w:rPr>
              <w:t xml:space="preserve">and </w:t>
            </w:r>
            <w:r w:rsidR="00083FF1">
              <w:rPr>
                <w:rFonts w:ascii="Times New Roman" w:hAnsi="Times New Roman" w:cs="Times New Roman"/>
                <w:sz w:val="17"/>
                <w:szCs w:val="17"/>
                <w:lang w:val="en-GB"/>
              </w:rPr>
              <w:t xml:space="preserve">of </w:t>
            </w:r>
            <w:r w:rsidR="009B1AC5" w:rsidRPr="009B1AC5">
              <w:rPr>
                <w:rFonts w:ascii="Times New Roman" w:hAnsi="Times New Roman" w:cs="Times New Roman"/>
                <w:sz w:val="17"/>
                <w:szCs w:val="17"/>
                <w:lang w:val="en-GB"/>
              </w:rPr>
              <w:t xml:space="preserve">the Interior and Territorial </w:t>
            </w:r>
            <w:r w:rsidR="001F6DCA">
              <w:rPr>
                <w:rFonts w:ascii="Times New Roman" w:hAnsi="Times New Roman" w:cs="Times New Roman"/>
                <w:sz w:val="17"/>
                <w:szCs w:val="17"/>
                <w:lang w:val="en-GB"/>
              </w:rPr>
              <w:t>Communities,</w:t>
            </w:r>
            <w:r w:rsidR="001F6DCA" w:rsidRPr="009B1AC5">
              <w:rPr>
                <w:rFonts w:ascii="Times New Roman" w:hAnsi="Times New Roman" w:cs="Times New Roman"/>
                <w:sz w:val="17"/>
                <w:szCs w:val="17"/>
                <w:lang w:val="en-GB"/>
              </w:rPr>
              <w:t xml:space="preserve"> </w:t>
            </w:r>
            <w:r w:rsidRPr="00813924">
              <w:rPr>
                <w:rFonts w:ascii="Times New Roman" w:hAnsi="Times New Roman" w:cs="Times New Roman"/>
                <w:sz w:val="17"/>
                <w:szCs w:val="17"/>
                <w:lang w:val="en-GB"/>
              </w:rPr>
              <w:t>annual reports</w:t>
            </w:r>
          </w:p>
        </w:tc>
        <w:tc>
          <w:tcPr>
            <w:tcW w:w="3600" w:type="dxa"/>
            <w:vMerge/>
          </w:tcPr>
          <w:p w14:paraId="3418DDD1" w14:textId="77777777" w:rsidR="006C7266" w:rsidRPr="00813924" w:rsidRDefault="006C7266" w:rsidP="00780D85">
            <w:pPr>
              <w:pStyle w:val="ListParagraph"/>
              <w:numPr>
                <w:ilvl w:val="0"/>
                <w:numId w:val="27"/>
              </w:numPr>
              <w:ind w:left="400"/>
              <w:rPr>
                <w:rFonts w:ascii="Times New Roman" w:hAnsi="Times New Roman" w:cs="Times New Roman"/>
                <w:sz w:val="17"/>
                <w:szCs w:val="17"/>
                <w:lang w:val="en-GB"/>
              </w:rPr>
            </w:pPr>
          </w:p>
        </w:tc>
        <w:tc>
          <w:tcPr>
            <w:tcW w:w="1667" w:type="dxa"/>
            <w:vMerge/>
          </w:tcPr>
          <w:p w14:paraId="39026AE0" w14:textId="77777777" w:rsidR="006C7266" w:rsidRPr="00813924" w:rsidRDefault="006C7266" w:rsidP="00780D85">
            <w:pPr>
              <w:rPr>
                <w:rFonts w:ascii="Times New Roman" w:hAnsi="Times New Roman" w:cs="Times New Roman"/>
                <w:sz w:val="17"/>
                <w:szCs w:val="17"/>
                <w:lang w:val="en-GB"/>
              </w:rPr>
            </w:pPr>
          </w:p>
        </w:tc>
      </w:tr>
    </w:tbl>
    <w:p w14:paraId="19B6E12F" w14:textId="1CC9F6E2" w:rsidR="00F91C61" w:rsidRPr="006C7266" w:rsidRDefault="00FB3DC3" w:rsidP="00FB3DC3">
      <w:pPr>
        <w:spacing w:after="12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7DE87984" wp14:editId="4FEEF215">
            <wp:extent cx="92075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bookmarkEnd w:id="0"/>
    </w:p>
    <w:sectPr w:rsidR="00F91C61" w:rsidRPr="006C7266" w:rsidSect="005F3571">
      <w:headerReference w:type="even" r:id="rId20"/>
      <w:headerReference w:type="default" r:id="rId21"/>
      <w:footerReference w:type="even" r:id="rId22"/>
      <w:footerReference w:type="default" r:id="rId23"/>
      <w:headerReference w:type="first" r:id="rId24"/>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7ACE8" w14:textId="77777777" w:rsidR="000C3E24" w:rsidRDefault="000C3E24" w:rsidP="00A05771">
      <w:r>
        <w:rPr>
          <w:lang w:val="en"/>
        </w:rPr>
        <w:separator/>
      </w:r>
    </w:p>
  </w:endnote>
  <w:endnote w:type="continuationSeparator" w:id="0">
    <w:p w14:paraId="62D9981F" w14:textId="77777777" w:rsidR="000C3E24" w:rsidRDefault="000C3E24" w:rsidP="00A05771">
      <w:r>
        <w:rPr>
          <w:lang w:val="en"/>
        </w:rPr>
        <w:continuationSeparator/>
      </w:r>
    </w:p>
  </w:endnote>
  <w:endnote w:type="continuationNotice" w:id="1">
    <w:p w14:paraId="3378B091" w14:textId="77777777" w:rsidR="000C3E24" w:rsidRDefault="000C3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5441"/>
      <w:docPartObj>
        <w:docPartGallery w:val="Page Numbers (Bottom of Page)"/>
        <w:docPartUnique/>
      </w:docPartObj>
    </w:sdtPr>
    <w:sdtEndPr>
      <w:rPr>
        <w:rFonts w:ascii="Times New Roman" w:hAnsi="Times New Roman" w:cs="Times New Roman"/>
        <w:noProof/>
        <w:sz w:val="17"/>
        <w:szCs w:val="17"/>
      </w:rPr>
    </w:sdtEndPr>
    <w:sdtContent>
      <w:p w14:paraId="7319726A" w14:textId="57AC34FB" w:rsidR="00875934" w:rsidRPr="00875934" w:rsidRDefault="00875934" w:rsidP="00775F4C">
        <w:pPr>
          <w:pStyle w:val="Footer"/>
          <w:ind w:firstLine="810"/>
          <w:rPr>
            <w:rFonts w:ascii="Times New Roman" w:hAnsi="Times New Roman" w:cs="Times New Roman"/>
            <w:sz w:val="17"/>
            <w:szCs w:val="17"/>
          </w:rPr>
        </w:pPr>
        <w:r w:rsidRPr="00775F4C">
          <w:rPr>
            <w:rFonts w:ascii="Times New Roman" w:hAnsi="Times New Roman" w:cs="Times New Roman"/>
            <w:b/>
            <w:bCs/>
            <w:sz w:val="17"/>
            <w:szCs w:val="17"/>
          </w:rPr>
          <w:fldChar w:fldCharType="begin"/>
        </w:r>
        <w:r w:rsidRPr="00775F4C">
          <w:rPr>
            <w:rFonts w:ascii="Times New Roman" w:hAnsi="Times New Roman" w:cs="Times New Roman"/>
            <w:b/>
            <w:bCs/>
            <w:sz w:val="17"/>
            <w:szCs w:val="17"/>
          </w:rPr>
          <w:instrText xml:space="preserve"> PAGE   \* MERGEFORMAT </w:instrText>
        </w:r>
        <w:r w:rsidRPr="00775F4C">
          <w:rPr>
            <w:rFonts w:ascii="Times New Roman" w:hAnsi="Times New Roman" w:cs="Times New Roman"/>
            <w:b/>
            <w:bCs/>
            <w:sz w:val="17"/>
            <w:szCs w:val="17"/>
          </w:rPr>
          <w:fldChar w:fldCharType="separate"/>
        </w:r>
        <w:r w:rsidRPr="00775F4C">
          <w:rPr>
            <w:rFonts w:ascii="Times New Roman" w:hAnsi="Times New Roman" w:cs="Times New Roman"/>
            <w:b/>
            <w:bCs/>
            <w:noProof/>
            <w:sz w:val="17"/>
            <w:szCs w:val="17"/>
          </w:rPr>
          <w:t>2</w:t>
        </w:r>
        <w:r w:rsidRPr="00775F4C">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584308"/>
      <w:docPartObj>
        <w:docPartGallery w:val="Page Numbers (Bottom of Page)"/>
        <w:docPartUnique/>
      </w:docPartObj>
    </w:sdtPr>
    <w:sdtEndPr>
      <w:rPr>
        <w:rFonts w:ascii="Times New Roman" w:hAnsi="Times New Roman" w:cs="Times New Roman"/>
        <w:b/>
        <w:bCs/>
        <w:noProof/>
        <w:sz w:val="17"/>
        <w:szCs w:val="17"/>
      </w:rPr>
    </w:sdtEndPr>
    <w:sdtContent>
      <w:p w14:paraId="72CFC573" w14:textId="5CCBFE38" w:rsidR="00875934" w:rsidRPr="00B9195C" w:rsidRDefault="00B9195C" w:rsidP="00B9195C">
        <w:pPr>
          <w:pStyle w:val="Footer"/>
          <w:tabs>
            <w:tab w:val="clear" w:pos="9072"/>
          </w:tabs>
          <w:ind w:right="432"/>
          <w:jc w:val="right"/>
          <w:rPr>
            <w:rFonts w:ascii="Times New Roman" w:hAnsi="Times New Roman" w:cs="Times New Roman"/>
            <w:b/>
            <w:bCs/>
            <w:sz w:val="17"/>
            <w:szCs w:val="17"/>
          </w:rPr>
        </w:pPr>
        <w:r w:rsidRPr="00B9195C">
          <w:rPr>
            <w:rFonts w:ascii="Times New Roman" w:hAnsi="Times New Roman" w:cs="Times New Roman"/>
            <w:b/>
            <w:bCs/>
            <w:sz w:val="17"/>
            <w:szCs w:val="17"/>
          </w:rPr>
          <w:fldChar w:fldCharType="begin"/>
        </w:r>
        <w:r w:rsidRPr="00B9195C">
          <w:rPr>
            <w:rFonts w:ascii="Times New Roman" w:hAnsi="Times New Roman" w:cs="Times New Roman"/>
            <w:b/>
            <w:bCs/>
            <w:sz w:val="17"/>
            <w:szCs w:val="17"/>
          </w:rPr>
          <w:instrText xml:space="preserve"> PAGE   \* MERGEFORMAT </w:instrText>
        </w:r>
        <w:r w:rsidRPr="00B9195C">
          <w:rPr>
            <w:rFonts w:ascii="Times New Roman" w:hAnsi="Times New Roman" w:cs="Times New Roman"/>
            <w:b/>
            <w:bCs/>
            <w:sz w:val="17"/>
            <w:szCs w:val="17"/>
          </w:rPr>
          <w:fldChar w:fldCharType="separate"/>
        </w:r>
        <w:r w:rsidRPr="00B9195C">
          <w:rPr>
            <w:rFonts w:ascii="Times New Roman" w:hAnsi="Times New Roman" w:cs="Times New Roman"/>
            <w:b/>
            <w:bCs/>
            <w:noProof/>
            <w:sz w:val="17"/>
            <w:szCs w:val="17"/>
          </w:rPr>
          <w:t>2</w:t>
        </w:r>
        <w:r w:rsidRPr="00B9195C">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350010"/>
      <w:docPartObj>
        <w:docPartGallery w:val="Page Numbers (Bottom of Page)"/>
        <w:docPartUnique/>
      </w:docPartObj>
    </w:sdtPr>
    <w:sdtEndPr>
      <w:rPr>
        <w:rFonts w:ascii="Times New Roman" w:hAnsi="Times New Roman" w:cs="Times New Roman"/>
        <w:noProof/>
        <w:sz w:val="17"/>
        <w:szCs w:val="17"/>
      </w:rPr>
    </w:sdtEndPr>
    <w:sdtContent>
      <w:p w14:paraId="0DCEF6F9" w14:textId="77777777" w:rsidR="00775F4C" w:rsidRPr="00875934" w:rsidRDefault="00775F4C" w:rsidP="00775F4C">
        <w:pPr>
          <w:pStyle w:val="Footer"/>
          <w:rPr>
            <w:rFonts w:ascii="Times New Roman" w:hAnsi="Times New Roman" w:cs="Times New Roman"/>
            <w:sz w:val="17"/>
            <w:szCs w:val="17"/>
          </w:rPr>
        </w:pPr>
        <w:r w:rsidRPr="00775F4C">
          <w:rPr>
            <w:rFonts w:ascii="Times New Roman" w:hAnsi="Times New Roman" w:cs="Times New Roman"/>
            <w:b/>
            <w:bCs/>
            <w:sz w:val="17"/>
            <w:szCs w:val="17"/>
          </w:rPr>
          <w:fldChar w:fldCharType="begin"/>
        </w:r>
        <w:r w:rsidRPr="00775F4C">
          <w:rPr>
            <w:rFonts w:ascii="Times New Roman" w:hAnsi="Times New Roman" w:cs="Times New Roman"/>
            <w:b/>
            <w:bCs/>
            <w:sz w:val="17"/>
            <w:szCs w:val="17"/>
          </w:rPr>
          <w:instrText xml:space="preserve"> PAGE   \* MERGEFORMAT </w:instrText>
        </w:r>
        <w:r w:rsidRPr="00775F4C">
          <w:rPr>
            <w:rFonts w:ascii="Times New Roman" w:hAnsi="Times New Roman" w:cs="Times New Roman"/>
            <w:b/>
            <w:bCs/>
            <w:sz w:val="17"/>
            <w:szCs w:val="17"/>
          </w:rPr>
          <w:fldChar w:fldCharType="separate"/>
        </w:r>
        <w:r w:rsidRPr="00775F4C">
          <w:rPr>
            <w:rFonts w:ascii="Times New Roman" w:hAnsi="Times New Roman" w:cs="Times New Roman"/>
            <w:b/>
            <w:bCs/>
            <w:noProof/>
            <w:sz w:val="17"/>
            <w:szCs w:val="17"/>
          </w:rPr>
          <w:t>2</w:t>
        </w:r>
        <w:r w:rsidRPr="00775F4C">
          <w:rPr>
            <w:rFonts w:ascii="Times New Roman" w:hAnsi="Times New Roman" w:cs="Times New Roman"/>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562706"/>
      <w:docPartObj>
        <w:docPartGallery w:val="Page Numbers (Bottom of Page)"/>
        <w:docPartUnique/>
      </w:docPartObj>
    </w:sdtPr>
    <w:sdtEndPr>
      <w:rPr>
        <w:rFonts w:ascii="Times New Roman" w:hAnsi="Times New Roman" w:cs="Times New Roman"/>
        <w:b/>
        <w:bCs/>
        <w:noProof/>
        <w:sz w:val="17"/>
        <w:szCs w:val="17"/>
      </w:rPr>
    </w:sdtEndPr>
    <w:sdtContent>
      <w:p w14:paraId="1F591661" w14:textId="60BADB6F" w:rsidR="007A59A8" w:rsidRPr="00775F4C" w:rsidRDefault="004526C7" w:rsidP="00F204CC">
        <w:pPr>
          <w:pStyle w:val="Footer"/>
          <w:ind w:right="-36"/>
          <w:jc w:val="right"/>
          <w:rPr>
            <w:rFonts w:ascii="Times New Roman" w:hAnsi="Times New Roman" w:cs="Times New Roman"/>
            <w:b/>
            <w:bCs/>
            <w:sz w:val="17"/>
            <w:szCs w:val="17"/>
          </w:rPr>
        </w:pPr>
        <w:r w:rsidRPr="00775F4C">
          <w:rPr>
            <w:rFonts w:ascii="Times New Roman" w:hAnsi="Times New Roman" w:cs="Times New Roman"/>
            <w:b/>
            <w:bCs/>
            <w:sz w:val="17"/>
            <w:szCs w:val="17"/>
          </w:rPr>
          <w:fldChar w:fldCharType="begin"/>
        </w:r>
        <w:r w:rsidRPr="00775F4C">
          <w:rPr>
            <w:rFonts w:ascii="Times New Roman" w:hAnsi="Times New Roman" w:cs="Times New Roman"/>
            <w:b/>
            <w:bCs/>
            <w:sz w:val="17"/>
            <w:szCs w:val="17"/>
          </w:rPr>
          <w:instrText xml:space="preserve"> PAGE   \* MERGEFORMAT </w:instrText>
        </w:r>
        <w:r w:rsidRPr="00775F4C">
          <w:rPr>
            <w:rFonts w:ascii="Times New Roman" w:hAnsi="Times New Roman" w:cs="Times New Roman"/>
            <w:b/>
            <w:bCs/>
            <w:sz w:val="17"/>
            <w:szCs w:val="17"/>
          </w:rPr>
          <w:fldChar w:fldCharType="separate"/>
        </w:r>
        <w:r w:rsidRPr="00775F4C">
          <w:rPr>
            <w:rFonts w:ascii="Times New Roman" w:hAnsi="Times New Roman" w:cs="Times New Roman"/>
            <w:b/>
            <w:bCs/>
            <w:noProof/>
            <w:sz w:val="17"/>
            <w:szCs w:val="17"/>
          </w:rPr>
          <w:t>14</w:t>
        </w:r>
        <w:r w:rsidRPr="00775F4C">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C418" w14:textId="77777777" w:rsidR="000C3E24" w:rsidRDefault="000C3E24" w:rsidP="00A05771">
      <w:r>
        <w:rPr>
          <w:lang w:val="en"/>
        </w:rPr>
        <w:separator/>
      </w:r>
    </w:p>
  </w:footnote>
  <w:footnote w:type="continuationSeparator" w:id="0">
    <w:p w14:paraId="0AF25799" w14:textId="77777777" w:rsidR="000C3E24" w:rsidRDefault="000C3E24" w:rsidP="00A05771">
      <w:r>
        <w:rPr>
          <w:lang w:val="en"/>
        </w:rPr>
        <w:continuationSeparator/>
      </w:r>
    </w:p>
  </w:footnote>
  <w:footnote w:type="continuationNotice" w:id="1">
    <w:p w14:paraId="2EE60069" w14:textId="77777777" w:rsidR="000C3E24" w:rsidRDefault="000C3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70" w:type="dxa"/>
      <w:tblInd w:w="540" w:type="dxa"/>
      <w:tblBorders>
        <w:bottom w:val="single" w:sz="2" w:space="0" w:color="000000"/>
      </w:tblBorders>
      <w:tblLayout w:type="fixed"/>
      <w:tblCellMar>
        <w:left w:w="0" w:type="dxa"/>
        <w:right w:w="0" w:type="dxa"/>
      </w:tblCellMar>
      <w:tblLook w:val="0000" w:firstRow="0" w:lastRow="0" w:firstColumn="0" w:lastColumn="0" w:noHBand="0" w:noVBand="0"/>
    </w:tblPr>
    <w:tblGrid>
      <w:gridCol w:w="4128"/>
      <w:gridCol w:w="4242"/>
    </w:tblGrid>
    <w:tr w:rsidR="00875934" w:rsidRPr="00875934" w14:paraId="42EAAAF2" w14:textId="77777777" w:rsidTr="00AB0FB6">
      <w:trPr>
        <w:trHeight w:hRule="exact" w:val="864"/>
      </w:trPr>
      <w:tc>
        <w:tcPr>
          <w:tcW w:w="4128" w:type="dxa"/>
          <w:shd w:val="clear" w:color="auto" w:fill="auto"/>
          <w:vAlign w:val="bottom"/>
        </w:tcPr>
        <w:p w14:paraId="28BA0C8C" w14:textId="1EA7B665" w:rsidR="00875934" w:rsidRPr="00875934" w:rsidRDefault="00875934" w:rsidP="00875934">
          <w:pPr>
            <w:tabs>
              <w:tab w:val="center" w:pos="4320"/>
              <w:tab w:val="right" w:pos="8640"/>
            </w:tabs>
            <w:spacing w:after="80"/>
            <w:rPr>
              <w:rFonts w:ascii="Times New Roman" w:eastAsia="Times New Roman" w:hAnsi="Times New Roman" w:cs="Times New Roman"/>
              <w:b/>
              <w:noProof/>
              <w:sz w:val="17"/>
              <w:szCs w:val="20"/>
              <w:lang w:val="en-US"/>
            </w:rPr>
          </w:pPr>
          <w:bookmarkStart w:id="1" w:name="_Hlk72161445"/>
          <w:r w:rsidRPr="00875934">
            <w:rPr>
              <w:rFonts w:ascii="Times New Roman" w:eastAsia="Times New Roman" w:hAnsi="Times New Roman" w:cs="Times New Roman"/>
              <w:b/>
              <w:noProof/>
              <w:sz w:val="17"/>
              <w:szCs w:val="20"/>
              <w:lang w:val="en-US"/>
            </w:rPr>
            <w:t>DP/DCP/</w:t>
          </w:r>
          <w:r>
            <w:rPr>
              <w:rFonts w:ascii="Times New Roman" w:eastAsia="Times New Roman" w:hAnsi="Times New Roman" w:cs="Times New Roman"/>
              <w:b/>
              <w:noProof/>
              <w:sz w:val="17"/>
              <w:szCs w:val="20"/>
              <w:lang w:val="en-US"/>
            </w:rPr>
            <w:t>HT</w:t>
          </w:r>
          <w:r w:rsidRPr="00875934">
            <w:rPr>
              <w:rFonts w:ascii="Times New Roman" w:eastAsia="Times New Roman" w:hAnsi="Times New Roman" w:cs="Times New Roman"/>
              <w:b/>
              <w:noProof/>
              <w:sz w:val="17"/>
              <w:szCs w:val="20"/>
              <w:lang w:val="en-US"/>
            </w:rPr>
            <w:t>I/4</w:t>
          </w:r>
        </w:p>
      </w:tc>
      <w:tc>
        <w:tcPr>
          <w:tcW w:w="4242" w:type="dxa"/>
          <w:shd w:val="clear" w:color="auto" w:fill="auto"/>
          <w:vAlign w:val="bottom"/>
        </w:tcPr>
        <w:p w14:paraId="048023D1" w14:textId="77777777" w:rsidR="00875934" w:rsidRPr="00875934" w:rsidRDefault="00875934" w:rsidP="00875934">
          <w:pPr>
            <w:tabs>
              <w:tab w:val="center" w:pos="4320"/>
              <w:tab w:val="right" w:pos="8640"/>
            </w:tabs>
            <w:jc w:val="right"/>
            <w:rPr>
              <w:rFonts w:ascii="Times New Roman" w:eastAsia="Times New Roman" w:hAnsi="Times New Roman" w:cs="Times New Roman"/>
              <w:b/>
              <w:noProof/>
              <w:sz w:val="17"/>
              <w:szCs w:val="20"/>
              <w:lang w:val="en-US"/>
            </w:rPr>
          </w:pPr>
        </w:p>
      </w:tc>
    </w:tr>
    <w:bookmarkEnd w:id="1"/>
  </w:tbl>
  <w:p w14:paraId="07665208" w14:textId="77777777" w:rsidR="00875934" w:rsidRPr="00875934" w:rsidRDefault="00875934">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190" w:type="dxa"/>
      <w:tblInd w:w="720" w:type="dxa"/>
      <w:tblBorders>
        <w:bottom w:val="single" w:sz="2" w:space="0" w:color="000000"/>
      </w:tblBorders>
      <w:tblLayout w:type="fixed"/>
      <w:tblCellMar>
        <w:left w:w="0" w:type="dxa"/>
        <w:right w:w="0" w:type="dxa"/>
      </w:tblCellMar>
      <w:tblLook w:val="0000" w:firstRow="0" w:lastRow="0" w:firstColumn="0" w:lastColumn="0" w:noHBand="0" w:noVBand="0"/>
    </w:tblPr>
    <w:tblGrid>
      <w:gridCol w:w="3948"/>
      <w:gridCol w:w="4242"/>
    </w:tblGrid>
    <w:tr w:rsidR="00875934" w:rsidRPr="00875934" w14:paraId="10993C15" w14:textId="77777777" w:rsidTr="00AB0FB6">
      <w:trPr>
        <w:trHeight w:hRule="exact" w:val="864"/>
      </w:trPr>
      <w:tc>
        <w:tcPr>
          <w:tcW w:w="3948" w:type="dxa"/>
          <w:shd w:val="clear" w:color="auto" w:fill="auto"/>
          <w:vAlign w:val="bottom"/>
        </w:tcPr>
        <w:p w14:paraId="5650CC5D" w14:textId="77777777" w:rsidR="00875934" w:rsidRPr="00875934" w:rsidRDefault="00875934" w:rsidP="00875934">
          <w:pPr>
            <w:tabs>
              <w:tab w:val="center" w:pos="4320"/>
              <w:tab w:val="right" w:pos="8640"/>
            </w:tabs>
            <w:spacing w:after="80"/>
            <w:rPr>
              <w:rFonts w:ascii="Times New Roman" w:eastAsia="Times New Roman" w:hAnsi="Times New Roman" w:cs="Times New Roman"/>
              <w:b/>
              <w:noProof/>
              <w:sz w:val="17"/>
              <w:szCs w:val="20"/>
              <w:lang w:val="en-US"/>
            </w:rPr>
          </w:pPr>
        </w:p>
      </w:tc>
      <w:tc>
        <w:tcPr>
          <w:tcW w:w="4242" w:type="dxa"/>
          <w:shd w:val="clear" w:color="auto" w:fill="auto"/>
          <w:vAlign w:val="bottom"/>
        </w:tcPr>
        <w:p w14:paraId="74BCF894" w14:textId="61A67DE7" w:rsidR="00875934" w:rsidRPr="00875934" w:rsidRDefault="00875934" w:rsidP="00875934">
          <w:pPr>
            <w:tabs>
              <w:tab w:val="center" w:pos="4320"/>
              <w:tab w:val="right" w:pos="8640"/>
            </w:tabs>
            <w:jc w:val="right"/>
            <w:rPr>
              <w:rFonts w:ascii="Times New Roman" w:eastAsia="Times New Roman" w:hAnsi="Times New Roman" w:cs="Times New Roman"/>
              <w:b/>
              <w:noProof/>
              <w:sz w:val="17"/>
              <w:szCs w:val="20"/>
              <w:lang w:val="en-US"/>
            </w:rPr>
          </w:pPr>
          <w:r w:rsidRPr="00875934">
            <w:rPr>
              <w:rFonts w:ascii="Times New Roman" w:eastAsia="Times New Roman" w:hAnsi="Times New Roman" w:cs="Times New Roman"/>
              <w:b/>
              <w:noProof/>
              <w:sz w:val="17"/>
              <w:szCs w:val="20"/>
              <w:lang w:val="en-US"/>
            </w:rPr>
            <w:t>DP/DCP/</w:t>
          </w:r>
          <w:r w:rsidR="00C641C2">
            <w:rPr>
              <w:rFonts w:ascii="Times New Roman" w:eastAsia="Times New Roman" w:hAnsi="Times New Roman" w:cs="Times New Roman"/>
              <w:b/>
              <w:noProof/>
              <w:sz w:val="17"/>
              <w:szCs w:val="20"/>
              <w:lang w:val="en-US"/>
            </w:rPr>
            <w:t>HT</w:t>
          </w:r>
          <w:r w:rsidRPr="00875934">
            <w:rPr>
              <w:rFonts w:ascii="Times New Roman" w:eastAsia="Times New Roman" w:hAnsi="Times New Roman" w:cs="Times New Roman"/>
              <w:b/>
              <w:noProof/>
              <w:sz w:val="17"/>
              <w:szCs w:val="20"/>
              <w:lang w:val="en-US"/>
            </w:rPr>
            <w:t>I/4</w:t>
          </w:r>
        </w:p>
      </w:tc>
    </w:tr>
  </w:tbl>
  <w:p w14:paraId="05AE227A" w14:textId="77777777" w:rsidR="00875934" w:rsidRPr="00875934" w:rsidRDefault="0087593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875934" w:rsidRPr="00875934" w14:paraId="4742F4A5" w14:textId="77777777" w:rsidTr="0000466C">
      <w:trPr>
        <w:trHeight w:hRule="exact" w:val="864"/>
      </w:trPr>
      <w:tc>
        <w:tcPr>
          <w:tcW w:w="1267" w:type="dxa"/>
          <w:tcBorders>
            <w:top w:val="nil"/>
            <w:left w:val="nil"/>
            <w:bottom w:val="nil"/>
            <w:right w:val="nil"/>
          </w:tcBorders>
          <w:vAlign w:val="bottom"/>
        </w:tcPr>
        <w:p w14:paraId="51A9F411" w14:textId="77777777" w:rsidR="00875934" w:rsidRPr="00875934" w:rsidRDefault="00875934" w:rsidP="00875934">
          <w:pPr>
            <w:widowControl w:val="0"/>
            <w:tabs>
              <w:tab w:val="center" w:pos="4320"/>
              <w:tab w:val="right" w:pos="8640"/>
            </w:tabs>
            <w:spacing w:after="120"/>
            <w:rPr>
              <w:rFonts w:ascii="Courier" w:eastAsia="Times New Roman" w:hAnsi="Courier" w:cs="Times New Roman"/>
              <w:sz w:val="22"/>
              <w:szCs w:val="20"/>
              <w:lang w:val="en-US"/>
            </w:rPr>
          </w:pPr>
        </w:p>
      </w:tc>
      <w:tc>
        <w:tcPr>
          <w:tcW w:w="1872" w:type="dxa"/>
          <w:tcBorders>
            <w:top w:val="nil"/>
            <w:left w:val="nil"/>
            <w:bottom w:val="nil"/>
            <w:right w:val="nil"/>
          </w:tcBorders>
          <w:vAlign w:val="bottom"/>
        </w:tcPr>
        <w:p w14:paraId="00050779" w14:textId="77777777" w:rsidR="00875934" w:rsidRPr="00875934" w:rsidRDefault="00875934" w:rsidP="00875934">
          <w:pPr>
            <w:keepNext/>
            <w:keepLine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875934">
            <w:rPr>
              <w:rFonts w:ascii="Times New Roman" w:eastAsia="Times New Roman" w:hAnsi="Times New Roman" w:cs="Times New Roman"/>
              <w:spacing w:val="2"/>
              <w:w w:val="96"/>
              <w:kern w:val="14"/>
              <w:sz w:val="28"/>
              <w:szCs w:val="20"/>
              <w:lang w:val="en-GB"/>
            </w:rPr>
            <w:t>United Nations</w:t>
          </w:r>
        </w:p>
      </w:tc>
      <w:tc>
        <w:tcPr>
          <w:tcW w:w="245" w:type="dxa"/>
          <w:tcBorders>
            <w:top w:val="nil"/>
            <w:left w:val="nil"/>
            <w:bottom w:val="nil"/>
            <w:right w:val="nil"/>
          </w:tcBorders>
          <w:vAlign w:val="bottom"/>
        </w:tcPr>
        <w:p w14:paraId="5BFC5185" w14:textId="77777777" w:rsidR="00875934" w:rsidRPr="00875934" w:rsidRDefault="00875934" w:rsidP="00875934">
          <w:pPr>
            <w:widowControl w:val="0"/>
            <w:tabs>
              <w:tab w:val="center" w:pos="4320"/>
              <w:tab w:val="right" w:pos="8640"/>
            </w:tabs>
            <w:spacing w:after="120"/>
            <w:rPr>
              <w:rFonts w:ascii="Courier" w:eastAsia="Times New Roman" w:hAnsi="Courier" w:cs="Times New Roman"/>
              <w:sz w:val="22"/>
              <w:szCs w:val="20"/>
              <w:lang w:val="en-US"/>
            </w:rPr>
          </w:pPr>
        </w:p>
      </w:tc>
      <w:tc>
        <w:tcPr>
          <w:tcW w:w="6876" w:type="dxa"/>
          <w:gridSpan w:val="3"/>
          <w:tcBorders>
            <w:top w:val="nil"/>
            <w:left w:val="nil"/>
            <w:bottom w:val="nil"/>
            <w:right w:val="nil"/>
          </w:tcBorders>
          <w:vAlign w:val="bottom"/>
        </w:tcPr>
        <w:p w14:paraId="79D04DBB" w14:textId="619C9518" w:rsidR="00875934" w:rsidRPr="00875934" w:rsidRDefault="00875934" w:rsidP="00875934">
          <w:pPr>
            <w:spacing w:after="80"/>
            <w:jc w:val="center"/>
            <w:rPr>
              <w:rFonts w:ascii="Times New Roman" w:eastAsia="Times New Roman" w:hAnsi="Times New Roman" w:cs="Times New Roman"/>
              <w:position w:val="-4"/>
              <w:sz w:val="20"/>
              <w:szCs w:val="20"/>
              <w:lang w:val="en-US"/>
            </w:rPr>
          </w:pPr>
          <w:r w:rsidRPr="00875934">
            <w:rPr>
              <w:rFonts w:ascii="Times New Roman" w:eastAsia="Times New Roman" w:hAnsi="Times New Roman" w:cs="Times New Roman"/>
              <w:position w:val="-4"/>
              <w:sz w:val="40"/>
              <w:szCs w:val="20"/>
              <w:lang w:val="en-US"/>
            </w:rPr>
            <w:t xml:space="preserve">                         DP</w:t>
          </w:r>
          <w:r w:rsidRPr="00875934">
            <w:rPr>
              <w:rFonts w:ascii="Times New Roman" w:eastAsia="Times New Roman" w:hAnsi="Times New Roman" w:cs="Times New Roman"/>
              <w:position w:val="-4"/>
              <w:sz w:val="20"/>
              <w:szCs w:val="20"/>
              <w:lang w:val="en-US"/>
            </w:rPr>
            <w:t>/DCP/</w:t>
          </w:r>
          <w:r>
            <w:rPr>
              <w:rFonts w:ascii="Times New Roman" w:eastAsia="Times New Roman" w:hAnsi="Times New Roman" w:cs="Times New Roman"/>
              <w:position w:val="-4"/>
              <w:sz w:val="20"/>
              <w:szCs w:val="20"/>
              <w:lang w:val="en-US"/>
            </w:rPr>
            <w:t>HT</w:t>
          </w:r>
          <w:r w:rsidRPr="00875934">
            <w:rPr>
              <w:rFonts w:ascii="Times New Roman" w:eastAsia="Times New Roman" w:hAnsi="Times New Roman" w:cs="Times New Roman"/>
              <w:position w:val="-4"/>
              <w:sz w:val="20"/>
              <w:szCs w:val="20"/>
              <w:lang w:val="en-US"/>
            </w:rPr>
            <w:t>I/4</w:t>
          </w:r>
        </w:p>
      </w:tc>
    </w:tr>
    <w:tr w:rsidR="00875934" w:rsidRPr="00875934" w14:paraId="17CB8739" w14:textId="77777777" w:rsidTr="0000466C">
      <w:trPr>
        <w:trHeight w:hRule="exact" w:val="1936"/>
      </w:trPr>
      <w:tc>
        <w:tcPr>
          <w:tcW w:w="1267" w:type="dxa"/>
          <w:tcBorders>
            <w:top w:val="single" w:sz="4" w:space="0" w:color="auto"/>
            <w:left w:val="nil"/>
            <w:bottom w:val="single" w:sz="12" w:space="0" w:color="auto"/>
            <w:right w:val="nil"/>
          </w:tcBorders>
        </w:tcPr>
        <w:p w14:paraId="6EB04591" w14:textId="77777777" w:rsidR="00875934" w:rsidRPr="00875934" w:rsidRDefault="00875934" w:rsidP="00875934">
          <w:pPr>
            <w:widowControl w:val="0"/>
            <w:tabs>
              <w:tab w:val="center" w:pos="4320"/>
              <w:tab w:val="right" w:pos="8640"/>
            </w:tabs>
            <w:spacing w:before="109"/>
            <w:rPr>
              <w:rFonts w:ascii="Courier" w:eastAsia="Times New Roman" w:hAnsi="Courier" w:cs="Times New Roman"/>
              <w:sz w:val="22"/>
              <w:szCs w:val="20"/>
              <w:lang w:val="en-US"/>
            </w:rPr>
          </w:pPr>
          <w:r w:rsidRPr="00875934">
            <w:rPr>
              <w:rFonts w:ascii="Courier" w:eastAsia="Times New Roman" w:hAnsi="Courier" w:cs="Times New Roman"/>
              <w:sz w:val="22"/>
              <w:szCs w:val="20"/>
              <w:lang w:val="en-US"/>
            </w:rPr>
            <w:t xml:space="preserve"> </w:t>
          </w:r>
          <w:r w:rsidRPr="00875934">
            <w:rPr>
              <w:rFonts w:ascii="Courier" w:eastAsia="Times New Roman" w:hAnsi="Courier" w:cs="Times New Roman"/>
              <w:noProof/>
              <w:sz w:val="22"/>
              <w:szCs w:val="20"/>
              <w:lang w:val="en-US"/>
            </w:rPr>
            <w:drawing>
              <wp:inline distT="0" distB="0" distL="0" distR="0" wp14:anchorId="760F62CE" wp14:editId="474E7584">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7B69AD87" w14:textId="77777777" w:rsidR="00875934" w:rsidRPr="00875934" w:rsidRDefault="00875934" w:rsidP="00875934">
          <w:pPr>
            <w:widowControl w:val="0"/>
            <w:tabs>
              <w:tab w:val="center" w:pos="4320"/>
              <w:tab w:val="right" w:pos="8640"/>
            </w:tabs>
            <w:spacing w:before="109"/>
            <w:rPr>
              <w:rFonts w:ascii="Courier" w:eastAsia="Times New Roman" w:hAnsi="Courier" w:cs="Times New Roman"/>
              <w:sz w:val="22"/>
              <w:szCs w:val="20"/>
              <w:lang w:val="en-US"/>
            </w:rPr>
          </w:pPr>
        </w:p>
      </w:tc>
      <w:tc>
        <w:tcPr>
          <w:tcW w:w="5227" w:type="dxa"/>
          <w:gridSpan w:val="3"/>
          <w:tcBorders>
            <w:top w:val="single" w:sz="4" w:space="0" w:color="auto"/>
            <w:left w:val="nil"/>
            <w:bottom w:val="single" w:sz="12" w:space="0" w:color="auto"/>
            <w:right w:val="nil"/>
          </w:tcBorders>
        </w:tcPr>
        <w:p w14:paraId="20331CF0" w14:textId="77777777" w:rsidR="00875934" w:rsidRPr="00875934" w:rsidRDefault="00875934" w:rsidP="00875934">
          <w:pPr>
            <w:keepNext/>
            <w:keepLines/>
            <w:tabs>
              <w:tab w:val="right" w:leader="dot" w:pos="360"/>
            </w:tabs>
            <w:suppressAutoHyphens/>
            <w:spacing w:before="109" w:line="330" w:lineRule="exact"/>
            <w:outlineLvl w:val="0"/>
            <w:rPr>
              <w:rFonts w:ascii="Times New Roman" w:eastAsia="Times New Roman" w:hAnsi="Times New Roman" w:cs="Times New Roman"/>
              <w:b/>
              <w:spacing w:val="-4"/>
              <w:w w:val="98"/>
              <w:kern w:val="14"/>
              <w:sz w:val="34"/>
              <w:szCs w:val="20"/>
              <w:lang w:val="en-GB"/>
            </w:rPr>
          </w:pPr>
          <w:r w:rsidRPr="00875934">
            <w:rPr>
              <w:rFonts w:ascii="Times New Roman" w:eastAsia="Times New Roman" w:hAnsi="Times New Roman" w:cs="Times New Roman"/>
              <w:b/>
              <w:spacing w:val="-4"/>
              <w:w w:val="98"/>
              <w:kern w:val="14"/>
              <w:sz w:val="34"/>
              <w:szCs w:val="20"/>
              <w:lang w:val="en-GB"/>
            </w:rPr>
            <w:t>Executive Board of the</w:t>
          </w:r>
          <w:r w:rsidRPr="00875934">
            <w:rPr>
              <w:rFonts w:ascii="Times New Roman" w:eastAsia="Times New Roman" w:hAnsi="Times New Roman" w:cs="Times New Roman"/>
              <w:b/>
              <w:spacing w:val="-4"/>
              <w:w w:val="98"/>
              <w:kern w:val="14"/>
              <w:sz w:val="34"/>
              <w:szCs w:val="20"/>
              <w:lang w:val="en-GB"/>
            </w:rPr>
            <w:br/>
            <w:t>United Nations Development</w:t>
          </w:r>
          <w:r w:rsidRPr="00875934">
            <w:rPr>
              <w:rFonts w:ascii="Times New Roman" w:eastAsia="Times New Roman" w:hAnsi="Times New Roman" w:cs="Times New Roman"/>
              <w:b/>
              <w:spacing w:val="-4"/>
              <w:w w:val="98"/>
              <w:kern w:val="14"/>
              <w:sz w:val="34"/>
              <w:szCs w:val="20"/>
              <w:lang w:val="en-GB"/>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63E9F7A1" w14:textId="77777777" w:rsidR="00875934" w:rsidRPr="00875934" w:rsidRDefault="00875934" w:rsidP="00875934">
          <w:pPr>
            <w:widowControl w:val="0"/>
            <w:tabs>
              <w:tab w:val="center" w:pos="4320"/>
              <w:tab w:val="right" w:pos="8640"/>
            </w:tabs>
            <w:spacing w:before="109"/>
            <w:rPr>
              <w:rFonts w:ascii="Courier" w:eastAsia="Times New Roman" w:hAnsi="Courier" w:cs="Times New Roman"/>
              <w:sz w:val="22"/>
              <w:szCs w:val="20"/>
              <w:lang w:val="en-US"/>
            </w:rPr>
          </w:pPr>
        </w:p>
      </w:tc>
      <w:tc>
        <w:tcPr>
          <w:tcW w:w="3521" w:type="dxa"/>
          <w:tcBorders>
            <w:top w:val="single" w:sz="4" w:space="0" w:color="auto"/>
            <w:left w:val="nil"/>
            <w:bottom w:val="single" w:sz="12" w:space="0" w:color="auto"/>
            <w:right w:val="nil"/>
          </w:tcBorders>
        </w:tcPr>
        <w:p w14:paraId="21CDD087" w14:textId="77777777" w:rsidR="00875934" w:rsidRPr="00875934" w:rsidRDefault="00875934" w:rsidP="00875934">
          <w:pPr>
            <w:spacing w:before="240"/>
            <w:rPr>
              <w:rFonts w:ascii="Times New Roman" w:eastAsia="Times New Roman" w:hAnsi="Times New Roman" w:cs="Times New Roman"/>
              <w:sz w:val="20"/>
              <w:szCs w:val="20"/>
              <w:lang w:val="en-US"/>
            </w:rPr>
          </w:pPr>
          <w:r w:rsidRPr="00875934">
            <w:rPr>
              <w:rFonts w:ascii="Times New Roman" w:eastAsia="Times New Roman" w:hAnsi="Times New Roman" w:cs="Times New Roman"/>
              <w:sz w:val="20"/>
              <w:szCs w:val="20"/>
              <w:lang w:val="en-US"/>
            </w:rPr>
            <w:t>Distr.: General</w:t>
          </w:r>
        </w:p>
        <w:p w14:paraId="6FC59A3D" w14:textId="51B4490C" w:rsidR="00875934" w:rsidRPr="00875934" w:rsidRDefault="00AB0FB6" w:rsidP="00875934">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 November</w:t>
          </w:r>
          <w:r w:rsidR="00875934" w:rsidRPr="00875934">
            <w:rPr>
              <w:rFonts w:ascii="Times New Roman" w:eastAsia="Times New Roman" w:hAnsi="Times New Roman" w:cs="Times New Roman"/>
              <w:sz w:val="20"/>
              <w:szCs w:val="20"/>
              <w:lang w:val="en-US"/>
            </w:rPr>
            <w:t xml:space="preserve"> 2022</w:t>
          </w:r>
        </w:p>
        <w:p w14:paraId="0ABB1624" w14:textId="77777777" w:rsidR="00875934" w:rsidRPr="00875934" w:rsidRDefault="00875934" w:rsidP="00875934">
          <w:pPr>
            <w:rPr>
              <w:rFonts w:ascii="Times New Roman" w:eastAsia="Times New Roman" w:hAnsi="Times New Roman" w:cs="Times New Roman"/>
              <w:sz w:val="20"/>
              <w:szCs w:val="20"/>
              <w:lang w:val="en-US"/>
            </w:rPr>
          </w:pPr>
        </w:p>
        <w:p w14:paraId="464D1FD8" w14:textId="77777777" w:rsidR="00875934" w:rsidRPr="00875934" w:rsidRDefault="00875934" w:rsidP="00875934">
          <w:pPr>
            <w:rPr>
              <w:rFonts w:ascii="Times New Roman" w:eastAsia="Times New Roman" w:hAnsi="Times New Roman" w:cs="Times New Roman"/>
              <w:sz w:val="20"/>
              <w:szCs w:val="20"/>
              <w:lang w:val="en-US"/>
            </w:rPr>
          </w:pPr>
          <w:r w:rsidRPr="00875934">
            <w:rPr>
              <w:rFonts w:ascii="Times New Roman" w:eastAsia="Times New Roman" w:hAnsi="Times New Roman" w:cs="Times New Roman"/>
              <w:sz w:val="20"/>
              <w:szCs w:val="20"/>
              <w:lang w:val="en-US"/>
            </w:rPr>
            <w:t>Original: English</w:t>
          </w:r>
        </w:p>
      </w:tc>
    </w:tr>
  </w:tbl>
  <w:p w14:paraId="753DB99E" w14:textId="77777777" w:rsidR="00875934" w:rsidRPr="00875934" w:rsidRDefault="00875934">
    <w:pPr>
      <w:pStyle w:val="Header"/>
      <w:rPr>
        <w:sz w:val="6"/>
        <w:szCs w:val="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112"/>
    </w:tblGrid>
    <w:tr w:rsidR="00880283" w:rsidRPr="00880283" w14:paraId="4FCDF24C" w14:textId="77777777" w:rsidTr="00775F4C">
      <w:trPr>
        <w:trHeight w:hRule="exact" w:val="864"/>
      </w:trPr>
      <w:tc>
        <w:tcPr>
          <w:tcW w:w="4838" w:type="dxa"/>
          <w:tcBorders>
            <w:bottom w:val="single" w:sz="4" w:space="0" w:color="auto"/>
          </w:tcBorders>
          <w:vAlign w:val="bottom"/>
        </w:tcPr>
        <w:p w14:paraId="78AF4D68" w14:textId="02FCD21A" w:rsidR="00880283" w:rsidRPr="00880283" w:rsidRDefault="00880283" w:rsidP="00880283">
          <w:pPr>
            <w:widowControl w:val="0"/>
            <w:tabs>
              <w:tab w:val="center" w:pos="4320"/>
              <w:tab w:val="right" w:pos="8640"/>
            </w:tabs>
            <w:spacing w:after="80"/>
            <w:rPr>
              <w:rFonts w:ascii="Times New Roman" w:eastAsia="Times New Roman" w:hAnsi="Times New Roman" w:cs="Times New Roman"/>
              <w:b/>
              <w:sz w:val="17"/>
              <w:szCs w:val="17"/>
              <w:lang w:val="en-US"/>
            </w:rPr>
          </w:pPr>
          <w:r w:rsidRPr="00880283">
            <w:rPr>
              <w:rFonts w:ascii="Times New Roman" w:eastAsia="Times New Roman" w:hAnsi="Times New Roman" w:cs="Times New Roman"/>
              <w:b/>
              <w:sz w:val="17"/>
              <w:szCs w:val="17"/>
              <w:lang w:val="en-US"/>
            </w:rPr>
            <w:t>DP/DCP/</w:t>
          </w:r>
          <w:r w:rsidR="00775F4C">
            <w:rPr>
              <w:rFonts w:ascii="Times New Roman" w:eastAsia="Times New Roman" w:hAnsi="Times New Roman" w:cs="Times New Roman"/>
              <w:b/>
              <w:sz w:val="17"/>
              <w:szCs w:val="17"/>
              <w:lang w:val="en-US"/>
            </w:rPr>
            <w:t>HT</w:t>
          </w:r>
          <w:r w:rsidRPr="00880283">
            <w:rPr>
              <w:rFonts w:ascii="Times New Roman" w:eastAsia="Times New Roman" w:hAnsi="Times New Roman" w:cs="Times New Roman"/>
              <w:b/>
              <w:sz w:val="17"/>
              <w:szCs w:val="17"/>
              <w:lang w:val="en-US"/>
            </w:rPr>
            <w:t>I/4</w:t>
          </w:r>
        </w:p>
      </w:tc>
      <w:tc>
        <w:tcPr>
          <w:tcW w:w="9112" w:type="dxa"/>
          <w:tcBorders>
            <w:bottom w:val="single" w:sz="4" w:space="0" w:color="auto"/>
          </w:tcBorders>
          <w:vAlign w:val="bottom"/>
        </w:tcPr>
        <w:p w14:paraId="7839786D" w14:textId="77777777" w:rsidR="00880283" w:rsidRPr="00880283" w:rsidRDefault="00880283" w:rsidP="00880283">
          <w:pPr>
            <w:widowControl w:val="0"/>
            <w:tabs>
              <w:tab w:val="center" w:pos="4320"/>
              <w:tab w:val="right" w:pos="8640"/>
            </w:tabs>
            <w:rPr>
              <w:rFonts w:ascii="Times New Roman" w:eastAsia="Times New Roman" w:hAnsi="Times New Roman" w:cs="Times New Roman"/>
              <w:sz w:val="17"/>
              <w:szCs w:val="17"/>
              <w:lang w:val="en-US"/>
            </w:rPr>
          </w:pPr>
        </w:p>
      </w:tc>
    </w:tr>
  </w:tbl>
  <w:p w14:paraId="7B6C330F" w14:textId="5ED51FB1" w:rsidR="008109C1" w:rsidRPr="00775F4C" w:rsidRDefault="008109C1">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9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9282"/>
    </w:tblGrid>
    <w:tr w:rsidR="00880283" w:rsidRPr="00880283" w14:paraId="1002E040" w14:textId="77777777" w:rsidTr="00775F4C">
      <w:trPr>
        <w:trHeight w:hRule="exact" w:val="864"/>
      </w:trPr>
      <w:tc>
        <w:tcPr>
          <w:tcW w:w="4668" w:type="dxa"/>
          <w:shd w:val="clear" w:color="auto" w:fill="auto"/>
          <w:vAlign w:val="bottom"/>
        </w:tcPr>
        <w:p w14:paraId="54CA7BAD" w14:textId="77777777" w:rsidR="00880283" w:rsidRPr="00880283" w:rsidRDefault="00880283" w:rsidP="00880283">
          <w:pPr>
            <w:tabs>
              <w:tab w:val="center" w:pos="4320"/>
              <w:tab w:val="right" w:pos="8640"/>
            </w:tabs>
            <w:spacing w:after="80"/>
            <w:rPr>
              <w:rFonts w:ascii="Times New Roman" w:eastAsia="Times New Roman" w:hAnsi="Times New Roman" w:cs="Times New Roman"/>
              <w:b/>
              <w:noProof/>
              <w:sz w:val="17"/>
              <w:szCs w:val="20"/>
              <w:lang w:val="en-US"/>
            </w:rPr>
          </w:pPr>
        </w:p>
      </w:tc>
      <w:tc>
        <w:tcPr>
          <w:tcW w:w="9282" w:type="dxa"/>
          <w:shd w:val="clear" w:color="auto" w:fill="auto"/>
          <w:vAlign w:val="bottom"/>
        </w:tcPr>
        <w:p w14:paraId="76F78053" w14:textId="4CC299F9" w:rsidR="00880283" w:rsidRPr="00880283" w:rsidRDefault="00880283" w:rsidP="00880283">
          <w:pPr>
            <w:tabs>
              <w:tab w:val="center" w:pos="4320"/>
              <w:tab w:val="right" w:pos="8640"/>
            </w:tabs>
            <w:jc w:val="right"/>
            <w:rPr>
              <w:rFonts w:ascii="Times New Roman" w:eastAsia="Times New Roman" w:hAnsi="Times New Roman" w:cs="Times New Roman"/>
              <w:b/>
              <w:noProof/>
              <w:sz w:val="17"/>
              <w:szCs w:val="20"/>
              <w:lang w:val="en-US"/>
            </w:rPr>
          </w:pPr>
          <w:r w:rsidRPr="00880283">
            <w:rPr>
              <w:rFonts w:ascii="Times New Roman" w:eastAsia="Times New Roman" w:hAnsi="Times New Roman" w:cs="Times New Roman"/>
              <w:b/>
              <w:noProof/>
              <w:sz w:val="17"/>
              <w:szCs w:val="20"/>
              <w:lang w:val="en-US"/>
            </w:rPr>
            <w:t>DP/DCP/</w:t>
          </w:r>
          <w:r w:rsidR="00775F4C">
            <w:rPr>
              <w:rFonts w:ascii="Times New Roman" w:eastAsia="Times New Roman" w:hAnsi="Times New Roman" w:cs="Times New Roman"/>
              <w:b/>
              <w:noProof/>
              <w:sz w:val="17"/>
              <w:szCs w:val="20"/>
              <w:lang w:val="en-US"/>
            </w:rPr>
            <w:t>HT</w:t>
          </w:r>
          <w:r w:rsidRPr="00880283">
            <w:rPr>
              <w:rFonts w:ascii="Times New Roman" w:eastAsia="Times New Roman" w:hAnsi="Times New Roman" w:cs="Times New Roman"/>
              <w:b/>
              <w:noProof/>
              <w:sz w:val="17"/>
              <w:szCs w:val="20"/>
              <w:lang w:val="en-US"/>
            </w:rPr>
            <w:t>I/4</w:t>
          </w:r>
        </w:p>
      </w:tc>
    </w:tr>
  </w:tbl>
  <w:p w14:paraId="78B3EC6F" w14:textId="312DB965" w:rsidR="008109C1" w:rsidRPr="00775F4C" w:rsidRDefault="008109C1">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1AD6" w14:textId="1A1626A4" w:rsidR="008109C1" w:rsidRDefault="00810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EB7"/>
    <w:multiLevelType w:val="hybridMultilevel"/>
    <w:tmpl w:val="2BCEE9B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4A43BA"/>
    <w:multiLevelType w:val="hybridMultilevel"/>
    <w:tmpl w:val="E71E2A4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7C3DEC"/>
    <w:multiLevelType w:val="hybridMultilevel"/>
    <w:tmpl w:val="A37652A4"/>
    <w:lvl w:ilvl="0" w:tplc="B65462EA">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150F6"/>
    <w:multiLevelType w:val="hybridMultilevel"/>
    <w:tmpl w:val="9528A322"/>
    <w:lvl w:ilvl="0" w:tplc="9A80B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01747"/>
    <w:multiLevelType w:val="hybridMultilevel"/>
    <w:tmpl w:val="CCA691DE"/>
    <w:lvl w:ilvl="0" w:tplc="7020DBC2">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800743"/>
    <w:multiLevelType w:val="hybridMultilevel"/>
    <w:tmpl w:val="6936B6A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02E94"/>
    <w:multiLevelType w:val="hybridMultilevel"/>
    <w:tmpl w:val="478E626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D22C04"/>
    <w:multiLevelType w:val="hybridMultilevel"/>
    <w:tmpl w:val="BA526C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3B0B7D"/>
    <w:multiLevelType w:val="hybridMultilevel"/>
    <w:tmpl w:val="C0FE81C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65B0F"/>
    <w:multiLevelType w:val="hybridMultilevel"/>
    <w:tmpl w:val="114623C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C71361"/>
    <w:multiLevelType w:val="hybridMultilevel"/>
    <w:tmpl w:val="66C04CE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CF296E"/>
    <w:multiLevelType w:val="hybridMultilevel"/>
    <w:tmpl w:val="15B0421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D2251A"/>
    <w:multiLevelType w:val="hybridMultilevel"/>
    <w:tmpl w:val="0A70B8F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883685"/>
    <w:multiLevelType w:val="hybridMultilevel"/>
    <w:tmpl w:val="9B7A33E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264FB1"/>
    <w:multiLevelType w:val="hybridMultilevel"/>
    <w:tmpl w:val="D9B823D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1E215E"/>
    <w:multiLevelType w:val="hybridMultilevel"/>
    <w:tmpl w:val="9648D3B6"/>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F71DAC"/>
    <w:multiLevelType w:val="hybridMultilevel"/>
    <w:tmpl w:val="BFD847E2"/>
    <w:lvl w:ilvl="0" w:tplc="98E03F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462E1FB5"/>
    <w:multiLevelType w:val="hybridMultilevel"/>
    <w:tmpl w:val="E8A2241E"/>
    <w:lvl w:ilvl="0" w:tplc="19868282">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585981"/>
    <w:multiLevelType w:val="hybridMultilevel"/>
    <w:tmpl w:val="F17246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477A7"/>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48496260"/>
    <w:multiLevelType w:val="hybridMultilevel"/>
    <w:tmpl w:val="A336DC5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DA2797"/>
    <w:multiLevelType w:val="hybridMultilevel"/>
    <w:tmpl w:val="C0B8E1DE"/>
    <w:lvl w:ilvl="0" w:tplc="B1942B1E">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C2D2085"/>
    <w:multiLevelType w:val="hybridMultilevel"/>
    <w:tmpl w:val="7E923C3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5F1245"/>
    <w:multiLevelType w:val="hybridMultilevel"/>
    <w:tmpl w:val="380A2A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7363AB"/>
    <w:multiLevelType w:val="hybridMultilevel"/>
    <w:tmpl w:val="FE34D6E6"/>
    <w:lvl w:ilvl="0" w:tplc="040C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E8F047D"/>
    <w:multiLevelType w:val="hybridMultilevel"/>
    <w:tmpl w:val="03FE8A74"/>
    <w:lvl w:ilvl="0" w:tplc="6876E8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874515"/>
    <w:multiLevelType w:val="hybridMultilevel"/>
    <w:tmpl w:val="FFA6307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086C67"/>
    <w:multiLevelType w:val="hybridMultilevel"/>
    <w:tmpl w:val="0036699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FD6FD9"/>
    <w:multiLevelType w:val="hybridMultilevel"/>
    <w:tmpl w:val="36A60B2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211DAC"/>
    <w:multiLevelType w:val="hybridMultilevel"/>
    <w:tmpl w:val="9CAE6F8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51233D"/>
    <w:multiLevelType w:val="hybridMultilevel"/>
    <w:tmpl w:val="8B1E8BE6"/>
    <w:lvl w:ilvl="0" w:tplc="7542FEF4">
      <w:start w:val="1"/>
      <w:numFmt w:val="upperRoman"/>
      <w:lvlText w:val="%1."/>
      <w:lvlJc w:val="left"/>
      <w:pPr>
        <w:ind w:left="1987" w:hanging="720"/>
      </w:pPr>
      <w:rPr>
        <w:rFonts w:hint="default"/>
        <w:color w:val="000000"/>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647938A5"/>
    <w:multiLevelType w:val="hybridMultilevel"/>
    <w:tmpl w:val="8F0C2D02"/>
    <w:lvl w:ilvl="0" w:tplc="5CF2228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378A8"/>
    <w:multiLevelType w:val="hybridMultilevel"/>
    <w:tmpl w:val="2DE4E44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8805528"/>
    <w:multiLevelType w:val="hybridMultilevel"/>
    <w:tmpl w:val="1A88389A"/>
    <w:lvl w:ilvl="0" w:tplc="8D2AFBD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9B76744"/>
    <w:multiLevelType w:val="hybridMultilevel"/>
    <w:tmpl w:val="F0D2589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BFF5843"/>
    <w:multiLevelType w:val="hybridMultilevel"/>
    <w:tmpl w:val="3A7C3A96"/>
    <w:lvl w:ilvl="0" w:tplc="E1FE5048">
      <w:start w:val="1"/>
      <w:numFmt w:val="bullet"/>
      <w:lvlText w:val="o"/>
      <w:lvlJc w:val="left"/>
      <w:pPr>
        <w:ind w:left="720" w:hanging="360"/>
      </w:pPr>
      <w:rPr>
        <w:rFonts w:ascii="Courier New" w:hAnsi="Courier New"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E207F67"/>
    <w:multiLevelType w:val="hybridMultilevel"/>
    <w:tmpl w:val="B0760BE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A07BD"/>
    <w:multiLevelType w:val="hybridMultilevel"/>
    <w:tmpl w:val="1028139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3464D0"/>
    <w:multiLevelType w:val="hybridMultilevel"/>
    <w:tmpl w:val="BD68D7F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134FBA"/>
    <w:multiLevelType w:val="hybridMultilevel"/>
    <w:tmpl w:val="DDE05734"/>
    <w:lvl w:ilvl="0" w:tplc="CA4EA92C">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9E57C5"/>
    <w:multiLevelType w:val="hybridMultilevel"/>
    <w:tmpl w:val="CBF6178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FF52082"/>
    <w:multiLevelType w:val="hybridMultilevel"/>
    <w:tmpl w:val="99C2509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4"/>
  </w:num>
  <w:num w:numId="4">
    <w:abstractNumId w:val="11"/>
  </w:num>
  <w:num w:numId="5">
    <w:abstractNumId w:val="12"/>
  </w:num>
  <w:num w:numId="6">
    <w:abstractNumId w:val="37"/>
  </w:num>
  <w:num w:numId="7">
    <w:abstractNumId w:val="28"/>
  </w:num>
  <w:num w:numId="8">
    <w:abstractNumId w:val="1"/>
  </w:num>
  <w:num w:numId="9">
    <w:abstractNumId w:val="5"/>
  </w:num>
  <w:num w:numId="10">
    <w:abstractNumId w:val="14"/>
  </w:num>
  <w:num w:numId="11">
    <w:abstractNumId w:val="18"/>
  </w:num>
  <w:num w:numId="12">
    <w:abstractNumId w:val="21"/>
  </w:num>
  <w:num w:numId="13">
    <w:abstractNumId w:val="35"/>
  </w:num>
  <w:num w:numId="14">
    <w:abstractNumId w:val="30"/>
  </w:num>
  <w:num w:numId="15">
    <w:abstractNumId w:val="36"/>
  </w:num>
  <w:num w:numId="16">
    <w:abstractNumId w:val="15"/>
  </w:num>
  <w:num w:numId="17">
    <w:abstractNumId w:val="8"/>
  </w:num>
  <w:num w:numId="18">
    <w:abstractNumId w:val="29"/>
  </w:num>
  <w:num w:numId="19">
    <w:abstractNumId w:val="27"/>
  </w:num>
  <w:num w:numId="20">
    <w:abstractNumId w:val="43"/>
  </w:num>
  <w:num w:numId="21">
    <w:abstractNumId w:val="39"/>
  </w:num>
  <w:num w:numId="22">
    <w:abstractNumId w:val="13"/>
  </w:num>
  <w:num w:numId="23">
    <w:abstractNumId w:val="7"/>
  </w:num>
  <w:num w:numId="24">
    <w:abstractNumId w:val="41"/>
  </w:num>
  <w:num w:numId="25">
    <w:abstractNumId w:val="40"/>
  </w:num>
  <w:num w:numId="26">
    <w:abstractNumId w:val="23"/>
  </w:num>
  <w:num w:numId="27">
    <w:abstractNumId w:val="25"/>
  </w:num>
  <w:num w:numId="28">
    <w:abstractNumId w:val="6"/>
  </w:num>
  <w:num w:numId="29">
    <w:abstractNumId w:val="0"/>
  </w:num>
  <w:num w:numId="30">
    <w:abstractNumId w:val="10"/>
  </w:num>
  <w:num w:numId="31">
    <w:abstractNumId w:val="33"/>
  </w:num>
  <w:num w:numId="32">
    <w:abstractNumId w:val="42"/>
  </w:num>
  <w:num w:numId="33">
    <w:abstractNumId w:val="2"/>
  </w:num>
  <w:num w:numId="34">
    <w:abstractNumId w:val="22"/>
  </w:num>
  <w:num w:numId="35">
    <w:abstractNumId w:val="9"/>
  </w:num>
  <w:num w:numId="36">
    <w:abstractNumId w:val="24"/>
  </w:num>
  <w:num w:numId="37">
    <w:abstractNumId w:val="3"/>
  </w:num>
  <w:num w:numId="38">
    <w:abstractNumId w:val="16"/>
  </w:num>
  <w:num w:numId="39">
    <w:abstractNumId w:val="17"/>
  </w:num>
  <w:num w:numId="40">
    <w:abstractNumId w:val="38"/>
  </w:num>
  <w:num w:numId="41">
    <w:abstractNumId w:val="32"/>
  </w:num>
  <w:num w:numId="42">
    <w:abstractNumId w:val="19"/>
  </w:num>
  <w:num w:numId="43">
    <w:abstractNumId w:val="20"/>
  </w:num>
  <w:num w:numId="44">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QwM7A0sTQxNzcwMDJW0lEKTi0uzszPAykwtKgFAP+sge8tAAAA"/>
  </w:docVars>
  <w:rsids>
    <w:rsidRoot w:val="00B14064"/>
    <w:rsid w:val="00000DF8"/>
    <w:rsid w:val="0000148A"/>
    <w:rsid w:val="000016E8"/>
    <w:rsid w:val="0000232A"/>
    <w:rsid w:val="00002573"/>
    <w:rsid w:val="00004EC6"/>
    <w:rsid w:val="00005BB9"/>
    <w:rsid w:val="000076A1"/>
    <w:rsid w:val="00007C65"/>
    <w:rsid w:val="00010C0B"/>
    <w:rsid w:val="000112EC"/>
    <w:rsid w:val="00011470"/>
    <w:rsid w:val="0001181B"/>
    <w:rsid w:val="00014431"/>
    <w:rsid w:val="00014B6B"/>
    <w:rsid w:val="00016355"/>
    <w:rsid w:val="0001678F"/>
    <w:rsid w:val="000204BD"/>
    <w:rsid w:val="00020E88"/>
    <w:rsid w:val="000219FF"/>
    <w:rsid w:val="00022CAD"/>
    <w:rsid w:val="000256B1"/>
    <w:rsid w:val="000274C2"/>
    <w:rsid w:val="00030D3C"/>
    <w:rsid w:val="00031E3B"/>
    <w:rsid w:val="000329F3"/>
    <w:rsid w:val="000348F2"/>
    <w:rsid w:val="00034927"/>
    <w:rsid w:val="00035A7A"/>
    <w:rsid w:val="000374FD"/>
    <w:rsid w:val="00037E03"/>
    <w:rsid w:val="00040F97"/>
    <w:rsid w:val="0004235E"/>
    <w:rsid w:val="000428F5"/>
    <w:rsid w:val="00044DAC"/>
    <w:rsid w:val="00047603"/>
    <w:rsid w:val="00055A53"/>
    <w:rsid w:val="00057B1C"/>
    <w:rsid w:val="0006059B"/>
    <w:rsid w:val="000613B8"/>
    <w:rsid w:val="00063026"/>
    <w:rsid w:val="0006409D"/>
    <w:rsid w:val="000646BF"/>
    <w:rsid w:val="00065415"/>
    <w:rsid w:val="00065656"/>
    <w:rsid w:val="000661E4"/>
    <w:rsid w:val="00071892"/>
    <w:rsid w:val="000721D1"/>
    <w:rsid w:val="00073C39"/>
    <w:rsid w:val="00074531"/>
    <w:rsid w:val="000749D6"/>
    <w:rsid w:val="00076698"/>
    <w:rsid w:val="00076968"/>
    <w:rsid w:val="00076DEB"/>
    <w:rsid w:val="00077375"/>
    <w:rsid w:val="00077450"/>
    <w:rsid w:val="00082CE2"/>
    <w:rsid w:val="0008304A"/>
    <w:rsid w:val="00083915"/>
    <w:rsid w:val="00083988"/>
    <w:rsid w:val="00083FF1"/>
    <w:rsid w:val="00085229"/>
    <w:rsid w:val="00085930"/>
    <w:rsid w:val="0008627B"/>
    <w:rsid w:val="00086DE1"/>
    <w:rsid w:val="000872C0"/>
    <w:rsid w:val="00087C96"/>
    <w:rsid w:val="00090BA2"/>
    <w:rsid w:val="00092CBE"/>
    <w:rsid w:val="000946F2"/>
    <w:rsid w:val="00095E27"/>
    <w:rsid w:val="00097DA2"/>
    <w:rsid w:val="00097EAE"/>
    <w:rsid w:val="000A0AB5"/>
    <w:rsid w:val="000A2A9D"/>
    <w:rsid w:val="000A4ACB"/>
    <w:rsid w:val="000A4D3A"/>
    <w:rsid w:val="000A4E22"/>
    <w:rsid w:val="000B009B"/>
    <w:rsid w:val="000B3201"/>
    <w:rsid w:val="000B3D82"/>
    <w:rsid w:val="000B5E8D"/>
    <w:rsid w:val="000B6130"/>
    <w:rsid w:val="000B64C4"/>
    <w:rsid w:val="000B6892"/>
    <w:rsid w:val="000B7C67"/>
    <w:rsid w:val="000C22AF"/>
    <w:rsid w:val="000C3E24"/>
    <w:rsid w:val="000C489F"/>
    <w:rsid w:val="000C5BEF"/>
    <w:rsid w:val="000C5DBA"/>
    <w:rsid w:val="000D1D24"/>
    <w:rsid w:val="000D204F"/>
    <w:rsid w:val="000D2A87"/>
    <w:rsid w:val="000D3096"/>
    <w:rsid w:val="000D366D"/>
    <w:rsid w:val="000D3E0A"/>
    <w:rsid w:val="000D4CB5"/>
    <w:rsid w:val="000D61B2"/>
    <w:rsid w:val="000D6243"/>
    <w:rsid w:val="000D6591"/>
    <w:rsid w:val="000D7C79"/>
    <w:rsid w:val="000E162C"/>
    <w:rsid w:val="000E3130"/>
    <w:rsid w:val="000E500B"/>
    <w:rsid w:val="000E526B"/>
    <w:rsid w:val="000E6C94"/>
    <w:rsid w:val="000E7930"/>
    <w:rsid w:val="000F07D1"/>
    <w:rsid w:val="000F22AD"/>
    <w:rsid w:val="000F38EF"/>
    <w:rsid w:val="000F4202"/>
    <w:rsid w:val="000F58D2"/>
    <w:rsid w:val="000F5C54"/>
    <w:rsid w:val="000F658B"/>
    <w:rsid w:val="000F7347"/>
    <w:rsid w:val="000F7F0B"/>
    <w:rsid w:val="0010004F"/>
    <w:rsid w:val="0010044D"/>
    <w:rsid w:val="00101F90"/>
    <w:rsid w:val="00103A0A"/>
    <w:rsid w:val="00103C2B"/>
    <w:rsid w:val="00103D3D"/>
    <w:rsid w:val="00104086"/>
    <w:rsid w:val="00104E6F"/>
    <w:rsid w:val="0010660A"/>
    <w:rsid w:val="0011085C"/>
    <w:rsid w:val="00110D8F"/>
    <w:rsid w:val="001131CE"/>
    <w:rsid w:val="001144C3"/>
    <w:rsid w:val="00114DBB"/>
    <w:rsid w:val="00115BC1"/>
    <w:rsid w:val="00120002"/>
    <w:rsid w:val="001218BD"/>
    <w:rsid w:val="00122BEF"/>
    <w:rsid w:val="00123028"/>
    <w:rsid w:val="0012388C"/>
    <w:rsid w:val="0012397F"/>
    <w:rsid w:val="00123B60"/>
    <w:rsid w:val="00125D02"/>
    <w:rsid w:val="00126345"/>
    <w:rsid w:val="001268BC"/>
    <w:rsid w:val="00126E49"/>
    <w:rsid w:val="00127043"/>
    <w:rsid w:val="00129388"/>
    <w:rsid w:val="001300F1"/>
    <w:rsid w:val="00131E9F"/>
    <w:rsid w:val="00132109"/>
    <w:rsid w:val="00132FAF"/>
    <w:rsid w:val="001353CB"/>
    <w:rsid w:val="00135596"/>
    <w:rsid w:val="001356F8"/>
    <w:rsid w:val="0014047A"/>
    <w:rsid w:val="00140602"/>
    <w:rsid w:val="00140B0C"/>
    <w:rsid w:val="00141052"/>
    <w:rsid w:val="0014133C"/>
    <w:rsid w:val="0014139A"/>
    <w:rsid w:val="00142D32"/>
    <w:rsid w:val="001434D6"/>
    <w:rsid w:val="00143852"/>
    <w:rsid w:val="00144722"/>
    <w:rsid w:val="00146C32"/>
    <w:rsid w:val="00146D62"/>
    <w:rsid w:val="001528B1"/>
    <w:rsid w:val="00153206"/>
    <w:rsid w:val="001548B8"/>
    <w:rsid w:val="00155D1B"/>
    <w:rsid w:val="00157058"/>
    <w:rsid w:val="00157142"/>
    <w:rsid w:val="00163683"/>
    <w:rsid w:val="0016384F"/>
    <w:rsid w:val="00164B99"/>
    <w:rsid w:val="00165962"/>
    <w:rsid w:val="00165D73"/>
    <w:rsid w:val="001667A3"/>
    <w:rsid w:val="00166C2A"/>
    <w:rsid w:val="00170A6E"/>
    <w:rsid w:val="00173CC2"/>
    <w:rsid w:val="001766A2"/>
    <w:rsid w:val="00177451"/>
    <w:rsid w:val="001821F2"/>
    <w:rsid w:val="00182A8B"/>
    <w:rsid w:val="00182A9A"/>
    <w:rsid w:val="00182F18"/>
    <w:rsid w:val="0018318A"/>
    <w:rsid w:val="001845C3"/>
    <w:rsid w:val="001850CE"/>
    <w:rsid w:val="001878C9"/>
    <w:rsid w:val="0019061E"/>
    <w:rsid w:val="00190AB4"/>
    <w:rsid w:val="00190EE0"/>
    <w:rsid w:val="0019182B"/>
    <w:rsid w:val="00192036"/>
    <w:rsid w:val="00197342"/>
    <w:rsid w:val="001A10AA"/>
    <w:rsid w:val="001A1101"/>
    <w:rsid w:val="001A1168"/>
    <w:rsid w:val="001A15A6"/>
    <w:rsid w:val="001A1BAC"/>
    <w:rsid w:val="001A2EAE"/>
    <w:rsid w:val="001A31B7"/>
    <w:rsid w:val="001A371C"/>
    <w:rsid w:val="001A4E2A"/>
    <w:rsid w:val="001A502C"/>
    <w:rsid w:val="001A52C9"/>
    <w:rsid w:val="001A7C3A"/>
    <w:rsid w:val="001B0C70"/>
    <w:rsid w:val="001B60B0"/>
    <w:rsid w:val="001B6E27"/>
    <w:rsid w:val="001B7EF7"/>
    <w:rsid w:val="001C0C40"/>
    <w:rsid w:val="001C1B85"/>
    <w:rsid w:val="001C282F"/>
    <w:rsid w:val="001C2F5C"/>
    <w:rsid w:val="001C3B88"/>
    <w:rsid w:val="001C4172"/>
    <w:rsid w:val="001C4826"/>
    <w:rsid w:val="001C5E34"/>
    <w:rsid w:val="001C60FD"/>
    <w:rsid w:val="001C747E"/>
    <w:rsid w:val="001D0A16"/>
    <w:rsid w:val="001D1DFD"/>
    <w:rsid w:val="001D3DDA"/>
    <w:rsid w:val="001D4000"/>
    <w:rsid w:val="001D4409"/>
    <w:rsid w:val="001D480B"/>
    <w:rsid w:val="001D5966"/>
    <w:rsid w:val="001D59FB"/>
    <w:rsid w:val="001D753D"/>
    <w:rsid w:val="001D7DB8"/>
    <w:rsid w:val="001E3D37"/>
    <w:rsid w:val="001E427A"/>
    <w:rsid w:val="001E7517"/>
    <w:rsid w:val="001E7823"/>
    <w:rsid w:val="001F0619"/>
    <w:rsid w:val="001F0C22"/>
    <w:rsid w:val="001F21A4"/>
    <w:rsid w:val="001F2983"/>
    <w:rsid w:val="001F2BDD"/>
    <w:rsid w:val="001F39D7"/>
    <w:rsid w:val="001F4CB6"/>
    <w:rsid w:val="001F6DCA"/>
    <w:rsid w:val="001F7D6B"/>
    <w:rsid w:val="002002C5"/>
    <w:rsid w:val="00200F45"/>
    <w:rsid w:val="00201787"/>
    <w:rsid w:val="00202697"/>
    <w:rsid w:val="00202FB3"/>
    <w:rsid w:val="00203A92"/>
    <w:rsid w:val="0020530A"/>
    <w:rsid w:val="0021102C"/>
    <w:rsid w:val="0021283D"/>
    <w:rsid w:val="00212A45"/>
    <w:rsid w:val="0021326C"/>
    <w:rsid w:val="00213AC1"/>
    <w:rsid w:val="00216D3C"/>
    <w:rsid w:val="002170A9"/>
    <w:rsid w:val="00217192"/>
    <w:rsid w:val="00217B3D"/>
    <w:rsid w:val="00220143"/>
    <w:rsid w:val="0022295C"/>
    <w:rsid w:val="00223477"/>
    <w:rsid w:val="0022355F"/>
    <w:rsid w:val="0022368A"/>
    <w:rsid w:val="00223AFC"/>
    <w:rsid w:val="00224739"/>
    <w:rsid w:val="00225B05"/>
    <w:rsid w:val="00226777"/>
    <w:rsid w:val="002270C3"/>
    <w:rsid w:val="00227573"/>
    <w:rsid w:val="002277A2"/>
    <w:rsid w:val="00227E8B"/>
    <w:rsid w:val="002306C8"/>
    <w:rsid w:val="002319A8"/>
    <w:rsid w:val="00232B71"/>
    <w:rsid w:val="00232C09"/>
    <w:rsid w:val="002341AD"/>
    <w:rsid w:val="00237C77"/>
    <w:rsid w:val="002401B1"/>
    <w:rsid w:val="002408F7"/>
    <w:rsid w:val="00240D64"/>
    <w:rsid w:val="00240ECF"/>
    <w:rsid w:val="0024193C"/>
    <w:rsid w:val="00241B1A"/>
    <w:rsid w:val="0024249B"/>
    <w:rsid w:val="0024391B"/>
    <w:rsid w:val="00243CB6"/>
    <w:rsid w:val="00243E07"/>
    <w:rsid w:val="00244454"/>
    <w:rsid w:val="0024467C"/>
    <w:rsid w:val="00244EC3"/>
    <w:rsid w:val="00244F1F"/>
    <w:rsid w:val="00244F9D"/>
    <w:rsid w:val="0024518F"/>
    <w:rsid w:val="0024536E"/>
    <w:rsid w:val="002459D3"/>
    <w:rsid w:val="00245B3D"/>
    <w:rsid w:val="002508EB"/>
    <w:rsid w:val="00253993"/>
    <w:rsid w:val="0025638C"/>
    <w:rsid w:val="00261362"/>
    <w:rsid w:val="002641D6"/>
    <w:rsid w:val="002642C8"/>
    <w:rsid w:val="0026780E"/>
    <w:rsid w:val="002703C6"/>
    <w:rsid w:val="002713A8"/>
    <w:rsid w:val="00271A3B"/>
    <w:rsid w:val="00271F50"/>
    <w:rsid w:val="002726E8"/>
    <w:rsid w:val="00272C4C"/>
    <w:rsid w:val="00272F1C"/>
    <w:rsid w:val="00272F7E"/>
    <w:rsid w:val="00273D56"/>
    <w:rsid w:val="00273F6B"/>
    <w:rsid w:val="00273FD5"/>
    <w:rsid w:val="00274841"/>
    <w:rsid w:val="002754DB"/>
    <w:rsid w:val="002778D7"/>
    <w:rsid w:val="00280DAC"/>
    <w:rsid w:val="00281023"/>
    <w:rsid w:val="002816C4"/>
    <w:rsid w:val="00281F6C"/>
    <w:rsid w:val="0028244E"/>
    <w:rsid w:val="00283454"/>
    <w:rsid w:val="0028348B"/>
    <w:rsid w:val="00283A83"/>
    <w:rsid w:val="00284DD0"/>
    <w:rsid w:val="0028542B"/>
    <w:rsid w:val="002863C4"/>
    <w:rsid w:val="00290E79"/>
    <w:rsid w:val="00292D1B"/>
    <w:rsid w:val="002952AF"/>
    <w:rsid w:val="002A38FB"/>
    <w:rsid w:val="002A4A0E"/>
    <w:rsid w:val="002A4FE9"/>
    <w:rsid w:val="002B073F"/>
    <w:rsid w:val="002B0DBA"/>
    <w:rsid w:val="002B2379"/>
    <w:rsid w:val="002B2B9E"/>
    <w:rsid w:val="002B2F1A"/>
    <w:rsid w:val="002B3F1C"/>
    <w:rsid w:val="002B4B5E"/>
    <w:rsid w:val="002B4DF8"/>
    <w:rsid w:val="002B613E"/>
    <w:rsid w:val="002B6581"/>
    <w:rsid w:val="002B7379"/>
    <w:rsid w:val="002B7D97"/>
    <w:rsid w:val="002C0025"/>
    <w:rsid w:val="002C03F5"/>
    <w:rsid w:val="002C08A0"/>
    <w:rsid w:val="002C08C6"/>
    <w:rsid w:val="002C0E1A"/>
    <w:rsid w:val="002C17BC"/>
    <w:rsid w:val="002C1A89"/>
    <w:rsid w:val="002C1B28"/>
    <w:rsid w:val="002C1CD5"/>
    <w:rsid w:val="002C1DB5"/>
    <w:rsid w:val="002C239F"/>
    <w:rsid w:val="002C344F"/>
    <w:rsid w:val="002C3AE9"/>
    <w:rsid w:val="002C5043"/>
    <w:rsid w:val="002C54CD"/>
    <w:rsid w:val="002C58BD"/>
    <w:rsid w:val="002D0174"/>
    <w:rsid w:val="002D023E"/>
    <w:rsid w:val="002D0469"/>
    <w:rsid w:val="002D0537"/>
    <w:rsid w:val="002D0B77"/>
    <w:rsid w:val="002D1920"/>
    <w:rsid w:val="002D38E8"/>
    <w:rsid w:val="002D4FD5"/>
    <w:rsid w:val="002D57E5"/>
    <w:rsid w:val="002D5E15"/>
    <w:rsid w:val="002D68E5"/>
    <w:rsid w:val="002D6990"/>
    <w:rsid w:val="002D7080"/>
    <w:rsid w:val="002D7480"/>
    <w:rsid w:val="002D7676"/>
    <w:rsid w:val="002E0D59"/>
    <w:rsid w:val="002E1FE6"/>
    <w:rsid w:val="002E2222"/>
    <w:rsid w:val="002E2F54"/>
    <w:rsid w:val="002E457B"/>
    <w:rsid w:val="002E639D"/>
    <w:rsid w:val="002E7692"/>
    <w:rsid w:val="002F09F4"/>
    <w:rsid w:val="002F0A42"/>
    <w:rsid w:val="002F24AA"/>
    <w:rsid w:val="002F2E84"/>
    <w:rsid w:val="002F3033"/>
    <w:rsid w:val="002F35BD"/>
    <w:rsid w:val="002F366C"/>
    <w:rsid w:val="002F6108"/>
    <w:rsid w:val="002F65AF"/>
    <w:rsid w:val="002F6E70"/>
    <w:rsid w:val="002F7ACF"/>
    <w:rsid w:val="00300005"/>
    <w:rsid w:val="0030087F"/>
    <w:rsid w:val="0030088B"/>
    <w:rsid w:val="00301B91"/>
    <w:rsid w:val="0030288A"/>
    <w:rsid w:val="00302EFE"/>
    <w:rsid w:val="00302F84"/>
    <w:rsid w:val="0030407D"/>
    <w:rsid w:val="00305BCF"/>
    <w:rsid w:val="003100A2"/>
    <w:rsid w:val="003100DB"/>
    <w:rsid w:val="00311676"/>
    <w:rsid w:val="00312706"/>
    <w:rsid w:val="0031538E"/>
    <w:rsid w:val="003157FA"/>
    <w:rsid w:val="0032061E"/>
    <w:rsid w:val="00322813"/>
    <w:rsid w:val="00322FF4"/>
    <w:rsid w:val="0032362D"/>
    <w:rsid w:val="00324164"/>
    <w:rsid w:val="00324871"/>
    <w:rsid w:val="00324996"/>
    <w:rsid w:val="003259D8"/>
    <w:rsid w:val="003272A1"/>
    <w:rsid w:val="00331DF4"/>
    <w:rsid w:val="00331F95"/>
    <w:rsid w:val="0033262C"/>
    <w:rsid w:val="00332B66"/>
    <w:rsid w:val="0033412C"/>
    <w:rsid w:val="003361A8"/>
    <w:rsid w:val="003372DB"/>
    <w:rsid w:val="00337429"/>
    <w:rsid w:val="0033756D"/>
    <w:rsid w:val="0034107A"/>
    <w:rsid w:val="00341FBE"/>
    <w:rsid w:val="003423BE"/>
    <w:rsid w:val="003432C2"/>
    <w:rsid w:val="00344A92"/>
    <w:rsid w:val="00345FE6"/>
    <w:rsid w:val="0034688B"/>
    <w:rsid w:val="00346F82"/>
    <w:rsid w:val="00347B24"/>
    <w:rsid w:val="00347E93"/>
    <w:rsid w:val="003500A9"/>
    <w:rsid w:val="003501F9"/>
    <w:rsid w:val="00353B97"/>
    <w:rsid w:val="0035481B"/>
    <w:rsid w:val="00354E15"/>
    <w:rsid w:val="00360C7E"/>
    <w:rsid w:val="003622FC"/>
    <w:rsid w:val="00363167"/>
    <w:rsid w:val="00364DFC"/>
    <w:rsid w:val="003651B5"/>
    <w:rsid w:val="003658D5"/>
    <w:rsid w:val="003664BB"/>
    <w:rsid w:val="00366CE9"/>
    <w:rsid w:val="003706A3"/>
    <w:rsid w:val="00370AD6"/>
    <w:rsid w:val="003712F1"/>
    <w:rsid w:val="003716DE"/>
    <w:rsid w:val="00372DC5"/>
    <w:rsid w:val="00373DF7"/>
    <w:rsid w:val="00375C05"/>
    <w:rsid w:val="00377232"/>
    <w:rsid w:val="00377F50"/>
    <w:rsid w:val="00382271"/>
    <w:rsid w:val="00383565"/>
    <w:rsid w:val="003837B7"/>
    <w:rsid w:val="00383A06"/>
    <w:rsid w:val="00384648"/>
    <w:rsid w:val="00384C6E"/>
    <w:rsid w:val="00384D35"/>
    <w:rsid w:val="003852E3"/>
    <w:rsid w:val="00385F5E"/>
    <w:rsid w:val="00390EEC"/>
    <w:rsid w:val="00391999"/>
    <w:rsid w:val="003920D2"/>
    <w:rsid w:val="00393423"/>
    <w:rsid w:val="003966F5"/>
    <w:rsid w:val="0039712C"/>
    <w:rsid w:val="00397946"/>
    <w:rsid w:val="003A1153"/>
    <w:rsid w:val="003A1554"/>
    <w:rsid w:val="003A2224"/>
    <w:rsid w:val="003A2FF3"/>
    <w:rsid w:val="003A31EF"/>
    <w:rsid w:val="003A3701"/>
    <w:rsid w:val="003A3BEF"/>
    <w:rsid w:val="003A6F0C"/>
    <w:rsid w:val="003A7554"/>
    <w:rsid w:val="003A7716"/>
    <w:rsid w:val="003A7898"/>
    <w:rsid w:val="003B121A"/>
    <w:rsid w:val="003B2498"/>
    <w:rsid w:val="003B3631"/>
    <w:rsid w:val="003B4AEB"/>
    <w:rsid w:val="003B5FFB"/>
    <w:rsid w:val="003C0650"/>
    <w:rsid w:val="003C07FE"/>
    <w:rsid w:val="003C1176"/>
    <w:rsid w:val="003C14BE"/>
    <w:rsid w:val="003C1747"/>
    <w:rsid w:val="003C1758"/>
    <w:rsid w:val="003C1DC8"/>
    <w:rsid w:val="003C2A81"/>
    <w:rsid w:val="003C51C1"/>
    <w:rsid w:val="003C5D90"/>
    <w:rsid w:val="003C622D"/>
    <w:rsid w:val="003C76FE"/>
    <w:rsid w:val="003C7F78"/>
    <w:rsid w:val="003D0AB2"/>
    <w:rsid w:val="003D13C3"/>
    <w:rsid w:val="003D1ADF"/>
    <w:rsid w:val="003D2B36"/>
    <w:rsid w:val="003D2BA0"/>
    <w:rsid w:val="003D6929"/>
    <w:rsid w:val="003D6B17"/>
    <w:rsid w:val="003D6E61"/>
    <w:rsid w:val="003D7316"/>
    <w:rsid w:val="003D74D7"/>
    <w:rsid w:val="003E0422"/>
    <w:rsid w:val="003E0E9C"/>
    <w:rsid w:val="003E46CF"/>
    <w:rsid w:val="003E4856"/>
    <w:rsid w:val="003E49AB"/>
    <w:rsid w:val="003E50E3"/>
    <w:rsid w:val="003E7EA8"/>
    <w:rsid w:val="003F08AE"/>
    <w:rsid w:val="003F15C0"/>
    <w:rsid w:val="003F25BD"/>
    <w:rsid w:val="003F28BE"/>
    <w:rsid w:val="003F28D7"/>
    <w:rsid w:val="003F2F15"/>
    <w:rsid w:val="003F3282"/>
    <w:rsid w:val="003F3EF4"/>
    <w:rsid w:val="003F49F4"/>
    <w:rsid w:val="003F566B"/>
    <w:rsid w:val="0040165B"/>
    <w:rsid w:val="004044FC"/>
    <w:rsid w:val="00404A8F"/>
    <w:rsid w:val="00407221"/>
    <w:rsid w:val="00407EF0"/>
    <w:rsid w:val="00410556"/>
    <w:rsid w:val="004109EF"/>
    <w:rsid w:val="00410C37"/>
    <w:rsid w:val="0041556C"/>
    <w:rsid w:val="0041590C"/>
    <w:rsid w:val="00415C6B"/>
    <w:rsid w:val="00415E49"/>
    <w:rsid w:val="004234B8"/>
    <w:rsid w:val="00423B3F"/>
    <w:rsid w:val="004259A5"/>
    <w:rsid w:val="004277D6"/>
    <w:rsid w:val="00427AD1"/>
    <w:rsid w:val="00430334"/>
    <w:rsid w:val="004304BE"/>
    <w:rsid w:val="0043176F"/>
    <w:rsid w:val="00435E9A"/>
    <w:rsid w:val="00436D56"/>
    <w:rsid w:val="00437BE2"/>
    <w:rsid w:val="00440078"/>
    <w:rsid w:val="00440109"/>
    <w:rsid w:val="004406D7"/>
    <w:rsid w:val="00441F39"/>
    <w:rsid w:val="004423B0"/>
    <w:rsid w:val="0044475B"/>
    <w:rsid w:val="00444FBF"/>
    <w:rsid w:val="00445902"/>
    <w:rsid w:val="004478E5"/>
    <w:rsid w:val="00452127"/>
    <w:rsid w:val="004526C7"/>
    <w:rsid w:val="00452747"/>
    <w:rsid w:val="00453782"/>
    <w:rsid w:val="004544CE"/>
    <w:rsid w:val="0045568B"/>
    <w:rsid w:val="00455EF5"/>
    <w:rsid w:val="004569CD"/>
    <w:rsid w:val="004579EE"/>
    <w:rsid w:val="00461C24"/>
    <w:rsid w:val="00461CBE"/>
    <w:rsid w:val="00462BBD"/>
    <w:rsid w:val="0047040E"/>
    <w:rsid w:val="00471227"/>
    <w:rsid w:val="00471553"/>
    <w:rsid w:val="00471B48"/>
    <w:rsid w:val="004725B7"/>
    <w:rsid w:val="0047382F"/>
    <w:rsid w:val="00475AE3"/>
    <w:rsid w:val="004762AE"/>
    <w:rsid w:val="0047764D"/>
    <w:rsid w:val="004802BB"/>
    <w:rsid w:val="00480612"/>
    <w:rsid w:val="00481164"/>
    <w:rsid w:val="00481F7C"/>
    <w:rsid w:val="0048217C"/>
    <w:rsid w:val="004866DB"/>
    <w:rsid w:val="00486B26"/>
    <w:rsid w:val="004928D5"/>
    <w:rsid w:val="004971E8"/>
    <w:rsid w:val="004A1E84"/>
    <w:rsid w:val="004A1F1C"/>
    <w:rsid w:val="004A20E8"/>
    <w:rsid w:val="004A2441"/>
    <w:rsid w:val="004A24DA"/>
    <w:rsid w:val="004A4510"/>
    <w:rsid w:val="004A486F"/>
    <w:rsid w:val="004A6067"/>
    <w:rsid w:val="004A77C3"/>
    <w:rsid w:val="004A7CCC"/>
    <w:rsid w:val="004A7E94"/>
    <w:rsid w:val="004B09A0"/>
    <w:rsid w:val="004B0E7B"/>
    <w:rsid w:val="004B0F66"/>
    <w:rsid w:val="004B0FEA"/>
    <w:rsid w:val="004B160C"/>
    <w:rsid w:val="004B2FA2"/>
    <w:rsid w:val="004B32BC"/>
    <w:rsid w:val="004B405B"/>
    <w:rsid w:val="004B42BB"/>
    <w:rsid w:val="004B4720"/>
    <w:rsid w:val="004B4B26"/>
    <w:rsid w:val="004B55B6"/>
    <w:rsid w:val="004B638D"/>
    <w:rsid w:val="004B6B5E"/>
    <w:rsid w:val="004B7787"/>
    <w:rsid w:val="004C22A5"/>
    <w:rsid w:val="004C2801"/>
    <w:rsid w:val="004C3060"/>
    <w:rsid w:val="004C3476"/>
    <w:rsid w:val="004C3EBB"/>
    <w:rsid w:val="004C4F65"/>
    <w:rsid w:val="004C59CD"/>
    <w:rsid w:val="004C6BCF"/>
    <w:rsid w:val="004C7306"/>
    <w:rsid w:val="004C7743"/>
    <w:rsid w:val="004C7F74"/>
    <w:rsid w:val="004D196F"/>
    <w:rsid w:val="004D1BF1"/>
    <w:rsid w:val="004D24F0"/>
    <w:rsid w:val="004D260D"/>
    <w:rsid w:val="004D3281"/>
    <w:rsid w:val="004D4E66"/>
    <w:rsid w:val="004D5881"/>
    <w:rsid w:val="004D7D76"/>
    <w:rsid w:val="004E1902"/>
    <w:rsid w:val="004E23EE"/>
    <w:rsid w:val="004E4408"/>
    <w:rsid w:val="004E5AE8"/>
    <w:rsid w:val="004E67DF"/>
    <w:rsid w:val="004E696C"/>
    <w:rsid w:val="004F1AF2"/>
    <w:rsid w:val="004F2568"/>
    <w:rsid w:val="004F2A30"/>
    <w:rsid w:val="004F325C"/>
    <w:rsid w:val="004F3733"/>
    <w:rsid w:val="004F3977"/>
    <w:rsid w:val="004F50D9"/>
    <w:rsid w:val="004F59BA"/>
    <w:rsid w:val="004F651F"/>
    <w:rsid w:val="004F7379"/>
    <w:rsid w:val="004F749D"/>
    <w:rsid w:val="00501145"/>
    <w:rsid w:val="00502E6B"/>
    <w:rsid w:val="00503668"/>
    <w:rsid w:val="00505C42"/>
    <w:rsid w:val="00505CC4"/>
    <w:rsid w:val="00507E43"/>
    <w:rsid w:val="00513244"/>
    <w:rsid w:val="00513B2A"/>
    <w:rsid w:val="00515145"/>
    <w:rsid w:val="0051726D"/>
    <w:rsid w:val="00520C68"/>
    <w:rsid w:val="0052180C"/>
    <w:rsid w:val="00525363"/>
    <w:rsid w:val="0052584B"/>
    <w:rsid w:val="005265D1"/>
    <w:rsid w:val="00526710"/>
    <w:rsid w:val="00527E86"/>
    <w:rsid w:val="00530F5C"/>
    <w:rsid w:val="00531CDF"/>
    <w:rsid w:val="0053386C"/>
    <w:rsid w:val="0053647B"/>
    <w:rsid w:val="00540F24"/>
    <w:rsid w:val="0054170A"/>
    <w:rsid w:val="0054239C"/>
    <w:rsid w:val="00543124"/>
    <w:rsid w:val="005433B8"/>
    <w:rsid w:val="00543A3A"/>
    <w:rsid w:val="00545F29"/>
    <w:rsid w:val="0054601B"/>
    <w:rsid w:val="00546255"/>
    <w:rsid w:val="005469EC"/>
    <w:rsid w:val="00550E46"/>
    <w:rsid w:val="005515BD"/>
    <w:rsid w:val="005540A5"/>
    <w:rsid w:val="00554B51"/>
    <w:rsid w:val="00554F0F"/>
    <w:rsid w:val="005556ED"/>
    <w:rsid w:val="00555963"/>
    <w:rsid w:val="00557197"/>
    <w:rsid w:val="0055779C"/>
    <w:rsid w:val="00560B12"/>
    <w:rsid w:val="0056192D"/>
    <w:rsid w:val="005620CE"/>
    <w:rsid w:val="005653A9"/>
    <w:rsid w:val="0056595D"/>
    <w:rsid w:val="00565CD9"/>
    <w:rsid w:val="0057022C"/>
    <w:rsid w:val="00570317"/>
    <w:rsid w:val="0057051F"/>
    <w:rsid w:val="00572963"/>
    <w:rsid w:val="00572A79"/>
    <w:rsid w:val="00572AFB"/>
    <w:rsid w:val="00574183"/>
    <w:rsid w:val="0057436B"/>
    <w:rsid w:val="005751D9"/>
    <w:rsid w:val="005775C4"/>
    <w:rsid w:val="00577661"/>
    <w:rsid w:val="00577B2F"/>
    <w:rsid w:val="00580C93"/>
    <w:rsid w:val="00581AF5"/>
    <w:rsid w:val="005820FA"/>
    <w:rsid w:val="00582438"/>
    <w:rsid w:val="00583E4F"/>
    <w:rsid w:val="00583FE5"/>
    <w:rsid w:val="00584406"/>
    <w:rsid w:val="00584A94"/>
    <w:rsid w:val="00584ED2"/>
    <w:rsid w:val="00586DF8"/>
    <w:rsid w:val="00590300"/>
    <w:rsid w:val="00590F14"/>
    <w:rsid w:val="0059109F"/>
    <w:rsid w:val="0059134D"/>
    <w:rsid w:val="005913A6"/>
    <w:rsid w:val="00591788"/>
    <w:rsid w:val="00591B21"/>
    <w:rsid w:val="00591CC5"/>
    <w:rsid w:val="00592699"/>
    <w:rsid w:val="0059301F"/>
    <w:rsid w:val="005938F6"/>
    <w:rsid w:val="00594C02"/>
    <w:rsid w:val="00594C91"/>
    <w:rsid w:val="00594EC3"/>
    <w:rsid w:val="00595756"/>
    <w:rsid w:val="005A001A"/>
    <w:rsid w:val="005A5A8E"/>
    <w:rsid w:val="005A7940"/>
    <w:rsid w:val="005A7D37"/>
    <w:rsid w:val="005B0324"/>
    <w:rsid w:val="005B09CB"/>
    <w:rsid w:val="005B18FE"/>
    <w:rsid w:val="005B1AD6"/>
    <w:rsid w:val="005B1CBF"/>
    <w:rsid w:val="005B2332"/>
    <w:rsid w:val="005B31C6"/>
    <w:rsid w:val="005B32A8"/>
    <w:rsid w:val="005B3F99"/>
    <w:rsid w:val="005B663F"/>
    <w:rsid w:val="005B6944"/>
    <w:rsid w:val="005B6994"/>
    <w:rsid w:val="005B75F1"/>
    <w:rsid w:val="005C0B5A"/>
    <w:rsid w:val="005C0E30"/>
    <w:rsid w:val="005C1823"/>
    <w:rsid w:val="005C2578"/>
    <w:rsid w:val="005C2916"/>
    <w:rsid w:val="005C3B0C"/>
    <w:rsid w:val="005C4234"/>
    <w:rsid w:val="005C4F51"/>
    <w:rsid w:val="005C6AFD"/>
    <w:rsid w:val="005C7F40"/>
    <w:rsid w:val="005D024D"/>
    <w:rsid w:val="005D040C"/>
    <w:rsid w:val="005D20E4"/>
    <w:rsid w:val="005D2592"/>
    <w:rsid w:val="005D2E10"/>
    <w:rsid w:val="005D4DF1"/>
    <w:rsid w:val="005D5BE0"/>
    <w:rsid w:val="005D7208"/>
    <w:rsid w:val="005D7A0B"/>
    <w:rsid w:val="005E0EB4"/>
    <w:rsid w:val="005E2013"/>
    <w:rsid w:val="005E255F"/>
    <w:rsid w:val="005E45BD"/>
    <w:rsid w:val="005E4C5B"/>
    <w:rsid w:val="005E560B"/>
    <w:rsid w:val="005E562E"/>
    <w:rsid w:val="005E5ED1"/>
    <w:rsid w:val="005F0516"/>
    <w:rsid w:val="005F0A04"/>
    <w:rsid w:val="005F3571"/>
    <w:rsid w:val="005F4B77"/>
    <w:rsid w:val="005F57EA"/>
    <w:rsid w:val="00602F74"/>
    <w:rsid w:val="00603109"/>
    <w:rsid w:val="00603D43"/>
    <w:rsid w:val="00604EBE"/>
    <w:rsid w:val="0060673D"/>
    <w:rsid w:val="00607E09"/>
    <w:rsid w:val="006117D4"/>
    <w:rsid w:val="00611AD1"/>
    <w:rsid w:val="00612993"/>
    <w:rsid w:val="0061352D"/>
    <w:rsid w:val="00613D3A"/>
    <w:rsid w:val="00613DBA"/>
    <w:rsid w:val="0061644E"/>
    <w:rsid w:val="00620149"/>
    <w:rsid w:val="00620691"/>
    <w:rsid w:val="00621BC3"/>
    <w:rsid w:val="00622D19"/>
    <w:rsid w:val="00626BCB"/>
    <w:rsid w:val="0062735F"/>
    <w:rsid w:val="006308A7"/>
    <w:rsid w:val="0063119B"/>
    <w:rsid w:val="006321D0"/>
    <w:rsid w:val="00633B75"/>
    <w:rsid w:val="006342EA"/>
    <w:rsid w:val="006353AE"/>
    <w:rsid w:val="00636911"/>
    <w:rsid w:val="00640264"/>
    <w:rsid w:val="00641927"/>
    <w:rsid w:val="00643001"/>
    <w:rsid w:val="00643379"/>
    <w:rsid w:val="0064364E"/>
    <w:rsid w:val="00643A01"/>
    <w:rsid w:val="006441EF"/>
    <w:rsid w:val="00645C9D"/>
    <w:rsid w:val="00646311"/>
    <w:rsid w:val="00646ADB"/>
    <w:rsid w:val="006476EE"/>
    <w:rsid w:val="0065006D"/>
    <w:rsid w:val="0065365D"/>
    <w:rsid w:val="0065405D"/>
    <w:rsid w:val="0065675E"/>
    <w:rsid w:val="00657706"/>
    <w:rsid w:val="0065783E"/>
    <w:rsid w:val="0066277D"/>
    <w:rsid w:val="006649B4"/>
    <w:rsid w:val="00664B26"/>
    <w:rsid w:val="00664E31"/>
    <w:rsid w:val="00666257"/>
    <w:rsid w:val="00667266"/>
    <w:rsid w:val="00670014"/>
    <w:rsid w:val="00671949"/>
    <w:rsid w:val="0067196E"/>
    <w:rsid w:val="00671E99"/>
    <w:rsid w:val="00673EC7"/>
    <w:rsid w:val="006745B8"/>
    <w:rsid w:val="006747DE"/>
    <w:rsid w:val="00676025"/>
    <w:rsid w:val="00676B5D"/>
    <w:rsid w:val="00676CF7"/>
    <w:rsid w:val="006801A6"/>
    <w:rsid w:val="00680CD2"/>
    <w:rsid w:val="0068111B"/>
    <w:rsid w:val="00681446"/>
    <w:rsid w:val="00681756"/>
    <w:rsid w:val="006822EE"/>
    <w:rsid w:val="00682798"/>
    <w:rsid w:val="00685AF5"/>
    <w:rsid w:val="00687984"/>
    <w:rsid w:val="00690D02"/>
    <w:rsid w:val="0069122A"/>
    <w:rsid w:val="006934E4"/>
    <w:rsid w:val="0069515D"/>
    <w:rsid w:val="0069714A"/>
    <w:rsid w:val="00697E48"/>
    <w:rsid w:val="006A0F2C"/>
    <w:rsid w:val="006A1C8C"/>
    <w:rsid w:val="006A248A"/>
    <w:rsid w:val="006A3007"/>
    <w:rsid w:val="006A340E"/>
    <w:rsid w:val="006A36F7"/>
    <w:rsid w:val="006A5019"/>
    <w:rsid w:val="006A6090"/>
    <w:rsid w:val="006A6FC0"/>
    <w:rsid w:val="006A770C"/>
    <w:rsid w:val="006B22E0"/>
    <w:rsid w:val="006B27A7"/>
    <w:rsid w:val="006B63C8"/>
    <w:rsid w:val="006B7300"/>
    <w:rsid w:val="006B7E1E"/>
    <w:rsid w:val="006B7F4F"/>
    <w:rsid w:val="006B7FCF"/>
    <w:rsid w:val="006C007A"/>
    <w:rsid w:val="006C0965"/>
    <w:rsid w:val="006C09D5"/>
    <w:rsid w:val="006C0DB4"/>
    <w:rsid w:val="006C31D0"/>
    <w:rsid w:val="006C4F62"/>
    <w:rsid w:val="006C614B"/>
    <w:rsid w:val="006C7266"/>
    <w:rsid w:val="006C7E45"/>
    <w:rsid w:val="006D0FC9"/>
    <w:rsid w:val="006D1111"/>
    <w:rsid w:val="006D35DE"/>
    <w:rsid w:val="006D4563"/>
    <w:rsid w:val="006D66AC"/>
    <w:rsid w:val="006D70EF"/>
    <w:rsid w:val="006D7A6E"/>
    <w:rsid w:val="006E0358"/>
    <w:rsid w:val="006E0C32"/>
    <w:rsid w:val="006E19A7"/>
    <w:rsid w:val="006E1DB6"/>
    <w:rsid w:val="006E20B2"/>
    <w:rsid w:val="006E2A69"/>
    <w:rsid w:val="006E60A9"/>
    <w:rsid w:val="006E6A4D"/>
    <w:rsid w:val="006E70F9"/>
    <w:rsid w:val="006F19AF"/>
    <w:rsid w:val="006F2F36"/>
    <w:rsid w:val="006F3019"/>
    <w:rsid w:val="006F3C50"/>
    <w:rsid w:val="006F4654"/>
    <w:rsid w:val="006F48A2"/>
    <w:rsid w:val="006F4F0E"/>
    <w:rsid w:val="006F6507"/>
    <w:rsid w:val="00700190"/>
    <w:rsid w:val="00701668"/>
    <w:rsid w:val="00703301"/>
    <w:rsid w:val="00703611"/>
    <w:rsid w:val="007038EF"/>
    <w:rsid w:val="00703EDE"/>
    <w:rsid w:val="007051B9"/>
    <w:rsid w:val="007052A0"/>
    <w:rsid w:val="00705F46"/>
    <w:rsid w:val="00707BD6"/>
    <w:rsid w:val="00710534"/>
    <w:rsid w:val="00710A7E"/>
    <w:rsid w:val="00710C88"/>
    <w:rsid w:val="0071165F"/>
    <w:rsid w:val="00711807"/>
    <w:rsid w:val="0071234E"/>
    <w:rsid w:val="0071304F"/>
    <w:rsid w:val="007131C4"/>
    <w:rsid w:val="007141B5"/>
    <w:rsid w:val="007150BC"/>
    <w:rsid w:val="00716CAD"/>
    <w:rsid w:val="00716F55"/>
    <w:rsid w:val="00720940"/>
    <w:rsid w:val="007210BA"/>
    <w:rsid w:val="00721488"/>
    <w:rsid w:val="00724D9C"/>
    <w:rsid w:val="00725D23"/>
    <w:rsid w:val="007270F6"/>
    <w:rsid w:val="0072728F"/>
    <w:rsid w:val="0072773C"/>
    <w:rsid w:val="00731204"/>
    <w:rsid w:val="0073249F"/>
    <w:rsid w:val="00733E7F"/>
    <w:rsid w:val="00734C30"/>
    <w:rsid w:val="007355DC"/>
    <w:rsid w:val="00736541"/>
    <w:rsid w:val="00736D67"/>
    <w:rsid w:val="00737708"/>
    <w:rsid w:val="0074028E"/>
    <w:rsid w:val="0074047D"/>
    <w:rsid w:val="00741E92"/>
    <w:rsid w:val="00745C34"/>
    <w:rsid w:val="007465C5"/>
    <w:rsid w:val="0074693E"/>
    <w:rsid w:val="00747C9B"/>
    <w:rsid w:val="0075146A"/>
    <w:rsid w:val="00751782"/>
    <w:rsid w:val="00752486"/>
    <w:rsid w:val="00752C61"/>
    <w:rsid w:val="00754D35"/>
    <w:rsid w:val="007555AD"/>
    <w:rsid w:val="00755BC2"/>
    <w:rsid w:val="00755EEB"/>
    <w:rsid w:val="007579C8"/>
    <w:rsid w:val="0076072F"/>
    <w:rsid w:val="00762B81"/>
    <w:rsid w:val="00762F6A"/>
    <w:rsid w:val="00763B0E"/>
    <w:rsid w:val="00764D46"/>
    <w:rsid w:val="00765198"/>
    <w:rsid w:val="007658BD"/>
    <w:rsid w:val="007659B8"/>
    <w:rsid w:val="0076791E"/>
    <w:rsid w:val="00770290"/>
    <w:rsid w:val="007711D2"/>
    <w:rsid w:val="0077359D"/>
    <w:rsid w:val="0077394A"/>
    <w:rsid w:val="00773EBD"/>
    <w:rsid w:val="007747A6"/>
    <w:rsid w:val="00775410"/>
    <w:rsid w:val="00775F4C"/>
    <w:rsid w:val="00776D32"/>
    <w:rsid w:val="00777175"/>
    <w:rsid w:val="00777280"/>
    <w:rsid w:val="00780283"/>
    <w:rsid w:val="0078064B"/>
    <w:rsid w:val="007813EB"/>
    <w:rsid w:val="007826E9"/>
    <w:rsid w:val="0078278B"/>
    <w:rsid w:val="0078360D"/>
    <w:rsid w:val="007868EB"/>
    <w:rsid w:val="00786DB2"/>
    <w:rsid w:val="007871E2"/>
    <w:rsid w:val="007910F0"/>
    <w:rsid w:val="00791D48"/>
    <w:rsid w:val="007927E6"/>
    <w:rsid w:val="007934E6"/>
    <w:rsid w:val="0079373E"/>
    <w:rsid w:val="00793DDD"/>
    <w:rsid w:val="007953A9"/>
    <w:rsid w:val="00795654"/>
    <w:rsid w:val="00796D5E"/>
    <w:rsid w:val="007A11A2"/>
    <w:rsid w:val="007A2B1F"/>
    <w:rsid w:val="007A44F1"/>
    <w:rsid w:val="007A533A"/>
    <w:rsid w:val="007A6428"/>
    <w:rsid w:val="007A714B"/>
    <w:rsid w:val="007A7C70"/>
    <w:rsid w:val="007B0D4F"/>
    <w:rsid w:val="007B5399"/>
    <w:rsid w:val="007B61F2"/>
    <w:rsid w:val="007B6CEC"/>
    <w:rsid w:val="007B6EAB"/>
    <w:rsid w:val="007B7482"/>
    <w:rsid w:val="007B76DA"/>
    <w:rsid w:val="007C0B74"/>
    <w:rsid w:val="007C0CA2"/>
    <w:rsid w:val="007C1111"/>
    <w:rsid w:val="007C29F0"/>
    <w:rsid w:val="007C3588"/>
    <w:rsid w:val="007C388E"/>
    <w:rsid w:val="007C3DE6"/>
    <w:rsid w:val="007C5656"/>
    <w:rsid w:val="007C661F"/>
    <w:rsid w:val="007C7D22"/>
    <w:rsid w:val="007D044F"/>
    <w:rsid w:val="007D2597"/>
    <w:rsid w:val="007D2858"/>
    <w:rsid w:val="007D31DA"/>
    <w:rsid w:val="007D3325"/>
    <w:rsid w:val="007D351D"/>
    <w:rsid w:val="007D45D6"/>
    <w:rsid w:val="007D6690"/>
    <w:rsid w:val="007E1932"/>
    <w:rsid w:val="007E23D8"/>
    <w:rsid w:val="007E3558"/>
    <w:rsid w:val="007E4D36"/>
    <w:rsid w:val="007E5770"/>
    <w:rsid w:val="007E583C"/>
    <w:rsid w:val="007E6638"/>
    <w:rsid w:val="007E6880"/>
    <w:rsid w:val="007E7574"/>
    <w:rsid w:val="007E7DFF"/>
    <w:rsid w:val="007F013B"/>
    <w:rsid w:val="007F3A35"/>
    <w:rsid w:val="007F3AD6"/>
    <w:rsid w:val="007F6525"/>
    <w:rsid w:val="007F7888"/>
    <w:rsid w:val="007F7BBE"/>
    <w:rsid w:val="007F7F26"/>
    <w:rsid w:val="008014A8"/>
    <w:rsid w:val="00801787"/>
    <w:rsid w:val="00802AC5"/>
    <w:rsid w:val="00802CAB"/>
    <w:rsid w:val="00803906"/>
    <w:rsid w:val="00804F76"/>
    <w:rsid w:val="00805458"/>
    <w:rsid w:val="00807C83"/>
    <w:rsid w:val="008109C1"/>
    <w:rsid w:val="00810A79"/>
    <w:rsid w:val="00811206"/>
    <w:rsid w:val="00811DD2"/>
    <w:rsid w:val="00813894"/>
    <w:rsid w:val="00813924"/>
    <w:rsid w:val="008152E3"/>
    <w:rsid w:val="00816039"/>
    <w:rsid w:val="008162AA"/>
    <w:rsid w:val="00816A37"/>
    <w:rsid w:val="00821013"/>
    <w:rsid w:val="00821A0D"/>
    <w:rsid w:val="00823636"/>
    <w:rsid w:val="00823822"/>
    <w:rsid w:val="00823C10"/>
    <w:rsid w:val="008257EB"/>
    <w:rsid w:val="00827631"/>
    <w:rsid w:val="00830AE0"/>
    <w:rsid w:val="0083180F"/>
    <w:rsid w:val="00832BB9"/>
    <w:rsid w:val="0083408F"/>
    <w:rsid w:val="00834E99"/>
    <w:rsid w:val="0083696F"/>
    <w:rsid w:val="00836E04"/>
    <w:rsid w:val="008406D3"/>
    <w:rsid w:val="00840F7D"/>
    <w:rsid w:val="008414D7"/>
    <w:rsid w:val="00841863"/>
    <w:rsid w:val="008465B5"/>
    <w:rsid w:val="00847629"/>
    <w:rsid w:val="00847741"/>
    <w:rsid w:val="00847B51"/>
    <w:rsid w:val="00847CF7"/>
    <w:rsid w:val="0085324F"/>
    <w:rsid w:val="0085350A"/>
    <w:rsid w:val="008566AE"/>
    <w:rsid w:val="008569DB"/>
    <w:rsid w:val="00857284"/>
    <w:rsid w:val="008578DC"/>
    <w:rsid w:val="00860A46"/>
    <w:rsid w:val="00861B29"/>
    <w:rsid w:val="008622C1"/>
    <w:rsid w:val="00862DBE"/>
    <w:rsid w:val="00863F9B"/>
    <w:rsid w:val="00864BB8"/>
    <w:rsid w:val="008666AC"/>
    <w:rsid w:val="0087052B"/>
    <w:rsid w:val="00870626"/>
    <w:rsid w:val="00871730"/>
    <w:rsid w:val="00874C45"/>
    <w:rsid w:val="008752A1"/>
    <w:rsid w:val="00875934"/>
    <w:rsid w:val="00877757"/>
    <w:rsid w:val="00880283"/>
    <w:rsid w:val="00881073"/>
    <w:rsid w:val="0088244E"/>
    <w:rsid w:val="00883590"/>
    <w:rsid w:val="008843AA"/>
    <w:rsid w:val="00885147"/>
    <w:rsid w:val="008854C8"/>
    <w:rsid w:val="00885526"/>
    <w:rsid w:val="00885AE3"/>
    <w:rsid w:val="008869D0"/>
    <w:rsid w:val="00887256"/>
    <w:rsid w:val="0089156E"/>
    <w:rsid w:val="0089169F"/>
    <w:rsid w:val="00891D48"/>
    <w:rsid w:val="008935B8"/>
    <w:rsid w:val="008940DA"/>
    <w:rsid w:val="008952BB"/>
    <w:rsid w:val="008952C9"/>
    <w:rsid w:val="00895738"/>
    <w:rsid w:val="008974DB"/>
    <w:rsid w:val="00897F89"/>
    <w:rsid w:val="008A0DB5"/>
    <w:rsid w:val="008A13F2"/>
    <w:rsid w:val="008A33AA"/>
    <w:rsid w:val="008A4118"/>
    <w:rsid w:val="008A52AC"/>
    <w:rsid w:val="008A539F"/>
    <w:rsid w:val="008A57C7"/>
    <w:rsid w:val="008B2EC6"/>
    <w:rsid w:val="008B3698"/>
    <w:rsid w:val="008B38C0"/>
    <w:rsid w:val="008B3A65"/>
    <w:rsid w:val="008B5846"/>
    <w:rsid w:val="008B6549"/>
    <w:rsid w:val="008C2F4C"/>
    <w:rsid w:val="008C45B4"/>
    <w:rsid w:val="008C5CA7"/>
    <w:rsid w:val="008C5EB7"/>
    <w:rsid w:val="008D04A8"/>
    <w:rsid w:val="008D1FA4"/>
    <w:rsid w:val="008D1FCB"/>
    <w:rsid w:val="008D3E16"/>
    <w:rsid w:val="008D5677"/>
    <w:rsid w:val="008D6F0A"/>
    <w:rsid w:val="008E0254"/>
    <w:rsid w:val="008E0F90"/>
    <w:rsid w:val="008E133E"/>
    <w:rsid w:val="008E13A4"/>
    <w:rsid w:val="008E160F"/>
    <w:rsid w:val="008E1D62"/>
    <w:rsid w:val="008E2C99"/>
    <w:rsid w:val="008E3D57"/>
    <w:rsid w:val="008E5D4C"/>
    <w:rsid w:val="008E5EC1"/>
    <w:rsid w:val="008E75D7"/>
    <w:rsid w:val="008E7B9A"/>
    <w:rsid w:val="008F0EA8"/>
    <w:rsid w:val="008F1F5B"/>
    <w:rsid w:val="008F1FBE"/>
    <w:rsid w:val="008F3A3D"/>
    <w:rsid w:val="008F4104"/>
    <w:rsid w:val="008F5D9A"/>
    <w:rsid w:val="008F609C"/>
    <w:rsid w:val="008F784B"/>
    <w:rsid w:val="00900725"/>
    <w:rsid w:val="00901242"/>
    <w:rsid w:val="00901B12"/>
    <w:rsid w:val="00901DE6"/>
    <w:rsid w:val="00902A97"/>
    <w:rsid w:val="00902EEE"/>
    <w:rsid w:val="00902F4D"/>
    <w:rsid w:val="009036CA"/>
    <w:rsid w:val="00903E8A"/>
    <w:rsid w:val="0090539B"/>
    <w:rsid w:val="00905B96"/>
    <w:rsid w:val="00906199"/>
    <w:rsid w:val="00911506"/>
    <w:rsid w:val="00912EC6"/>
    <w:rsid w:val="0091313B"/>
    <w:rsid w:val="009152B9"/>
    <w:rsid w:val="00916A69"/>
    <w:rsid w:val="00920815"/>
    <w:rsid w:val="00921520"/>
    <w:rsid w:val="00921FAF"/>
    <w:rsid w:val="0092239C"/>
    <w:rsid w:val="0092280D"/>
    <w:rsid w:val="00922955"/>
    <w:rsid w:val="00923A3A"/>
    <w:rsid w:val="00924B03"/>
    <w:rsid w:val="00925DD9"/>
    <w:rsid w:val="009269A1"/>
    <w:rsid w:val="00930E76"/>
    <w:rsid w:val="00931251"/>
    <w:rsid w:val="00932E16"/>
    <w:rsid w:val="00933E01"/>
    <w:rsid w:val="00934780"/>
    <w:rsid w:val="009352E0"/>
    <w:rsid w:val="00936137"/>
    <w:rsid w:val="009364DC"/>
    <w:rsid w:val="00936CA5"/>
    <w:rsid w:val="009378F8"/>
    <w:rsid w:val="00940212"/>
    <w:rsid w:val="009438CE"/>
    <w:rsid w:val="00943C63"/>
    <w:rsid w:val="009457B0"/>
    <w:rsid w:val="0095047D"/>
    <w:rsid w:val="00950826"/>
    <w:rsid w:val="00952D03"/>
    <w:rsid w:val="00953037"/>
    <w:rsid w:val="009538B2"/>
    <w:rsid w:val="00953F46"/>
    <w:rsid w:val="009544E6"/>
    <w:rsid w:val="0095466C"/>
    <w:rsid w:val="00954E96"/>
    <w:rsid w:val="009562D1"/>
    <w:rsid w:val="009605CB"/>
    <w:rsid w:val="009646A5"/>
    <w:rsid w:val="00965298"/>
    <w:rsid w:val="009659ED"/>
    <w:rsid w:val="00965B1C"/>
    <w:rsid w:val="00966B41"/>
    <w:rsid w:val="00967D17"/>
    <w:rsid w:val="009711A2"/>
    <w:rsid w:val="0097137A"/>
    <w:rsid w:val="00971813"/>
    <w:rsid w:val="00971FBE"/>
    <w:rsid w:val="009720E2"/>
    <w:rsid w:val="00975119"/>
    <w:rsid w:val="009751F4"/>
    <w:rsid w:val="00975348"/>
    <w:rsid w:val="00976963"/>
    <w:rsid w:val="009770C6"/>
    <w:rsid w:val="0098063C"/>
    <w:rsid w:val="009809BC"/>
    <w:rsid w:val="009811ED"/>
    <w:rsid w:val="00981732"/>
    <w:rsid w:val="009833CA"/>
    <w:rsid w:val="009871F4"/>
    <w:rsid w:val="009907FF"/>
    <w:rsid w:val="00991269"/>
    <w:rsid w:val="00992665"/>
    <w:rsid w:val="00995909"/>
    <w:rsid w:val="00995A8D"/>
    <w:rsid w:val="00995D5B"/>
    <w:rsid w:val="00996139"/>
    <w:rsid w:val="009977E4"/>
    <w:rsid w:val="009A0E4D"/>
    <w:rsid w:val="009A2FFE"/>
    <w:rsid w:val="009A3A1B"/>
    <w:rsid w:val="009A5349"/>
    <w:rsid w:val="009A5904"/>
    <w:rsid w:val="009A60B9"/>
    <w:rsid w:val="009A6DE0"/>
    <w:rsid w:val="009A77CA"/>
    <w:rsid w:val="009B0C31"/>
    <w:rsid w:val="009B1AC5"/>
    <w:rsid w:val="009B363D"/>
    <w:rsid w:val="009B4906"/>
    <w:rsid w:val="009B5469"/>
    <w:rsid w:val="009B7B05"/>
    <w:rsid w:val="009C00B7"/>
    <w:rsid w:val="009C1A5C"/>
    <w:rsid w:val="009C2ECE"/>
    <w:rsid w:val="009C2F22"/>
    <w:rsid w:val="009C33E7"/>
    <w:rsid w:val="009C3ABF"/>
    <w:rsid w:val="009C4791"/>
    <w:rsid w:val="009C5044"/>
    <w:rsid w:val="009C504E"/>
    <w:rsid w:val="009C67C0"/>
    <w:rsid w:val="009D1234"/>
    <w:rsid w:val="009D14EC"/>
    <w:rsid w:val="009D160C"/>
    <w:rsid w:val="009D1717"/>
    <w:rsid w:val="009D413E"/>
    <w:rsid w:val="009D442B"/>
    <w:rsid w:val="009D5396"/>
    <w:rsid w:val="009D6C5D"/>
    <w:rsid w:val="009D7309"/>
    <w:rsid w:val="009E0F6C"/>
    <w:rsid w:val="009E1183"/>
    <w:rsid w:val="009E2629"/>
    <w:rsid w:val="009E2CA9"/>
    <w:rsid w:val="009E2F1C"/>
    <w:rsid w:val="009E3442"/>
    <w:rsid w:val="009E3E9D"/>
    <w:rsid w:val="009E76E4"/>
    <w:rsid w:val="009F14E1"/>
    <w:rsid w:val="009F1FF6"/>
    <w:rsid w:val="009F5978"/>
    <w:rsid w:val="009F5FBA"/>
    <w:rsid w:val="009F652A"/>
    <w:rsid w:val="009F6E64"/>
    <w:rsid w:val="009F7155"/>
    <w:rsid w:val="009F71E0"/>
    <w:rsid w:val="00A023F1"/>
    <w:rsid w:val="00A030F6"/>
    <w:rsid w:val="00A0343E"/>
    <w:rsid w:val="00A035F1"/>
    <w:rsid w:val="00A039B0"/>
    <w:rsid w:val="00A04D75"/>
    <w:rsid w:val="00A05263"/>
    <w:rsid w:val="00A05771"/>
    <w:rsid w:val="00A06B6F"/>
    <w:rsid w:val="00A10390"/>
    <w:rsid w:val="00A10CC6"/>
    <w:rsid w:val="00A1182F"/>
    <w:rsid w:val="00A11915"/>
    <w:rsid w:val="00A119BB"/>
    <w:rsid w:val="00A11DC5"/>
    <w:rsid w:val="00A12B93"/>
    <w:rsid w:val="00A1324D"/>
    <w:rsid w:val="00A16113"/>
    <w:rsid w:val="00A17254"/>
    <w:rsid w:val="00A1740C"/>
    <w:rsid w:val="00A178D0"/>
    <w:rsid w:val="00A17EB3"/>
    <w:rsid w:val="00A20877"/>
    <w:rsid w:val="00A216BE"/>
    <w:rsid w:val="00A21749"/>
    <w:rsid w:val="00A22FB7"/>
    <w:rsid w:val="00A23A5F"/>
    <w:rsid w:val="00A23AD2"/>
    <w:rsid w:val="00A2755A"/>
    <w:rsid w:val="00A275B9"/>
    <w:rsid w:val="00A27611"/>
    <w:rsid w:val="00A301C6"/>
    <w:rsid w:val="00A305A2"/>
    <w:rsid w:val="00A3167D"/>
    <w:rsid w:val="00A321ED"/>
    <w:rsid w:val="00A322A7"/>
    <w:rsid w:val="00A34C24"/>
    <w:rsid w:val="00A34E6A"/>
    <w:rsid w:val="00A35017"/>
    <w:rsid w:val="00A3607E"/>
    <w:rsid w:val="00A36B2A"/>
    <w:rsid w:val="00A37205"/>
    <w:rsid w:val="00A37EB2"/>
    <w:rsid w:val="00A4139E"/>
    <w:rsid w:val="00A41F68"/>
    <w:rsid w:val="00A44EA0"/>
    <w:rsid w:val="00A4507C"/>
    <w:rsid w:val="00A452E4"/>
    <w:rsid w:val="00A47E6B"/>
    <w:rsid w:val="00A50AD5"/>
    <w:rsid w:val="00A545D6"/>
    <w:rsid w:val="00A563F9"/>
    <w:rsid w:val="00A57604"/>
    <w:rsid w:val="00A6056E"/>
    <w:rsid w:val="00A60B61"/>
    <w:rsid w:val="00A61874"/>
    <w:rsid w:val="00A61D69"/>
    <w:rsid w:val="00A62C6A"/>
    <w:rsid w:val="00A64818"/>
    <w:rsid w:val="00A6721C"/>
    <w:rsid w:val="00A672B7"/>
    <w:rsid w:val="00A67B8D"/>
    <w:rsid w:val="00A70066"/>
    <w:rsid w:val="00A718DE"/>
    <w:rsid w:val="00A71E08"/>
    <w:rsid w:val="00A740C3"/>
    <w:rsid w:val="00A74677"/>
    <w:rsid w:val="00A74A0B"/>
    <w:rsid w:val="00A751DF"/>
    <w:rsid w:val="00A774B1"/>
    <w:rsid w:val="00A776B9"/>
    <w:rsid w:val="00A803CF"/>
    <w:rsid w:val="00A80C1B"/>
    <w:rsid w:val="00A814D9"/>
    <w:rsid w:val="00A815E3"/>
    <w:rsid w:val="00A82B91"/>
    <w:rsid w:val="00A83FF8"/>
    <w:rsid w:val="00A845D3"/>
    <w:rsid w:val="00A85E05"/>
    <w:rsid w:val="00A862BF"/>
    <w:rsid w:val="00A91608"/>
    <w:rsid w:val="00A916D3"/>
    <w:rsid w:val="00A916D8"/>
    <w:rsid w:val="00A92769"/>
    <w:rsid w:val="00AA0082"/>
    <w:rsid w:val="00AA0917"/>
    <w:rsid w:val="00AA0BCB"/>
    <w:rsid w:val="00AA1335"/>
    <w:rsid w:val="00AA26FB"/>
    <w:rsid w:val="00AA2E95"/>
    <w:rsid w:val="00AA40FE"/>
    <w:rsid w:val="00AA42FF"/>
    <w:rsid w:val="00AA5B79"/>
    <w:rsid w:val="00AB0625"/>
    <w:rsid w:val="00AB0FB6"/>
    <w:rsid w:val="00AB1308"/>
    <w:rsid w:val="00AB3060"/>
    <w:rsid w:val="00AB441B"/>
    <w:rsid w:val="00AB50D2"/>
    <w:rsid w:val="00AB7E1E"/>
    <w:rsid w:val="00AC01C9"/>
    <w:rsid w:val="00AC0327"/>
    <w:rsid w:val="00AC1E11"/>
    <w:rsid w:val="00AC1FFD"/>
    <w:rsid w:val="00AC2267"/>
    <w:rsid w:val="00AC24A9"/>
    <w:rsid w:val="00AC2863"/>
    <w:rsid w:val="00AC31F5"/>
    <w:rsid w:val="00AC3D55"/>
    <w:rsid w:val="00AC61B5"/>
    <w:rsid w:val="00AD073E"/>
    <w:rsid w:val="00AD0EE0"/>
    <w:rsid w:val="00AD146F"/>
    <w:rsid w:val="00AD2368"/>
    <w:rsid w:val="00AD260E"/>
    <w:rsid w:val="00AD3DB4"/>
    <w:rsid w:val="00AD477F"/>
    <w:rsid w:val="00AD4DFE"/>
    <w:rsid w:val="00AD4F6D"/>
    <w:rsid w:val="00AD522C"/>
    <w:rsid w:val="00AD5552"/>
    <w:rsid w:val="00AD67FD"/>
    <w:rsid w:val="00AD69D5"/>
    <w:rsid w:val="00AD70D1"/>
    <w:rsid w:val="00AE0CBF"/>
    <w:rsid w:val="00AE2779"/>
    <w:rsid w:val="00AE5B24"/>
    <w:rsid w:val="00AE7E65"/>
    <w:rsid w:val="00AF09F5"/>
    <w:rsid w:val="00AF2747"/>
    <w:rsid w:val="00AF3822"/>
    <w:rsid w:val="00AF3988"/>
    <w:rsid w:val="00AF44B8"/>
    <w:rsid w:val="00AF4B47"/>
    <w:rsid w:val="00AF526E"/>
    <w:rsid w:val="00AF5587"/>
    <w:rsid w:val="00AF7B50"/>
    <w:rsid w:val="00AF7FC8"/>
    <w:rsid w:val="00B001A3"/>
    <w:rsid w:val="00B00C4A"/>
    <w:rsid w:val="00B00CBE"/>
    <w:rsid w:val="00B019DC"/>
    <w:rsid w:val="00B01D9A"/>
    <w:rsid w:val="00B04540"/>
    <w:rsid w:val="00B050F9"/>
    <w:rsid w:val="00B05258"/>
    <w:rsid w:val="00B05869"/>
    <w:rsid w:val="00B06263"/>
    <w:rsid w:val="00B06B7D"/>
    <w:rsid w:val="00B07618"/>
    <w:rsid w:val="00B10678"/>
    <w:rsid w:val="00B11CAB"/>
    <w:rsid w:val="00B121C2"/>
    <w:rsid w:val="00B13653"/>
    <w:rsid w:val="00B14064"/>
    <w:rsid w:val="00B142B8"/>
    <w:rsid w:val="00B16753"/>
    <w:rsid w:val="00B17C5B"/>
    <w:rsid w:val="00B20B42"/>
    <w:rsid w:val="00B2150C"/>
    <w:rsid w:val="00B24CC9"/>
    <w:rsid w:val="00B24DC1"/>
    <w:rsid w:val="00B25A60"/>
    <w:rsid w:val="00B25CFF"/>
    <w:rsid w:val="00B25F69"/>
    <w:rsid w:val="00B25F85"/>
    <w:rsid w:val="00B265D1"/>
    <w:rsid w:val="00B268C3"/>
    <w:rsid w:val="00B27627"/>
    <w:rsid w:val="00B30ABB"/>
    <w:rsid w:val="00B3135F"/>
    <w:rsid w:val="00B313A5"/>
    <w:rsid w:val="00B3186B"/>
    <w:rsid w:val="00B32AC2"/>
    <w:rsid w:val="00B349C5"/>
    <w:rsid w:val="00B34C6F"/>
    <w:rsid w:val="00B357F7"/>
    <w:rsid w:val="00B400D6"/>
    <w:rsid w:val="00B40652"/>
    <w:rsid w:val="00B40A61"/>
    <w:rsid w:val="00B40A8C"/>
    <w:rsid w:val="00B40D14"/>
    <w:rsid w:val="00B40ED9"/>
    <w:rsid w:val="00B429B2"/>
    <w:rsid w:val="00B45110"/>
    <w:rsid w:val="00B459FA"/>
    <w:rsid w:val="00B514B1"/>
    <w:rsid w:val="00B52FA5"/>
    <w:rsid w:val="00B53315"/>
    <w:rsid w:val="00B55A00"/>
    <w:rsid w:val="00B60017"/>
    <w:rsid w:val="00B60400"/>
    <w:rsid w:val="00B60798"/>
    <w:rsid w:val="00B612E1"/>
    <w:rsid w:val="00B61C92"/>
    <w:rsid w:val="00B61EF0"/>
    <w:rsid w:val="00B61F6C"/>
    <w:rsid w:val="00B6354F"/>
    <w:rsid w:val="00B6359B"/>
    <w:rsid w:val="00B63677"/>
    <w:rsid w:val="00B640B7"/>
    <w:rsid w:val="00B6474C"/>
    <w:rsid w:val="00B6561E"/>
    <w:rsid w:val="00B65872"/>
    <w:rsid w:val="00B66098"/>
    <w:rsid w:val="00B67D2E"/>
    <w:rsid w:val="00B716A1"/>
    <w:rsid w:val="00B719C5"/>
    <w:rsid w:val="00B74175"/>
    <w:rsid w:val="00B741C4"/>
    <w:rsid w:val="00B7555D"/>
    <w:rsid w:val="00B75BCE"/>
    <w:rsid w:val="00B76AED"/>
    <w:rsid w:val="00B76D83"/>
    <w:rsid w:val="00B8090C"/>
    <w:rsid w:val="00B811FA"/>
    <w:rsid w:val="00B8222F"/>
    <w:rsid w:val="00B8351B"/>
    <w:rsid w:val="00B83549"/>
    <w:rsid w:val="00B854B8"/>
    <w:rsid w:val="00B8639C"/>
    <w:rsid w:val="00B8639E"/>
    <w:rsid w:val="00B909E8"/>
    <w:rsid w:val="00B9195C"/>
    <w:rsid w:val="00B946F5"/>
    <w:rsid w:val="00B952C9"/>
    <w:rsid w:val="00B96206"/>
    <w:rsid w:val="00B975E0"/>
    <w:rsid w:val="00BA0AAE"/>
    <w:rsid w:val="00BA0EBC"/>
    <w:rsid w:val="00BA1D3A"/>
    <w:rsid w:val="00BA21DD"/>
    <w:rsid w:val="00BA3978"/>
    <w:rsid w:val="00BA3B82"/>
    <w:rsid w:val="00BA4FA0"/>
    <w:rsid w:val="00BA5F41"/>
    <w:rsid w:val="00BB032E"/>
    <w:rsid w:val="00BB33B8"/>
    <w:rsid w:val="00BB34B4"/>
    <w:rsid w:val="00BB36F8"/>
    <w:rsid w:val="00BB51C1"/>
    <w:rsid w:val="00BB5757"/>
    <w:rsid w:val="00BB6395"/>
    <w:rsid w:val="00BB6FFD"/>
    <w:rsid w:val="00BB7884"/>
    <w:rsid w:val="00BB7E2C"/>
    <w:rsid w:val="00BB7F55"/>
    <w:rsid w:val="00BC31B5"/>
    <w:rsid w:val="00BC3E1D"/>
    <w:rsid w:val="00BC55FD"/>
    <w:rsid w:val="00BC6741"/>
    <w:rsid w:val="00BC7796"/>
    <w:rsid w:val="00BD1010"/>
    <w:rsid w:val="00BD11F8"/>
    <w:rsid w:val="00BD1A54"/>
    <w:rsid w:val="00BD210A"/>
    <w:rsid w:val="00BD2454"/>
    <w:rsid w:val="00BD2946"/>
    <w:rsid w:val="00BD44FD"/>
    <w:rsid w:val="00BD4F34"/>
    <w:rsid w:val="00BD54A2"/>
    <w:rsid w:val="00BD633C"/>
    <w:rsid w:val="00BD7342"/>
    <w:rsid w:val="00BD74A8"/>
    <w:rsid w:val="00BD7BFD"/>
    <w:rsid w:val="00BE02B6"/>
    <w:rsid w:val="00BE0E03"/>
    <w:rsid w:val="00BE194E"/>
    <w:rsid w:val="00BE29F5"/>
    <w:rsid w:val="00BE353C"/>
    <w:rsid w:val="00BE567C"/>
    <w:rsid w:val="00BE6727"/>
    <w:rsid w:val="00BE7E42"/>
    <w:rsid w:val="00BF0F56"/>
    <w:rsid w:val="00BF322D"/>
    <w:rsid w:val="00BF6E7E"/>
    <w:rsid w:val="00BF6EC2"/>
    <w:rsid w:val="00C0220D"/>
    <w:rsid w:val="00C02667"/>
    <w:rsid w:val="00C0465E"/>
    <w:rsid w:val="00C05836"/>
    <w:rsid w:val="00C07250"/>
    <w:rsid w:val="00C07A12"/>
    <w:rsid w:val="00C10B79"/>
    <w:rsid w:val="00C11266"/>
    <w:rsid w:val="00C118CD"/>
    <w:rsid w:val="00C12DCF"/>
    <w:rsid w:val="00C15DF8"/>
    <w:rsid w:val="00C177F4"/>
    <w:rsid w:val="00C203C0"/>
    <w:rsid w:val="00C217E5"/>
    <w:rsid w:val="00C21EA6"/>
    <w:rsid w:val="00C231ED"/>
    <w:rsid w:val="00C23BD6"/>
    <w:rsid w:val="00C23EF1"/>
    <w:rsid w:val="00C2568A"/>
    <w:rsid w:val="00C257E1"/>
    <w:rsid w:val="00C26F95"/>
    <w:rsid w:val="00C321E2"/>
    <w:rsid w:val="00C32CA8"/>
    <w:rsid w:val="00C34523"/>
    <w:rsid w:val="00C351C6"/>
    <w:rsid w:val="00C35F5F"/>
    <w:rsid w:val="00C35FAC"/>
    <w:rsid w:val="00C36865"/>
    <w:rsid w:val="00C401DE"/>
    <w:rsid w:val="00C40D2C"/>
    <w:rsid w:val="00C40E62"/>
    <w:rsid w:val="00C40EA5"/>
    <w:rsid w:val="00C44326"/>
    <w:rsid w:val="00C44608"/>
    <w:rsid w:val="00C46B91"/>
    <w:rsid w:val="00C46D06"/>
    <w:rsid w:val="00C47C42"/>
    <w:rsid w:val="00C50225"/>
    <w:rsid w:val="00C5080D"/>
    <w:rsid w:val="00C50A69"/>
    <w:rsid w:val="00C50CC7"/>
    <w:rsid w:val="00C50D4D"/>
    <w:rsid w:val="00C51077"/>
    <w:rsid w:val="00C53495"/>
    <w:rsid w:val="00C56468"/>
    <w:rsid w:val="00C5699C"/>
    <w:rsid w:val="00C57C4B"/>
    <w:rsid w:val="00C604AC"/>
    <w:rsid w:val="00C613F8"/>
    <w:rsid w:val="00C622E1"/>
    <w:rsid w:val="00C641C2"/>
    <w:rsid w:val="00C649D8"/>
    <w:rsid w:val="00C6737C"/>
    <w:rsid w:val="00C67C10"/>
    <w:rsid w:val="00C729EE"/>
    <w:rsid w:val="00C72F45"/>
    <w:rsid w:val="00C74CD7"/>
    <w:rsid w:val="00C7568F"/>
    <w:rsid w:val="00C81534"/>
    <w:rsid w:val="00C83385"/>
    <w:rsid w:val="00C844FC"/>
    <w:rsid w:val="00C847D6"/>
    <w:rsid w:val="00C84CB2"/>
    <w:rsid w:val="00C854CB"/>
    <w:rsid w:val="00C85D8F"/>
    <w:rsid w:val="00C86076"/>
    <w:rsid w:val="00C86422"/>
    <w:rsid w:val="00C90CB5"/>
    <w:rsid w:val="00C92639"/>
    <w:rsid w:val="00C95795"/>
    <w:rsid w:val="00C968CC"/>
    <w:rsid w:val="00C970A2"/>
    <w:rsid w:val="00C979E4"/>
    <w:rsid w:val="00CA240A"/>
    <w:rsid w:val="00CA3DA7"/>
    <w:rsid w:val="00CA4597"/>
    <w:rsid w:val="00CA5137"/>
    <w:rsid w:val="00CA529F"/>
    <w:rsid w:val="00CA79D8"/>
    <w:rsid w:val="00CB0134"/>
    <w:rsid w:val="00CB0497"/>
    <w:rsid w:val="00CB1E88"/>
    <w:rsid w:val="00CB4929"/>
    <w:rsid w:val="00CB4B24"/>
    <w:rsid w:val="00CB500B"/>
    <w:rsid w:val="00CB5030"/>
    <w:rsid w:val="00CB59FE"/>
    <w:rsid w:val="00CB64E9"/>
    <w:rsid w:val="00CB6EFD"/>
    <w:rsid w:val="00CB7A7A"/>
    <w:rsid w:val="00CB7BA8"/>
    <w:rsid w:val="00CC08B8"/>
    <w:rsid w:val="00CC08FD"/>
    <w:rsid w:val="00CC0C09"/>
    <w:rsid w:val="00CC0F6A"/>
    <w:rsid w:val="00CC2A02"/>
    <w:rsid w:val="00CC42B6"/>
    <w:rsid w:val="00CC5377"/>
    <w:rsid w:val="00CC5C3F"/>
    <w:rsid w:val="00CC6774"/>
    <w:rsid w:val="00CC689C"/>
    <w:rsid w:val="00CC7B03"/>
    <w:rsid w:val="00CD005C"/>
    <w:rsid w:val="00CD0E40"/>
    <w:rsid w:val="00CD1756"/>
    <w:rsid w:val="00CD50E7"/>
    <w:rsid w:val="00CD50EE"/>
    <w:rsid w:val="00CE00FE"/>
    <w:rsid w:val="00CE0A63"/>
    <w:rsid w:val="00CE0D64"/>
    <w:rsid w:val="00CE1174"/>
    <w:rsid w:val="00CE3A87"/>
    <w:rsid w:val="00CE57A9"/>
    <w:rsid w:val="00CE7A44"/>
    <w:rsid w:val="00CE7F95"/>
    <w:rsid w:val="00CF1C36"/>
    <w:rsid w:val="00CF1D27"/>
    <w:rsid w:val="00CF3A2B"/>
    <w:rsid w:val="00CF4356"/>
    <w:rsid w:val="00D02DCD"/>
    <w:rsid w:val="00D03C6C"/>
    <w:rsid w:val="00D03CD7"/>
    <w:rsid w:val="00D06228"/>
    <w:rsid w:val="00D0624A"/>
    <w:rsid w:val="00D0710D"/>
    <w:rsid w:val="00D1000E"/>
    <w:rsid w:val="00D104A1"/>
    <w:rsid w:val="00D13EB5"/>
    <w:rsid w:val="00D143B2"/>
    <w:rsid w:val="00D15361"/>
    <w:rsid w:val="00D16B85"/>
    <w:rsid w:val="00D171EE"/>
    <w:rsid w:val="00D17C48"/>
    <w:rsid w:val="00D2039F"/>
    <w:rsid w:val="00D217D1"/>
    <w:rsid w:val="00D21D42"/>
    <w:rsid w:val="00D21E64"/>
    <w:rsid w:val="00D22721"/>
    <w:rsid w:val="00D23A79"/>
    <w:rsid w:val="00D23B38"/>
    <w:rsid w:val="00D241AE"/>
    <w:rsid w:val="00D24D57"/>
    <w:rsid w:val="00D24FCF"/>
    <w:rsid w:val="00D25344"/>
    <w:rsid w:val="00D25463"/>
    <w:rsid w:val="00D26D24"/>
    <w:rsid w:val="00D30DE9"/>
    <w:rsid w:val="00D31D46"/>
    <w:rsid w:val="00D31E32"/>
    <w:rsid w:val="00D326EB"/>
    <w:rsid w:val="00D329A7"/>
    <w:rsid w:val="00D32D1C"/>
    <w:rsid w:val="00D344C2"/>
    <w:rsid w:val="00D353D9"/>
    <w:rsid w:val="00D35549"/>
    <w:rsid w:val="00D36005"/>
    <w:rsid w:val="00D37B00"/>
    <w:rsid w:val="00D40490"/>
    <w:rsid w:val="00D4333A"/>
    <w:rsid w:val="00D454DF"/>
    <w:rsid w:val="00D479B1"/>
    <w:rsid w:val="00D51703"/>
    <w:rsid w:val="00D51B22"/>
    <w:rsid w:val="00D523DD"/>
    <w:rsid w:val="00D5255B"/>
    <w:rsid w:val="00D53087"/>
    <w:rsid w:val="00D53391"/>
    <w:rsid w:val="00D537F8"/>
    <w:rsid w:val="00D53F67"/>
    <w:rsid w:val="00D55010"/>
    <w:rsid w:val="00D60978"/>
    <w:rsid w:val="00D61046"/>
    <w:rsid w:val="00D619C5"/>
    <w:rsid w:val="00D619C9"/>
    <w:rsid w:val="00D61C6D"/>
    <w:rsid w:val="00D630BE"/>
    <w:rsid w:val="00D63F2C"/>
    <w:rsid w:val="00D641CF"/>
    <w:rsid w:val="00D647B5"/>
    <w:rsid w:val="00D6528E"/>
    <w:rsid w:val="00D65548"/>
    <w:rsid w:val="00D67649"/>
    <w:rsid w:val="00D70A5C"/>
    <w:rsid w:val="00D70BCE"/>
    <w:rsid w:val="00D70CED"/>
    <w:rsid w:val="00D72482"/>
    <w:rsid w:val="00D72824"/>
    <w:rsid w:val="00D72CDA"/>
    <w:rsid w:val="00D734F3"/>
    <w:rsid w:val="00D73809"/>
    <w:rsid w:val="00D7394F"/>
    <w:rsid w:val="00D739A8"/>
    <w:rsid w:val="00D73EA6"/>
    <w:rsid w:val="00D743EC"/>
    <w:rsid w:val="00D7589F"/>
    <w:rsid w:val="00D7730F"/>
    <w:rsid w:val="00D774DC"/>
    <w:rsid w:val="00D80079"/>
    <w:rsid w:val="00D81726"/>
    <w:rsid w:val="00D81A10"/>
    <w:rsid w:val="00D83C82"/>
    <w:rsid w:val="00D8469C"/>
    <w:rsid w:val="00D86F04"/>
    <w:rsid w:val="00D86F5F"/>
    <w:rsid w:val="00D9511F"/>
    <w:rsid w:val="00D96BD5"/>
    <w:rsid w:val="00DA150F"/>
    <w:rsid w:val="00DA1BCD"/>
    <w:rsid w:val="00DA48D3"/>
    <w:rsid w:val="00DA5E2E"/>
    <w:rsid w:val="00DA6E68"/>
    <w:rsid w:val="00DA6FF2"/>
    <w:rsid w:val="00DB0A0A"/>
    <w:rsid w:val="00DB15A6"/>
    <w:rsid w:val="00DB2D09"/>
    <w:rsid w:val="00DB4FAB"/>
    <w:rsid w:val="00DB7ADA"/>
    <w:rsid w:val="00DC02F6"/>
    <w:rsid w:val="00DC057E"/>
    <w:rsid w:val="00DC135C"/>
    <w:rsid w:val="00DC2762"/>
    <w:rsid w:val="00DC538D"/>
    <w:rsid w:val="00DC6E43"/>
    <w:rsid w:val="00DD1608"/>
    <w:rsid w:val="00DD1D38"/>
    <w:rsid w:val="00DD1EE7"/>
    <w:rsid w:val="00DD2E35"/>
    <w:rsid w:val="00DD3CFB"/>
    <w:rsid w:val="00DD5E35"/>
    <w:rsid w:val="00DD5FA1"/>
    <w:rsid w:val="00DE1505"/>
    <w:rsid w:val="00DE1A20"/>
    <w:rsid w:val="00DE285A"/>
    <w:rsid w:val="00DE34BD"/>
    <w:rsid w:val="00DE3538"/>
    <w:rsid w:val="00DE3D27"/>
    <w:rsid w:val="00DE5C2A"/>
    <w:rsid w:val="00DE612A"/>
    <w:rsid w:val="00DE7020"/>
    <w:rsid w:val="00DE7A47"/>
    <w:rsid w:val="00DF1127"/>
    <w:rsid w:val="00DF229C"/>
    <w:rsid w:val="00DF304C"/>
    <w:rsid w:val="00DF4169"/>
    <w:rsid w:val="00DF4AD0"/>
    <w:rsid w:val="00DF6289"/>
    <w:rsid w:val="00DF62E1"/>
    <w:rsid w:val="00E01842"/>
    <w:rsid w:val="00E0185C"/>
    <w:rsid w:val="00E02700"/>
    <w:rsid w:val="00E02BCC"/>
    <w:rsid w:val="00E030F3"/>
    <w:rsid w:val="00E03510"/>
    <w:rsid w:val="00E0488B"/>
    <w:rsid w:val="00E06121"/>
    <w:rsid w:val="00E06D32"/>
    <w:rsid w:val="00E10E54"/>
    <w:rsid w:val="00E115B8"/>
    <w:rsid w:val="00E11C48"/>
    <w:rsid w:val="00E13766"/>
    <w:rsid w:val="00E14BAB"/>
    <w:rsid w:val="00E14D44"/>
    <w:rsid w:val="00E15040"/>
    <w:rsid w:val="00E1581A"/>
    <w:rsid w:val="00E17844"/>
    <w:rsid w:val="00E228C6"/>
    <w:rsid w:val="00E22FB0"/>
    <w:rsid w:val="00E243D6"/>
    <w:rsid w:val="00E2523F"/>
    <w:rsid w:val="00E31C91"/>
    <w:rsid w:val="00E320DA"/>
    <w:rsid w:val="00E3264B"/>
    <w:rsid w:val="00E32B77"/>
    <w:rsid w:val="00E338FA"/>
    <w:rsid w:val="00E344DE"/>
    <w:rsid w:val="00E3537A"/>
    <w:rsid w:val="00E3597F"/>
    <w:rsid w:val="00E36666"/>
    <w:rsid w:val="00E4158B"/>
    <w:rsid w:val="00E42D8E"/>
    <w:rsid w:val="00E437B3"/>
    <w:rsid w:val="00E4386D"/>
    <w:rsid w:val="00E4592A"/>
    <w:rsid w:val="00E45EF0"/>
    <w:rsid w:val="00E50F42"/>
    <w:rsid w:val="00E52968"/>
    <w:rsid w:val="00E538B5"/>
    <w:rsid w:val="00E54B8A"/>
    <w:rsid w:val="00E55F8A"/>
    <w:rsid w:val="00E61BE3"/>
    <w:rsid w:val="00E65596"/>
    <w:rsid w:val="00E656B7"/>
    <w:rsid w:val="00E66513"/>
    <w:rsid w:val="00E6697E"/>
    <w:rsid w:val="00E66ADA"/>
    <w:rsid w:val="00E70355"/>
    <w:rsid w:val="00E70A84"/>
    <w:rsid w:val="00E70D46"/>
    <w:rsid w:val="00E70EDB"/>
    <w:rsid w:val="00E71BCB"/>
    <w:rsid w:val="00E724CF"/>
    <w:rsid w:val="00E7391D"/>
    <w:rsid w:val="00E73E15"/>
    <w:rsid w:val="00E74665"/>
    <w:rsid w:val="00E7469C"/>
    <w:rsid w:val="00E7474D"/>
    <w:rsid w:val="00E75ECF"/>
    <w:rsid w:val="00E77D07"/>
    <w:rsid w:val="00E8006C"/>
    <w:rsid w:val="00E8041F"/>
    <w:rsid w:val="00E81A85"/>
    <w:rsid w:val="00E838AE"/>
    <w:rsid w:val="00E83DC5"/>
    <w:rsid w:val="00E85E89"/>
    <w:rsid w:val="00E85F56"/>
    <w:rsid w:val="00E90FE7"/>
    <w:rsid w:val="00E91AC3"/>
    <w:rsid w:val="00E92F63"/>
    <w:rsid w:val="00E93E2C"/>
    <w:rsid w:val="00E9472D"/>
    <w:rsid w:val="00E9634F"/>
    <w:rsid w:val="00E96D10"/>
    <w:rsid w:val="00E972CD"/>
    <w:rsid w:val="00EA0373"/>
    <w:rsid w:val="00EA1E58"/>
    <w:rsid w:val="00EA3523"/>
    <w:rsid w:val="00EA52F6"/>
    <w:rsid w:val="00EA5822"/>
    <w:rsid w:val="00EA66F5"/>
    <w:rsid w:val="00EA6A0A"/>
    <w:rsid w:val="00EA7A62"/>
    <w:rsid w:val="00EA7DD6"/>
    <w:rsid w:val="00EB08B7"/>
    <w:rsid w:val="00EB0DD4"/>
    <w:rsid w:val="00EB37F6"/>
    <w:rsid w:val="00EB4168"/>
    <w:rsid w:val="00EB41AC"/>
    <w:rsid w:val="00EB4738"/>
    <w:rsid w:val="00EB58BC"/>
    <w:rsid w:val="00EB76A7"/>
    <w:rsid w:val="00EB7BE7"/>
    <w:rsid w:val="00EC0554"/>
    <w:rsid w:val="00EC15E7"/>
    <w:rsid w:val="00EC16A0"/>
    <w:rsid w:val="00EC1E67"/>
    <w:rsid w:val="00EC35B2"/>
    <w:rsid w:val="00EC4574"/>
    <w:rsid w:val="00EC6E17"/>
    <w:rsid w:val="00ED0D62"/>
    <w:rsid w:val="00ED3F43"/>
    <w:rsid w:val="00ED4DBD"/>
    <w:rsid w:val="00ED701C"/>
    <w:rsid w:val="00ED723D"/>
    <w:rsid w:val="00ED7482"/>
    <w:rsid w:val="00EE079B"/>
    <w:rsid w:val="00EE56D1"/>
    <w:rsid w:val="00EE58E1"/>
    <w:rsid w:val="00EF06B5"/>
    <w:rsid w:val="00EF191B"/>
    <w:rsid w:val="00EF1BBA"/>
    <w:rsid w:val="00EF204D"/>
    <w:rsid w:val="00EF2601"/>
    <w:rsid w:val="00EF398D"/>
    <w:rsid w:val="00EF4F91"/>
    <w:rsid w:val="00EF6FB3"/>
    <w:rsid w:val="00EF7906"/>
    <w:rsid w:val="00F0328D"/>
    <w:rsid w:val="00F0402C"/>
    <w:rsid w:val="00F05E69"/>
    <w:rsid w:val="00F06F30"/>
    <w:rsid w:val="00F07295"/>
    <w:rsid w:val="00F11273"/>
    <w:rsid w:val="00F1240C"/>
    <w:rsid w:val="00F132D7"/>
    <w:rsid w:val="00F15C8F"/>
    <w:rsid w:val="00F20063"/>
    <w:rsid w:val="00F204CC"/>
    <w:rsid w:val="00F232AC"/>
    <w:rsid w:val="00F23FC2"/>
    <w:rsid w:val="00F2408F"/>
    <w:rsid w:val="00F248CD"/>
    <w:rsid w:val="00F25A00"/>
    <w:rsid w:val="00F27B8E"/>
    <w:rsid w:val="00F305E8"/>
    <w:rsid w:val="00F31198"/>
    <w:rsid w:val="00F347A3"/>
    <w:rsid w:val="00F3628C"/>
    <w:rsid w:val="00F366E0"/>
    <w:rsid w:val="00F36F2A"/>
    <w:rsid w:val="00F4066A"/>
    <w:rsid w:val="00F406C7"/>
    <w:rsid w:val="00F4162B"/>
    <w:rsid w:val="00F42B13"/>
    <w:rsid w:val="00F44377"/>
    <w:rsid w:val="00F4445D"/>
    <w:rsid w:val="00F44C8C"/>
    <w:rsid w:val="00F46553"/>
    <w:rsid w:val="00F4781E"/>
    <w:rsid w:val="00F47848"/>
    <w:rsid w:val="00F511B8"/>
    <w:rsid w:val="00F51B3C"/>
    <w:rsid w:val="00F521FF"/>
    <w:rsid w:val="00F536DC"/>
    <w:rsid w:val="00F54F3D"/>
    <w:rsid w:val="00F54FA4"/>
    <w:rsid w:val="00F56849"/>
    <w:rsid w:val="00F676B1"/>
    <w:rsid w:val="00F710A1"/>
    <w:rsid w:val="00F71172"/>
    <w:rsid w:val="00F72483"/>
    <w:rsid w:val="00F7250B"/>
    <w:rsid w:val="00F72A48"/>
    <w:rsid w:val="00F7500D"/>
    <w:rsid w:val="00F80ED6"/>
    <w:rsid w:val="00F813FA"/>
    <w:rsid w:val="00F822AA"/>
    <w:rsid w:val="00F83216"/>
    <w:rsid w:val="00F83300"/>
    <w:rsid w:val="00F83A49"/>
    <w:rsid w:val="00F85303"/>
    <w:rsid w:val="00F853C1"/>
    <w:rsid w:val="00F85ECF"/>
    <w:rsid w:val="00F90310"/>
    <w:rsid w:val="00F90396"/>
    <w:rsid w:val="00F90DB0"/>
    <w:rsid w:val="00F913C9"/>
    <w:rsid w:val="00F913D4"/>
    <w:rsid w:val="00F91C61"/>
    <w:rsid w:val="00F91FA8"/>
    <w:rsid w:val="00F937C6"/>
    <w:rsid w:val="00F9584D"/>
    <w:rsid w:val="00F970E0"/>
    <w:rsid w:val="00F971DF"/>
    <w:rsid w:val="00FA0D62"/>
    <w:rsid w:val="00FA1837"/>
    <w:rsid w:val="00FA1984"/>
    <w:rsid w:val="00FA3768"/>
    <w:rsid w:val="00FA427C"/>
    <w:rsid w:val="00FA47C2"/>
    <w:rsid w:val="00FA4A29"/>
    <w:rsid w:val="00FA504C"/>
    <w:rsid w:val="00FA5C3B"/>
    <w:rsid w:val="00FA6989"/>
    <w:rsid w:val="00FA7150"/>
    <w:rsid w:val="00FA7CBA"/>
    <w:rsid w:val="00FB0CF6"/>
    <w:rsid w:val="00FB0D6C"/>
    <w:rsid w:val="00FB10EF"/>
    <w:rsid w:val="00FB3DC3"/>
    <w:rsid w:val="00FB4429"/>
    <w:rsid w:val="00FB451C"/>
    <w:rsid w:val="00FB555E"/>
    <w:rsid w:val="00FB6704"/>
    <w:rsid w:val="00FB69E8"/>
    <w:rsid w:val="00FB704D"/>
    <w:rsid w:val="00FB7292"/>
    <w:rsid w:val="00FC0DB7"/>
    <w:rsid w:val="00FC27E6"/>
    <w:rsid w:val="00FC2878"/>
    <w:rsid w:val="00FC2C32"/>
    <w:rsid w:val="00FC338B"/>
    <w:rsid w:val="00FC347F"/>
    <w:rsid w:val="00FC3867"/>
    <w:rsid w:val="00FC48E6"/>
    <w:rsid w:val="00FC5EE0"/>
    <w:rsid w:val="00FC6264"/>
    <w:rsid w:val="00FD0606"/>
    <w:rsid w:val="00FD0A9D"/>
    <w:rsid w:val="00FD21E7"/>
    <w:rsid w:val="00FD430B"/>
    <w:rsid w:val="00FD4CF3"/>
    <w:rsid w:val="00FD7DC7"/>
    <w:rsid w:val="00FE189D"/>
    <w:rsid w:val="00FE2EFD"/>
    <w:rsid w:val="00FE477B"/>
    <w:rsid w:val="00FE56E9"/>
    <w:rsid w:val="00FE618A"/>
    <w:rsid w:val="00FE6E12"/>
    <w:rsid w:val="00FF0C52"/>
    <w:rsid w:val="00FF14A3"/>
    <w:rsid w:val="00FF1CCC"/>
    <w:rsid w:val="00FF28D3"/>
    <w:rsid w:val="00FF383A"/>
    <w:rsid w:val="00FF6EBC"/>
    <w:rsid w:val="0150B2A1"/>
    <w:rsid w:val="01E94994"/>
    <w:rsid w:val="026384EB"/>
    <w:rsid w:val="02D75142"/>
    <w:rsid w:val="05825F84"/>
    <w:rsid w:val="06CA3E7A"/>
    <w:rsid w:val="07ED4921"/>
    <w:rsid w:val="0948C1BE"/>
    <w:rsid w:val="0A023D45"/>
    <w:rsid w:val="0A1F980E"/>
    <w:rsid w:val="0CB92B71"/>
    <w:rsid w:val="0CEB5FAC"/>
    <w:rsid w:val="1131B3C8"/>
    <w:rsid w:val="13D45DBB"/>
    <w:rsid w:val="156BADDB"/>
    <w:rsid w:val="15B3F3C1"/>
    <w:rsid w:val="15E6CE44"/>
    <w:rsid w:val="16675CF3"/>
    <w:rsid w:val="17588D4F"/>
    <w:rsid w:val="17C30E4E"/>
    <w:rsid w:val="17E51C07"/>
    <w:rsid w:val="187E24B8"/>
    <w:rsid w:val="1AC0843C"/>
    <w:rsid w:val="1AF4DAAC"/>
    <w:rsid w:val="1B797853"/>
    <w:rsid w:val="1C330D1A"/>
    <w:rsid w:val="1CA337B7"/>
    <w:rsid w:val="1D69A479"/>
    <w:rsid w:val="1D6AE288"/>
    <w:rsid w:val="1D98D8AF"/>
    <w:rsid w:val="1E74AFC7"/>
    <w:rsid w:val="1EB6A953"/>
    <w:rsid w:val="20C10A29"/>
    <w:rsid w:val="2169A717"/>
    <w:rsid w:val="21785F9C"/>
    <w:rsid w:val="21B66EB5"/>
    <w:rsid w:val="227A5014"/>
    <w:rsid w:val="22DF43BA"/>
    <w:rsid w:val="23ACA5BC"/>
    <w:rsid w:val="246DD639"/>
    <w:rsid w:val="24BE7859"/>
    <w:rsid w:val="24F8DFC3"/>
    <w:rsid w:val="25E79496"/>
    <w:rsid w:val="25EE4890"/>
    <w:rsid w:val="265D494E"/>
    <w:rsid w:val="26DB3340"/>
    <w:rsid w:val="27A6E842"/>
    <w:rsid w:val="27C252C2"/>
    <w:rsid w:val="27C84E02"/>
    <w:rsid w:val="286111FF"/>
    <w:rsid w:val="294B1FD2"/>
    <w:rsid w:val="2997F389"/>
    <w:rsid w:val="299D33D5"/>
    <w:rsid w:val="29A71053"/>
    <w:rsid w:val="2A516330"/>
    <w:rsid w:val="2AB2BFA3"/>
    <w:rsid w:val="2AF575A5"/>
    <w:rsid w:val="2B40E2DE"/>
    <w:rsid w:val="2B42F80D"/>
    <w:rsid w:val="2B5DF06F"/>
    <w:rsid w:val="2B664E32"/>
    <w:rsid w:val="2D3237FA"/>
    <w:rsid w:val="2DB1B1FB"/>
    <w:rsid w:val="2DCE9EC6"/>
    <w:rsid w:val="34941264"/>
    <w:rsid w:val="361D71D9"/>
    <w:rsid w:val="36D8E98E"/>
    <w:rsid w:val="375C207C"/>
    <w:rsid w:val="38977F19"/>
    <w:rsid w:val="3A075816"/>
    <w:rsid w:val="3AB7568F"/>
    <w:rsid w:val="3B25EBD4"/>
    <w:rsid w:val="3DCF4358"/>
    <w:rsid w:val="3E6469E8"/>
    <w:rsid w:val="3E97CC4E"/>
    <w:rsid w:val="3F18448E"/>
    <w:rsid w:val="3F57705C"/>
    <w:rsid w:val="3FDE3988"/>
    <w:rsid w:val="40CD2DBB"/>
    <w:rsid w:val="412CE03C"/>
    <w:rsid w:val="42085C31"/>
    <w:rsid w:val="424EB621"/>
    <w:rsid w:val="44BA62B6"/>
    <w:rsid w:val="45887096"/>
    <w:rsid w:val="459498E6"/>
    <w:rsid w:val="45B363C3"/>
    <w:rsid w:val="491FE230"/>
    <w:rsid w:val="49C545B6"/>
    <w:rsid w:val="49FF6D33"/>
    <w:rsid w:val="4B0B4F43"/>
    <w:rsid w:val="4C7C42A4"/>
    <w:rsid w:val="4D5B747E"/>
    <w:rsid w:val="4D73D99E"/>
    <w:rsid w:val="4DC769E4"/>
    <w:rsid w:val="508B37A5"/>
    <w:rsid w:val="50E3546A"/>
    <w:rsid w:val="51097683"/>
    <w:rsid w:val="511C6C34"/>
    <w:rsid w:val="51FF3069"/>
    <w:rsid w:val="520B667A"/>
    <w:rsid w:val="52CA5C78"/>
    <w:rsid w:val="52F14796"/>
    <w:rsid w:val="534F116A"/>
    <w:rsid w:val="5353C71C"/>
    <w:rsid w:val="539B5866"/>
    <w:rsid w:val="53B61C79"/>
    <w:rsid w:val="543BC0B8"/>
    <w:rsid w:val="55B3E7CC"/>
    <w:rsid w:val="5621FA3C"/>
    <w:rsid w:val="568315FE"/>
    <w:rsid w:val="56A914BF"/>
    <w:rsid w:val="575CE260"/>
    <w:rsid w:val="58EFD977"/>
    <w:rsid w:val="58F58420"/>
    <w:rsid w:val="5B041C35"/>
    <w:rsid w:val="5B8518A1"/>
    <w:rsid w:val="5BB3932B"/>
    <w:rsid w:val="5CC5C7A4"/>
    <w:rsid w:val="5D49FB17"/>
    <w:rsid w:val="5E340DF6"/>
    <w:rsid w:val="5E892689"/>
    <w:rsid w:val="5F0409A4"/>
    <w:rsid w:val="608670A7"/>
    <w:rsid w:val="60B2718D"/>
    <w:rsid w:val="60EDDC4A"/>
    <w:rsid w:val="61577C86"/>
    <w:rsid w:val="616C5A7E"/>
    <w:rsid w:val="62A2068A"/>
    <w:rsid w:val="63A48094"/>
    <w:rsid w:val="63ACA7E7"/>
    <w:rsid w:val="654050F5"/>
    <w:rsid w:val="65B9DDA5"/>
    <w:rsid w:val="65BEEDB1"/>
    <w:rsid w:val="666A4725"/>
    <w:rsid w:val="667B34D7"/>
    <w:rsid w:val="66B43197"/>
    <w:rsid w:val="67A2F72B"/>
    <w:rsid w:val="682DEF11"/>
    <w:rsid w:val="689FB5B0"/>
    <w:rsid w:val="68A800F0"/>
    <w:rsid w:val="693A2083"/>
    <w:rsid w:val="6B617266"/>
    <w:rsid w:val="6B6BEB37"/>
    <w:rsid w:val="6B7613AD"/>
    <w:rsid w:val="6C1BA43D"/>
    <w:rsid w:val="6C7F177A"/>
    <w:rsid w:val="6D554A4F"/>
    <w:rsid w:val="6DC3D855"/>
    <w:rsid w:val="6F55AB9A"/>
    <w:rsid w:val="6F59D562"/>
    <w:rsid w:val="6F9B58C6"/>
    <w:rsid w:val="712699BB"/>
    <w:rsid w:val="72922183"/>
    <w:rsid w:val="72A6DB24"/>
    <w:rsid w:val="75083091"/>
    <w:rsid w:val="76598627"/>
    <w:rsid w:val="76FA32A6"/>
    <w:rsid w:val="77CA9696"/>
    <w:rsid w:val="7A9EA424"/>
    <w:rsid w:val="7AD2E803"/>
    <w:rsid w:val="7AD98414"/>
    <w:rsid w:val="7B766703"/>
    <w:rsid w:val="7C84EC91"/>
    <w:rsid w:val="7D415798"/>
    <w:rsid w:val="7E808E72"/>
    <w:rsid w:val="7EB6012B"/>
    <w:rsid w:val="7FEA81A2"/>
  </w:rsids>
  <m:mathPr>
    <m:mathFont m:val="Cambria Math"/>
    <m:brkBin m:val="before"/>
    <m:brkBinSub m:val="--"/>
    <m:smallFrac m:val="0"/>
    <m:dispDef/>
    <m:lMargin m:val="0"/>
    <m:rMargin m:val="0"/>
    <m:defJc m:val="centerGroup"/>
    <m:wrapIndent m:val="1440"/>
    <m:intLim m:val="subSup"/>
    <m:naryLim m:val="undOvr"/>
  </m:mathPr>
  <w:themeFontLang w:val="fr-H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365E3"/>
  <w15:chartTrackingRefBased/>
  <w15:docId w15:val="{B5BF650E-F233-4B75-BE9C-C69B6DD1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H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DF1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F7D6B"/>
    <w:pPr>
      <w:keepNext/>
      <w:jc w:val="center"/>
      <w:outlineLvl w:val="1"/>
    </w:pPr>
    <w:rPr>
      <w:rFonts w:ascii="Arial" w:eastAsia="Times New Roman" w:hAnsi="Arial" w:cs="Times New Roman"/>
      <w:b/>
      <w:sz w:val="28"/>
      <w:szCs w:val="20"/>
      <w:lang w:val="en-US"/>
    </w:rPr>
  </w:style>
  <w:style w:type="paragraph" w:styleId="Heading3">
    <w:name w:val="heading 3"/>
    <w:basedOn w:val="Normal"/>
    <w:next w:val="Normal"/>
    <w:link w:val="Heading3Char"/>
    <w:uiPriority w:val="9"/>
    <w:semiHidden/>
    <w:unhideWhenUsed/>
    <w:qFormat/>
    <w:rsid w:val="005820F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24391B"/>
    <w:pPr>
      <w:ind w:left="720"/>
      <w:contextualSpacing/>
    </w:pPr>
  </w:style>
  <w:style w:type="paragraph" w:styleId="FootnoteText">
    <w:name w:val="footnote text"/>
    <w:aliases w:val="ft,ADB,single space"/>
    <w:basedOn w:val="Normal"/>
    <w:link w:val="FootnoteTextChar"/>
    <w:uiPriority w:val="99"/>
    <w:unhideWhenUsed/>
    <w:qFormat/>
    <w:rsid w:val="00A05771"/>
    <w:rPr>
      <w:sz w:val="20"/>
      <w:szCs w:val="20"/>
    </w:rPr>
  </w:style>
  <w:style w:type="character" w:customStyle="1" w:styleId="FootnoteTextChar">
    <w:name w:val="Footnote Text Char"/>
    <w:aliases w:val="ft Char,ADB Char,single space Char"/>
    <w:basedOn w:val="DefaultParagraphFont"/>
    <w:link w:val="FootnoteText"/>
    <w:uiPriority w:val="99"/>
    <w:rsid w:val="00A05771"/>
    <w:rPr>
      <w:sz w:val="20"/>
      <w:szCs w:val="20"/>
      <w:lang w:val="fr-FR"/>
    </w:rPr>
  </w:style>
  <w:style w:type="character" w:styleId="FootnoteReference">
    <w:name w:val="footnote reference"/>
    <w:basedOn w:val="DefaultParagraphFont"/>
    <w:uiPriority w:val="99"/>
    <w:unhideWhenUsed/>
    <w:rsid w:val="00A05771"/>
    <w:rPr>
      <w:vertAlign w:val="superscript"/>
    </w:rPr>
  </w:style>
  <w:style w:type="character" w:styleId="Hyperlink">
    <w:name w:val="Hyperlink"/>
    <w:basedOn w:val="DefaultParagraphFont"/>
    <w:uiPriority w:val="99"/>
    <w:unhideWhenUsed/>
    <w:rsid w:val="0075146A"/>
    <w:rPr>
      <w:color w:val="0563C1" w:themeColor="hyperlink"/>
      <w:u w:val="single"/>
    </w:rPr>
  </w:style>
  <w:style w:type="paragraph" w:styleId="NormalWeb">
    <w:name w:val="Normal (Web)"/>
    <w:basedOn w:val="Normal"/>
    <w:uiPriority w:val="99"/>
    <w:unhideWhenUsed/>
    <w:rsid w:val="002E457B"/>
    <w:pPr>
      <w:spacing w:before="100" w:beforeAutospacing="1" w:after="100" w:afterAutospacing="1"/>
    </w:pPr>
    <w:rPr>
      <w:rFonts w:ascii="Times New Roman" w:eastAsia="Times New Roman" w:hAnsi="Times New Roman" w:cs="Times New Roman"/>
      <w:lang w:val="fr-HT" w:eastAsia="fr-FR"/>
    </w:rPr>
  </w:style>
  <w:style w:type="paragraph" w:styleId="Footer">
    <w:name w:val="footer"/>
    <w:basedOn w:val="Normal"/>
    <w:link w:val="FooterChar"/>
    <w:uiPriority w:val="99"/>
    <w:unhideWhenUsed/>
    <w:rsid w:val="00C07A12"/>
    <w:pPr>
      <w:tabs>
        <w:tab w:val="center" w:pos="4536"/>
        <w:tab w:val="right" w:pos="9072"/>
      </w:tabs>
    </w:pPr>
  </w:style>
  <w:style w:type="character" w:customStyle="1" w:styleId="FooterChar">
    <w:name w:val="Footer Char"/>
    <w:basedOn w:val="DefaultParagraphFont"/>
    <w:link w:val="Footer"/>
    <w:uiPriority w:val="99"/>
    <w:rsid w:val="00C07A12"/>
    <w:rPr>
      <w:lang w:val="fr-FR"/>
    </w:rPr>
  </w:style>
  <w:style w:type="character" w:styleId="PageNumber">
    <w:name w:val="page number"/>
    <w:basedOn w:val="DefaultParagraphFont"/>
    <w:uiPriority w:val="99"/>
    <w:semiHidden/>
    <w:unhideWhenUsed/>
    <w:rsid w:val="00C07A12"/>
  </w:style>
  <w:style w:type="character" w:styleId="CommentReference">
    <w:name w:val="annotation reference"/>
    <w:basedOn w:val="DefaultParagraphFont"/>
    <w:uiPriority w:val="99"/>
    <w:semiHidden/>
    <w:unhideWhenUsed/>
    <w:rsid w:val="00F91C61"/>
    <w:rPr>
      <w:sz w:val="16"/>
      <w:szCs w:val="16"/>
    </w:rPr>
  </w:style>
  <w:style w:type="paragraph" w:styleId="CommentText">
    <w:name w:val="annotation text"/>
    <w:basedOn w:val="Normal"/>
    <w:link w:val="CommentTextChar"/>
    <w:uiPriority w:val="99"/>
    <w:unhideWhenUsed/>
    <w:rsid w:val="00F91C61"/>
    <w:rPr>
      <w:sz w:val="20"/>
      <w:szCs w:val="20"/>
    </w:rPr>
  </w:style>
  <w:style w:type="character" w:customStyle="1" w:styleId="CommentTextChar">
    <w:name w:val="Comment Text Char"/>
    <w:basedOn w:val="DefaultParagraphFont"/>
    <w:link w:val="CommentText"/>
    <w:uiPriority w:val="99"/>
    <w:rsid w:val="00F91C61"/>
    <w:rPr>
      <w:sz w:val="20"/>
      <w:szCs w:val="20"/>
      <w:lang w:val="fr-FR"/>
    </w:rPr>
  </w:style>
  <w:style w:type="character" w:customStyle="1" w:styleId="markedcontent">
    <w:name w:val="markedcontent"/>
    <w:basedOn w:val="DefaultParagraphFont"/>
    <w:rsid w:val="008D04A8"/>
  </w:style>
  <w:style w:type="character" w:customStyle="1" w:styleId="highlight">
    <w:name w:val="highlight"/>
    <w:basedOn w:val="DefaultParagraphFont"/>
    <w:rsid w:val="008D04A8"/>
  </w:style>
  <w:style w:type="paragraph" w:styleId="CommentSubject">
    <w:name w:val="annotation subject"/>
    <w:basedOn w:val="CommentText"/>
    <w:next w:val="CommentText"/>
    <w:link w:val="CommentSubjectChar"/>
    <w:uiPriority w:val="99"/>
    <w:semiHidden/>
    <w:unhideWhenUsed/>
    <w:rsid w:val="008E5D4C"/>
    <w:rPr>
      <w:b/>
      <w:bCs/>
    </w:rPr>
  </w:style>
  <w:style w:type="character" w:customStyle="1" w:styleId="CommentSubjectChar">
    <w:name w:val="Comment Subject Char"/>
    <w:basedOn w:val="CommentTextChar"/>
    <w:link w:val="CommentSubject"/>
    <w:uiPriority w:val="99"/>
    <w:semiHidden/>
    <w:rsid w:val="008E5D4C"/>
    <w:rPr>
      <w:b/>
      <w:bCs/>
      <w:sz w:val="20"/>
      <w:szCs w:val="20"/>
      <w:lang w:val="fr-FR"/>
    </w:rPr>
  </w:style>
  <w:style w:type="paragraph" w:styleId="Revision">
    <w:name w:val="Revision"/>
    <w:hidden/>
    <w:uiPriority w:val="99"/>
    <w:semiHidden/>
    <w:rsid w:val="00B854B8"/>
    <w:rPr>
      <w:lang w:val="fr-FR"/>
    </w:rPr>
  </w:style>
  <w:style w:type="paragraph" w:styleId="DocumentMap">
    <w:name w:val="Document Map"/>
    <w:basedOn w:val="Normal"/>
    <w:link w:val="DocumentMapChar"/>
    <w:semiHidden/>
    <w:rsid w:val="00B61C92"/>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semiHidden/>
    <w:rsid w:val="00B61C92"/>
    <w:rPr>
      <w:rFonts w:ascii="Tahoma" w:eastAsia="Times New Roman" w:hAnsi="Tahoma" w:cs="Times New Roman"/>
      <w:sz w:val="16"/>
      <w:szCs w:val="16"/>
      <w:lang w:val="x-none" w:eastAsia="x-none"/>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B61C92"/>
    <w:rPr>
      <w:lang w:val="fr-FR"/>
    </w:rPr>
  </w:style>
  <w:style w:type="paragraph" w:styleId="Header">
    <w:name w:val="header"/>
    <w:basedOn w:val="Normal"/>
    <w:link w:val="HeaderChar"/>
    <w:uiPriority w:val="99"/>
    <w:unhideWhenUsed/>
    <w:rsid w:val="005C7F40"/>
    <w:pPr>
      <w:tabs>
        <w:tab w:val="center" w:pos="4680"/>
        <w:tab w:val="right" w:pos="9360"/>
      </w:tabs>
    </w:pPr>
  </w:style>
  <w:style w:type="character" w:customStyle="1" w:styleId="HeaderChar">
    <w:name w:val="Header Char"/>
    <w:basedOn w:val="DefaultParagraphFont"/>
    <w:link w:val="Header"/>
    <w:uiPriority w:val="99"/>
    <w:rsid w:val="005C7F40"/>
    <w:rPr>
      <w:lang w:val="fr-FR"/>
    </w:rPr>
  </w:style>
  <w:style w:type="character" w:styleId="Mention">
    <w:name w:val="Mention"/>
    <w:basedOn w:val="DefaultParagraphFont"/>
    <w:uiPriority w:val="99"/>
    <w:unhideWhenUsed/>
    <w:rPr>
      <w:color w:val="2B579A"/>
      <w:shd w:val="clear" w:color="auto" w:fill="E6E6E6"/>
    </w:rPr>
  </w:style>
  <w:style w:type="character" w:customStyle="1" w:styleId="hgkelc">
    <w:name w:val="hgkelc"/>
    <w:basedOn w:val="DefaultParagraphFont"/>
    <w:rsid w:val="006441EF"/>
  </w:style>
  <w:style w:type="paragraph" w:styleId="HTMLPreformatted">
    <w:name w:val="HTML Preformatted"/>
    <w:basedOn w:val="Normal"/>
    <w:link w:val="HTMLPreformattedChar"/>
    <w:uiPriority w:val="99"/>
    <w:semiHidden/>
    <w:unhideWhenUsed/>
    <w:rsid w:val="00755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7555AD"/>
    <w:rPr>
      <w:rFonts w:ascii="Courier New" w:eastAsia="Times New Roman" w:hAnsi="Courier New" w:cs="Courier New"/>
      <w:sz w:val="20"/>
      <w:szCs w:val="20"/>
      <w:lang w:val="fr-FR" w:eastAsia="fr-FR"/>
    </w:rPr>
  </w:style>
  <w:style w:type="character" w:customStyle="1" w:styleId="y2iqfc">
    <w:name w:val="y2iqfc"/>
    <w:basedOn w:val="DefaultParagraphFont"/>
    <w:rsid w:val="007555AD"/>
  </w:style>
  <w:style w:type="character" w:styleId="UnresolvedMention">
    <w:name w:val="Unresolved Mention"/>
    <w:basedOn w:val="DefaultParagraphFont"/>
    <w:uiPriority w:val="99"/>
    <w:unhideWhenUsed/>
    <w:rsid w:val="00DF229C"/>
    <w:rPr>
      <w:color w:val="605E5C"/>
      <w:shd w:val="clear" w:color="auto" w:fill="E1DFDD"/>
    </w:rPr>
  </w:style>
  <w:style w:type="character" w:styleId="Emphasis">
    <w:name w:val="Emphasis"/>
    <w:basedOn w:val="DefaultParagraphFont"/>
    <w:uiPriority w:val="20"/>
    <w:qFormat/>
    <w:rsid w:val="00440109"/>
    <w:rPr>
      <w:i/>
      <w:iCs/>
    </w:rPr>
  </w:style>
  <w:style w:type="character" w:styleId="PlaceholderText">
    <w:name w:val="Placeholder Text"/>
    <w:basedOn w:val="DefaultParagraphFont"/>
    <w:uiPriority w:val="99"/>
    <w:semiHidden/>
    <w:rsid w:val="0069122A"/>
    <w:rPr>
      <w:color w:val="808080"/>
    </w:rPr>
  </w:style>
  <w:style w:type="paragraph" w:customStyle="1" w:styleId="HCh">
    <w:name w:val="_ H _Ch"/>
    <w:basedOn w:val="Normal"/>
    <w:next w:val="Normal"/>
    <w:rsid w:val="00885526"/>
    <w:pPr>
      <w:keepNext/>
      <w:keepLines/>
      <w:suppressAutoHyphens/>
      <w:spacing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885526"/>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lang w:val="en-GB"/>
    </w:rPr>
  </w:style>
  <w:style w:type="paragraph" w:customStyle="1" w:styleId="SingleTxt">
    <w:name w:val="__Single Txt"/>
    <w:basedOn w:val="Normal"/>
    <w:rsid w:val="00646AD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character" w:customStyle="1" w:styleId="Heading2Char">
    <w:name w:val="Heading 2 Char"/>
    <w:basedOn w:val="DefaultParagraphFont"/>
    <w:link w:val="Heading2"/>
    <w:rsid w:val="001F7D6B"/>
    <w:rPr>
      <w:rFonts w:ascii="Arial" w:eastAsia="Times New Roman" w:hAnsi="Arial" w:cs="Times New Roman"/>
      <w:b/>
      <w:sz w:val="28"/>
      <w:szCs w:val="20"/>
      <w:lang w:val="en-US"/>
    </w:rPr>
  </w:style>
  <w:style w:type="character" w:customStyle="1" w:styleId="test-idfield-value">
    <w:name w:val="test-id__field-value"/>
    <w:basedOn w:val="DefaultParagraphFont"/>
    <w:rsid w:val="00710A7E"/>
  </w:style>
  <w:style w:type="character" w:customStyle="1" w:styleId="Heading1Char">
    <w:name w:val="Heading 1 Char"/>
    <w:basedOn w:val="DefaultParagraphFont"/>
    <w:link w:val="Heading1"/>
    <w:uiPriority w:val="9"/>
    <w:rsid w:val="00DF1127"/>
    <w:rPr>
      <w:rFonts w:asciiTheme="majorHAnsi" w:eastAsiaTheme="majorEastAsia" w:hAnsiTheme="majorHAnsi" w:cstheme="majorBidi"/>
      <w:color w:val="2F5496" w:themeColor="accent1" w:themeShade="BF"/>
      <w:sz w:val="32"/>
      <w:szCs w:val="32"/>
      <w:lang w:val="fr-FR"/>
    </w:rPr>
  </w:style>
  <w:style w:type="paragraph" w:customStyle="1" w:styleId="ydpafea7db6msolistparagraph">
    <w:name w:val="ydpafea7db6msolistparagraph"/>
    <w:basedOn w:val="Normal"/>
    <w:rsid w:val="005E562E"/>
    <w:pPr>
      <w:spacing w:before="100" w:beforeAutospacing="1" w:after="100" w:afterAutospacing="1"/>
    </w:pPr>
    <w:rPr>
      <w:rFonts w:ascii="Calibri" w:hAnsi="Calibri" w:cs="Calibri"/>
      <w:sz w:val="22"/>
      <w:szCs w:val="22"/>
      <w:lang w:val="en-US"/>
    </w:rPr>
  </w:style>
  <w:style w:type="character" w:customStyle="1" w:styleId="Heading3Char">
    <w:name w:val="Heading 3 Char"/>
    <w:basedOn w:val="DefaultParagraphFont"/>
    <w:link w:val="Heading3"/>
    <w:uiPriority w:val="9"/>
    <w:semiHidden/>
    <w:rsid w:val="005820FA"/>
    <w:rPr>
      <w:rFonts w:asciiTheme="majorHAnsi" w:eastAsiaTheme="majorEastAsia" w:hAnsiTheme="majorHAnsi" w:cstheme="majorBidi"/>
      <w:color w:val="1F3763" w:themeColor="accent1" w:themeShade="7F"/>
      <w:lang w:val="fr-FR"/>
    </w:rPr>
  </w:style>
  <w:style w:type="character" w:styleId="FollowedHyperlink">
    <w:name w:val="FollowedHyperlink"/>
    <w:basedOn w:val="DefaultParagraphFont"/>
    <w:uiPriority w:val="99"/>
    <w:semiHidden/>
    <w:unhideWhenUsed/>
    <w:rsid w:val="00B61F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9265">
      <w:bodyDiv w:val="1"/>
      <w:marLeft w:val="0"/>
      <w:marRight w:val="0"/>
      <w:marTop w:val="0"/>
      <w:marBottom w:val="0"/>
      <w:divBdr>
        <w:top w:val="none" w:sz="0" w:space="0" w:color="auto"/>
        <w:left w:val="none" w:sz="0" w:space="0" w:color="auto"/>
        <w:bottom w:val="none" w:sz="0" w:space="0" w:color="auto"/>
        <w:right w:val="none" w:sz="0" w:space="0" w:color="auto"/>
      </w:divBdr>
    </w:div>
    <w:div w:id="254481174">
      <w:bodyDiv w:val="1"/>
      <w:marLeft w:val="0"/>
      <w:marRight w:val="0"/>
      <w:marTop w:val="0"/>
      <w:marBottom w:val="0"/>
      <w:divBdr>
        <w:top w:val="none" w:sz="0" w:space="0" w:color="auto"/>
        <w:left w:val="none" w:sz="0" w:space="0" w:color="auto"/>
        <w:bottom w:val="none" w:sz="0" w:space="0" w:color="auto"/>
        <w:right w:val="none" w:sz="0" w:space="0" w:color="auto"/>
      </w:divBdr>
    </w:div>
    <w:div w:id="289017335">
      <w:bodyDiv w:val="1"/>
      <w:marLeft w:val="0"/>
      <w:marRight w:val="0"/>
      <w:marTop w:val="0"/>
      <w:marBottom w:val="0"/>
      <w:divBdr>
        <w:top w:val="none" w:sz="0" w:space="0" w:color="auto"/>
        <w:left w:val="none" w:sz="0" w:space="0" w:color="auto"/>
        <w:bottom w:val="none" w:sz="0" w:space="0" w:color="auto"/>
        <w:right w:val="none" w:sz="0" w:space="0" w:color="auto"/>
      </w:divBdr>
      <w:divsChild>
        <w:div w:id="1327243066">
          <w:marLeft w:val="0"/>
          <w:marRight w:val="0"/>
          <w:marTop w:val="0"/>
          <w:marBottom w:val="0"/>
          <w:divBdr>
            <w:top w:val="none" w:sz="0" w:space="0" w:color="auto"/>
            <w:left w:val="none" w:sz="0" w:space="0" w:color="auto"/>
            <w:bottom w:val="none" w:sz="0" w:space="0" w:color="auto"/>
            <w:right w:val="none" w:sz="0" w:space="0" w:color="auto"/>
          </w:divBdr>
          <w:divsChild>
            <w:div w:id="1601528958">
              <w:marLeft w:val="0"/>
              <w:marRight w:val="0"/>
              <w:marTop w:val="0"/>
              <w:marBottom w:val="0"/>
              <w:divBdr>
                <w:top w:val="none" w:sz="0" w:space="0" w:color="auto"/>
                <w:left w:val="none" w:sz="0" w:space="0" w:color="auto"/>
                <w:bottom w:val="none" w:sz="0" w:space="0" w:color="auto"/>
                <w:right w:val="none" w:sz="0" w:space="0" w:color="auto"/>
              </w:divBdr>
              <w:divsChild>
                <w:div w:id="1069232484">
                  <w:marLeft w:val="0"/>
                  <w:marRight w:val="0"/>
                  <w:marTop w:val="0"/>
                  <w:marBottom w:val="0"/>
                  <w:divBdr>
                    <w:top w:val="none" w:sz="0" w:space="0" w:color="auto"/>
                    <w:left w:val="none" w:sz="0" w:space="0" w:color="auto"/>
                    <w:bottom w:val="none" w:sz="0" w:space="0" w:color="auto"/>
                    <w:right w:val="none" w:sz="0" w:space="0" w:color="auto"/>
                  </w:divBdr>
                  <w:divsChild>
                    <w:div w:id="1260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61">
      <w:bodyDiv w:val="1"/>
      <w:marLeft w:val="0"/>
      <w:marRight w:val="0"/>
      <w:marTop w:val="0"/>
      <w:marBottom w:val="0"/>
      <w:divBdr>
        <w:top w:val="none" w:sz="0" w:space="0" w:color="auto"/>
        <w:left w:val="none" w:sz="0" w:space="0" w:color="auto"/>
        <w:bottom w:val="none" w:sz="0" w:space="0" w:color="auto"/>
        <w:right w:val="none" w:sz="0" w:space="0" w:color="auto"/>
      </w:divBdr>
    </w:div>
    <w:div w:id="413357584">
      <w:bodyDiv w:val="1"/>
      <w:marLeft w:val="0"/>
      <w:marRight w:val="0"/>
      <w:marTop w:val="0"/>
      <w:marBottom w:val="0"/>
      <w:divBdr>
        <w:top w:val="none" w:sz="0" w:space="0" w:color="auto"/>
        <w:left w:val="none" w:sz="0" w:space="0" w:color="auto"/>
        <w:bottom w:val="none" w:sz="0" w:space="0" w:color="auto"/>
        <w:right w:val="none" w:sz="0" w:space="0" w:color="auto"/>
      </w:divBdr>
    </w:div>
    <w:div w:id="534001377">
      <w:bodyDiv w:val="1"/>
      <w:marLeft w:val="0"/>
      <w:marRight w:val="0"/>
      <w:marTop w:val="0"/>
      <w:marBottom w:val="0"/>
      <w:divBdr>
        <w:top w:val="none" w:sz="0" w:space="0" w:color="auto"/>
        <w:left w:val="none" w:sz="0" w:space="0" w:color="auto"/>
        <w:bottom w:val="none" w:sz="0" w:space="0" w:color="auto"/>
        <w:right w:val="none" w:sz="0" w:space="0" w:color="auto"/>
      </w:divBdr>
    </w:div>
    <w:div w:id="616372436">
      <w:bodyDiv w:val="1"/>
      <w:marLeft w:val="0"/>
      <w:marRight w:val="0"/>
      <w:marTop w:val="0"/>
      <w:marBottom w:val="0"/>
      <w:divBdr>
        <w:top w:val="none" w:sz="0" w:space="0" w:color="auto"/>
        <w:left w:val="none" w:sz="0" w:space="0" w:color="auto"/>
        <w:bottom w:val="none" w:sz="0" w:space="0" w:color="auto"/>
        <w:right w:val="none" w:sz="0" w:space="0" w:color="auto"/>
      </w:divBdr>
    </w:div>
    <w:div w:id="872882030">
      <w:bodyDiv w:val="1"/>
      <w:marLeft w:val="0"/>
      <w:marRight w:val="0"/>
      <w:marTop w:val="0"/>
      <w:marBottom w:val="0"/>
      <w:divBdr>
        <w:top w:val="none" w:sz="0" w:space="0" w:color="auto"/>
        <w:left w:val="none" w:sz="0" w:space="0" w:color="auto"/>
        <w:bottom w:val="none" w:sz="0" w:space="0" w:color="auto"/>
        <w:right w:val="none" w:sz="0" w:space="0" w:color="auto"/>
      </w:divBdr>
    </w:div>
    <w:div w:id="908349626">
      <w:bodyDiv w:val="1"/>
      <w:marLeft w:val="0"/>
      <w:marRight w:val="0"/>
      <w:marTop w:val="0"/>
      <w:marBottom w:val="0"/>
      <w:divBdr>
        <w:top w:val="none" w:sz="0" w:space="0" w:color="auto"/>
        <w:left w:val="none" w:sz="0" w:space="0" w:color="auto"/>
        <w:bottom w:val="none" w:sz="0" w:space="0" w:color="auto"/>
        <w:right w:val="none" w:sz="0" w:space="0" w:color="auto"/>
      </w:divBdr>
      <w:divsChild>
        <w:div w:id="1237399707">
          <w:marLeft w:val="0"/>
          <w:marRight w:val="0"/>
          <w:marTop w:val="0"/>
          <w:marBottom w:val="0"/>
          <w:divBdr>
            <w:top w:val="none" w:sz="0" w:space="0" w:color="auto"/>
            <w:left w:val="none" w:sz="0" w:space="0" w:color="auto"/>
            <w:bottom w:val="none" w:sz="0" w:space="0" w:color="auto"/>
            <w:right w:val="none" w:sz="0" w:space="0" w:color="auto"/>
          </w:divBdr>
        </w:div>
      </w:divsChild>
    </w:div>
    <w:div w:id="945963545">
      <w:bodyDiv w:val="1"/>
      <w:marLeft w:val="0"/>
      <w:marRight w:val="0"/>
      <w:marTop w:val="0"/>
      <w:marBottom w:val="0"/>
      <w:divBdr>
        <w:top w:val="none" w:sz="0" w:space="0" w:color="auto"/>
        <w:left w:val="none" w:sz="0" w:space="0" w:color="auto"/>
        <w:bottom w:val="none" w:sz="0" w:space="0" w:color="auto"/>
        <w:right w:val="none" w:sz="0" w:space="0" w:color="auto"/>
      </w:divBdr>
    </w:div>
    <w:div w:id="1034578152">
      <w:bodyDiv w:val="1"/>
      <w:marLeft w:val="0"/>
      <w:marRight w:val="0"/>
      <w:marTop w:val="0"/>
      <w:marBottom w:val="0"/>
      <w:divBdr>
        <w:top w:val="none" w:sz="0" w:space="0" w:color="auto"/>
        <w:left w:val="none" w:sz="0" w:space="0" w:color="auto"/>
        <w:bottom w:val="none" w:sz="0" w:space="0" w:color="auto"/>
        <w:right w:val="none" w:sz="0" w:space="0" w:color="auto"/>
      </w:divBdr>
    </w:div>
    <w:div w:id="1064763861">
      <w:bodyDiv w:val="1"/>
      <w:marLeft w:val="0"/>
      <w:marRight w:val="0"/>
      <w:marTop w:val="0"/>
      <w:marBottom w:val="0"/>
      <w:divBdr>
        <w:top w:val="none" w:sz="0" w:space="0" w:color="auto"/>
        <w:left w:val="none" w:sz="0" w:space="0" w:color="auto"/>
        <w:bottom w:val="none" w:sz="0" w:space="0" w:color="auto"/>
        <w:right w:val="none" w:sz="0" w:space="0" w:color="auto"/>
      </w:divBdr>
    </w:div>
    <w:div w:id="1235434895">
      <w:bodyDiv w:val="1"/>
      <w:marLeft w:val="0"/>
      <w:marRight w:val="0"/>
      <w:marTop w:val="0"/>
      <w:marBottom w:val="0"/>
      <w:divBdr>
        <w:top w:val="none" w:sz="0" w:space="0" w:color="auto"/>
        <w:left w:val="none" w:sz="0" w:space="0" w:color="auto"/>
        <w:bottom w:val="none" w:sz="0" w:space="0" w:color="auto"/>
        <w:right w:val="none" w:sz="0" w:space="0" w:color="auto"/>
      </w:divBdr>
    </w:div>
    <w:div w:id="1284456830">
      <w:bodyDiv w:val="1"/>
      <w:marLeft w:val="0"/>
      <w:marRight w:val="0"/>
      <w:marTop w:val="0"/>
      <w:marBottom w:val="0"/>
      <w:divBdr>
        <w:top w:val="none" w:sz="0" w:space="0" w:color="auto"/>
        <w:left w:val="none" w:sz="0" w:space="0" w:color="auto"/>
        <w:bottom w:val="none" w:sz="0" w:space="0" w:color="auto"/>
        <w:right w:val="none" w:sz="0" w:space="0" w:color="auto"/>
      </w:divBdr>
      <w:divsChild>
        <w:div w:id="747844957">
          <w:marLeft w:val="0"/>
          <w:marRight w:val="0"/>
          <w:marTop w:val="0"/>
          <w:marBottom w:val="0"/>
          <w:divBdr>
            <w:top w:val="none" w:sz="0" w:space="0" w:color="auto"/>
            <w:left w:val="none" w:sz="0" w:space="0" w:color="auto"/>
            <w:bottom w:val="none" w:sz="0" w:space="0" w:color="auto"/>
            <w:right w:val="none" w:sz="0" w:space="0" w:color="auto"/>
          </w:divBdr>
          <w:divsChild>
            <w:div w:id="2013486621">
              <w:marLeft w:val="0"/>
              <w:marRight w:val="0"/>
              <w:marTop w:val="0"/>
              <w:marBottom w:val="0"/>
              <w:divBdr>
                <w:top w:val="none" w:sz="0" w:space="0" w:color="auto"/>
                <w:left w:val="none" w:sz="0" w:space="0" w:color="auto"/>
                <w:bottom w:val="none" w:sz="0" w:space="0" w:color="auto"/>
                <w:right w:val="none" w:sz="0" w:space="0" w:color="auto"/>
              </w:divBdr>
              <w:divsChild>
                <w:div w:id="1980114763">
                  <w:marLeft w:val="0"/>
                  <w:marRight w:val="0"/>
                  <w:marTop w:val="0"/>
                  <w:marBottom w:val="0"/>
                  <w:divBdr>
                    <w:top w:val="none" w:sz="0" w:space="0" w:color="auto"/>
                    <w:left w:val="none" w:sz="0" w:space="0" w:color="auto"/>
                    <w:bottom w:val="none" w:sz="0" w:space="0" w:color="auto"/>
                    <w:right w:val="none" w:sz="0" w:space="0" w:color="auto"/>
                  </w:divBdr>
                  <w:divsChild>
                    <w:div w:id="322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3431">
      <w:bodyDiv w:val="1"/>
      <w:marLeft w:val="0"/>
      <w:marRight w:val="0"/>
      <w:marTop w:val="0"/>
      <w:marBottom w:val="0"/>
      <w:divBdr>
        <w:top w:val="none" w:sz="0" w:space="0" w:color="auto"/>
        <w:left w:val="none" w:sz="0" w:space="0" w:color="auto"/>
        <w:bottom w:val="none" w:sz="0" w:space="0" w:color="auto"/>
        <w:right w:val="none" w:sz="0" w:space="0" w:color="auto"/>
      </w:divBdr>
    </w:div>
    <w:div w:id="1347363321">
      <w:bodyDiv w:val="1"/>
      <w:marLeft w:val="0"/>
      <w:marRight w:val="0"/>
      <w:marTop w:val="0"/>
      <w:marBottom w:val="0"/>
      <w:divBdr>
        <w:top w:val="none" w:sz="0" w:space="0" w:color="auto"/>
        <w:left w:val="none" w:sz="0" w:space="0" w:color="auto"/>
        <w:bottom w:val="none" w:sz="0" w:space="0" w:color="auto"/>
        <w:right w:val="none" w:sz="0" w:space="0" w:color="auto"/>
      </w:divBdr>
    </w:div>
    <w:div w:id="1379278090">
      <w:bodyDiv w:val="1"/>
      <w:marLeft w:val="0"/>
      <w:marRight w:val="0"/>
      <w:marTop w:val="0"/>
      <w:marBottom w:val="0"/>
      <w:divBdr>
        <w:top w:val="none" w:sz="0" w:space="0" w:color="auto"/>
        <w:left w:val="none" w:sz="0" w:space="0" w:color="auto"/>
        <w:bottom w:val="none" w:sz="0" w:space="0" w:color="auto"/>
        <w:right w:val="none" w:sz="0" w:space="0" w:color="auto"/>
      </w:divBdr>
    </w:div>
    <w:div w:id="1442185976">
      <w:bodyDiv w:val="1"/>
      <w:marLeft w:val="0"/>
      <w:marRight w:val="0"/>
      <w:marTop w:val="0"/>
      <w:marBottom w:val="0"/>
      <w:divBdr>
        <w:top w:val="none" w:sz="0" w:space="0" w:color="auto"/>
        <w:left w:val="none" w:sz="0" w:space="0" w:color="auto"/>
        <w:bottom w:val="none" w:sz="0" w:space="0" w:color="auto"/>
        <w:right w:val="none" w:sz="0" w:space="0" w:color="auto"/>
      </w:divBdr>
    </w:div>
    <w:div w:id="1478573616">
      <w:bodyDiv w:val="1"/>
      <w:marLeft w:val="0"/>
      <w:marRight w:val="0"/>
      <w:marTop w:val="0"/>
      <w:marBottom w:val="0"/>
      <w:divBdr>
        <w:top w:val="none" w:sz="0" w:space="0" w:color="auto"/>
        <w:left w:val="none" w:sz="0" w:space="0" w:color="auto"/>
        <w:bottom w:val="none" w:sz="0" w:space="0" w:color="auto"/>
        <w:right w:val="none" w:sz="0" w:space="0" w:color="auto"/>
      </w:divBdr>
      <w:divsChild>
        <w:div w:id="1435830822">
          <w:marLeft w:val="0"/>
          <w:marRight w:val="0"/>
          <w:marTop w:val="0"/>
          <w:marBottom w:val="0"/>
          <w:divBdr>
            <w:top w:val="none" w:sz="0" w:space="0" w:color="auto"/>
            <w:left w:val="none" w:sz="0" w:space="0" w:color="auto"/>
            <w:bottom w:val="none" w:sz="0" w:space="0" w:color="auto"/>
            <w:right w:val="none" w:sz="0" w:space="0" w:color="auto"/>
          </w:divBdr>
          <w:divsChild>
            <w:div w:id="482620912">
              <w:marLeft w:val="0"/>
              <w:marRight w:val="0"/>
              <w:marTop w:val="0"/>
              <w:marBottom w:val="0"/>
              <w:divBdr>
                <w:top w:val="none" w:sz="0" w:space="0" w:color="auto"/>
                <w:left w:val="none" w:sz="0" w:space="0" w:color="auto"/>
                <w:bottom w:val="none" w:sz="0" w:space="0" w:color="auto"/>
                <w:right w:val="none" w:sz="0" w:space="0" w:color="auto"/>
              </w:divBdr>
              <w:divsChild>
                <w:div w:id="485633338">
                  <w:marLeft w:val="0"/>
                  <w:marRight w:val="0"/>
                  <w:marTop w:val="0"/>
                  <w:marBottom w:val="0"/>
                  <w:divBdr>
                    <w:top w:val="none" w:sz="0" w:space="0" w:color="auto"/>
                    <w:left w:val="none" w:sz="0" w:space="0" w:color="auto"/>
                    <w:bottom w:val="none" w:sz="0" w:space="0" w:color="auto"/>
                    <w:right w:val="none" w:sz="0" w:space="0" w:color="auto"/>
                  </w:divBdr>
                  <w:divsChild>
                    <w:div w:id="18865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656750">
      <w:bodyDiv w:val="1"/>
      <w:marLeft w:val="0"/>
      <w:marRight w:val="0"/>
      <w:marTop w:val="0"/>
      <w:marBottom w:val="0"/>
      <w:divBdr>
        <w:top w:val="none" w:sz="0" w:space="0" w:color="auto"/>
        <w:left w:val="none" w:sz="0" w:space="0" w:color="auto"/>
        <w:bottom w:val="none" w:sz="0" w:space="0" w:color="auto"/>
        <w:right w:val="none" w:sz="0" w:space="0" w:color="auto"/>
      </w:divBdr>
    </w:div>
    <w:div w:id="1683782855">
      <w:bodyDiv w:val="1"/>
      <w:marLeft w:val="0"/>
      <w:marRight w:val="0"/>
      <w:marTop w:val="0"/>
      <w:marBottom w:val="0"/>
      <w:divBdr>
        <w:top w:val="none" w:sz="0" w:space="0" w:color="auto"/>
        <w:left w:val="none" w:sz="0" w:space="0" w:color="auto"/>
        <w:bottom w:val="none" w:sz="0" w:space="0" w:color="auto"/>
        <w:right w:val="none" w:sz="0" w:space="0" w:color="auto"/>
      </w:divBdr>
    </w:div>
    <w:div w:id="1720085646">
      <w:bodyDiv w:val="1"/>
      <w:marLeft w:val="0"/>
      <w:marRight w:val="0"/>
      <w:marTop w:val="0"/>
      <w:marBottom w:val="0"/>
      <w:divBdr>
        <w:top w:val="none" w:sz="0" w:space="0" w:color="auto"/>
        <w:left w:val="none" w:sz="0" w:space="0" w:color="auto"/>
        <w:bottom w:val="none" w:sz="0" w:space="0" w:color="auto"/>
        <w:right w:val="none" w:sz="0" w:space="0" w:color="auto"/>
      </w:divBdr>
    </w:div>
    <w:div w:id="1758821535">
      <w:bodyDiv w:val="1"/>
      <w:marLeft w:val="0"/>
      <w:marRight w:val="0"/>
      <w:marTop w:val="0"/>
      <w:marBottom w:val="0"/>
      <w:divBdr>
        <w:top w:val="none" w:sz="0" w:space="0" w:color="auto"/>
        <w:left w:val="none" w:sz="0" w:space="0" w:color="auto"/>
        <w:bottom w:val="none" w:sz="0" w:space="0" w:color="auto"/>
        <w:right w:val="none" w:sz="0" w:space="0" w:color="auto"/>
      </w:divBdr>
    </w:div>
    <w:div w:id="1777673539">
      <w:bodyDiv w:val="1"/>
      <w:marLeft w:val="0"/>
      <w:marRight w:val="0"/>
      <w:marTop w:val="0"/>
      <w:marBottom w:val="0"/>
      <w:divBdr>
        <w:top w:val="none" w:sz="0" w:space="0" w:color="auto"/>
        <w:left w:val="none" w:sz="0" w:space="0" w:color="auto"/>
        <w:bottom w:val="none" w:sz="0" w:space="0" w:color="auto"/>
        <w:right w:val="none" w:sz="0" w:space="0" w:color="auto"/>
      </w:divBdr>
    </w:div>
    <w:div w:id="1964657258">
      <w:bodyDiv w:val="1"/>
      <w:marLeft w:val="0"/>
      <w:marRight w:val="0"/>
      <w:marTop w:val="0"/>
      <w:marBottom w:val="0"/>
      <w:divBdr>
        <w:top w:val="none" w:sz="0" w:space="0" w:color="auto"/>
        <w:left w:val="none" w:sz="0" w:space="0" w:color="auto"/>
        <w:bottom w:val="none" w:sz="0" w:space="0" w:color="auto"/>
        <w:right w:val="none" w:sz="0" w:space="0" w:color="auto"/>
      </w:divBdr>
    </w:div>
    <w:div w:id="1979677141">
      <w:bodyDiv w:val="1"/>
      <w:marLeft w:val="0"/>
      <w:marRight w:val="0"/>
      <w:marTop w:val="0"/>
      <w:marBottom w:val="0"/>
      <w:divBdr>
        <w:top w:val="none" w:sz="0" w:space="0" w:color="auto"/>
        <w:left w:val="none" w:sz="0" w:space="0" w:color="auto"/>
        <w:bottom w:val="none" w:sz="0" w:space="0" w:color="auto"/>
        <w:right w:val="none" w:sz="0" w:space="0" w:color="auto"/>
      </w:divBdr>
      <w:divsChild>
        <w:div w:id="112478937">
          <w:marLeft w:val="0"/>
          <w:marRight w:val="0"/>
          <w:marTop w:val="0"/>
          <w:marBottom w:val="0"/>
          <w:divBdr>
            <w:top w:val="none" w:sz="0" w:space="0" w:color="auto"/>
            <w:left w:val="none" w:sz="0" w:space="0" w:color="auto"/>
            <w:bottom w:val="none" w:sz="0" w:space="0" w:color="auto"/>
            <w:right w:val="none" w:sz="0" w:space="0" w:color="auto"/>
          </w:divBdr>
        </w:div>
      </w:divsChild>
    </w:div>
    <w:div w:id="19930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SitePages/POPPSubject.aspx?SBJID=7&amp;Menu=BusinessUnit"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s://popp.undp.org/"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 Id="rId27" Type="http://schemas.microsoft.com/office/2019/05/relationships/documenttasks" Target="documenttasks/documenttasks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documenttasks/documenttasks1.xml><?xml version="1.0" encoding="utf-8"?>
<t:Tasks xmlns:t="http://schemas.microsoft.com/office/tasks/2019/documenttasks" xmlns:oel="http://schemas.microsoft.com/office/2019/extlst">
  <t:Task id="{A6F8E4E9-6ACD-4257-ACE8-C7F8321DFE5B}">
    <t:Anchor>
      <t:Comment id="2095228734"/>
    </t:Anchor>
    <t:History>
      <t:Event id="{4D4E93F7-5BD5-4D5A-BC79-113A84B810CB}" time="2022-06-17T20:32:08.439Z">
        <t:Attribution userId="S::olivier-guillot.hidalgo@undp.org::38fdf2b6-8da0-411c-997c-3d7bb5b051f7" userProvider="AD" userName="Olivier Guillot Hidalgo"/>
        <t:Anchor>
          <t:Comment id="2095228734"/>
        </t:Anchor>
        <t:Create/>
      </t:Event>
      <t:Event id="{01C679BB-01D8-49DA-97C2-BB81BA6E38FE}" time="2022-06-17T20:32:08.439Z">
        <t:Attribution userId="S::olivier-guillot.hidalgo@undp.org::38fdf2b6-8da0-411c-997c-3d7bb5b051f7" userProvider="AD" userName="Olivier Guillot Hidalgo"/>
        <t:Anchor>
          <t:Comment id="2095228734"/>
        </t:Anchor>
        <t:Assign userId="S::gonzalo.guerra@undp.org::df98d19a-aa6e-4bef-887f-294cc649ff55" userProvider="AD" userName="Gonzalo Guerra"/>
      </t:Event>
      <t:Event id="{B83BB73B-6E22-4B07-BDE3-8D1D4B6872C3}" time="2022-06-17T20:32:08.439Z">
        <t:Attribution userId="S::olivier-guillot.hidalgo@undp.org::38fdf2b6-8da0-411c-997c-3d7bb5b051f7" userProvider="AD" userName="Olivier Guillot Hidalgo"/>
        <t:Anchor>
          <t:Comment id="2095228734"/>
        </t:Anchor>
        <t:SetTitle title="@Gonzalo Guerra me genera duda tal y como esta formulado, afirmando que la ejecucion directa solo se hara en caso de fuerza mayor. No se si es lo habitual, pero considerando los desafios y debilidades institucionales, quizas se podria bajar un poco la …"/>
      </t:Event>
      <t:Event id="{24ACD75C-29E1-4586-BAF5-87DF43366441}" time="2022-06-17T21:13:44.178Z">
        <t:Attribution userId="S::olivier-guillot.hidalgo@undp.org::38fdf2b6-8da0-411c-997c-3d7bb5b051f7" userProvider="AD" userName="Olivier Guillot Hidalgo"/>
        <t:Progress percentComplete="100"/>
      </t:Event>
    </t:History>
  </t:Task>
</t:Task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UNITOFFICE-440-2456</_dlc_DocId>
    <_dlc_DocIdUrl xmlns="5ebeba3d-fd60-4dcb-8548-a9fd3c51d9ff">
      <Url>https://intranet.undp.org/unit/office/exo/sp2014/SP201417/_layouts/15/DocIdRedir.aspx?ID=UNITOFFICE-440-2456</Url>
      <Description>UNITOFFICE-440-2456</Description>
    </_dlc_DocIdUrl>
  </documentManagement>
</p:properties>
</file>

<file path=customXml/itemProps1.xml><?xml version="1.0" encoding="utf-8"?>
<ds:datastoreItem xmlns:ds="http://schemas.openxmlformats.org/officeDocument/2006/customXml" ds:itemID="{ED926773-A8E1-403B-84BE-5A2F1E0859A1}">
  <ds:schemaRefs>
    <ds:schemaRef ds:uri="http://schemas.microsoft.com/sharepoint/events"/>
  </ds:schemaRefs>
</ds:datastoreItem>
</file>

<file path=customXml/itemProps2.xml><?xml version="1.0" encoding="utf-8"?>
<ds:datastoreItem xmlns:ds="http://schemas.openxmlformats.org/officeDocument/2006/customXml" ds:itemID="{A827EDE0-3327-46FC-AB19-7E2F7408968B}">
  <ds:schemaRefs>
    <ds:schemaRef ds:uri="http://schemas.microsoft.com/sharepoint/v3/contenttype/forms"/>
  </ds:schemaRefs>
</ds:datastoreItem>
</file>

<file path=customXml/itemProps3.xml><?xml version="1.0" encoding="utf-8"?>
<ds:datastoreItem xmlns:ds="http://schemas.openxmlformats.org/officeDocument/2006/customXml" ds:itemID="{9DEB1BF8-8674-44F8-AC77-3DCF83C7CCE0}">
  <ds:schemaRefs>
    <ds:schemaRef ds:uri="http://schemas.openxmlformats.org/officeDocument/2006/bibliography"/>
  </ds:schemaRefs>
</ds:datastoreItem>
</file>

<file path=customXml/itemProps4.xml><?xml version="1.0" encoding="utf-8"?>
<ds:datastoreItem xmlns:ds="http://schemas.openxmlformats.org/officeDocument/2006/customXml" ds:itemID="{A4E15D28-EEEE-4C91-BBE9-1B8A550AA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33E8DB-210C-4173-BC84-D9DB285DE911}">
  <ds:schemaRefs>
    <ds:schemaRef ds:uri="http://schemas.microsoft.com/office/2006/metadata/properties"/>
    <ds:schemaRef ds:uri="http://schemas.microsoft.com/office/infopath/2007/PartnerControls"/>
    <ds:schemaRef ds:uri="5ebeba3d-fd60-4dcb-8548-a9fd3c51d9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6137</Words>
  <Characters>34985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 Haiti;Fernando Hiraldo;Stephanie Ziebell;Anne-Marie Cluckers;MESSINA ENDEME Thierry</dc:creator>
  <cp:keywords/>
  <dc:description/>
  <cp:lastModifiedBy>Svetlana Iazykova</cp:lastModifiedBy>
  <cp:revision>3</cp:revision>
  <cp:lastPrinted>2022-10-21T16:05:00Z</cp:lastPrinted>
  <dcterms:created xsi:type="dcterms:W3CDTF">2022-11-07T16:45:00Z</dcterms:created>
  <dcterms:modified xsi:type="dcterms:W3CDTF">2022-11-07T16:46:00Z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cb14589b-1b95-49eb-9bc6-5187f07b7e6d</vt:lpwstr>
  </property>
</Properties>
</file>