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CAA" w14:textId="0F3B80D4" w:rsidR="009001DD" w:rsidRPr="00001FA7" w:rsidRDefault="00F0264E" w:rsidP="009001DD">
      <w:pPr>
        <w:spacing w:before="120" w:after="120"/>
        <w:jc w:val="both"/>
        <w:rPr>
          <w:b/>
          <w:color w:val="000000"/>
          <w:sz w:val="24"/>
          <w:szCs w:val="24"/>
        </w:rPr>
      </w:pPr>
      <w:r w:rsidRPr="00001FA7">
        <w:rPr>
          <w:b/>
          <w:bCs/>
          <w:color w:val="000000"/>
          <w:sz w:val="24"/>
          <w:szCs w:val="24"/>
        </w:rPr>
        <w:t>ANNEX</w:t>
      </w:r>
      <w:r w:rsidRPr="00001FA7">
        <w:rPr>
          <w:bCs/>
          <w:color w:val="000000"/>
          <w:sz w:val="24"/>
          <w:szCs w:val="24"/>
        </w:rPr>
        <w:t xml:space="preserve">. </w:t>
      </w:r>
      <w:r w:rsidR="00CB2FE7" w:rsidRPr="00001FA7">
        <w:rPr>
          <w:b/>
          <w:bCs/>
          <w:color w:val="000000"/>
          <w:sz w:val="24"/>
          <w:szCs w:val="24"/>
        </w:rPr>
        <w:t>FULLY-</w:t>
      </w:r>
      <w:r w:rsidR="00785474" w:rsidRPr="00001FA7">
        <w:rPr>
          <w:b/>
          <w:color w:val="000000"/>
          <w:sz w:val="24"/>
          <w:szCs w:val="24"/>
        </w:rPr>
        <w:t>COSTED EVALUATION PLAN</w:t>
      </w:r>
      <w:r w:rsidR="00AC6927" w:rsidRPr="00001FA7">
        <w:rPr>
          <w:b/>
          <w:color w:val="000000"/>
          <w:sz w:val="24"/>
          <w:szCs w:val="24"/>
        </w:rPr>
        <w:t xml:space="preserve"> DOMINICAN REPUBLIC 2023-2027</w:t>
      </w:r>
    </w:p>
    <w:p w14:paraId="04C173AF" w14:textId="0047F237" w:rsidR="002D02B8" w:rsidRPr="001A58EE" w:rsidRDefault="002D02B8" w:rsidP="009001DD">
      <w:pPr>
        <w:spacing w:before="120" w:after="120"/>
        <w:jc w:val="both"/>
        <w:rPr>
          <w:sz w:val="22"/>
          <w:szCs w:val="22"/>
        </w:rPr>
      </w:pPr>
      <w:r w:rsidRPr="001A58EE">
        <w:rPr>
          <w:sz w:val="22"/>
          <w:szCs w:val="22"/>
        </w:rPr>
        <w:t xml:space="preserve">UNDP will implement a comprehensive Evaluation Plan </w:t>
      </w:r>
      <w:r w:rsidR="00541CAF" w:rsidRPr="001A58EE">
        <w:rPr>
          <w:sz w:val="22"/>
          <w:szCs w:val="22"/>
        </w:rPr>
        <w:t xml:space="preserve">from </w:t>
      </w:r>
      <w:r w:rsidRPr="001A58EE">
        <w:rPr>
          <w:sz w:val="22"/>
          <w:szCs w:val="22"/>
        </w:rPr>
        <w:t>2023-2027 to ensure systemic</w:t>
      </w:r>
      <w:r w:rsidR="00541CAF" w:rsidRPr="001A58EE">
        <w:rPr>
          <w:sz w:val="22"/>
          <w:szCs w:val="22"/>
        </w:rPr>
        <w:t xml:space="preserve">, </w:t>
      </w:r>
      <w:r w:rsidR="00FE77DC" w:rsidRPr="001A58EE">
        <w:rPr>
          <w:sz w:val="22"/>
          <w:szCs w:val="22"/>
        </w:rPr>
        <w:t>participatory</w:t>
      </w:r>
      <w:r w:rsidR="00FE77DC">
        <w:rPr>
          <w:sz w:val="22"/>
          <w:szCs w:val="22"/>
        </w:rPr>
        <w:t>,</w:t>
      </w:r>
      <w:r w:rsidR="00FE77DC" w:rsidRPr="001A58EE">
        <w:rPr>
          <w:sz w:val="22"/>
          <w:szCs w:val="22"/>
        </w:rPr>
        <w:t xml:space="preserve"> gender</w:t>
      </w:r>
      <w:r w:rsidR="00541CAF" w:rsidRPr="001A58EE">
        <w:rPr>
          <w:sz w:val="22"/>
          <w:szCs w:val="22"/>
        </w:rPr>
        <w:t xml:space="preserve">-responsive </w:t>
      </w:r>
      <w:r w:rsidR="003216DC">
        <w:rPr>
          <w:sz w:val="22"/>
          <w:szCs w:val="22"/>
        </w:rPr>
        <w:t xml:space="preserve">and </w:t>
      </w:r>
      <w:r w:rsidRPr="001A58EE">
        <w:rPr>
          <w:sz w:val="22"/>
          <w:szCs w:val="22"/>
        </w:rPr>
        <w:t xml:space="preserve">independent </w:t>
      </w:r>
      <w:r w:rsidR="00F87E48" w:rsidRPr="001A58EE">
        <w:rPr>
          <w:sz w:val="22"/>
          <w:szCs w:val="22"/>
        </w:rPr>
        <w:t xml:space="preserve">evaluation </w:t>
      </w:r>
      <w:r w:rsidRPr="001A58EE">
        <w:rPr>
          <w:sz w:val="22"/>
          <w:szCs w:val="22"/>
        </w:rPr>
        <w:t xml:space="preserve">of </w:t>
      </w:r>
      <w:r w:rsidR="005F3893" w:rsidRPr="001A58EE">
        <w:rPr>
          <w:sz w:val="22"/>
          <w:szCs w:val="22"/>
        </w:rPr>
        <w:t xml:space="preserve">outcomes, </w:t>
      </w:r>
      <w:r w:rsidR="00F87E48" w:rsidRPr="001A58EE">
        <w:rPr>
          <w:sz w:val="22"/>
          <w:szCs w:val="22"/>
        </w:rPr>
        <w:t xml:space="preserve">thematic portfolios </w:t>
      </w:r>
      <w:r w:rsidRPr="001A58EE">
        <w:rPr>
          <w:sz w:val="22"/>
          <w:szCs w:val="22"/>
        </w:rPr>
        <w:t xml:space="preserve">and </w:t>
      </w:r>
      <w:r w:rsidR="005F3893" w:rsidRPr="001A58EE">
        <w:rPr>
          <w:sz w:val="22"/>
          <w:szCs w:val="22"/>
        </w:rPr>
        <w:t>projects</w:t>
      </w:r>
      <w:r w:rsidR="00F87E48" w:rsidRPr="001A58EE">
        <w:rPr>
          <w:sz w:val="22"/>
          <w:szCs w:val="22"/>
        </w:rPr>
        <w:t>. The evaluations will follow the established guidelines of the UND</w:t>
      </w:r>
      <w:r w:rsidR="005631E5" w:rsidRPr="001A58EE">
        <w:rPr>
          <w:sz w:val="22"/>
          <w:szCs w:val="22"/>
        </w:rPr>
        <w:t>P</w:t>
      </w:r>
      <w:r w:rsidR="00F87E48" w:rsidRPr="001A58EE">
        <w:rPr>
          <w:sz w:val="22"/>
          <w:szCs w:val="22"/>
        </w:rPr>
        <w:t xml:space="preserve"> Evaluation Policy and will measure </w:t>
      </w:r>
      <w:r w:rsidRPr="001A58EE">
        <w:rPr>
          <w:sz w:val="22"/>
          <w:szCs w:val="22"/>
        </w:rPr>
        <w:t xml:space="preserve">relevance, effectiveness, efficiency, </w:t>
      </w:r>
      <w:r w:rsidR="00F87E48" w:rsidRPr="001A58EE">
        <w:rPr>
          <w:sz w:val="22"/>
          <w:szCs w:val="22"/>
        </w:rPr>
        <w:t xml:space="preserve">coherence </w:t>
      </w:r>
      <w:r w:rsidRPr="001A58EE">
        <w:rPr>
          <w:sz w:val="22"/>
          <w:szCs w:val="22"/>
        </w:rPr>
        <w:t xml:space="preserve">and sustainability, </w:t>
      </w:r>
      <w:r w:rsidR="00F87E48" w:rsidRPr="001A58EE">
        <w:rPr>
          <w:sz w:val="22"/>
          <w:szCs w:val="22"/>
        </w:rPr>
        <w:t>and</w:t>
      </w:r>
      <w:r w:rsidR="005631E5" w:rsidRPr="001A58EE">
        <w:rPr>
          <w:sz w:val="22"/>
          <w:szCs w:val="22"/>
        </w:rPr>
        <w:t xml:space="preserve"> contribution </w:t>
      </w:r>
      <w:r w:rsidR="00F87E48" w:rsidRPr="001A58EE">
        <w:rPr>
          <w:sz w:val="22"/>
          <w:szCs w:val="22"/>
        </w:rPr>
        <w:t>of UNDP’s work</w:t>
      </w:r>
      <w:r w:rsidR="005631E5" w:rsidRPr="001A58EE">
        <w:rPr>
          <w:sz w:val="22"/>
          <w:szCs w:val="22"/>
        </w:rPr>
        <w:t xml:space="preserve"> to outcome level results</w:t>
      </w:r>
      <w:r w:rsidR="00B278FE" w:rsidRPr="001A58EE">
        <w:rPr>
          <w:sz w:val="22"/>
          <w:szCs w:val="22"/>
        </w:rPr>
        <w:t xml:space="preserve">. </w:t>
      </w:r>
      <w:r w:rsidR="00240297" w:rsidRPr="001A58EE">
        <w:rPr>
          <w:sz w:val="22"/>
          <w:szCs w:val="22"/>
        </w:rPr>
        <w:t xml:space="preserve">In the spirit of participatory evaluations and to </w:t>
      </w:r>
      <w:r w:rsidR="009A7FC9" w:rsidRPr="001A58EE">
        <w:rPr>
          <w:sz w:val="22"/>
          <w:szCs w:val="22"/>
        </w:rPr>
        <w:t xml:space="preserve">foster national ownership of </w:t>
      </w:r>
      <w:r w:rsidR="005F3893" w:rsidRPr="001A58EE">
        <w:rPr>
          <w:sz w:val="22"/>
          <w:szCs w:val="22"/>
        </w:rPr>
        <w:t xml:space="preserve">the </w:t>
      </w:r>
      <w:r w:rsidR="009A7FC9" w:rsidRPr="001A58EE">
        <w:rPr>
          <w:sz w:val="22"/>
          <w:szCs w:val="22"/>
        </w:rPr>
        <w:t>results</w:t>
      </w:r>
      <w:r w:rsidR="00240297" w:rsidRPr="001A58EE">
        <w:rPr>
          <w:sz w:val="22"/>
          <w:szCs w:val="22"/>
        </w:rPr>
        <w:t xml:space="preserve">, key </w:t>
      </w:r>
      <w:r w:rsidR="009A7FC9" w:rsidRPr="001A58EE">
        <w:rPr>
          <w:sz w:val="22"/>
          <w:szCs w:val="22"/>
        </w:rPr>
        <w:t>public, private</w:t>
      </w:r>
      <w:r w:rsidR="005F3893" w:rsidRPr="001A58EE">
        <w:rPr>
          <w:sz w:val="22"/>
          <w:szCs w:val="22"/>
        </w:rPr>
        <w:t xml:space="preserve"> and </w:t>
      </w:r>
      <w:r w:rsidR="009A7FC9" w:rsidRPr="001A58EE">
        <w:rPr>
          <w:sz w:val="22"/>
          <w:szCs w:val="22"/>
        </w:rPr>
        <w:t xml:space="preserve">civil society </w:t>
      </w:r>
      <w:r w:rsidR="00240297" w:rsidRPr="001A58EE">
        <w:rPr>
          <w:sz w:val="22"/>
          <w:szCs w:val="22"/>
        </w:rPr>
        <w:t xml:space="preserve">stakeholders </w:t>
      </w:r>
      <w:r w:rsidR="005F3893" w:rsidRPr="001A58EE">
        <w:rPr>
          <w:sz w:val="22"/>
          <w:szCs w:val="22"/>
        </w:rPr>
        <w:t xml:space="preserve">and </w:t>
      </w:r>
      <w:r w:rsidR="009A7FC9" w:rsidRPr="001A58EE">
        <w:rPr>
          <w:sz w:val="22"/>
          <w:szCs w:val="22"/>
        </w:rPr>
        <w:t xml:space="preserve">international community </w:t>
      </w:r>
      <w:r w:rsidR="00240297" w:rsidRPr="001A58EE">
        <w:rPr>
          <w:sz w:val="22"/>
          <w:szCs w:val="22"/>
        </w:rPr>
        <w:t xml:space="preserve">will be involved at </w:t>
      </w:r>
      <w:r w:rsidR="009A7FC9" w:rsidRPr="001A58EE">
        <w:rPr>
          <w:sz w:val="22"/>
          <w:szCs w:val="22"/>
        </w:rPr>
        <w:t>various</w:t>
      </w:r>
      <w:r w:rsidR="00240297" w:rsidRPr="001A58EE">
        <w:rPr>
          <w:sz w:val="22"/>
          <w:szCs w:val="22"/>
        </w:rPr>
        <w:t xml:space="preserve"> stages of </w:t>
      </w:r>
      <w:r w:rsidR="009A7FC9" w:rsidRPr="001A58EE">
        <w:rPr>
          <w:sz w:val="22"/>
          <w:szCs w:val="22"/>
        </w:rPr>
        <w:t>evaluations</w:t>
      </w:r>
      <w:r w:rsidR="00240297" w:rsidRPr="001A58EE">
        <w:rPr>
          <w:sz w:val="22"/>
          <w:szCs w:val="22"/>
        </w:rPr>
        <w:t xml:space="preserve">. Most importantly, UNDP will ensure close engagement and participation </w:t>
      </w:r>
      <w:r w:rsidR="009A7FC9" w:rsidRPr="001A58EE">
        <w:rPr>
          <w:sz w:val="22"/>
          <w:szCs w:val="22"/>
        </w:rPr>
        <w:t xml:space="preserve">of beneficiary </w:t>
      </w:r>
      <w:r w:rsidRPr="001A58EE">
        <w:rPr>
          <w:sz w:val="22"/>
          <w:szCs w:val="22"/>
        </w:rPr>
        <w:t>populations</w:t>
      </w:r>
      <w:r w:rsidR="009A7FC9" w:rsidRPr="001A58EE">
        <w:rPr>
          <w:sz w:val="22"/>
          <w:szCs w:val="22"/>
        </w:rPr>
        <w:t xml:space="preserve">. </w:t>
      </w:r>
      <w:r w:rsidRPr="001A58EE">
        <w:rPr>
          <w:sz w:val="22"/>
          <w:szCs w:val="22"/>
        </w:rPr>
        <w:t>Finding</w:t>
      </w:r>
      <w:r w:rsidR="0091234C" w:rsidRPr="001A58EE">
        <w:rPr>
          <w:sz w:val="22"/>
          <w:szCs w:val="22"/>
        </w:rPr>
        <w:t xml:space="preserve">s, </w:t>
      </w:r>
      <w:r w:rsidRPr="001A58EE">
        <w:rPr>
          <w:sz w:val="22"/>
          <w:szCs w:val="22"/>
        </w:rPr>
        <w:t>recommendations</w:t>
      </w:r>
      <w:r w:rsidR="0091234C" w:rsidRPr="001A58EE">
        <w:rPr>
          <w:sz w:val="22"/>
          <w:szCs w:val="22"/>
        </w:rPr>
        <w:t xml:space="preserve">, lessons and best practices identified through </w:t>
      </w:r>
      <w:r w:rsidRPr="001A58EE">
        <w:rPr>
          <w:sz w:val="22"/>
          <w:szCs w:val="22"/>
        </w:rPr>
        <w:t xml:space="preserve">evaluations will </w:t>
      </w:r>
      <w:r w:rsidR="009623FA" w:rsidRPr="001A58EE">
        <w:rPr>
          <w:sz w:val="22"/>
          <w:szCs w:val="22"/>
        </w:rPr>
        <w:t xml:space="preserve">be used for </w:t>
      </w:r>
      <w:r w:rsidR="0091234C" w:rsidRPr="001A58EE">
        <w:rPr>
          <w:sz w:val="22"/>
          <w:szCs w:val="22"/>
        </w:rPr>
        <w:t xml:space="preserve">internal </w:t>
      </w:r>
      <w:r w:rsidR="009623FA" w:rsidRPr="001A58EE">
        <w:rPr>
          <w:sz w:val="22"/>
          <w:szCs w:val="22"/>
        </w:rPr>
        <w:t xml:space="preserve">learning and adaptive management and will nurture key decisions related to </w:t>
      </w:r>
      <w:r w:rsidRPr="001A58EE">
        <w:rPr>
          <w:sz w:val="22"/>
          <w:szCs w:val="22"/>
        </w:rPr>
        <w:t>project and programme design</w:t>
      </w:r>
      <w:r w:rsidR="009623FA" w:rsidRPr="001A58EE">
        <w:rPr>
          <w:sz w:val="22"/>
          <w:szCs w:val="22"/>
        </w:rPr>
        <w:t xml:space="preserve"> and </w:t>
      </w:r>
      <w:r w:rsidR="00803F7C" w:rsidRPr="001A58EE">
        <w:rPr>
          <w:sz w:val="22"/>
          <w:szCs w:val="22"/>
        </w:rPr>
        <w:t>implementation</w:t>
      </w:r>
      <w:r w:rsidR="009623FA" w:rsidRPr="001A58EE">
        <w:rPr>
          <w:sz w:val="22"/>
          <w:szCs w:val="22"/>
        </w:rPr>
        <w:t>.</w:t>
      </w:r>
      <w:r w:rsidR="00803F7C" w:rsidRPr="001A58EE">
        <w:rPr>
          <w:sz w:val="22"/>
          <w:szCs w:val="22"/>
        </w:rPr>
        <w:t xml:space="preserve"> These will also be shared with key stakeholders to </w:t>
      </w:r>
      <w:r w:rsidRPr="001A58EE">
        <w:rPr>
          <w:sz w:val="22"/>
          <w:szCs w:val="22"/>
        </w:rPr>
        <w:t>inform polic</w:t>
      </w:r>
      <w:r w:rsidR="00803F7C" w:rsidRPr="001A58EE">
        <w:rPr>
          <w:sz w:val="22"/>
          <w:szCs w:val="22"/>
        </w:rPr>
        <w:t>ies</w:t>
      </w:r>
      <w:r w:rsidRPr="001A58EE">
        <w:rPr>
          <w:sz w:val="22"/>
          <w:szCs w:val="22"/>
        </w:rPr>
        <w:t xml:space="preserve">; ensure accountability to stakeholders; </w:t>
      </w:r>
      <w:r w:rsidR="00803F7C" w:rsidRPr="001A58EE">
        <w:rPr>
          <w:sz w:val="22"/>
          <w:szCs w:val="22"/>
        </w:rPr>
        <w:t xml:space="preserve">foster partnerships and resource mobilization; and promote </w:t>
      </w:r>
      <w:r w:rsidRPr="001A58EE">
        <w:rPr>
          <w:sz w:val="22"/>
          <w:szCs w:val="22"/>
        </w:rPr>
        <w:t xml:space="preserve">UNDP’s added value </w:t>
      </w:r>
      <w:r w:rsidR="00DE567D" w:rsidRPr="001A58EE">
        <w:rPr>
          <w:sz w:val="22"/>
          <w:szCs w:val="22"/>
        </w:rPr>
        <w:t>and comparative advantages in the achievement of CPD and</w:t>
      </w:r>
      <w:r w:rsidRPr="001A58EE">
        <w:rPr>
          <w:sz w:val="22"/>
          <w:szCs w:val="22"/>
        </w:rPr>
        <w:t xml:space="preserve"> UNSDCF</w:t>
      </w:r>
      <w:r w:rsidR="00DE567D" w:rsidRPr="001A58EE">
        <w:rPr>
          <w:sz w:val="22"/>
          <w:szCs w:val="22"/>
        </w:rPr>
        <w:t xml:space="preserve"> </w:t>
      </w:r>
      <w:r w:rsidR="005631E5" w:rsidRPr="001A58EE">
        <w:rPr>
          <w:sz w:val="22"/>
          <w:szCs w:val="22"/>
        </w:rPr>
        <w:t>results</w:t>
      </w:r>
      <w:r w:rsidRPr="001A58EE">
        <w:rPr>
          <w:sz w:val="22"/>
          <w:szCs w:val="22"/>
        </w:rPr>
        <w:t>.</w:t>
      </w:r>
    </w:p>
    <w:p w14:paraId="4072F2AA" w14:textId="3921A179" w:rsidR="00893293" w:rsidRPr="001A58EE" w:rsidRDefault="00893293" w:rsidP="009001DD">
      <w:pPr>
        <w:spacing w:before="120" w:after="120"/>
        <w:jc w:val="both"/>
        <w:rPr>
          <w:sz w:val="22"/>
          <w:szCs w:val="22"/>
        </w:rPr>
      </w:pPr>
      <w:r w:rsidRPr="003E6E53">
        <w:rPr>
          <w:sz w:val="22"/>
          <w:szCs w:val="22"/>
        </w:rPr>
        <w:t xml:space="preserve">At the </w:t>
      </w:r>
      <w:r w:rsidRPr="003E6E53">
        <w:rPr>
          <w:b/>
          <w:bCs/>
          <w:sz w:val="22"/>
          <w:szCs w:val="22"/>
        </w:rPr>
        <w:t>programmatic</w:t>
      </w:r>
      <w:r w:rsidRPr="003E6E53">
        <w:rPr>
          <w:sz w:val="22"/>
          <w:szCs w:val="22"/>
        </w:rPr>
        <w:t xml:space="preserve"> level, UNDP will partner with the United Nations Country Team for the </w:t>
      </w:r>
      <w:r w:rsidRPr="003E6E53">
        <w:rPr>
          <w:b/>
          <w:bCs/>
          <w:sz w:val="22"/>
          <w:szCs w:val="22"/>
        </w:rPr>
        <w:t>UNSDCF Evaluation</w:t>
      </w:r>
      <w:r w:rsidRPr="003E6E53">
        <w:rPr>
          <w:sz w:val="22"/>
          <w:szCs w:val="22"/>
        </w:rPr>
        <w:t xml:space="preserve">, planned for </w:t>
      </w:r>
      <w:r w:rsidR="000A0893" w:rsidRPr="003E6E53">
        <w:rPr>
          <w:sz w:val="22"/>
          <w:szCs w:val="22"/>
        </w:rPr>
        <w:t>202</w:t>
      </w:r>
      <w:r w:rsidR="000D442D" w:rsidRPr="003E6E53">
        <w:rPr>
          <w:sz w:val="22"/>
          <w:szCs w:val="22"/>
        </w:rPr>
        <w:t>7</w:t>
      </w:r>
      <w:r w:rsidRPr="003E6E53">
        <w:rPr>
          <w:sz w:val="22"/>
          <w:szCs w:val="22"/>
        </w:rPr>
        <w:t xml:space="preserve">, </w:t>
      </w:r>
      <w:r w:rsidR="000A0893" w:rsidRPr="003E6E53">
        <w:rPr>
          <w:sz w:val="22"/>
          <w:szCs w:val="22"/>
        </w:rPr>
        <w:t xml:space="preserve">especially focusing on the four outcomes </w:t>
      </w:r>
      <w:r w:rsidR="00867117" w:rsidRPr="003E6E53">
        <w:rPr>
          <w:sz w:val="22"/>
          <w:szCs w:val="22"/>
        </w:rPr>
        <w:t xml:space="preserve">that </w:t>
      </w:r>
      <w:r w:rsidR="000A0893" w:rsidRPr="003E6E53">
        <w:rPr>
          <w:sz w:val="22"/>
          <w:szCs w:val="22"/>
        </w:rPr>
        <w:t>UNDP is contributing and adding value</w:t>
      </w:r>
      <w:r w:rsidR="00867117" w:rsidRPr="003E6E53">
        <w:rPr>
          <w:sz w:val="22"/>
          <w:szCs w:val="22"/>
        </w:rPr>
        <w:t xml:space="preserve"> to</w:t>
      </w:r>
      <w:r w:rsidRPr="003E6E53">
        <w:rPr>
          <w:sz w:val="22"/>
          <w:szCs w:val="22"/>
        </w:rPr>
        <w:t>.</w:t>
      </w:r>
      <w:r w:rsidR="000A0893" w:rsidRPr="003E6E53">
        <w:rPr>
          <w:sz w:val="22"/>
          <w:szCs w:val="22"/>
        </w:rPr>
        <w:t xml:space="preserve"> </w:t>
      </w:r>
      <w:r w:rsidR="004F43ED" w:rsidRPr="001A58EE">
        <w:rPr>
          <w:sz w:val="22"/>
          <w:szCs w:val="22"/>
        </w:rPr>
        <w:t xml:space="preserve">UNDP </w:t>
      </w:r>
      <w:r w:rsidR="00771C67" w:rsidRPr="001A58EE">
        <w:rPr>
          <w:sz w:val="22"/>
          <w:szCs w:val="22"/>
        </w:rPr>
        <w:t xml:space="preserve">will </w:t>
      </w:r>
      <w:r w:rsidR="000E631C" w:rsidRPr="001A58EE">
        <w:rPr>
          <w:sz w:val="22"/>
          <w:szCs w:val="22"/>
        </w:rPr>
        <w:t xml:space="preserve">commission </w:t>
      </w:r>
      <w:r w:rsidR="002E165F" w:rsidRPr="001A58EE">
        <w:rPr>
          <w:sz w:val="22"/>
          <w:szCs w:val="22"/>
        </w:rPr>
        <w:t xml:space="preserve">a </w:t>
      </w:r>
      <w:r w:rsidR="002E165F" w:rsidRPr="000D442D">
        <w:rPr>
          <w:b/>
          <w:bCs/>
          <w:sz w:val="22"/>
          <w:szCs w:val="22"/>
        </w:rPr>
        <w:t xml:space="preserve">Mid-Term CPD </w:t>
      </w:r>
      <w:r w:rsidR="000C37A8" w:rsidRPr="000D442D">
        <w:rPr>
          <w:b/>
          <w:bCs/>
          <w:sz w:val="22"/>
          <w:szCs w:val="22"/>
        </w:rPr>
        <w:t>Evaluation</w:t>
      </w:r>
      <w:r w:rsidR="002E165F" w:rsidRPr="001A58EE">
        <w:rPr>
          <w:sz w:val="22"/>
          <w:szCs w:val="22"/>
        </w:rPr>
        <w:t xml:space="preserve">, </w:t>
      </w:r>
      <w:r w:rsidR="004F43ED" w:rsidRPr="001A58EE">
        <w:rPr>
          <w:sz w:val="22"/>
          <w:szCs w:val="22"/>
        </w:rPr>
        <w:t>to assess the validity of the original Theory of Change and make any course</w:t>
      </w:r>
      <w:r w:rsidR="005631E5" w:rsidRPr="001A58EE">
        <w:rPr>
          <w:sz w:val="22"/>
          <w:szCs w:val="22"/>
        </w:rPr>
        <w:t xml:space="preserve"> adjustments</w:t>
      </w:r>
      <w:r w:rsidR="004F43ED" w:rsidRPr="001A58EE">
        <w:rPr>
          <w:sz w:val="22"/>
          <w:szCs w:val="22"/>
        </w:rPr>
        <w:t xml:space="preserve"> as appropriate. Learning from the experience from the previous programmatic cycle, whereby UNDP refrained from the final evaluation of the CPD</w:t>
      </w:r>
      <w:r w:rsidR="000C37A8" w:rsidRPr="001A58EE">
        <w:rPr>
          <w:sz w:val="22"/>
          <w:szCs w:val="22"/>
        </w:rPr>
        <w:t xml:space="preserve"> </w:t>
      </w:r>
      <w:r w:rsidR="00054E16" w:rsidRPr="001A58EE">
        <w:rPr>
          <w:sz w:val="22"/>
          <w:szCs w:val="22"/>
        </w:rPr>
        <w:t xml:space="preserve">respecting UNCT´s recommendation </w:t>
      </w:r>
      <w:r w:rsidR="000C37A8" w:rsidRPr="001A58EE">
        <w:rPr>
          <w:sz w:val="22"/>
          <w:szCs w:val="22"/>
        </w:rPr>
        <w:t xml:space="preserve">and could not obtain valuable lessons and assessment of </w:t>
      </w:r>
      <w:r w:rsidR="00867117" w:rsidRPr="001A58EE">
        <w:rPr>
          <w:sz w:val="22"/>
          <w:szCs w:val="22"/>
        </w:rPr>
        <w:t>the</w:t>
      </w:r>
      <w:r w:rsidR="000C37A8" w:rsidRPr="001A58EE">
        <w:rPr>
          <w:sz w:val="22"/>
          <w:szCs w:val="22"/>
        </w:rPr>
        <w:t xml:space="preserve"> programme</w:t>
      </w:r>
      <w:r w:rsidR="004F43ED" w:rsidRPr="001A58EE">
        <w:rPr>
          <w:sz w:val="22"/>
          <w:szCs w:val="22"/>
        </w:rPr>
        <w:t xml:space="preserve">, UNDP will reach out to </w:t>
      </w:r>
      <w:r w:rsidR="004F3788" w:rsidRPr="001A58EE">
        <w:rPr>
          <w:sz w:val="22"/>
          <w:szCs w:val="22"/>
        </w:rPr>
        <w:t xml:space="preserve">the Independent Evaluation Office </w:t>
      </w:r>
      <w:r w:rsidR="001A58EE" w:rsidRPr="001A58EE">
        <w:rPr>
          <w:sz w:val="22"/>
          <w:szCs w:val="22"/>
        </w:rPr>
        <w:t xml:space="preserve">(IEO) </w:t>
      </w:r>
      <w:r w:rsidR="004F3788" w:rsidRPr="001A58EE">
        <w:rPr>
          <w:sz w:val="22"/>
          <w:szCs w:val="22"/>
        </w:rPr>
        <w:t xml:space="preserve">to </w:t>
      </w:r>
      <w:r w:rsidR="000C37A8" w:rsidRPr="001A58EE">
        <w:rPr>
          <w:sz w:val="22"/>
          <w:szCs w:val="22"/>
        </w:rPr>
        <w:t xml:space="preserve">secure an </w:t>
      </w:r>
      <w:r w:rsidR="000C37A8" w:rsidRPr="000D442D">
        <w:rPr>
          <w:b/>
          <w:bCs/>
          <w:sz w:val="22"/>
          <w:szCs w:val="22"/>
        </w:rPr>
        <w:t>Independent Country Programme Evaluation (ICPE)</w:t>
      </w:r>
      <w:r w:rsidR="000C37A8" w:rsidRPr="001A58EE">
        <w:rPr>
          <w:sz w:val="22"/>
          <w:szCs w:val="22"/>
        </w:rPr>
        <w:t xml:space="preserve"> in 202</w:t>
      </w:r>
      <w:r w:rsidR="00054E16" w:rsidRPr="001A58EE">
        <w:rPr>
          <w:sz w:val="22"/>
          <w:szCs w:val="22"/>
        </w:rPr>
        <w:t>6 assuring complementary focus with the UNSDCF Evaluation</w:t>
      </w:r>
      <w:r w:rsidRPr="001A58EE">
        <w:rPr>
          <w:sz w:val="22"/>
          <w:szCs w:val="22"/>
        </w:rPr>
        <w:t>.</w:t>
      </w:r>
    </w:p>
    <w:p w14:paraId="273C2ED7" w14:textId="4F2B25D4" w:rsidR="001A58EE" w:rsidRPr="001A58EE" w:rsidRDefault="00893293" w:rsidP="009001DD">
      <w:pPr>
        <w:spacing w:before="120" w:after="120"/>
        <w:jc w:val="both"/>
        <w:rPr>
          <w:sz w:val="22"/>
          <w:szCs w:val="22"/>
        </w:rPr>
      </w:pPr>
      <w:r w:rsidRPr="001A58EE">
        <w:rPr>
          <w:sz w:val="22"/>
          <w:szCs w:val="22"/>
        </w:rPr>
        <w:t xml:space="preserve">At the </w:t>
      </w:r>
      <w:r w:rsidRPr="001A58EE">
        <w:rPr>
          <w:b/>
          <w:bCs/>
          <w:sz w:val="22"/>
          <w:szCs w:val="22"/>
        </w:rPr>
        <w:t>Outcome and Thematic</w:t>
      </w:r>
      <w:r w:rsidRPr="001A58EE">
        <w:rPr>
          <w:sz w:val="22"/>
          <w:szCs w:val="22"/>
        </w:rPr>
        <w:t xml:space="preserve"> level, UNDP will carry out one </w:t>
      </w:r>
      <w:r w:rsidR="006A47CE" w:rsidRPr="0072524C">
        <w:rPr>
          <w:b/>
          <w:bCs/>
          <w:sz w:val="22"/>
          <w:szCs w:val="22"/>
        </w:rPr>
        <w:t xml:space="preserve">thematic </w:t>
      </w:r>
      <w:r w:rsidR="00A13DA2" w:rsidRPr="0072524C">
        <w:rPr>
          <w:b/>
          <w:bCs/>
          <w:sz w:val="22"/>
          <w:szCs w:val="22"/>
        </w:rPr>
        <w:t xml:space="preserve">gender-responsive </w:t>
      </w:r>
      <w:r w:rsidRPr="0072524C">
        <w:rPr>
          <w:b/>
          <w:bCs/>
          <w:sz w:val="22"/>
          <w:szCs w:val="22"/>
        </w:rPr>
        <w:t xml:space="preserve">evaluation </w:t>
      </w:r>
      <w:r w:rsidR="006A47CE" w:rsidRPr="0072524C">
        <w:rPr>
          <w:b/>
          <w:bCs/>
          <w:sz w:val="22"/>
          <w:szCs w:val="22"/>
        </w:rPr>
        <w:t>of UNDP Support to MSME development</w:t>
      </w:r>
      <w:r w:rsidR="00A13DA2" w:rsidRPr="001A58EE">
        <w:rPr>
          <w:sz w:val="22"/>
          <w:szCs w:val="22"/>
        </w:rPr>
        <w:t xml:space="preserve"> to </w:t>
      </w:r>
      <w:r w:rsidR="00F05A1E" w:rsidRPr="001A58EE">
        <w:rPr>
          <w:sz w:val="22"/>
          <w:szCs w:val="22"/>
        </w:rPr>
        <w:t>assess different modalities of UNDP support to Micro, Small and Medium enterprises</w:t>
      </w:r>
      <w:r w:rsidR="00A06BDE" w:rsidRPr="001A58EE">
        <w:rPr>
          <w:sz w:val="22"/>
          <w:szCs w:val="22"/>
        </w:rPr>
        <w:t xml:space="preserve">, </w:t>
      </w:r>
      <w:r w:rsidR="00F05A1E" w:rsidRPr="001A58EE">
        <w:rPr>
          <w:sz w:val="22"/>
          <w:szCs w:val="22"/>
        </w:rPr>
        <w:t xml:space="preserve">especially during and in the aftermath of Covid-19, </w:t>
      </w:r>
      <w:r w:rsidR="00A13DA2" w:rsidRPr="001A58EE">
        <w:rPr>
          <w:sz w:val="22"/>
          <w:szCs w:val="22"/>
        </w:rPr>
        <w:t>with emphasis</w:t>
      </w:r>
      <w:r w:rsidR="00C96D8C" w:rsidRPr="001A58EE">
        <w:rPr>
          <w:sz w:val="22"/>
          <w:szCs w:val="22"/>
        </w:rPr>
        <w:t xml:space="preserve"> on MSMEs led by or benefitting women and vulnerable populations. </w:t>
      </w:r>
      <w:r w:rsidR="00A47805" w:rsidRPr="001A58EE">
        <w:rPr>
          <w:sz w:val="22"/>
          <w:szCs w:val="22"/>
        </w:rPr>
        <w:t xml:space="preserve">The evaluation will pay special attention to the application of diverse digitalization measures </w:t>
      </w:r>
      <w:r w:rsidR="00E93227" w:rsidRPr="001A58EE">
        <w:rPr>
          <w:sz w:val="22"/>
          <w:szCs w:val="22"/>
        </w:rPr>
        <w:t xml:space="preserve">in light of </w:t>
      </w:r>
      <w:r w:rsidR="0059667F">
        <w:rPr>
          <w:sz w:val="22"/>
          <w:szCs w:val="22"/>
        </w:rPr>
        <w:t>UNDP’s</w:t>
      </w:r>
      <w:r w:rsidR="0059667F" w:rsidRPr="001A58EE">
        <w:rPr>
          <w:sz w:val="22"/>
          <w:szCs w:val="22"/>
        </w:rPr>
        <w:t xml:space="preserve"> </w:t>
      </w:r>
      <w:r w:rsidR="00E93227" w:rsidRPr="001A58EE">
        <w:rPr>
          <w:sz w:val="22"/>
          <w:szCs w:val="22"/>
        </w:rPr>
        <w:t xml:space="preserve">innovation and digitalization strategy </w:t>
      </w:r>
      <w:r w:rsidR="00BD4256" w:rsidRPr="001A58EE">
        <w:rPr>
          <w:sz w:val="22"/>
          <w:szCs w:val="22"/>
        </w:rPr>
        <w:t xml:space="preserve">spearheaded by the Accelerator Lab. </w:t>
      </w:r>
      <w:r w:rsidR="00A13DA2" w:rsidRPr="001A58EE">
        <w:rPr>
          <w:sz w:val="22"/>
          <w:szCs w:val="22"/>
        </w:rPr>
        <w:t xml:space="preserve">This summative and formative evaluation will </w:t>
      </w:r>
      <w:r w:rsidR="00F05A1E" w:rsidRPr="001A58EE">
        <w:rPr>
          <w:sz w:val="22"/>
          <w:szCs w:val="22"/>
        </w:rPr>
        <w:t xml:space="preserve">extract valuable lessons and innovative practices that will inform UNDP’s future </w:t>
      </w:r>
      <w:r w:rsidR="00BF27F7" w:rsidRPr="001A58EE">
        <w:rPr>
          <w:sz w:val="22"/>
          <w:szCs w:val="22"/>
        </w:rPr>
        <w:t>efforts to support resilient and inclusive growth in the Dominican Republic</w:t>
      </w:r>
      <w:r w:rsidR="00A13DA2" w:rsidRPr="001A58EE">
        <w:rPr>
          <w:sz w:val="22"/>
          <w:szCs w:val="22"/>
        </w:rPr>
        <w:t xml:space="preserve"> that leaves no one behind.</w:t>
      </w:r>
      <w:r w:rsidR="001A58EE" w:rsidRPr="001A58EE">
        <w:rPr>
          <w:sz w:val="22"/>
          <w:szCs w:val="22"/>
        </w:rPr>
        <w:t xml:space="preserve"> UNDP will also partner with the IEO in the framework of the </w:t>
      </w:r>
      <w:r w:rsidR="001A58EE" w:rsidRPr="0072524C">
        <w:rPr>
          <w:b/>
          <w:bCs/>
          <w:sz w:val="22"/>
          <w:szCs w:val="22"/>
        </w:rPr>
        <w:t>IEO-led Thematic Evaluation of UNDP’s support to Social Protection</w:t>
      </w:r>
      <w:r w:rsidR="001A58EE" w:rsidRPr="001A58EE">
        <w:rPr>
          <w:sz w:val="22"/>
          <w:szCs w:val="22"/>
        </w:rPr>
        <w:t>, in which the Dominican Republic was selected as one of the two case study countries in Latin America and the Caribbean</w:t>
      </w:r>
      <w:r w:rsidR="0072524C">
        <w:rPr>
          <w:sz w:val="22"/>
          <w:szCs w:val="22"/>
        </w:rPr>
        <w:t>.</w:t>
      </w:r>
    </w:p>
    <w:p w14:paraId="0E2C11AC" w14:textId="45570657" w:rsidR="00785474" w:rsidRPr="00C80100" w:rsidRDefault="00893293" w:rsidP="001B0E02">
      <w:pPr>
        <w:spacing w:before="120" w:after="120"/>
        <w:jc w:val="both"/>
        <w:rPr>
          <w:sz w:val="22"/>
          <w:szCs w:val="22"/>
        </w:rPr>
      </w:pPr>
      <w:r w:rsidRPr="001A58EE">
        <w:rPr>
          <w:sz w:val="22"/>
          <w:szCs w:val="22"/>
        </w:rPr>
        <w:t xml:space="preserve">UNDP will </w:t>
      </w:r>
      <w:r w:rsidR="00BF27F7" w:rsidRPr="001A58EE">
        <w:rPr>
          <w:sz w:val="22"/>
          <w:szCs w:val="22"/>
        </w:rPr>
        <w:t xml:space="preserve">conduct </w:t>
      </w:r>
      <w:r w:rsidR="001804BD" w:rsidRPr="001A58EE">
        <w:rPr>
          <w:sz w:val="22"/>
          <w:szCs w:val="22"/>
        </w:rPr>
        <w:t xml:space="preserve">evaluations of </w:t>
      </w:r>
      <w:r w:rsidR="00850EDE" w:rsidRPr="001A58EE">
        <w:rPr>
          <w:sz w:val="22"/>
          <w:szCs w:val="22"/>
        </w:rPr>
        <w:t xml:space="preserve">at least 4 </w:t>
      </w:r>
      <w:r w:rsidRPr="001A58EE">
        <w:rPr>
          <w:b/>
          <w:bCs/>
          <w:sz w:val="22"/>
          <w:szCs w:val="22"/>
        </w:rPr>
        <w:t>project</w:t>
      </w:r>
      <w:r w:rsidR="001804BD" w:rsidRPr="001A58EE">
        <w:rPr>
          <w:b/>
          <w:bCs/>
          <w:sz w:val="22"/>
          <w:szCs w:val="22"/>
        </w:rPr>
        <w:t>s</w:t>
      </w:r>
      <w:r w:rsidRPr="001A58EE">
        <w:rPr>
          <w:sz w:val="22"/>
          <w:szCs w:val="22"/>
        </w:rPr>
        <w:t xml:space="preserve">, of which </w:t>
      </w:r>
      <w:r w:rsidR="00850EDE" w:rsidRPr="001A58EE">
        <w:rPr>
          <w:sz w:val="22"/>
          <w:szCs w:val="22"/>
        </w:rPr>
        <w:t xml:space="preserve">one is funded by </w:t>
      </w:r>
      <w:r w:rsidRPr="001A58EE">
        <w:rPr>
          <w:sz w:val="22"/>
          <w:szCs w:val="22"/>
        </w:rPr>
        <w:t>GEF</w:t>
      </w:r>
      <w:r w:rsidR="00850EDE" w:rsidRPr="001A58EE">
        <w:rPr>
          <w:sz w:val="22"/>
          <w:szCs w:val="22"/>
        </w:rPr>
        <w:t xml:space="preserve">. </w:t>
      </w:r>
      <w:r w:rsidR="001E1A60" w:rsidRPr="001A58EE">
        <w:rPr>
          <w:sz w:val="22"/>
          <w:szCs w:val="22"/>
        </w:rPr>
        <w:t xml:space="preserve">Three of these </w:t>
      </w:r>
      <w:r w:rsidR="00850EDE" w:rsidRPr="001A58EE">
        <w:rPr>
          <w:sz w:val="22"/>
          <w:szCs w:val="22"/>
        </w:rPr>
        <w:t xml:space="preserve">evaluations </w:t>
      </w:r>
      <w:r w:rsidR="001E1A60" w:rsidRPr="001A58EE">
        <w:rPr>
          <w:sz w:val="22"/>
          <w:szCs w:val="22"/>
        </w:rPr>
        <w:t xml:space="preserve">will be terminal whereby UNDP will provide key partners and </w:t>
      </w:r>
      <w:r w:rsidR="00054E16" w:rsidRPr="001A58EE">
        <w:rPr>
          <w:sz w:val="22"/>
          <w:szCs w:val="22"/>
        </w:rPr>
        <w:t xml:space="preserve">international community </w:t>
      </w:r>
      <w:r w:rsidR="001E1A60" w:rsidRPr="001A58EE">
        <w:rPr>
          <w:sz w:val="22"/>
          <w:szCs w:val="22"/>
        </w:rPr>
        <w:t xml:space="preserve">with </w:t>
      </w:r>
      <w:r w:rsidR="00F36870" w:rsidRPr="001A58EE">
        <w:rPr>
          <w:sz w:val="22"/>
          <w:szCs w:val="22"/>
        </w:rPr>
        <w:t xml:space="preserve">final findings and conclusions </w:t>
      </w:r>
      <w:r w:rsidR="001804BD" w:rsidRPr="001A58EE">
        <w:rPr>
          <w:sz w:val="22"/>
          <w:szCs w:val="22"/>
        </w:rPr>
        <w:t xml:space="preserve">in </w:t>
      </w:r>
      <w:r w:rsidRPr="001A58EE">
        <w:rPr>
          <w:sz w:val="22"/>
          <w:szCs w:val="22"/>
        </w:rPr>
        <w:t xml:space="preserve">full compliance with donor policies and requirements </w:t>
      </w:r>
      <w:r w:rsidR="001804BD" w:rsidRPr="001A58EE">
        <w:rPr>
          <w:sz w:val="22"/>
          <w:szCs w:val="22"/>
        </w:rPr>
        <w:t xml:space="preserve">as </w:t>
      </w:r>
      <w:r w:rsidRPr="001A58EE">
        <w:rPr>
          <w:sz w:val="22"/>
          <w:szCs w:val="22"/>
        </w:rPr>
        <w:t>appropriate</w:t>
      </w:r>
      <w:r w:rsidR="001804BD" w:rsidRPr="001A58EE">
        <w:rPr>
          <w:sz w:val="22"/>
          <w:szCs w:val="22"/>
        </w:rPr>
        <w:t xml:space="preserve">. </w:t>
      </w:r>
      <w:r w:rsidR="00DD0E0E" w:rsidRPr="001A58EE">
        <w:rPr>
          <w:sz w:val="22"/>
          <w:szCs w:val="22"/>
        </w:rPr>
        <w:t xml:space="preserve">The fourth evaluation will be conducted mid-way in the project implementation to assess the progress towards the achievement of results and make necessary adjustments in the </w:t>
      </w:r>
      <w:r w:rsidR="00A81188" w:rsidRPr="001A58EE">
        <w:rPr>
          <w:sz w:val="22"/>
          <w:szCs w:val="22"/>
        </w:rPr>
        <w:t>implementation strategy</w:t>
      </w:r>
      <w:r w:rsidRPr="001A58EE">
        <w:rPr>
          <w:sz w:val="22"/>
          <w:szCs w:val="22"/>
        </w:rPr>
        <w:t xml:space="preserve">. UNDP </w:t>
      </w:r>
      <w:r w:rsidR="00A81188" w:rsidRPr="001A58EE">
        <w:rPr>
          <w:sz w:val="22"/>
          <w:szCs w:val="22"/>
        </w:rPr>
        <w:t>will update the Evaluation Plan to reflect new project approvals</w:t>
      </w:r>
      <w:r w:rsidR="00C508AD">
        <w:rPr>
          <w:sz w:val="22"/>
          <w:szCs w:val="22"/>
        </w:rPr>
        <w:t xml:space="preserve"> and</w:t>
      </w:r>
      <w:r w:rsidR="00EB1B52" w:rsidRPr="001A58EE">
        <w:rPr>
          <w:sz w:val="22"/>
          <w:szCs w:val="22"/>
        </w:rPr>
        <w:t xml:space="preserve"> changes in the programmatic priorities based on the situation monitoring</w:t>
      </w:r>
      <w:r w:rsidR="00A81188" w:rsidRPr="001A58EE">
        <w:rPr>
          <w:sz w:val="22"/>
          <w:szCs w:val="22"/>
        </w:rPr>
        <w:t xml:space="preserve"> </w:t>
      </w:r>
      <w:r w:rsidR="002B6CD8" w:rsidRPr="001A58EE">
        <w:rPr>
          <w:sz w:val="22"/>
          <w:szCs w:val="22"/>
        </w:rPr>
        <w:t xml:space="preserve">and/or </w:t>
      </w:r>
      <w:r w:rsidR="00EB1B52" w:rsidRPr="001A58EE">
        <w:rPr>
          <w:sz w:val="22"/>
          <w:szCs w:val="22"/>
        </w:rPr>
        <w:t xml:space="preserve">requests from </w:t>
      </w:r>
      <w:r w:rsidR="00EB1B52" w:rsidRPr="00C80100">
        <w:rPr>
          <w:sz w:val="22"/>
          <w:szCs w:val="22"/>
        </w:rPr>
        <w:t>counterparts/</w:t>
      </w:r>
      <w:r w:rsidR="00054E16" w:rsidRPr="00C80100">
        <w:rPr>
          <w:sz w:val="22"/>
          <w:szCs w:val="22"/>
        </w:rPr>
        <w:t>partners</w:t>
      </w:r>
      <w:r w:rsidR="00AF4D40" w:rsidRPr="00C80100">
        <w:rPr>
          <w:sz w:val="22"/>
          <w:szCs w:val="22"/>
        </w:rPr>
        <w:t>.</w:t>
      </w:r>
    </w:p>
    <w:p w14:paraId="583048D2" w14:textId="2A35EED7" w:rsidR="001A58EE" w:rsidRPr="00C80100" w:rsidRDefault="009D63EF" w:rsidP="001B0E02">
      <w:pPr>
        <w:spacing w:before="120" w:after="120"/>
        <w:jc w:val="both"/>
        <w:rPr>
          <w:sz w:val="22"/>
          <w:szCs w:val="22"/>
        </w:rPr>
      </w:pPr>
      <w:r w:rsidRPr="00C80100">
        <w:rPr>
          <w:sz w:val="22"/>
          <w:szCs w:val="22"/>
        </w:rPr>
        <w:t>UNDP</w:t>
      </w:r>
      <w:r w:rsidRPr="00C80100">
        <w:rPr>
          <w:rFonts w:eastAsia="MS Mincho"/>
          <w:sz w:val="22"/>
          <w:szCs w:val="22"/>
        </w:rPr>
        <w:t xml:space="preserve">, in coordination with </w:t>
      </w:r>
      <w:r w:rsidR="00C508AD">
        <w:rPr>
          <w:rFonts w:eastAsia="MS Mincho"/>
          <w:sz w:val="22"/>
          <w:szCs w:val="22"/>
        </w:rPr>
        <w:t xml:space="preserve">the </w:t>
      </w:r>
      <w:r w:rsidRPr="00C80100">
        <w:rPr>
          <w:sz w:val="22"/>
          <w:szCs w:val="22"/>
        </w:rPr>
        <w:t>Ministry of Economy, Planning and Development (</w:t>
      </w:r>
      <w:proofErr w:type="spellStart"/>
      <w:r w:rsidRPr="00C80100">
        <w:rPr>
          <w:sz w:val="22"/>
          <w:szCs w:val="22"/>
        </w:rPr>
        <w:t>MEPyD</w:t>
      </w:r>
      <w:proofErr w:type="spellEnd"/>
      <w:r w:rsidRPr="00C80100">
        <w:rPr>
          <w:sz w:val="22"/>
          <w:szCs w:val="22"/>
        </w:rPr>
        <w:t>)</w:t>
      </w:r>
      <w:r w:rsidRPr="00C80100">
        <w:rPr>
          <w:rFonts w:eastAsia="MS Mincho"/>
          <w:sz w:val="22"/>
          <w:szCs w:val="22"/>
        </w:rPr>
        <w:t xml:space="preserve">, will strengthen </w:t>
      </w:r>
      <w:r w:rsidRPr="00C80100">
        <w:rPr>
          <w:rFonts w:eastAsia="MS Mincho"/>
          <w:b/>
          <w:bCs/>
          <w:sz w:val="22"/>
          <w:szCs w:val="22"/>
        </w:rPr>
        <w:t xml:space="preserve">national </w:t>
      </w:r>
      <w:r w:rsidR="00C80100">
        <w:rPr>
          <w:rFonts w:eastAsia="MS Mincho"/>
          <w:b/>
          <w:bCs/>
          <w:sz w:val="22"/>
          <w:szCs w:val="22"/>
        </w:rPr>
        <w:t xml:space="preserve">evaluation </w:t>
      </w:r>
      <w:r w:rsidRPr="00C80100">
        <w:rPr>
          <w:rFonts w:eastAsia="MS Mincho"/>
          <w:b/>
          <w:bCs/>
          <w:sz w:val="22"/>
          <w:szCs w:val="22"/>
        </w:rPr>
        <w:t>capacities</w:t>
      </w:r>
      <w:r w:rsidRPr="00C80100">
        <w:rPr>
          <w:rFonts w:eastAsia="MS Mincho"/>
          <w:sz w:val="22"/>
          <w:szCs w:val="22"/>
        </w:rPr>
        <w:t xml:space="preserve"> to generate robust evidence through different methodologies, including impact evaluations. As part of this commitment, </w:t>
      </w:r>
      <w:r w:rsidR="00045686" w:rsidRPr="00C80100">
        <w:rPr>
          <w:sz w:val="22"/>
          <w:szCs w:val="22"/>
        </w:rPr>
        <w:t xml:space="preserve">UNDP will </w:t>
      </w:r>
      <w:r w:rsidR="00DE53C9" w:rsidRPr="00C80100">
        <w:rPr>
          <w:sz w:val="22"/>
          <w:szCs w:val="22"/>
        </w:rPr>
        <w:t xml:space="preserve">support the </w:t>
      </w:r>
      <w:proofErr w:type="spellStart"/>
      <w:r w:rsidR="00C80100" w:rsidRPr="00C80100">
        <w:rPr>
          <w:sz w:val="22"/>
          <w:szCs w:val="22"/>
        </w:rPr>
        <w:t>MEPYyD</w:t>
      </w:r>
      <w:proofErr w:type="spellEnd"/>
      <w:r w:rsidR="00C80100" w:rsidRPr="00C80100">
        <w:rPr>
          <w:sz w:val="22"/>
          <w:szCs w:val="22"/>
        </w:rPr>
        <w:t xml:space="preserve">-led </w:t>
      </w:r>
      <w:r w:rsidR="00DE53C9" w:rsidRPr="00C80100">
        <w:rPr>
          <w:sz w:val="22"/>
          <w:szCs w:val="22"/>
        </w:rPr>
        <w:t xml:space="preserve">evaluation of the National Care Policy </w:t>
      </w:r>
      <w:r w:rsidR="00C80100" w:rsidRPr="00C80100">
        <w:rPr>
          <w:sz w:val="22"/>
          <w:szCs w:val="22"/>
        </w:rPr>
        <w:t>providing technical assistance for the development of Terms of Reference and methodological approach and tools.</w:t>
      </w:r>
    </w:p>
    <w:p w14:paraId="31D8ED05" w14:textId="6A09AF95" w:rsidR="00273140" w:rsidRPr="00C80100" w:rsidRDefault="00273140" w:rsidP="001B0E02">
      <w:pPr>
        <w:spacing w:before="120" w:after="120"/>
        <w:jc w:val="both"/>
        <w:rPr>
          <w:sz w:val="22"/>
          <w:szCs w:val="22"/>
        </w:rPr>
      </w:pPr>
    </w:p>
    <w:p w14:paraId="10A1CE02" w14:textId="4DC0479A" w:rsidR="001A58EE" w:rsidRPr="00C80100" w:rsidRDefault="001A58EE">
      <w:pPr>
        <w:rPr>
          <w:color w:val="000000"/>
          <w:sz w:val="22"/>
          <w:szCs w:val="22"/>
        </w:rPr>
      </w:pPr>
      <w:r w:rsidRPr="00C80100">
        <w:rPr>
          <w:color w:val="000000"/>
          <w:sz w:val="22"/>
          <w:szCs w:val="22"/>
        </w:rPr>
        <w:br w:type="page"/>
      </w:r>
    </w:p>
    <w:p w14:paraId="6487C2F9" w14:textId="77777777" w:rsidR="00273140" w:rsidRPr="00001FA7" w:rsidRDefault="00273140" w:rsidP="00A56348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336"/>
        <w:gridCol w:w="1360"/>
        <w:gridCol w:w="1647"/>
        <w:gridCol w:w="1651"/>
        <w:gridCol w:w="1689"/>
        <w:gridCol w:w="1502"/>
        <w:gridCol w:w="1448"/>
        <w:gridCol w:w="1362"/>
      </w:tblGrid>
      <w:tr w:rsidR="00202476" w:rsidRPr="003C26C1" w14:paraId="2440D47C" w14:textId="77777777" w:rsidTr="00612DCD">
        <w:trPr>
          <w:trHeight w:val="845"/>
        </w:trPr>
        <w:tc>
          <w:tcPr>
            <w:tcW w:w="569" w:type="pct"/>
            <w:shd w:val="clear" w:color="auto" w:fill="DBE5F1" w:themeFill="accent1" w:themeFillTint="33"/>
            <w:vAlign w:val="center"/>
          </w:tcPr>
          <w:p w14:paraId="2440D472" w14:textId="78E6A232" w:rsidR="00B961B7" w:rsidRPr="003C26C1" w:rsidRDefault="002622E0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UNSDCF</w:t>
            </w:r>
            <w:r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5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35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E57AD3" w:rsidRPr="003C26C1" w14:paraId="0133F31E" w14:textId="77777777" w:rsidTr="00612DCD">
        <w:trPr>
          <w:trHeight w:val="490"/>
        </w:trPr>
        <w:tc>
          <w:tcPr>
            <w:tcW w:w="569" w:type="pct"/>
          </w:tcPr>
          <w:p w14:paraId="3EB8C5D4" w14:textId="373AF514" w:rsidR="00E57AD3" w:rsidRDefault="006B214F" w:rsidP="006B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AE36AF" w:rsidRPr="00996787">
              <w:rPr>
                <w:sz w:val="16"/>
                <w:szCs w:val="16"/>
              </w:rPr>
              <w:t>OUTCOME</w:t>
            </w:r>
            <w:r w:rsidR="0003167B">
              <w:rPr>
                <w:sz w:val="16"/>
                <w:szCs w:val="16"/>
              </w:rPr>
              <w:t>S</w:t>
            </w:r>
            <w:r w:rsidR="00AE36AF" w:rsidRPr="00996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" w:type="pct"/>
          </w:tcPr>
          <w:p w14:paraId="3F366DE0" w14:textId="77777777" w:rsidR="00E57AD3" w:rsidRPr="00E57AD3" w:rsidRDefault="00E57AD3" w:rsidP="00E57AD3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 xml:space="preserve">Outcome 1: Structural transformation </w:t>
            </w:r>
          </w:p>
          <w:p w14:paraId="26220F4E" w14:textId="77777777" w:rsidR="00E57AD3" w:rsidRPr="00E57AD3" w:rsidRDefault="00E57AD3" w:rsidP="00E57AD3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>Outcome 2: No-one left behind</w:t>
            </w:r>
          </w:p>
          <w:p w14:paraId="518A1C99" w14:textId="03B1F084" w:rsidR="00E57AD3" w:rsidRPr="007E11BB" w:rsidRDefault="00E57AD3" w:rsidP="00E57AD3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>Outcome 3: Resilience building</w:t>
            </w:r>
          </w:p>
        </w:tc>
        <w:tc>
          <w:tcPr>
            <w:tcW w:w="502" w:type="pct"/>
          </w:tcPr>
          <w:p w14:paraId="3A77F778" w14:textId="646218B3" w:rsidR="00E57AD3" w:rsidRPr="00FE18DC" w:rsidRDefault="00612DCD" w:rsidP="00E57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Evaluation of </w:t>
            </w:r>
            <w:r w:rsidR="00950AC6">
              <w:rPr>
                <w:sz w:val="16"/>
                <w:szCs w:val="16"/>
              </w:rPr>
              <w:t xml:space="preserve">UNDP </w:t>
            </w:r>
            <w:r w:rsidR="00FE18DC" w:rsidRPr="00FE18DC">
              <w:rPr>
                <w:sz w:val="16"/>
                <w:szCs w:val="16"/>
              </w:rPr>
              <w:t>Country Programme Document</w:t>
            </w:r>
            <w:r w:rsidR="00E57AD3" w:rsidRPr="00FE18DC">
              <w:rPr>
                <w:sz w:val="16"/>
                <w:szCs w:val="16"/>
              </w:rPr>
              <w:t xml:space="preserve"> of Dominican Republic </w:t>
            </w:r>
          </w:p>
        </w:tc>
        <w:tc>
          <w:tcPr>
            <w:tcW w:w="608" w:type="pct"/>
          </w:tcPr>
          <w:p w14:paraId="275D80ED" w14:textId="76A5BCA1" w:rsidR="00E57AD3" w:rsidRPr="003C26C1" w:rsidRDefault="001E6523" w:rsidP="00E57AD3">
            <w:pPr>
              <w:rPr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UN organizations</w:t>
            </w:r>
            <w:r>
              <w:rPr>
                <w:sz w:val="16"/>
                <w:szCs w:val="16"/>
              </w:rPr>
              <w:t>,</w:t>
            </w:r>
            <w:r w:rsidRPr="003C26C1">
              <w:rPr>
                <w:sz w:val="16"/>
                <w:szCs w:val="16"/>
              </w:rPr>
              <w:t xml:space="preserve"> government partners</w:t>
            </w:r>
          </w:p>
        </w:tc>
        <w:tc>
          <w:tcPr>
            <w:tcW w:w="610" w:type="pct"/>
          </w:tcPr>
          <w:p w14:paraId="4927BEC4" w14:textId="1B5D4201" w:rsidR="00E57AD3" w:rsidRDefault="00950AC6" w:rsidP="00E57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14CE47A9" w14:textId="13812E8A" w:rsidR="00E57AD3" w:rsidRDefault="00BB19EE" w:rsidP="00E57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555" w:type="pct"/>
          </w:tcPr>
          <w:p w14:paraId="489FEBCC" w14:textId="528F7C37" w:rsidR="00E57AD3" w:rsidRDefault="00BB19EE" w:rsidP="00E57AD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2025</w:t>
            </w:r>
          </w:p>
        </w:tc>
        <w:tc>
          <w:tcPr>
            <w:tcW w:w="535" w:type="pct"/>
          </w:tcPr>
          <w:p w14:paraId="3A25BCF0" w14:textId="087E769C" w:rsidR="00E57AD3" w:rsidRDefault="00BB19EE" w:rsidP="00E57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54E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0,000</w:t>
            </w:r>
          </w:p>
        </w:tc>
        <w:tc>
          <w:tcPr>
            <w:tcW w:w="503" w:type="pct"/>
          </w:tcPr>
          <w:p w14:paraId="54CE1622" w14:textId="11101148" w:rsidR="00E57AD3" w:rsidRDefault="00B36344" w:rsidP="00E57AD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TRAC, Government cost-sharing</w:t>
            </w:r>
          </w:p>
        </w:tc>
      </w:tr>
      <w:tr w:rsidR="004C6259" w:rsidRPr="003C26C1" w14:paraId="250CD0FD" w14:textId="77777777" w:rsidTr="00612DCD">
        <w:trPr>
          <w:trHeight w:val="490"/>
        </w:trPr>
        <w:tc>
          <w:tcPr>
            <w:tcW w:w="569" w:type="pct"/>
          </w:tcPr>
          <w:p w14:paraId="3A1013F0" w14:textId="0BA61200" w:rsidR="00612DCD" w:rsidRPr="00804045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Pr="00996787">
              <w:rPr>
                <w:sz w:val="16"/>
                <w:szCs w:val="16"/>
              </w:rPr>
              <w:t>OUTCOME</w:t>
            </w:r>
            <w:r w:rsidR="0003167B">
              <w:rPr>
                <w:sz w:val="16"/>
                <w:szCs w:val="16"/>
              </w:rPr>
              <w:t>S</w:t>
            </w:r>
            <w:r w:rsidRPr="00996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" w:type="pct"/>
          </w:tcPr>
          <w:p w14:paraId="2F638B7E" w14:textId="77777777" w:rsidR="00612DCD" w:rsidRPr="00E57AD3" w:rsidRDefault="00612DCD" w:rsidP="00612DCD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 xml:space="preserve">Outcome 1: Structural transformation </w:t>
            </w:r>
          </w:p>
          <w:p w14:paraId="18EB2C87" w14:textId="77777777" w:rsidR="00612DCD" w:rsidRPr="00E57AD3" w:rsidRDefault="00612DCD" w:rsidP="00612DCD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>Outcome 2: No-one left behind</w:t>
            </w:r>
          </w:p>
          <w:p w14:paraId="15D9A4B3" w14:textId="11180306" w:rsidR="00612DCD" w:rsidRPr="00273275" w:rsidRDefault="00612DCD" w:rsidP="00612DCD">
            <w:pPr>
              <w:rPr>
                <w:sz w:val="16"/>
                <w:szCs w:val="16"/>
              </w:rPr>
            </w:pPr>
            <w:r w:rsidRPr="00E57AD3">
              <w:rPr>
                <w:sz w:val="16"/>
                <w:szCs w:val="16"/>
              </w:rPr>
              <w:t>Outcome 3: Resilience building</w:t>
            </w:r>
          </w:p>
        </w:tc>
        <w:tc>
          <w:tcPr>
            <w:tcW w:w="502" w:type="pct"/>
          </w:tcPr>
          <w:p w14:paraId="59901794" w14:textId="073FC8F6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Terminal Evaluation of UNDP </w:t>
            </w:r>
            <w:r w:rsidRPr="00FE18DC">
              <w:rPr>
                <w:sz w:val="16"/>
                <w:szCs w:val="16"/>
              </w:rPr>
              <w:t xml:space="preserve">Country Programme Document of Dominican Republic </w:t>
            </w:r>
          </w:p>
        </w:tc>
        <w:tc>
          <w:tcPr>
            <w:tcW w:w="608" w:type="pct"/>
          </w:tcPr>
          <w:p w14:paraId="07E57D95" w14:textId="57EC228C" w:rsidR="00612DCD" w:rsidRPr="003C26C1" w:rsidRDefault="00612DCD" w:rsidP="00612DCD">
            <w:pPr>
              <w:rPr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UN organizations</w:t>
            </w:r>
            <w:r>
              <w:rPr>
                <w:sz w:val="16"/>
                <w:szCs w:val="16"/>
              </w:rPr>
              <w:t>,</w:t>
            </w:r>
            <w:r w:rsidRPr="003C26C1">
              <w:rPr>
                <w:sz w:val="16"/>
                <w:szCs w:val="16"/>
              </w:rPr>
              <w:t xml:space="preserve"> government partners</w:t>
            </w:r>
          </w:p>
        </w:tc>
        <w:tc>
          <w:tcPr>
            <w:tcW w:w="610" w:type="pct"/>
          </w:tcPr>
          <w:p w14:paraId="0A0F776D" w14:textId="18F62A81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0E655037" w14:textId="36C961F1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555" w:type="pct"/>
          </w:tcPr>
          <w:p w14:paraId="5FC3099F" w14:textId="310F30DC" w:rsidR="00612DCD" w:rsidRDefault="00054E16" w:rsidP="00612D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612DCD">
              <w:rPr>
                <w:sz w:val="16"/>
                <w:szCs w:val="16"/>
              </w:rPr>
              <w:t>202</w:t>
            </w:r>
            <w:r w:rsidR="0003167B">
              <w:rPr>
                <w:sz w:val="16"/>
                <w:szCs w:val="16"/>
              </w:rPr>
              <w:t>7</w:t>
            </w:r>
          </w:p>
        </w:tc>
        <w:tc>
          <w:tcPr>
            <w:tcW w:w="535" w:type="pct"/>
          </w:tcPr>
          <w:p w14:paraId="58550914" w14:textId="74D7CAF1" w:rsidR="00612DCD" w:rsidRDefault="00612DCD" w:rsidP="00612DC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14:paraId="514A28D2" w14:textId="23F8996B" w:rsidR="00612DCD" w:rsidRDefault="0003167B" w:rsidP="00612DC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I</w:t>
            </w:r>
            <w:r w:rsidRPr="000E631C">
              <w:rPr>
                <w:rStyle w:val="CommentReference"/>
                <w:sz w:val="16"/>
                <w:szCs w:val="16"/>
                <w:lang w:eastAsia="uk-UA"/>
              </w:rPr>
              <w:t>ndependen</w:t>
            </w:r>
            <w:r>
              <w:rPr>
                <w:rStyle w:val="CommentReference"/>
                <w:sz w:val="16"/>
                <w:szCs w:val="16"/>
                <w:lang w:eastAsia="uk-UA"/>
              </w:rPr>
              <w:t>t Evaluation Office</w:t>
            </w:r>
          </w:p>
        </w:tc>
      </w:tr>
      <w:tr w:rsidR="00612DCD" w:rsidRPr="003C26C1" w14:paraId="2440D49E" w14:textId="77777777" w:rsidTr="00612DCD">
        <w:trPr>
          <w:trHeight w:val="60"/>
        </w:trPr>
        <w:tc>
          <w:tcPr>
            <w:tcW w:w="569" w:type="pct"/>
          </w:tcPr>
          <w:p w14:paraId="2440D495" w14:textId="5430B876" w:rsidR="00612DCD" w:rsidRPr="003C26C1" w:rsidRDefault="00612DCD" w:rsidP="00612DCD">
            <w:pPr>
              <w:rPr>
                <w:sz w:val="16"/>
                <w:szCs w:val="16"/>
              </w:rPr>
            </w:pPr>
            <w:r w:rsidRPr="00996787">
              <w:rPr>
                <w:sz w:val="16"/>
                <w:szCs w:val="16"/>
              </w:rPr>
              <w:t xml:space="preserve">OUTCOME 1: The State strengthens a comprehensive response to the reduction of poverty and inequalities with a </w:t>
            </w:r>
            <w:r>
              <w:rPr>
                <w:sz w:val="16"/>
                <w:szCs w:val="16"/>
              </w:rPr>
              <w:t>m</w:t>
            </w:r>
            <w:r w:rsidRPr="00996787">
              <w:rPr>
                <w:sz w:val="16"/>
                <w:szCs w:val="16"/>
              </w:rPr>
              <w:t>ultidimensional, rights, gender equality and territorial approach, leaving no one behind.</w:t>
            </w:r>
          </w:p>
        </w:tc>
        <w:tc>
          <w:tcPr>
            <w:tcW w:w="493" w:type="pct"/>
          </w:tcPr>
          <w:p w14:paraId="2440D496" w14:textId="05D71129" w:rsidR="00612DCD" w:rsidRPr="003C26C1" w:rsidRDefault="00612DCD" w:rsidP="00612DCD">
            <w:pPr>
              <w:rPr>
                <w:sz w:val="16"/>
                <w:szCs w:val="16"/>
              </w:rPr>
            </w:pPr>
            <w:r w:rsidRPr="00795A5A">
              <w:rPr>
                <w:sz w:val="16"/>
                <w:szCs w:val="16"/>
              </w:rPr>
              <w:t>Outcome 2: No one left behind, centering on equitable access to opportunities and a rights-based approach to human agency and human development.</w:t>
            </w:r>
          </w:p>
        </w:tc>
        <w:tc>
          <w:tcPr>
            <w:tcW w:w="502" w:type="pct"/>
          </w:tcPr>
          <w:p w14:paraId="05BCED5F" w14:textId="753760DF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terminal evaluation: Institutional Strengthening </w:t>
            </w:r>
            <w:r w:rsidR="00505DCA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MINERD 2.0</w:t>
            </w:r>
          </w:p>
          <w:p w14:paraId="30DB5971" w14:textId="77777777" w:rsidR="00612DCD" w:rsidRDefault="00612DCD" w:rsidP="00612DCD">
            <w:pPr>
              <w:rPr>
                <w:sz w:val="16"/>
                <w:szCs w:val="16"/>
              </w:rPr>
            </w:pPr>
          </w:p>
          <w:p w14:paraId="2440D497" w14:textId="40014193" w:rsidR="00612DCD" w:rsidRPr="003C26C1" w:rsidRDefault="00612DCD" w:rsidP="00612DCD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14:paraId="2440D498" w14:textId="1FE1C872" w:rsidR="00612DCD" w:rsidRPr="003C26C1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Education</w:t>
            </w:r>
          </w:p>
        </w:tc>
        <w:tc>
          <w:tcPr>
            <w:tcW w:w="610" w:type="pct"/>
          </w:tcPr>
          <w:p w14:paraId="2440D499" w14:textId="1CEAED6F" w:rsidR="00612DCD" w:rsidRPr="003C26C1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2440D49A" w14:textId="31E1FAFD" w:rsidR="00612DCD" w:rsidRPr="003C26C1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5" w:type="pct"/>
          </w:tcPr>
          <w:p w14:paraId="2440D49B" w14:textId="4530E488" w:rsidR="00612DCD" w:rsidRPr="003C26C1" w:rsidRDefault="006E4930" w:rsidP="00612D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612DCD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535" w:type="pct"/>
          </w:tcPr>
          <w:p w14:paraId="2440D49C" w14:textId="61B9D241" w:rsidR="00612DCD" w:rsidRPr="003C26C1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</w:tcPr>
          <w:p w14:paraId="2440D49D" w14:textId="0AD5C9D7" w:rsidR="00612DCD" w:rsidRPr="003C26C1" w:rsidRDefault="00612DCD" w:rsidP="00612DC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3A5A57">
              <w:rPr>
                <w:rStyle w:val="CommentReference"/>
                <w:sz w:val="16"/>
                <w:szCs w:val="16"/>
                <w:lang w:eastAsia="uk-UA"/>
              </w:rPr>
              <w:t>roject budget</w:t>
            </w:r>
          </w:p>
        </w:tc>
      </w:tr>
      <w:tr w:rsidR="00612DCD" w:rsidRPr="003C26C1" w14:paraId="5382C169" w14:textId="77777777" w:rsidTr="00612DCD">
        <w:trPr>
          <w:trHeight w:val="60"/>
        </w:trPr>
        <w:tc>
          <w:tcPr>
            <w:tcW w:w="569" w:type="pct"/>
          </w:tcPr>
          <w:p w14:paraId="1D5ABF98" w14:textId="5B2816BE" w:rsidR="00612DCD" w:rsidRPr="00996787" w:rsidRDefault="00612DCD" w:rsidP="00612DCD">
            <w:pPr>
              <w:rPr>
                <w:sz w:val="16"/>
                <w:szCs w:val="16"/>
              </w:rPr>
            </w:pPr>
            <w:r w:rsidRPr="00996787">
              <w:rPr>
                <w:sz w:val="16"/>
                <w:szCs w:val="16"/>
              </w:rPr>
              <w:t xml:space="preserve">OUTCOME 1: The State strengthens a comprehensive response to the reduction of poverty and inequalities with a </w:t>
            </w:r>
            <w:r>
              <w:rPr>
                <w:sz w:val="16"/>
                <w:szCs w:val="16"/>
              </w:rPr>
              <w:t>m</w:t>
            </w:r>
            <w:r w:rsidRPr="00996787">
              <w:rPr>
                <w:sz w:val="16"/>
                <w:szCs w:val="16"/>
              </w:rPr>
              <w:t>ultidimensional, rights, gender equality and territorial approach, leaving no one behind.</w:t>
            </w:r>
          </w:p>
        </w:tc>
        <w:tc>
          <w:tcPr>
            <w:tcW w:w="493" w:type="pct"/>
          </w:tcPr>
          <w:p w14:paraId="3D74F812" w14:textId="734EFC65" w:rsidR="00612DCD" w:rsidRPr="00795A5A" w:rsidRDefault="00612DCD" w:rsidP="00612DCD">
            <w:pPr>
              <w:rPr>
                <w:sz w:val="16"/>
                <w:szCs w:val="16"/>
              </w:rPr>
            </w:pPr>
            <w:r w:rsidRPr="00795A5A">
              <w:rPr>
                <w:sz w:val="16"/>
                <w:szCs w:val="16"/>
              </w:rPr>
              <w:t>Outcome 2: No one left behind, centering on equitable access to opportunities and a rights-based approach to human agency and human development.</w:t>
            </w:r>
          </w:p>
        </w:tc>
        <w:tc>
          <w:tcPr>
            <w:tcW w:w="502" w:type="pct"/>
          </w:tcPr>
          <w:p w14:paraId="52193C6A" w14:textId="77777777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terminal evaluation: Institutional Strengthening INABIE</w:t>
            </w:r>
          </w:p>
          <w:p w14:paraId="03C5A0EE" w14:textId="77777777" w:rsidR="00612DCD" w:rsidRDefault="00612DCD" w:rsidP="00612DCD">
            <w:pPr>
              <w:rPr>
                <w:sz w:val="16"/>
                <w:szCs w:val="16"/>
              </w:rPr>
            </w:pPr>
          </w:p>
          <w:p w14:paraId="4B5D99D0" w14:textId="086CACB4" w:rsidR="00612DCD" w:rsidRDefault="00612DCD" w:rsidP="00612DCD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14:paraId="60E2A125" w14:textId="553522E3" w:rsidR="00612DCD" w:rsidRDefault="009E1D63" w:rsidP="00612DCD">
            <w:pPr>
              <w:rPr>
                <w:sz w:val="16"/>
                <w:szCs w:val="16"/>
              </w:rPr>
            </w:pPr>
            <w:r w:rsidRPr="009E1D63">
              <w:rPr>
                <w:sz w:val="16"/>
                <w:szCs w:val="16"/>
              </w:rPr>
              <w:t>National Institute of Student Welfare</w:t>
            </w:r>
          </w:p>
        </w:tc>
        <w:tc>
          <w:tcPr>
            <w:tcW w:w="610" w:type="pct"/>
          </w:tcPr>
          <w:p w14:paraId="714CE773" w14:textId="28A4B8BB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2E580CE8" w14:textId="524F9B99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5" w:type="pct"/>
          </w:tcPr>
          <w:p w14:paraId="02F3E9F1" w14:textId="2ED23F11" w:rsidR="00612DCD" w:rsidRDefault="00A218D8" w:rsidP="00612D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  <w:r w:rsidR="00612DCD">
              <w:rPr>
                <w:sz w:val="16"/>
                <w:szCs w:val="16"/>
              </w:rPr>
              <w:t>2024</w:t>
            </w:r>
          </w:p>
        </w:tc>
        <w:tc>
          <w:tcPr>
            <w:tcW w:w="535" w:type="pct"/>
          </w:tcPr>
          <w:p w14:paraId="626264DE" w14:textId="54677E72" w:rsidR="00612DCD" w:rsidRDefault="00612DCD" w:rsidP="0061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</w:tcPr>
          <w:p w14:paraId="73C479D4" w14:textId="216AB63B" w:rsidR="00612DCD" w:rsidRDefault="00612DCD" w:rsidP="00612DC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3A5A57">
              <w:rPr>
                <w:rStyle w:val="CommentReference"/>
                <w:sz w:val="16"/>
                <w:szCs w:val="16"/>
                <w:lang w:eastAsia="uk-UA"/>
              </w:rPr>
              <w:t>roject budget</w:t>
            </w:r>
          </w:p>
        </w:tc>
      </w:tr>
      <w:tr w:rsidR="00EB2663" w:rsidRPr="009E1D63" w14:paraId="53D5A7D8" w14:textId="77777777" w:rsidTr="00612DCD">
        <w:trPr>
          <w:trHeight w:val="60"/>
        </w:trPr>
        <w:tc>
          <w:tcPr>
            <w:tcW w:w="569" w:type="pct"/>
          </w:tcPr>
          <w:p w14:paraId="4362CAF6" w14:textId="0AE8161F" w:rsidR="00EB2663" w:rsidRDefault="00EB2663" w:rsidP="00EB2663">
            <w:pPr>
              <w:rPr>
                <w:sz w:val="16"/>
                <w:szCs w:val="16"/>
              </w:rPr>
            </w:pPr>
            <w:r w:rsidRPr="00996787">
              <w:rPr>
                <w:sz w:val="16"/>
                <w:szCs w:val="16"/>
              </w:rPr>
              <w:lastRenderedPageBreak/>
              <w:t xml:space="preserve">OUTCOME 1: The State strengthens a comprehensive response to the reduction of poverty and inequalities with a </w:t>
            </w:r>
            <w:r>
              <w:rPr>
                <w:sz w:val="16"/>
                <w:szCs w:val="16"/>
              </w:rPr>
              <w:t>m</w:t>
            </w:r>
            <w:r w:rsidRPr="00996787">
              <w:rPr>
                <w:sz w:val="16"/>
                <w:szCs w:val="16"/>
              </w:rPr>
              <w:t>ultidimensional, rights, gender equality and territorial approach, leaving no one behind.</w:t>
            </w:r>
          </w:p>
        </w:tc>
        <w:tc>
          <w:tcPr>
            <w:tcW w:w="493" w:type="pct"/>
          </w:tcPr>
          <w:p w14:paraId="40112053" w14:textId="04A559BD" w:rsidR="00EB2663" w:rsidRPr="00273275" w:rsidRDefault="00EB2663" w:rsidP="00EB2663">
            <w:pPr>
              <w:rPr>
                <w:sz w:val="16"/>
                <w:szCs w:val="16"/>
              </w:rPr>
            </w:pPr>
            <w:r w:rsidRPr="00795A5A">
              <w:rPr>
                <w:sz w:val="16"/>
                <w:szCs w:val="16"/>
              </w:rPr>
              <w:t>Outcome 2: No one left behind, centering on equitable access to opportunities and a rights-based approach to human agency and human development.</w:t>
            </w:r>
          </w:p>
        </w:tc>
        <w:tc>
          <w:tcPr>
            <w:tcW w:w="502" w:type="pct"/>
          </w:tcPr>
          <w:p w14:paraId="6C11EBA3" w14:textId="5C1D2E80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to </w:t>
            </w:r>
            <w:r w:rsidR="007C719C">
              <w:rPr>
                <w:sz w:val="16"/>
                <w:szCs w:val="16"/>
              </w:rPr>
              <w:t>impact</w:t>
            </w:r>
            <w:r>
              <w:rPr>
                <w:sz w:val="16"/>
                <w:szCs w:val="16"/>
              </w:rPr>
              <w:t xml:space="preserve"> evaluation of </w:t>
            </w:r>
            <w:r w:rsidR="00D06EFC">
              <w:rPr>
                <w:sz w:val="16"/>
                <w:szCs w:val="16"/>
              </w:rPr>
              <w:t>National Care Policy by</w:t>
            </w:r>
            <w:r w:rsidR="007C719C">
              <w:rPr>
                <w:sz w:val="16"/>
                <w:szCs w:val="16"/>
              </w:rPr>
              <w:t xml:space="preserve"> </w:t>
            </w:r>
            <w:proofErr w:type="spellStart"/>
            <w:r w:rsidR="007C719C">
              <w:rPr>
                <w:sz w:val="16"/>
                <w:szCs w:val="16"/>
              </w:rPr>
              <w:t>MEPyD</w:t>
            </w:r>
            <w:proofErr w:type="spellEnd"/>
          </w:p>
        </w:tc>
        <w:tc>
          <w:tcPr>
            <w:tcW w:w="608" w:type="pct"/>
          </w:tcPr>
          <w:p w14:paraId="0689C41B" w14:textId="2FB2BBE5" w:rsidR="00EB2663" w:rsidRDefault="00EB2663" w:rsidP="00EB26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MEPyD</w:t>
            </w:r>
            <w:proofErr w:type="spellEnd"/>
          </w:p>
        </w:tc>
        <w:tc>
          <w:tcPr>
            <w:tcW w:w="610" w:type="pct"/>
          </w:tcPr>
          <w:p w14:paraId="6E34E4E5" w14:textId="76DF1D66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7E3E2205" w14:textId="74DE8EB1" w:rsidR="00EB2663" w:rsidRDefault="007C719C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</w:t>
            </w:r>
            <w:r w:rsidR="00EB2663">
              <w:rPr>
                <w:sz w:val="16"/>
                <w:szCs w:val="16"/>
              </w:rPr>
              <w:t xml:space="preserve"> evaluation</w:t>
            </w:r>
            <w:r>
              <w:rPr>
                <w:sz w:val="16"/>
                <w:szCs w:val="16"/>
              </w:rPr>
              <w:t xml:space="preserve"> by </w:t>
            </w:r>
            <w:r w:rsidR="002521E0">
              <w:rPr>
                <w:sz w:val="16"/>
                <w:szCs w:val="16"/>
              </w:rPr>
              <w:t xml:space="preserve">national </w:t>
            </w:r>
            <w:r>
              <w:rPr>
                <w:sz w:val="16"/>
                <w:szCs w:val="16"/>
              </w:rPr>
              <w:t>counterpart</w:t>
            </w:r>
          </w:p>
        </w:tc>
        <w:tc>
          <w:tcPr>
            <w:tcW w:w="555" w:type="pct"/>
          </w:tcPr>
          <w:p w14:paraId="30AC0B56" w14:textId="43F7AA75" w:rsidR="00EB2663" w:rsidRDefault="00E442DD" w:rsidP="00EB266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EB2663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535" w:type="pct"/>
          </w:tcPr>
          <w:p w14:paraId="533B9CE9" w14:textId="5DE3F6C0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$15,000</w:t>
            </w:r>
          </w:p>
        </w:tc>
        <w:tc>
          <w:tcPr>
            <w:tcW w:w="503" w:type="pct"/>
          </w:tcPr>
          <w:p w14:paraId="30FF791A" w14:textId="37BB0168" w:rsidR="00EB2663" w:rsidRDefault="00EB2663" w:rsidP="00EB26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3A5A57">
              <w:rPr>
                <w:rStyle w:val="CommentReference"/>
                <w:sz w:val="16"/>
                <w:szCs w:val="16"/>
                <w:lang w:eastAsia="uk-UA"/>
              </w:rPr>
              <w:t>roject budget</w:t>
            </w:r>
          </w:p>
        </w:tc>
      </w:tr>
      <w:tr w:rsidR="00EB2663" w:rsidRPr="009E1D63" w14:paraId="0E8E03BC" w14:textId="77777777" w:rsidTr="00612DCD">
        <w:trPr>
          <w:trHeight w:val="60"/>
        </w:trPr>
        <w:tc>
          <w:tcPr>
            <w:tcW w:w="569" w:type="pct"/>
          </w:tcPr>
          <w:p w14:paraId="53F5B44B" w14:textId="7C1D4156" w:rsidR="00EB2663" w:rsidRPr="00996787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2: </w:t>
            </w:r>
            <w:r>
              <w:t xml:space="preserve"> </w:t>
            </w:r>
            <w:r w:rsidRPr="00485892">
              <w:rPr>
                <w:sz w:val="16"/>
                <w:szCs w:val="16"/>
              </w:rPr>
              <w:t>The population, particularly those in situations of greater vulnerability, is empowered by their rights and has greater access to quality, universal, inclusive, resilient and non-discriminatory social goods and services throughout the territory.</w:t>
            </w:r>
          </w:p>
        </w:tc>
        <w:tc>
          <w:tcPr>
            <w:tcW w:w="493" w:type="pct"/>
          </w:tcPr>
          <w:p w14:paraId="141278B1" w14:textId="3A801FAA" w:rsidR="00EB2663" w:rsidRPr="00273275" w:rsidRDefault="00EB2663" w:rsidP="00EB2663">
            <w:pPr>
              <w:rPr>
                <w:sz w:val="16"/>
                <w:szCs w:val="16"/>
              </w:rPr>
            </w:pPr>
            <w:r w:rsidRPr="00273275">
              <w:rPr>
                <w:sz w:val="16"/>
                <w:szCs w:val="16"/>
              </w:rPr>
              <w:t>Outcome 1: Structural transformation accelerated, particularly green, inclusive and digital transitions.</w:t>
            </w:r>
          </w:p>
        </w:tc>
        <w:tc>
          <w:tcPr>
            <w:tcW w:w="502" w:type="pct"/>
          </w:tcPr>
          <w:p w14:paraId="23ACD0CE" w14:textId="71BA1670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UNDP Support to MSME development</w:t>
            </w:r>
          </w:p>
        </w:tc>
        <w:tc>
          <w:tcPr>
            <w:tcW w:w="608" w:type="pct"/>
          </w:tcPr>
          <w:p w14:paraId="37D332A6" w14:textId="2448D6FE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Economy, Planning and Development </w:t>
            </w:r>
          </w:p>
        </w:tc>
        <w:tc>
          <w:tcPr>
            <w:tcW w:w="610" w:type="pct"/>
          </w:tcPr>
          <w:p w14:paraId="3C4ACC8B" w14:textId="341718D8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CO</w:t>
            </w:r>
          </w:p>
        </w:tc>
        <w:tc>
          <w:tcPr>
            <w:tcW w:w="624" w:type="pct"/>
          </w:tcPr>
          <w:p w14:paraId="521BCD15" w14:textId="77777777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  <w:p w14:paraId="1C95B9DA" w14:textId="5FEE5559" w:rsidR="00EB2663" w:rsidRDefault="00EB2663" w:rsidP="00EB2663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14:paraId="3707B35E" w14:textId="221F6C0D" w:rsidR="00EB2663" w:rsidRDefault="00EB2663" w:rsidP="00EB266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2023 </w:t>
            </w:r>
          </w:p>
        </w:tc>
        <w:tc>
          <w:tcPr>
            <w:tcW w:w="535" w:type="pct"/>
          </w:tcPr>
          <w:p w14:paraId="3D78E874" w14:textId="0BC5A087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$25,000</w:t>
            </w:r>
          </w:p>
        </w:tc>
        <w:tc>
          <w:tcPr>
            <w:tcW w:w="503" w:type="pct"/>
          </w:tcPr>
          <w:p w14:paraId="627A72AB" w14:textId="31367E90" w:rsidR="00EB2663" w:rsidRDefault="00EB2663" w:rsidP="00EB26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T</w:t>
            </w:r>
            <w:r w:rsidRPr="009E1D63">
              <w:rPr>
                <w:rStyle w:val="CommentReference"/>
                <w:sz w:val="16"/>
                <w:szCs w:val="16"/>
                <w:lang w:eastAsia="uk-UA"/>
              </w:rPr>
              <w:t>RAC</w:t>
            </w:r>
          </w:p>
        </w:tc>
      </w:tr>
      <w:tr w:rsidR="00EB2663" w:rsidRPr="003C26C1" w14:paraId="6422E05A" w14:textId="77777777" w:rsidTr="00612DCD">
        <w:trPr>
          <w:trHeight w:val="60"/>
        </w:trPr>
        <w:tc>
          <w:tcPr>
            <w:tcW w:w="569" w:type="pct"/>
          </w:tcPr>
          <w:p w14:paraId="2165A237" w14:textId="53EF6BB7" w:rsidR="00EB2663" w:rsidRPr="00996787" w:rsidRDefault="00EB2663" w:rsidP="00EB2663">
            <w:pPr>
              <w:rPr>
                <w:sz w:val="16"/>
                <w:szCs w:val="16"/>
              </w:rPr>
            </w:pPr>
            <w:r w:rsidRPr="00804045">
              <w:rPr>
                <w:sz w:val="16"/>
                <w:szCs w:val="16"/>
              </w:rPr>
              <w:t xml:space="preserve">OUTCOME 3: People, communities, national and local institutions, and strategic sectors are better prepared to manage disaster risk with a multidimensional approach, face the challenges of climate change and promote the sustainable management of ecosystems, in an environment of transformative, resilient, inclusive, with gender equality, responsible </w:t>
            </w:r>
            <w:r w:rsidRPr="00804045">
              <w:rPr>
                <w:sz w:val="16"/>
                <w:szCs w:val="16"/>
              </w:rPr>
              <w:lastRenderedPageBreak/>
              <w:t>with the planet and future generations.</w:t>
            </w:r>
          </w:p>
        </w:tc>
        <w:tc>
          <w:tcPr>
            <w:tcW w:w="493" w:type="pct"/>
          </w:tcPr>
          <w:p w14:paraId="530CDCD7" w14:textId="23043C1A" w:rsidR="00EB2663" w:rsidRPr="00273275" w:rsidRDefault="00EB2663" w:rsidP="00EB2663">
            <w:pPr>
              <w:rPr>
                <w:sz w:val="16"/>
                <w:szCs w:val="16"/>
              </w:rPr>
            </w:pPr>
            <w:r w:rsidRPr="00273275">
              <w:rPr>
                <w:sz w:val="16"/>
                <w:szCs w:val="16"/>
              </w:rPr>
              <w:lastRenderedPageBreak/>
              <w:t>Outcome 1: Structural transformation accelerated, particularly green, inclusive and digital transitions.</w:t>
            </w:r>
          </w:p>
        </w:tc>
        <w:tc>
          <w:tcPr>
            <w:tcW w:w="502" w:type="pct"/>
          </w:tcPr>
          <w:p w14:paraId="74826525" w14:textId="77777777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terminal evaluation: Productive Landscapes in the Dominican Republic</w:t>
            </w:r>
          </w:p>
          <w:p w14:paraId="2F80FB2C" w14:textId="77777777" w:rsidR="00EB2663" w:rsidRDefault="00EB2663" w:rsidP="00EB2663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14:paraId="496F2305" w14:textId="77777777" w:rsidR="00EB2663" w:rsidRDefault="00EB2663" w:rsidP="00EB2663">
            <w:pPr>
              <w:rPr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Ministry of Environment</w:t>
            </w:r>
          </w:p>
          <w:p w14:paraId="479F43EB" w14:textId="77777777" w:rsidR="00EB2663" w:rsidRDefault="00EB2663" w:rsidP="00EB2663">
            <w:pPr>
              <w:rPr>
                <w:sz w:val="16"/>
                <w:szCs w:val="16"/>
              </w:rPr>
            </w:pPr>
            <w:r w:rsidRPr="00506CBD">
              <w:rPr>
                <w:sz w:val="16"/>
                <w:szCs w:val="16"/>
              </w:rPr>
              <w:t>Ministry of Agriculture</w:t>
            </w:r>
          </w:p>
          <w:p w14:paraId="0230A360" w14:textId="43FD64B0" w:rsidR="00EB2663" w:rsidRDefault="00EB2663" w:rsidP="00EB2663">
            <w:pPr>
              <w:rPr>
                <w:sz w:val="16"/>
                <w:szCs w:val="16"/>
              </w:rPr>
            </w:pPr>
            <w:r w:rsidRPr="004B4906">
              <w:rPr>
                <w:sz w:val="16"/>
                <w:szCs w:val="16"/>
              </w:rPr>
              <w:t>FAO</w:t>
            </w:r>
          </w:p>
        </w:tc>
        <w:tc>
          <w:tcPr>
            <w:tcW w:w="610" w:type="pct"/>
          </w:tcPr>
          <w:p w14:paraId="1EF84BEE" w14:textId="6B0C975D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624" w:type="pct"/>
          </w:tcPr>
          <w:p w14:paraId="3685A9D4" w14:textId="5D17CC69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5" w:type="pct"/>
          </w:tcPr>
          <w:p w14:paraId="40D0F59E" w14:textId="7509BB46" w:rsidR="00EB2663" w:rsidRDefault="00EB2663" w:rsidP="00EB266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2024</w:t>
            </w:r>
          </w:p>
        </w:tc>
        <w:tc>
          <w:tcPr>
            <w:tcW w:w="535" w:type="pct"/>
          </w:tcPr>
          <w:p w14:paraId="2B6B92CE" w14:textId="1162522F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</w:tcPr>
          <w:p w14:paraId="58EBAB99" w14:textId="03F7A254" w:rsidR="00EB2663" w:rsidRDefault="00EB2663" w:rsidP="00EB26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3A5A57">
              <w:rPr>
                <w:rStyle w:val="CommentReference"/>
                <w:sz w:val="16"/>
                <w:szCs w:val="16"/>
                <w:lang w:eastAsia="uk-UA"/>
              </w:rPr>
              <w:t>roject budget</w:t>
            </w:r>
          </w:p>
        </w:tc>
      </w:tr>
      <w:tr w:rsidR="00EB2663" w:rsidRPr="003C26C1" w14:paraId="6D603A4E" w14:textId="77777777" w:rsidTr="00612DCD">
        <w:trPr>
          <w:trHeight w:val="60"/>
        </w:trPr>
        <w:tc>
          <w:tcPr>
            <w:tcW w:w="569" w:type="pct"/>
          </w:tcPr>
          <w:p w14:paraId="359815DA" w14:textId="6E202A24" w:rsidR="00EB2663" w:rsidRPr="00996787" w:rsidRDefault="00EB2663" w:rsidP="00EB2663">
            <w:pPr>
              <w:rPr>
                <w:sz w:val="16"/>
                <w:szCs w:val="16"/>
              </w:rPr>
            </w:pPr>
            <w:r w:rsidRPr="00996787">
              <w:rPr>
                <w:sz w:val="16"/>
                <w:szCs w:val="16"/>
              </w:rPr>
              <w:t xml:space="preserve">OUTCOME </w:t>
            </w:r>
            <w:r>
              <w:rPr>
                <w:sz w:val="16"/>
                <w:szCs w:val="16"/>
              </w:rPr>
              <w:t>4</w:t>
            </w:r>
            <w:r w:rsidRPr="00996787">
              <w:rPr>
                <w:sz w:val="16"/>
                <w:szCs w:val="16"/>
              </w:rPr>
              <w:t xml:space="preserve">: </w:t>
            </w:r>
            <w:r w:rsidRPr="004E696D">
              <w:rPr>
                <w:sz w:val="16"/>
                <w:szCs w:val="16"/>
              </w:rPr>
              <w:t>The State strengthens democratic governance and citizen participation, promotes efficient and transparent public management, improves equal access to justice, and combats corruption and organized crime throughout the territory.</w:t>
            </w:r>
          </w:p>
        </w:tc>
        <w:tc>
          <w:tcPr>
            <w:tcW w:w="493" w:type="pct"/>
          </w:tcPr>
          <w:p w14:paraId="268B1780" w14:textId="16EC5E4F" w:rsidR="00EB2663" w:rsidRPr="00795A5A" w:rsidRDefault="00EB2663" w:rsidP="00EB2663">
            <w:pPr>
              <w:rPr>
                <w:sz w:val="16"/>
                <w:szCs w:val="16"/>
              </w:rPr>
            </w:pPr>
            <w:r w:rsidRPr="00273275">
              <w:rPr>
                <w:sz w:val="16"/>
                <w:szCs w:val="16"/>
              </w:rPr>
              <w:t>Outcome 1: Structural transformation accelerated, particularly green, inclusive and digital transitions.</w:t>
            </w:r>
          </w:p>
        </w:tc>
        <w:tc>
          <w:tcPr>
            <w:tcW w:w="502" w:type="pct"/>
          </w:tcPr>
          <w:p w14:paraId="1052C088" w14:textId="41CDD133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evaluation:  Strengthening the Judiciary</w:t>
            </w:r>
          </w:p>
          <w:p w14:paraId="41115208" w14:textId="542FB983" w:rsidR="00EB2663" w:rsidRPr="007653BD" w:rsidRDefault="00EB2663" w:rsidP="00EB2663">
            <w:pPr>
              <w:rPr>
                <w:sz w:val="16"/>
                <w:szCs w:val="16"/>
              </w:rPr>
            </w:pPr>
            <w:r w:rsidRPr="007653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</w:tcPr>
          <w:p w14:paraId="5084D027" w14:textId="79137E56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Judiciary </w:t>
            </w:r>
          </w:p>
        </w:tc>
        <w:tc>
          <w:tcPr>
            <w:tcW w:w="610" w:type="pct"/>
          </w:tcPr>
          <w:p w14:paraId="12323A71" w14:textId="15F9CB33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</w:tc>
        <w:tc>
          <w:tcPr>
            <w:tcW w:w="624" w:type="pct"/>
          </w:tcPr>
          <w:p w14:paraId="2BF8C576" w14:textId="2AF518A7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5" w:type="pct"/>
          </w:tcPr>
          <w:p w14:paraId="01BC137E" w14:textId="2FEFEFD6" w:rsidR="00EB2663" w:rsidRDefault="00EB2663" w:rsidP="00EB266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2025</w:t>
            </w:r>
          </w:p>
        </w:tc>
        <w:tc>
          <w:tcPr>
            <w:tcW w:w="535" w:type="pct"/>
          </w:tcPr>
          <w:p w14:paraId="27447129" w14:textId="74686738" w:rsidR="00EB2663" w:rsidRDefault="00EB2663" w:rsidP="00EB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$25,000</w:t>
            </w:r>
          </w:p>
        </w:tc>
        <w:tc>
          <w:tcPr>
            <w:tcW w:w="503" w:type="pct"/>
          </w:tcPr>
          <w:p w14:paraId="07B60811" w14:textId="71515B14" w:rsidR="00EB2663" w:rsidRDefault="00EB2663" w:rsidP="00EB26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3A5A57">
              <w:rPr>
                <w:rStyle w:val="CommentReference"/>
                <w:sz w:val="16"/>
                <w:szCs w:val="16"/>
                <w:lang w:eastAsia="uk-UA"/>
              </w:rPr>
              <w:t>roject budget</w:t>
            </w:r>
          </w:p>
        </w:tc>
      </w:tr>
    </w:tbl>
    <w:p w14:paraId="2440D4A1" w14:textId="77777777" w:rsidR="002F7339" w:rsidRPr="00505DCA" w:rsidRDefault="002F7339" w:rsidP="00125010">
      <w:pPr>
        <w:rPr>
          <w:color w:val="000000"/>
        </w:rPr>
      </w:pPr>
    </w:p>
    <w:sectPr w:rsidR="002F7339" w:rsidRPr="00505DCA" w:rsidSect="008C7FF1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369A" w14:textId="77777777" w:rsidR="00347AF7" w:rsidRDefault="00347AF7" w:rsidP="00441061">
      <w:r>
        <w:separator/>
      </w:r>
    </w:p>
  </w:endnote>
  <w:endnote w:type="continuationSeparator" w:id="0">
    <w:p w14:paraId="3F458691" w14:textId="77777777" w:rsidR="00347AF7" w:rsidRDefault="00347AF7" w:rsidP="00441061">
      <w:r>
        <w:continuationSeparator/>
      </w:r>
    </w:p>
  </w:endnote>
  <w:endnote w:type="continuationNotice" w:id="1">
    <w:p w14:paraId="132F9F02" w14:textId="77777777" w:rsidR="00347AF7" w:rsidRDefault="00347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F6D3" w14:textId="77777777" w:rsidR="00347AF7" w:rsidRDefault="00347AF7" w:rsidP="00441061">
      <w:r>
        <w:separator/>
      </w:r>
    </w:p>
  </w:footnote>
  <w:footnote w:type="continuationSeparator" w:id="0">
    <w:p w14:paraId="1EC1218F" w14:textId="77777777" w:rsidR="00347AF7" w:rsidRDefault="00347AF7" w:rsidP="00441061">
      <w:r>
        <w:continuationSeparator/>
      </w:r>
    </w:p>
  </w:footnote>
  <w:footnote w:type="continuationNotice" w:id="1">
    <w:p w14:paraId="6124105F" w14:textId="77777777" w:rsidR="00347AF7" w:rsidRDefault="00347A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E15554"/>
    <w:multiLevelType w:val="hybridMultilevel"/>
    <w:tmpl w:val="68C6DA18"/>
    <w:lvl w:ilvl="0" w:tplc="40A44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293"/>
    <w:multiLevelType w:val="hybridMultilevel"/>
    <w:tmpl w:val="DBB8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10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1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9713F"/>
    <w:multiLevelType w:val="hybridMultilevel"/>
    <w:tmpl w:val="7DC6B58C"/>
    <w:lvl w:ilvl="0" w:tplc="6E32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1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2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4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28"/>
  </w:num>
  <w:num w:numId="4">
    <w:abstractNumId w:val="40"/>
  </w:num>
  <w:num w:numId="5">
    <w:abstractNumId w:val="30"/>
  </w:num>
  <w:num w:numId="6">
    <w:abstractNumId w:val="0"/>
  </w:num>
  <w:num w:numId="7">
    <w:abstractNumId w:val="18"/>
  </w:num>
  <w:num w:numId="8">
    <w:abstractNumId w:val="36"/>
  </w:num>
  <w:num w:numId="9">
    <w:abstractNumId w:val="48"/>
  </w:num>
  <w:num w:numId="10">
    <w:abstractNumId w:val="39"/>
  </w:num>
  <w:num w:numId="11">
    <w:abstractNumId w:val="47"/>
  </w:num>
  <w:num w:numId="12">
    <w:abstractNumId w:val="25"/>
  </w:num>
  <w:num w:numId="13">
    <w:abstractNumId w:val="9"/>
  </w:num>
  <w:num w:numId="14">
    <w:abstractNumId w:val="17"/>
  </w:num>
  <w:num w:numId="15">
    <w:abstractNumId w:val="43"/>
  </w:num>
  <w:num w:numId="16">
    <w:abstractNumId w:val="12"/>
  </w:num>
  <w:num w:numId="17">
    <w:abstractNumId w:val="15"/>
  </w:num>
  <w:num w:numId="18">
    <w:abstractNumId w:val="20"/>
  </w:num>
  <w:num w:numId="19">
    <w:abstractNumId w:val="46"/>
  </w:num>
  <w:num w:numId="20">
    <w:abstractNumId w:val="11"/>
  </w:num>
  <w:num w:numId="21">
    <w:abstractNumId w:val="10"/>
  </w:num>
  <w:num w:numId="22">
    <w:abstractNumId w:val="44"/>
  </w:num>
  <w:num w:numId="23">
    <w:abstractNumId w:val="16"/>
  </w:num>
  <w:num w:numId="24">
    <w:abstractNumId w:val="5"/>
  </w:num>
  <w:num w:numId="25">
    <w:abstractNumId w:val="41"/>
  </w:num>
  <w:num w:numId="26">
    <w:abstractNumId w:val="38"/>
  </w:num>
  <w:num w:numId="27">
    <w:abstractNumId w:val="33"/>
  </w:num>
  <w:num w:numId="28">
    <w:abstractNumId w:val="3"/>
  </w:num>
  <w:num w:numId="29">
    <w:abstractNumId w:val="26"/>
  </w:num>
  <w:num w:numId="30">
    <w:abstractNumId w:val="32"/>
  </w:num>
  <w:num w:numId="31">
    <w:abstractNumId w:val="14"/>
  </w:num>
  <w:num w:numId="32">
    <w:abstractNumId w:val="6"/>
  </w:num>
  <w:num w:numId="33">
    <w:abstractNumId w:val="2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1"/>
  </w:num>
  <w:num w:numId="38">
    <w:abstractNumId w:val="13"/>
  </w:num>
  <w:num w:numId="39">
    <w:abstractNumId w:val="4"/>
  </w:num>
  <w:num w:numId="40">
    <w:abstractNumId w:val="22"/>
  </w:num>
  <w:num w:numId="41">
    <w:abstractNumId w:val="7"/>
  </w:num>
  <w:num w:numId="42">
    <w:abstractNumId w:val="19"/>
  </w:num>
  <w:num w:numId="43">
    <w:abstractNumId w:val="42"/>
  </w:num>
  <w:num w:numId="44">
    <w:abstractNumId w:val="37"/>
  </w:num>
  <w:num w:numId="45">
    <w:abstractNumId w:val="27"/>
  </w:num>
  <w:num w:numId="46">
    <w:abstractNumId w:val="45"/>
  </w:num>
  <w:num w:numId="47">
    <w:abstractNumId w:val="29"/>
  </w:num>
  <w:num w:numId="48">
    <w:abstractNumId w:val="1"/>
  </w:num>
  <w:num w:numId="4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LIwNjawsDQxNDVX0lEKTi0uzszPAykwrQUAQD05oCwAAAA="/>
  </w:docVars>
  <w:rsids>
    <w:rsidRoot w:val="00D9153B"/>
    <w:rsid w:val="00000D4A"/>
    <w:rsid w:val="000010B5"/>
    <w:rsid w:val="00001FA7"/>
    <w:rsid w:val="000027D2"/>
    <w:rsid w:val="0000312F"/>
    <w:rsid w:val="00003E8B"/>
    <w:rsid w:val="00005E26"/>
    <w:rsid w:val="00006E59"/>
    <w:rsid w:val="0001309E"/>
    <w:rsid w:val="00013C60"/>
    <w:rsid w:val="000153EB"/>
    <w:rsid w:val="00015FDE"/>
    <w:rsid w:val="00016217"/>
    <w:rsid w:val="00016861"/>
    <w:rsid w:val="00017D05"/>
    <w:rsid w:val="000200CF"/>
    <w:rsid w:val="00020464"/>
    <w:rsid w:val="000205F1"/>
    <w:rsid w:val="00022047"/>
    <w:rsid w:val="00023AEE"/>
    <w:rsid w:val="000274B9"/>
    <w:rsid w:val="0002758B"/>
    <w:rsid w:val="000276A0"/>
    <w:rsid w:val="0003167B"/>
    <w:rsid w:val="0003257C"/>
    <w:rsid w:val="000330DB"/>
    <w:rsid w:val="0003429F"/>
    <w:rsid w:val="000346B1"/>
    <w:rsid w:val="0003562A"/>
    <w:rsid w:val="00036095"/>
    <w:rsid w:val="000367E0"/>
    <w:rsid w:val="00036AF4"/>
    <w:rsid w:val="00041C10"/>
    <w:rsid w:val="00043804"/>
    <w:rsid w:val="000441A1"/>
    <w:rsid w:val="00045686"/>
    <w:rsid w:val="00050869"/>
    <w:rsid w:val="00051E3C"/>
    <w:rsid w:val="0005255B"/>
    <w:rsid w:val="00054E16"/>
    <w:rsid w:val="00055596"/>
    <w:rsid w:val="00056014"/>
    <w:rsid w:val="00056041"/>
    <w:rsid w:val="000561C1"/>
    <w:rsid w:val="00056204"/>
    <w:rsid w:val="000570D1"/>
    <w:rsid w:val="000571A9"/>
    <w:rsid w:val="00060290"/>
    <w:rsid w:val="000611AB"/>
    <w:rsid w:val="00063E24"/>
    <w:rsid w:val="000658F5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11BE"/>
    <w:rsid w:val="0008339E"/>
    <w:rsid w:val="00090AD1"/>
    <w:rsid w:val="00090F4F"/>
    <w:rsid w:val="00091476"/>
    <w:rsid w:val="00091984"/>
    <w:rsid w:val="00092879"/>
    <w:rsid w:val="00094E87"/>
    <w:rsid w:val="00097FB2"/>
    <w:rsid w:val="000A0893"/>
    <w:rsid w:val="000A151D"/>
    <w:rsid w:val="000A24C5"/>
    <w:rsid w:val="000A30A1"/>
    <w:rsid w:val="000A3A38"/>
    <w:rsid w:val="000A3F7F"/>
    <w:rsid w:val="000A47FD"/>
    <w:rsid w:val="000A7192"/>
    <w:rsid w:val="000B00F9"/>
    <w:rsid w:val="000B0228"/>
    <w:rsid w:val="000B25D9"/>
    <w:rsid w:val="000B2E16"/>
    <w:rsid w:val="000B3A13"/>
    <w:rsid w:val="000B4BB2"/>
    <w:rsid w:val="000B6379"/>
    <w:rsid w:val="000C37A8"/>
    <w:rsid w:val="000C4E54"/>
    <w:rsid w:val="000C76B0"/>
    <w:rsid w:val="000C7BBE"/>
    <w:rsid w:val="000D2475"/>
    <w:rsid w:val="000D442C"/>
    <w:rsid w:val="000D442D"/>
    <w:rsid w:val="000D4DC4"/>
    <w:rsid w:val="000D6501"/>
    <w:rsid w:val="000E10CC"/>
    <w:rsid w:val="000E55D6"/>
    <w:rsid w:val="000E612D"/>
    <w:rsid w:val="000E631C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0342"/>
    <w:rsid w:val="00121554"/>
    <w:rsid w:val="00121F3E"/>
    <w:rsid w:val="0012229E"/>
    <w:rsid w:val="00123849"/>
    <w:rsid w:val="00123A5E"/>
    <w:rsid w:val="00123B4C"/>
    <w:rsid w:val="00125010"/>
    <w:rsid w:val="001251C8"/>
    <w:rsid w:val="00125266"/>
    <w:rsid w:val="00125B82"/>
    <w:rsid w:val="001305E6"/>
    <w:rsid w:val="001315CD"/>
    <w:rsid w:val="001321A8"/>
    <w:rsid w:val="0013239A"/>
    <w:rsid w:val="00132D93"/>
    <w:rsid w:val="001334D3"/>
    <w:rsid w:val="0013761A"/>
    <w:rsid w:val="0014423A"/>
    <w:rsid w:val="00147042"/>
    <w:rsid w:val="001471A7"/>
    <w:rsid w:val="00147DB5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7E7E"/>
    <w:rsid w:val="001804BD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A58EE"/>
    <w:rsid w:val="001B0020"/>
    <w:rsid w:val="001B0E02"/>
    <w:rsid w:val="001B18A9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12D1"/>
    <w:rsid w:val="001E1A60"/>
    <w:rsid w:val="001E2165"/>
    <w:rsid w:val="001E4809"/>
    <w:rsid w:val="001E4F4F"/>
    <w:rsid w:val="001E6523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590A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635"/>
    <w:rsid w:val="00232AA0"/>
    <w:rsid w:val="00234CDF"/>
    <w:rsid w:val="00236B91"/>
    <w:rsid w:val="00236BF6"/>
    <w:rsid w:val="00240297"/>
    <w:rsid w:val="002424C0"/>
    <w:rsid w:val="00242617"/>
    <w:rsid w:val="00242CAA"/>
    <w:rsid w:val="0024503B"/>
    <w:rsid w:val="0024573D"/>
    <w:rsid w:val="00245D74"/>
    <w:rsid w:val="00246D03"/>
    <w:rsid w:val="00246DDF"/>
    <w:rsid w:val="002521E0"/>
    <w:rsid w:val="002573CC"/>
    <w:rsid w:val="00260FAA"/>
    <w:rsid w:val="002622E0"/>
    <w:rsid w:val="00262338"/>
    <w:rsid w:val="00262EAA"/>
    <w:rsid w:val="00263694"/>
    <w:rsid w:val="00263938"/>
    <w:rsid w:val="00263AC3"/>
    <w:rsid w:val="002646D7"/>
    <w:rsid w:val="00264990"/>
    <w:rsid w:val="002671D7"/>
    <w:rsid w:val="0027259C"/>
    <w:rsid w:val="00273140"/>
    <w:rsid w:val="00273275"/>
    <w:rsid w:val="00273543"/>
    <w:rsid w:val="00274C82"/>
    <w:rsid w:val="00274E2D"/>
    <w:rsid w:val="0027654D"/>
    <w:rsid w:val="00280509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19CE"/>
    <w:rsid w:val="00292846"/>
    <w:rsid w:val="00292A90"/>
    <w:rsid w:val="002971D6"/>
    <w:rsid w:val="002A2F08"/>
    <w:rsid w:val="002A2F10"/>
    <w:rsid w:val="002A3641"/>
    <w:rsid w:val="002A495F"/>
    <w:rsid w:val="002A4CE1"/>
    <w:rsid w:val="002A706F"/>
    <w:rsid w:val="002A70EA"/>
    <w:rsid w:val="002A7363"/>
    <w:rsid w:val="002A7F43"/>
    <w:rsid w:val="002B365E"/>
    <w:rsid w:val="002B3E6C"/>
    <w:rsid w:val="002B4761"/>
    <w:rsid w:val="002B489A"/>
    <w:rsid w:val="002B6341"/>
    <w:rsid w:val="002B6CD8"/>
    <w:rsid w:val="002B730F"/>
    <w:rsid w:val="002C031A"/>
    <w:rsid w:val="002C0526"/>
    <w:rsid w:val="002C27A8"/>
    <w:rsid w:val="002C333E"/>
    <w:rsid w:val="002C36C8"/>
    <w:rsid w:val="002C4E88"/>
    <w:rsid w:val="002C51A0"/>
    <w:rsid w:val="002C57E0"/>
    <w:rsid w:val="002C7971"/>
    <w:rsid w:val="002D02B8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165F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2F797F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16DC"/>
    <w:rsid w:val="00323D35"/>
    <w:rsid w:val="00324846"/>
    <w:rsid w:val="00324ABD"/>
    <w:rsid w:val="00324D9B"/>
    <w:rsid w:val="003272A6"/>
    <w:rsid w:val="003273CB"/>
    <w:rsid w:val="00330D9F"/>
    <w:rsid w:val="0033125E"/>
    <w:rsid w:val="00332ED2"/>
    <w:rsid w:val="0033325E"/>
    <w:rsid w:val="00334311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5EBC"/>
    <w:rsid w:val="0034782B"/>
    <w:rsid w:val="00347AF7"/>
    <w:rsid w:val="00351E5C"/>
    <w:rsid w:val="00351F5A"/>
    <w:rsid w:val="003538DA"/>
    <w:rsid w:val="003538F7"/>
    <w:rsid w:val="0035580F"/>
    <w:rsid w:val="00357CB4"/>
    <w:rsid w:val="003604EE"/>
    <w:rsid w:val="0036286B"/>
    <w:rsid w:val="00363371"/>
    <w:rsid w:val="00364989"/>
    <w:rsid w:val="003664C0"/>
    <w:rsid w:val="00366769"/>
    <w:rsid w:val="00367A28"/>
    <w:rsid w:val="00367E04"/>
    <w:rsid w:val="003716E3"/>
    <w:rsid w:val="003761F2"/>
    <w:rsid w:val="00376A05"/>
    <w:rsid w:val="003774FE"/>
    <w:rsid w:val="003821AC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5A57"/>
    <w:rsid w:val="003A62A4"/>
    <w:rsid w:val="003A6FE0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D0EC2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6E53"/>
    <w:rsid w:val="003E72C5"/>
    <w:rsid w:val="003E7A43"/>
    <w:rsid w:val="003F0B58"/>
    <w:rsid w:val="003F0D40"/>
    <w:rsid w:val="003F2236"/>
    <w:rsid w:val="003F27B7"/>
    <w:rsid w:val="003F4051"/>
    <w:rsid w:val="003F5812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3CB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513C"/>
    <w:rsid w:val="004360AC"/>
    <w:rsid w:val="00436B83"/>
    <w:rsid w:val="00441061"/>
    <w:rsid w:val="0044560C"/>
    <w:rsid w:val="004501C9"/>
    <w:rsid w:val="00450C70"/>
    <w:rsid w:val="004519A8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892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4C3C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4906"/>
    <w:rsid w:val="004B5D6B"/>
    <w:rsid w:val="004B76F8"/>
    <w:rsid w:val="004C1FA6"/>
    <w:rsid w:val="004C2869"/>
    <w:rsid w:val="004C5CFD"/>
    <w:rsid w:val="004C6259"/>
    <w:rsid w:val="004D12C0"/>
    <w:rsid w:val="004D1746"/>
    <w:rsid w:val="004D18EA"/>
    <w:rsid w:val="004D2B29"/>
    <w:rsid w:val="004D3713"/>
    <w:rsid w:val="004D6254"/>
    <w:rsid w:val="004D70FD"/>
    <w:rsid w:val="004D7E99"/>
    <w:rsid w:val="004E00CE"/>
    <w:rsid w:val="004E1194"/>
    <w:rsid w:val="004E2BDB"/>
    <w:rsid w:val="004E307B"/>
    <w:rsid w:val="004E696D"/>
    <w:rsid w:val="004F0966"/>
    <w:rsid w:val="004F3788"/>
    <w:rsid w:val="004F43ED"/>
    <w:rsid w:val="004F50AF"/>
    <w:rsid w:val="004F67B4"/>
    <w:rsid w:val="004F681D"/>
    <w:rsid w:val="004F6E14"/>
    <w:rsid w:val="0050228C"/>
    <w:rsid w:val="00502857"/>
    <w:rsid w:val="005044A9"/>
    <w:rsid w:val="00504F68"/>
    <w:rsid w:val="005054DC"/>
    <w:rsid w:val="00505994"/>
    <w:rsid w:val="00505DCA"/>
    <w:rsid w:val="00505FD4"/>
    <w:rsid w:val="005062F0"/>
    <w:rsid w:val="00506CBD"/>
    <w:rsid w:val="00506E25"/>
    <w:rsid w:val="0051132C"/>
    <w:rsid w:val="005119D0"/>
    <w:rsid w:val="00513483"/>
    <w:rsid w:val="00514A55"/>
    <w:rsid w:val="00514EF5"/>
    <w:rsid w:val="0051782D"/>
    <w:rsid w:val="0052087E"/>
    <w:rsid w:val="0052315E"/>
    <w:rsid w:val="00523701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1021"/>
    <w:rsid w:val="00541CAF"/>
    <w:rsid w:val="00542930"/>
    <w:rsid w:val="00542D2F"/>
    <w:rsid w:val="005435B3"/>
    <w:rsid w:val="00545568"/>
    <w:rsid w:val="00550849"/>
    <w:rsid w:val="00550866"/>
    <w:rsid w:val="005525C6"/>
    <w:rsid w:val="00553A65"/>
    <w:rsid w:val="00554BF3"/>
    <w:rsid w:val="0055655F"/>
    <w:rsid w:val="0055657D"/>
    <w:rsid w:val="005579B9"/>
    <w:rsid w:val="00560D0D"/>
    <w:rsid w:val="005631E5"/>
    <w:rsid w:val="005632F1"/>
    <w:rsid w:val="0056395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C7"/>
    <w:rsid w:val="00583EFE"/>
    <w:rsid w:val="00584076"/>
    <w:rsid w:val="005841A3"/>
    <w:rsid w:val="0058654C"/>
    <w:rsid w:val="00586D9A"/>
    <w:rsid w:val="00590EAE"/>
    <w:rsid w:val="0059112A"/>
    <w:rsid w:val="0059116B"/>
    <w:rsid w:val="00591B65"/>
    <w:rsid w:val="00592A14"/>
    <w:rsid w:val="00593216"/>
    <w:rsid w:val="00594BC3"/>
    <w:rsid w:val="0059667F"/>
    <w:rsid w:val="00596CA7"/>
    <w:rsid w:val="00596DC8"/>
    <w:rsid w:val="00596E16"/>
    <w:rsid w:val="00597A78"/>
    <w:rsid w:val="00597DC7"/>
    <w:rsid w:val="005A14B5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5BBD"/>
    <w:rsid w:val="005C5C1E"/>
    <w:rsid w:val="005C74A0"/>
    <w:rsid w:val="005D052C"/>
    <w:rsid w:val="005D16FE"/>
    <w:rsid w:val="005D4084"/>
    <w:rsid w:val="005D4777"/>
    <w:rsid w:val="005D4C2B"/>
    <w:rsid w:val="005D5784"/>
    <w:rsid w:val="005E22CD"/>
    <w:rsid w:val="005E6B93"/>
    <w:rsid w:val="005E7953"/>
    <w:rsid w:val="005E7967"/>
    <w:rsid w:val="005E7E82"/>
    <w:rsid w:val="005F2C42"/>
    <w:rsid w:val="005F3893"/>
    <w:rsid w:val="005F6BAB"/>
    <w:rsid w:val="005F6C28"/>
    <w:rsid w:val="005F7AB6"/>
    <w:rsid w:val="005F7E3C"/>
    <w:rsid w:val="00600FA8"/>
    <w:rsid w:val="006063DA"/>
    <w:rsid w:val="00606CD0"/>
    <w:rsid w:val="00606CE3"/>
    <w:rsid w:val="00607807"/>
    <w:rsid w:val="00611DD3"/>
    <w:rsid w:val="00611EF0"/>
    <w:rsid w:val="00612219"/>
    <w:rsid w:val="00612DCD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70BC4"/>
    <w:rsid w:val="006718ED"/>
    <w:rsid w:val="006724AD"/>
    <w:rsid w:val="00672BAB"/>
    <w:rsid w:val="00672C47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A73"/>
    <w:rsid w:val="006834DD"/>
    <w:rsid w:val="00683AD6"/>
    <w:rsid w:val="006842AE"/>
    <w:rsid w:val="006875BA"/>
    <w:rsid w:val="0069097D"/>
    <w:rsid w:val="00693FEA"/>
    <w:rsid w:val="00694C68"/>
    <w:rsid w:val="006A47CE"/>
    <w:rsid w:val="006A5773"/>
    <w:rsid w:val="006A5804"/>
    <w:rsid w:val="006A58F0"/>
    <w:rsid w:val="006A6262"/>
    <w:rsid w:val="006B0372"/>
    <w:rsid w:val="006B0764"/>
    <w:rsid w:val="006B081C"/>
    <w:rsid w:val="006B214F"/>
    <w:rsid w:val="006B4467"/>
    <w:rsid w:val="006B5AC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4930"/>
    <w:rsid w:val="006E596E"/>
    <w:rsid w:val="006E65E0"/>
    <w:rsid w:val="006F033F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597A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24C"/>
    <w:rsid w:val="00725B78"/>
    <w:rsid w:val="00727082"/>
    <w:rsid w:val="0073233C"/>
    <w:rsid w:val="00732D0C"/>
    <w:rsid w:val="00733EAD"/>
    <w:rsid w:val="00733FD1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427C"/>
    <w:rsid w:val="00765093"/>
    <w:rsid w:val="00765217"/>
    <w:rsid w:val="007653BD"/>
    <w:rsid w:val="007659AA"/>
    <w:rsid w:val="00766334"/>
    <w:rsid w:val="00771C67"/>
    <w:rsid w:val="0077266C"/>
    <w:rsid w:val="00772802"/>
    <w:rsid w:val="00775066"/>
    <w:rsid w:val="00776406"/>
    <w:rsid w:val="0078005A"/>
    <w:rsid w:val="00781B6F"/>
    <w:rsid w:val="00781F9C"/>
    <w:rsid w:val="007820ED"/>
    <w:rsid w:val="00782DFD"/>
    <w:rsid w:val="00783420"/>
    <w:rsid w:val="00784424"/>
    <w:rsid w:val="00785474"/>
    <w:rsid w:val="0078772C"/>
    <w:rsid w:val="00787B99"/>
    <w:rsid w:val="007907C8"/>
    <w:rsid w:val="007925B6"/>
    <w:rsid w:val="007934F5"/>
    <w:rsid w:val="00793900"/>
    <w:rsid w:val="0079421C"/>
    <w:rsid w:val="0079526D"/>
    <w:rsid w:val="00795A2C"/>
    <w:rsid w:val="00795A5A"/>
    <w:rsid w:val="00797309"/>
    <w:rsid w:val="00797390"/>
    <w:rsid w:val="007A05B6"/>
    <w:rsid w:val="007A1C0A"/>
    <w:rsid w:val="007A1C59"/>
    <w:rsid w:val="007A4397"/>
    <w:rsid w:val="007A5B41"/>
    <w:rsid w:val="007A5BF0"/>
    <w:rsid w:val="007B3A76"/>
    <w:rsid w:val="007B5792"/>
    <w:rsid w:val="007C2934"/>
    <w:rsid w:val="007C31E2"/>
    <w:rsid w:val="007C5CE1"/>
    <w:rsid w:val="007C6F85"/>
    <w:rsid w:val="007C719C"/>
    <w:rsid w:val="007D0569"/>
    <w:rsid w:val="007D16B1"/>
    <w:rsid w:val="007D19E4"/>
    <w:rsid w:val="007D2001"/>
    <w:rsid w:val="007D7400"/>
    <w:rsid w:val="007D7761"/>
    <w:rsid w:val="007D79FF"/>
    <w:rsid w:val="007E02A7"/>
    <w:rsid w:val="007E11BB"/>
    <w:rsid w:val="007E468A"/>
    <w:rsid w:val="007E51A5"/>
    <w:rsid w:val="007E5629"/>
    <w:rsid w:val="007E7F4C"/>
    <w:rsid w:val="007F2EC6"/>
    <w:rsid w:val="007F3018"/>
    <w:rsid w:val="007F6517"/>
    <w:rsid w:val="007F6862"/>
    <w:rsid w:val="008013FC"/>
    <w:rsid w:val="00803F7C"/>
    <w:rsid w:val="00804045"/>
    <w:rsid w:val="00804831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EDE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2A03"/>
    <w:rsid w:val="00863C61"/>
    <w:rsid w:val="00865522"/>
    <w:rsid w:val="00865ADF"/>
    <w:rsid w:val="0086644C"/>
    <w:rsid w:val="008666B5"/>
    <w:rsid w:val="00867117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0D2"/>
    <w:rsid w:val="0088665E"/>
    <w:rsid w:val="00887F48"/>
    <w:rsid w:val="008923C8"/>
    <w:rsid w:val="008924B5"/>
    <w:rsid w:val="00893260"/>
    <w:rsid w:val="00893293"/>
    <w:rsid w:val="008932A8"/>
    <w:rsid w:val="00893756"/>
    <w:rsid w:val="00894A9E"/>
    <w:rsid w:val="008950F6"/>
    <w:rsid w:val="00896815"/>
    <w:rsid w:val="008A026C"/>
    <w:rsid w:val="008A0744"/>
    <w:rsid w:val="008A0A6E"/>
    <w:rsid w:val="008A0D0F"/>
    <w:rsid w:val="008A16DB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C7FF1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1DD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B66"/>
    <w:rsid w:val="0091234C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596E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4260B"/>
    <w:rsid w:val="00942661"/>
    <w:rsid w:val="00945307"/>
    <w:rsid w:val="0094558D"/>
    <w:rsid w:val="0094697C"/>
    <w:rsid w:val="00946FCE"/>
    <w:rsid w:val="00950AC6"/>
    <w:rsid w:val="009515BC"/>
    <w:rsid w:val="0095210B"/>
    <w:rsid w:val="0095349A"/>
    <w:rsid w:val="00953B5B"/>
    <w:rsid w:val="00953ED0"/>
    <w:rsid w:val="0095492E"/>
    <w:rsid w:val="00955F7D"/>
    <w:rsid w:val="009569EC"/>
    <w:rsid w:val="00957A34"/>
    <w:rsid w:val="009623FA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6A3C"/>
    <w:rsid w:val="0097762F"/>
    <w:rsid w:val="00977C0A"/>
    <w:rsid w:val="009816B8"/>
    <w:rsid w:val="00983B45"/>
    <w:rsid w:val="00983B5C"/>
    <w:rsid w:val="0098766F"/>
    <w:rsid w:val="00993912"/>
    <w:rsid w:val="00994050"/>
    <w:rsid w:val="00995866"/>
    <w:rsid w:val="009962CF"/>
    <w:rsid w:val="00996787"/>
    <w:rsid w:val="009969D6"/>
    <w:rsid w:val="009A4543"/>
    <w:rsid w:val="009A5DB1"/>
    <w:rsid w:val="009A7C5A"/>
    <w:rsid w:val="009A7E51"/>
    <w:rsid w:val="009A7FC9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63EF"/>
    <w:rsid w:val="009D765F"/>
    <w:rsid w:val="009D7760"/>
    <w:rsid w:val="009E16E6"/>
    <w:rsid w:val="009E1C0D"/>
    <w:rsid w:val="009E1D63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6BDE"/>
    <w:rsid w:val="00A077AC"/>
    <w:rsid w:val="00A07A33"/>
    <w:rsid w:val="00A10A30"/>
    <w:rsid w:val="00A1137C"/>
    <w:rsid w:val="00A113D7"/>
    <w:rsid w:val="00A11F0F"/>
    <w:rsid w:val="00A123C8"/>
    <w:rsid w:val="00A13DA2"/>
    <w:rsid w:val="00A16126"/>
    <w:rsid w:val="00A165DB"/>
    <w:rsid w:val="00A20043"/>
    <w:rsid w:val="00A2083D"/>
    <w:rsid w:val="00A218D8"/>
    <w:rsid w:val="00A21C6C"/>
    <w:rsid w:val="00A2365A"/>
    <w:rsid w:val="00A23D53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5D2D"/>
    <w:rsid w:val="00A47176"/>
    <w:rsid w:val="00A475C5"/>
    <w:rsid w:val="00A4768C"/>
    <w:rsid w:val="00A47805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2F49"/>
    <w:rsid w:val="00A630EE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1188"/>
    <w:rsid w:val="00A827AD"/>
    <w:rsid w:val="00A83BF6"/>
    <w:rsid w:val="00A84BAC"/>
    <w:rsid w:val="00A84EE1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D59"/>
    <w:rsid w:val="00AA1F49"/>
    <w:rsid w:val="00AA3A2E"/>
    <w:rsid w:val="00AA4099"/>
    <w:rsid w:val="00AA4D5A"/>
    <w:rsid w:val="00AA6913"/>
    <w:rsid w:val="00AB134E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C6927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6AF"/>
    <w:rsid w:val="00AE3842"/>
    <w:rsid w:val="00AE3D83"/>
    <w:rsid w:val="00AE4374"/>
    <w:rsid w:val="00AE466A"/>
    <w:rsid w:val="00AE47E9"/>
    <w:rsid w:val="00AE481D"/>
    <w:rsid w:val="00AE485C"/>
    <w:rsid w:val="00AE7D4F"/>
    <w:rsid w:val="00AE7FE4"/>
    <w:rsid w:val="00AF0117"/>
    <w:rsid w:val="00AF17D3"/>
    <w:rsid w:val="00AF1D77"/>
    <w:rsid w:val="00AF1E50"/>
    <w:rsid w:val="00AF38BA"/>
    <w:rsid w:val="00AF4D40"/>
    <w:rsid w:val="00AF4F67"/>
    <w:rsid w:val="00AF5034"/>
    <w:rsid w:val="00AF5811"/>
    <w:rsid w:val="00AF6509"/>
    <w:rsid w:val="00B00BBE"/>
    <w:rsid w:val="00B0456E"/>
    <w:rsid w:val="00B06A05"/>
    <w:rsid w:val="00B06BF6"/>
    <w:rsid w:val="00B06F7F"/>
    <w:rsid w:val="00B100F0"/>
    <w:rsid w:val="00B10BAD"/>
    <w:rsid w:val="00B11CB1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8FE"/>
    <w:rsid w:val="00B279B9"/>
    <w:rsid w:val="00B27BFD"/>
    <w:rsid w:val="00B307CA"/>
    <w:rsid w:val="00B30FD0"/>
    <w:rsid w:val="00B34F48"/>
    <w:rsid w:val="00B36344"/>
    <w:rsid w:val="00B405CA"/>
    <w:rsid w:val="00B45DF2"/>
    <w:rsid w:val="00B51837"/>
    <w:rsid w:val="00B519EC"/>
    <w:rsid w:val="00B51BA0"/>
    <w:rsid w:val="00B51C42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0F09"/>
    <w:rsid w:val="00B717D8"/>
    <w:rsid w:val="00B718E0"/>
    <w:rsid w:val="00B72262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77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19EE"/>
    <w:rsid w:val="00BB2127"/>
    <w:rsid w:val="00BB3805"/>
    <w:rsid w:val="00BB4589"/>
    <w:rsid w:val="00BB52A5"/>
    <w:rsid w:val="00BB5893"/>
    <w:rsid w:val="00BB6740"/>
    <w:rsid w:val="00BB7D66"/>
    <w:rsid w:val="00BB7EA1"/>
    <w:rsid w:val="00BB7F81"/>
    <w:rsid w:val="00BC269B"/>
    <w:rsid w:val="00BC27D2"/>
    <w:rsid w:val="00BC299D"/>
    <w:rsid w:val="00BC466F"/>
    <w:rsid w:val="00BC6D0F"/>
    <w:rsid w:val="00BD16D3"/>
    <w:rsid w:val="00BD35E1"/>
    <w:rsid w:val="00BD3A56"/>
    <w:rsid w:val="00BD42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7F7"/>
    <w:rsid w:val="00BF2B3E"/>
    <w:rsid w:val="00BF2DAF"/>
    <w:rsid w:val="00BF4E1B"/>
    <w:rsid w:val="00BF5AB9"/>
    <w:rsid w:val="00C01083"/>
    <w:rsid w:val="00C0255C"/>
    <w:rsid w:val="00C0480F"/>
    <w:rsid w:val="00C04C9A"/>
    <w:rsid w:val="00C1043C"/>
    <w:rsid w:val="00C10D90"/>
    <w:rsid w:val="00C11E9E"/>
    <w:rsid w:val="00C12A51"/>
    <w:rsid w:val="00C12C65"/>
    <w:rsid w:val="00C12CD1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39EC"/>
    <w:rsid w:val="00C4517F"/>
    <w:rsid w:val="00C45232"/>
    <w:rsid w:val="00C46E94"/>
    <w:rsid w:val="00C4713F"/>
    <w:rsid w:val="00C508AD"/>
    <w:rsid w:val="00C512EC"/>
    <w:rsid w:val="00C51509"/>
    <w:rsid w:val="00C51FE1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0100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6D8C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0E4D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06EFC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2B99"/>
    <w:rsid w:val="00D43282"/>
    <w:rsid w:val="00D43EA4"/>
    <w:rsid w:val="00D44508"/>
    <w:rsid w:val="00D467DA"/>
    <w:rsid w:val="00D47810"/>
    <w:rsid w:val="00D5128E"/>
    <w:rsid w:val="00D52FD0"/>
    <w:rsid w:val="00D54385"/>
    <w:rsid w:val="00D54C7B"/>
    <w:rsid w:val="00D606D9"/>
    <w:rsid w:val="00D6259C"/>
    <w:rsid w:val="00D62CE9"/>
    <w:rsid w:val="00D63B91"/>
    <w:rsid w:val="00D64A4A"/>
    <w:rsid w:val="00D6679C"/>
    <w:rsid w:val="00D669E4"/>
    <w:rsid w:val="00D72F5D"/>
    <w:rsid w:val="00D7370C"/>
    <w:rsid w:val="00D73EE6"/>
    <w:rsid w:val="00D742D2"/>
    <w:rsid w:val="00D744DC"/>
    <w:rsid w:val="00D74556"/>
    <w:rsid w:val="00D75C34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255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A4FCE"/>
    <w:rsid w:val="00DB2BE7"/>
    <w:rsid w:val="00DB4203"/>
    <w:rsid w:val="00DB6B88"/>
    <w:rsid w:val="00DB7CA1"/>
    <w:rsid w:val="00DC094F"/>
    <w:rsid w:val="00DC0EA9"/>
    <w:rsid w:val="00DC24B5"/>
    <w:rsid w:val="00DC25DA"/>
    <w:rsid w:val="00DC4325"/>
    <w:rsid w:val="00DC4915"/>
    <w:rsid w:val="00DC4C59"/>
    <w:rsid w:val="00DC5149"/>
    <w:rsid w:val="00DC5B77"/>
    <w:rsid w:val="00DC68E1"/>
    <w:rsid w:val="00DC7FCE"/>
    <w:rsid w:val="00DD0452"/>
    <w:rsid w:val="00DD0E0E"/>
    <w:rsid w:val="00DD1B88"/>
    <w:rsid w:val="00DD334C"/>
    <w:rsid w:val="00DD3C08"/>
    <w:rsid w:val="00DD6EF7"/>
    <w:rsid w:val="00DE0476"/>
    <w:rsid w:val="00DE1B2F"/>
    <w:rsid w:val="00DE1C5A"/>
    <w:rsid w:val="00DE2AAC"/>
    <w:rsid w:val="00DE53C9"/>
    <w:rsid w:val="00DE567D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2F67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2DD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57AD3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455"/>
    <w:rsid w:val="00E80578"/>
    <w:rsid w:val="00E80B43"/>
    <w:rsid w:val="00E81B4A"/>
    <w:rsid w:val="00E833CB"/>
    <w:rsid w:val="00E83995"/>
    <w:rsid w:val="00E83CBA"/>
    <w:rsid w:val="00E83D2E"/>
    <w:rsid w:val="00E83FB2"/>
    <w:rsid w:val="00E844D4"/>
    <w:rsid w:val="00E878CE"/>
    <w:rsid w:val="00E90615"/>
    <w:rsid w:val="00E91FE0"/>
    <w:rsid w:val="00E93227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1B52"/>
    <w:rsid w:val="00EB254B"/>
    <w:rsid w:val="00EB2663"/>
    <w:rsid w:val="00EB39F1"/>
    <w:rsid w:val="00EB460F"/>
    <w:rsid w:val="00EB472E"/>
    <w:rsid w:val="00EB5434"/>
    <w:rsid w:val="00EB5D6C"/>
    <w:rsid w:val="00EB6A9B"/>
    <w:rsid w:val="00EB76D6"/>
    <w:rsid w:val="00EB79DF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DF2"/>
    <w:rsid w:val="00EE1124"/>
    <w:rsid w:val="00EE21DD"/>
    <w:rsid w:val="00EE2E07"/>
    <w:rsid w:val="00EE56DF"/>
    <w:rsid w:val="00EE587F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A1E"/>
    <w:rsid w:val="00F05EAF"/>
    <w:rsid w:val="00F06207"/>
    <w:rsid w:val="00F06D7C"/>
    <w:rsid w:val="00F10371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22FE"/>
    <w:rsid w:val="00F33E65"/>
    <w:rsid w:val="00F34E93"/>
    <w:rsid w:val="00F36870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0952"/>
    <w:rsid w:val="00F623B6"/>
    <w:rsid w:val="00F6280F"/>
    <w:rsid w:val="00F62819"/>
    <w:rsid w:val="00F6394B"/>
    <w:rsid w:val="00F642FE"/>
    <w:rsid w:val="00F6653B"/>
    <w:rsid w:val="00F708D9"/>
    <w:rsid w:val="00F720FB"/>
    <w:rsid w:val="00F721C2"/>
    <w:rsid w:val="00F72B28"/>
    <w:rsid w:val="00F80602"/>
    <w:rsid w:val="00F81376"/>
    <w:rsid w:val="00F814DF"/>
    <w:rsid w:val="00F81BCF"/>
    <w:rsid w:val="00F81E48"/>
    <w:rsid w:val="00F84C20"/>
    <w:rsid w:val="00F87614"/>
    <w:rsid w:val="00F87E48"/>
    <w:rsid w:val="00F92112"/>
    <w:rsid w:val="00F9230A"/>
    <w:rsid w:val="00F92366"/>
    <w:rsid w:val="00F92753"/>
    <w:rsid w:val="00F9598E"/>
    <w:rsid w:val="00F96B32"/>
    <w:rsid w:val="00F9735A"/>
    <w:rsid w:val="00FA42F4"/>
    <w:rsid w:val="00FA4EBA"/>
    <w:rsid w:val="00FA6502"/>
    <w:rsid w:val="00FA65A3"/>
    <w:rsid w:val="00FA7B72"/>
    <w:rsid w:val="00FB0730"/>
    <w:rsid w:val="00FB0BC1"/>
    <w:rsid w:val="00FB14A0"/>
    <w:rsid w:val="00FB34A3"/>
    <w:rsid w:val="00FB4E4A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0D16"/>
    <w:rsid w:val="00FD1036"/>
    <w:rsid w:val="00FD1062"/>
    <w:rsid w:val="00FD131D"/>
    <w:rsid w:val="00FD3049"/>
    <w:rsid w:val="00FD5177"/>
    <w:rsid w:val="00FD5398"/>
    <w:rsid w:val="00FE18DC"/>
    <w:rsid w:val="00FE35E1"/>
    <w:rsid w:val="00FE3AFC"/>
    <w:rsid w:val="00FE6B38"/>
    <w:rsid w:val="00FE6D86"/>
    <w:rsid w:val="00FE77DC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UNITOFFICE-440-2439</_dlc_DocId>
    <_dlc_DocIdUrl xmlns="5ebeba3d-fd60-4dcb-8548-a9fd3c51d9ff">
      <Url>https://intranet.undp.org/unit/office/exo/sp2014/SP201417/_layouts/15/DocIdRedir.aspx?ID=UNITOFFICE-440-2439</Url>
      <Description>UNITOFFICE-440-2439</Description>
    </_dlc_DocIdUrl>
  </documentManagement>
</p:properties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AABE4-0E9D-461B-ACC0-7F5FEA134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F2009-FB95-41FE-BE97-AB1783C4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980DE-6C0A-4454-B178-89BFF4D41E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63C48D-7F62-4D2D-8219-0D81AFFED2D0}">
  <ds:schemaRefs>
    <ds:schemaRef ds:uri="http://schemas.openxmlformats.org/package/2006/metadata/core-properties"/>
    <ds:schemaRef ds:uri="http://purl.org/dc/dcmitype/"/>
    <ds:schemaRef ds:uri="5ebeba3d-fd60-4dcb-8548-a9fd3c51d9f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8243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3</cp:revision>
  <cp:lastPrinted>2014-09-16T19:01:00Z</cp:lastPrinted>
  <dcterms:created xsi:type="dcterms:W3CDTF">2022-10-20T15:19:00Z</dcterms:created>
  <dcterms:modified xsi:type="dcterms:W3CDTF">2022-10-20T15:19:00Z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4cd93679-6bc4-471d-b433-da0409134bb4</vt:lpwstr>
  </property>
</Properties>
</file>